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C91" w:rsidRDefault="00D81C91" w:rsidP="00D81C91">
      <w:pPr>
        <w:rPr>
          <w:rFonts w:ascii="Arial" w:hAnsi="Arial" w:cs="Arial"/>
          <w:sz w:val="72"/>
          <w:szCs w:val="72"/>
        </w:rPr>
      </w:pPr>
    </w:p>
    <w:p w:rsidR="00D81C91" w:rsidRDefault="00D81C91" w:rsidP="00D81C91">
      <w:pPr>
        <w:rPr>
          <w:rFonts w:ascii="Arial" w:hAnsi="Arial" w:cs="Arial"/>
          <w:sz w:val="72"/>
          <w:szCs w:val="72"/>
        </w:rPr>
      </w:pPr>
    </w:p>
    <w:p w:rsidR="00D81C91" w:rsidRPr="00BD11C6" w:rsidRDefault="00D81C91" w:rsidP="00D81C91">
      <w:pPr>
        <w:rPr>
          <w:rFonts w:ascii="Arial" w:hAnsi="Arial" w:cs="Arial"/>
          <w:color w:val="17365D" w:themeColor="text2" w:themeShade="BF"/>
          <w:sz w:val="80"/>
          <w:szCs w:val="80"/>
        </w:rPr>
      </w:pPr>
      <w:r w:rsidRPr="00BD11C6">
        <w:rPr>
          <w:rFonts w:ascii="Arial" w:hAnsi="Arial" w:cs="Arial"/>
          <w:color w:val="17365D" w:themeColor="text2" w:themeShade="BF"/>
          <w:sz w:val="80"/>
          <w:szCs w:val="80"/>
        </w:rPr>
        <w:t>Kent and Medway Diabetic Eye Screening Programme (DESP)</w:t>
      </w:r>
    </w:p>
    <w:p w:rsidR="00D81C91" w:rsidRPr="00D81C91" w:rsidRDefault="00D81C91" w:rsidP="00D81C91">
      <w:pPr>
        <w:rPr>
          <w:rFonts w:ascii="Arial" w:hAnsi="Arial" w:cs="Arial"/>
          <w:sz w:val="80"/>
          <w:szCs w:val="80"/>
        </w:rPr>
      </w:pPr>
    </w:p>
    <w:p w:rsidR="00D81C91" w:rsidRPr="00BD11C6" w:rsidRDefault="00D81C91" w:rsidP="00D81C91">
      <w:pPr>
        <w:rPr>
          <w:rFonts w:ascii="Arial" w:hAnsi="Arial" w:cs="Arial"/>
          <w:color w:val="17365D" w:themeColor="text2" w:themeShade="BF"/>
          <w:sz w:val="96"/>
          <w:szCs w:val="96"/>
        </w:rPr>
      </w:pPr>
      <w:r w:rsidRPr="00BD11C6">
        <w:rPr>
          <w:rFonts w:ascii="Arial" w:hAnsi="Arial" w:cs="Arial"/>
          <w:color w:val="17365D" w:themeColor="text2" w:themeShade="BF"/>
          <w:sz w:val="80"/>
          <w:szCs w:val="80"/>
        </w:rPr>
        <w:t>Health Needs Assessment 2018</w:t>
      </w:r>
    </w:p>
    <w:p w:rsidR="00D81C91" w:rsidRPr="00D81C91" w:rsidRDefault="00D81C91" w:rsidP="00D81C91"/>
    <w:p w:rsidR="00D81C91" w:rsidRDefault="00D81C91">
      <w:pPr>
        <w:rPr>
          <w:rFonts w:ascii="Arial" w:eastAsiaTheme="majorEastAsia" w:hAnsi="Arial" w:cs="Arial"/>
          <w:b/>
          <w:bCs/>
          <w:color w:val="365F91" w:themeColor="accent1" w:themeShade="BF"/>
          <w:sz w:val="28"/>
          <w:szCs w:val="28"/>
        </w:rPr>
      </w:pPr>
      <w:r>
        <w:rPr>
          <w:rFonts w:ascii="Arial" w:hAnsi="Arial" w:cs="Arial"/>
        </w:rPr>
        <w:br w:type="page"/>
      </w:r>
    </w:p>
    <w:tbl>
      <w:tblPr>
        <w:tblStyle w:val="TableGrid"/>
        <w:tblW w:w="0" w:type="auto"/>
        <w:tblLook w:val="04A0" w:firstRow="1" w:lastRow="0" w:firstColumn="1" w:lastColumn="0" w:noHBand="0" w:noVBand="1"/>
      </w:tblPr>
      <w:tblGrid>
        <w:gridCol w:w="2943"/>
        <w:gridCol w:w="5954"/>
      </w:tblGrid>
      <w:tr w:rsidR="00E63BEF" w:rsidRPr="00E63BEF" w:rsidTr="00E63BEF">
        <w:tc>
          <w:tcPr>
            <w:tcW w:w="2943" w:type="dxa"/>
          </w:tcPr>
          <w:p w:rsidR="00E63BEF" w:rsidRPr="00E63BEF" w:rsidRDefault="00E63BEF" w:rsidP="00E63BEF">
            <w:pPr>
              <w:rPr>
                <w:rFonts w:ascii="Arial" w:hAnsi="Arial" w:cs="Arial"/>
                <w:b/>
                <w:sz w:val="24"/>
                <w:szCs w:val="24"/>
              </w:rPr>
            </w:pPr>
            <w:r w:rsidRPr="00E63BEF">
              <w:rPr>
                <w:rFonts w:ascii="Arial" w:hAnsi="Arial" w:cs="Arial"/>
                <w:b/>
                <w:sz w:val="24"/>
                <w:szCs w:val="24"/>
              </w:rPr>
              <w:lastRenderedPageBreak/>
              <w:t>Document Title:</w:t>
            </w:r>
          </w:p>
        </w:tc>
        <w:tc>
          <w:tcPr>
            <w:tcW w:w="5954" w:type="dxa"/>
          </w:tcPr>
          <w:p w:rsidR="00E63BEF" w:rsidRDefault="00E63BEF" w:rsidP="00E63BEF">
            <w:pPr>
              <w:rPr>
                <w:rFonts w:ascii="Arial" w:hAnsi="Arial" w:cs="Arial"/>
                <w:sz w:val="24"/>
                <w:szCs w:val="24"/>
              </w:rPr>
            </w:pPr>
            <w:r w:rsidRPr="00E63BEF">
              <w:rPr>
                <w:rFonts w:ascii="Arial" w:hAnsi="Arial" w:cs="Arial"/>
                <w:sz w:val="24"/>
                <w:szCs w:val="24"/>
              </w:rPr>
              <w:t>Kent &amp; Medway Diabetic Eye Screening Programme (DESP); Health Needs Assessment 2018</w:t>
            </w:r>
          </w:p>
          <w:p w:rsidR="00E63BEF" w:rsidRPr="00E63BEF" w:rsidRDefault="00E63BEF" w:rsidP="00E63BEF">
            <w:pPr>
              <w:rPr>
                <w:rFonts w:ascii="Arial" w:hAnsi="Arial" w:cs="Arial"/>
                <w:sz w:val="24"/>
                <w:szCs w:val="24"/>
              </w:rPr>
            </w:pPr>
          </w:p>
        </w:tc>
      </w:tr>
      <w:tr w:rsidR="00E63BEF" w:rsidRPr="00E63BEF" w:rsidTr="00E63BEF">
        <w:tc>
          <w:tcPr>
            <w:tcW w:w="2943" w:type="dxa"/>
          </w:tcPr>
          <w:p w:rsidR="00E63BEF" w:rsidRPr="00E63BEF" w:rsidRDefault="00E63BEF" w:rsidP="00E63BEF">
            <w:pPr>
              <w:rPr>
                <w:rFonts w:ascii="Arial" w:hAnsi="Arial" w:cs="Arial"/>
                <w:b/>
                <w:sz w:val="24"/>
                <w:szCs w:val="24"/>
              </w:rPr>
            </w:pPr>
            <w:r w:rsidRPr="00E63BEF">
              <w:rPr>
                <w:rFonts w:ascii="Arial" w:hAnsi="Arial" w:cs="Arial"/>
                <w:b/>
                <w:sz w:val="24"/>
                <w:szCs w:val="24"/>
              </w:rPr>
              <w:t>Version number:</w:t>
            </w:r>
          </w:p>
          <w:p w:rsidR="00E63BEF" w:rsidRPr="00E63BEF" w:rsidRDefault="00E63BEF" w:rsidP="00E63BEF">
            <w:pPr>
              <w:rPr>
                <w:rFonts w:ascii="Arial" w:hAnsi="Arial" w:cs="Arial"/>
                <w:b/>
                <w:sz w:val="24"/>
                <w:szCs w:val="24"/>
              </w:rPr>
            </w:pPr>
          </w:p>
        </w:tc>
        <w:tc>
          <w:tcPr>
            <w:tcW w:w="5954" w:type="dxa"/>
          </w:tcPr>
          <w:p w:rsidR="00E63BEF" w:rsidRPr="00E63BEF" w:rsidRDefault="00137793" w:rsidP="00E63BEF">
            <w:pPr>
              <w:rPr>
                <w:rFonts w:ascii="Arial" w:hAnsi="Arial" w:cs="Arial"/>
                <w:sz w:val="24"/>
                <w:szCs w:val="24"/>
              </w:rPr>
            </w:pPr>
            <w:r>
              <w:rPr>
                <w:rFonts w:ascii="Arial" w:hAnsi="Arial" w:cs="Arial"/>
                <w:sz w:val="24"/>
                <w:szCs w:val="24"/>
              </w:rPr>
              <w:t>V8</w:t>
            </w:r>
          </w:p>
        </w:tc>
      </w:tr>
      <w:tr w:rsidR="00E63BEF" w:rsidRPr="00E63BEF" w:rsidTr="00E63BEF">
        <w:tc>
          <w:tcPr>
            <w:tcW w:w="2943" w:type="dxa"/>
          </w:tcPr>
          <w:p w:rsidR="00E63BEF" w:rsidRPr="00E63BEF" w:rsidRDefault="00E63BEF" w:rsidP="00E63BEF">
            <w:pPr>
              <w:rPr>
                <w:rFonts w:ascii="Arial" w:hAnsi="Arial" w:cs="Arial"/>
                <w:b/>
                <w:sz w:val="24"/>
                <w:szCs w:val="24"/>
              </w:rPr>
            </w:pPr>
            <w:r w:rsidRPr="00E63BEF">
              <w:rPr>
                <w:rFonts w:ascii="Arial" w:hAnsi="Arial" w:cs="Arial"/>
                <w:b/>
                <w:sz w:val="24"/>
                <w:szCs w:val="24"/>
              </w:rPr>
              <w:t>First published:</w:t>
            </w:r>
          </w:p>
          <w:p w:rsidR="00E63BEF" w:rsidRPr="00E63BEF" w:rsidRDefault="00E63BEF" w:rsidP="00E63BEF">
            <w:pPr>
              <w:rPr>
                <w:rFonts w:ascii="Arial" w:hAnsi="Arial" w:cs="Arial"/>
                <w:b/>
                <w:sz w:val="24"/>
                <w:szCs w:val="24"/>
              </w:rPr>
            </w:pPr>
          </w:p>
        </w:tc>
        <w:tc>
          <w:tcPr>
            <w:tcW w:w="5954" w:type="dxa"/>
          </w:tcPr>
          <w:p w:rsidR="00E63BEF" w:rsidRPr="00E63BEF" w:rsidRDefault="003223DC" w:rsidP="00E63BEF">
            <w:pPr>
              <w:rPr>
                <w:rFonts w:ascii="Arial" w:hAnsi="Arial" w:cs="Arial"/>
                <w:sz w:val="24"/>
                <w:szCs w:val="24"/>
              </w:rPr>
            </w:pPr>
            <w:r>
              <w:rPr>
                <w:rFonts w:ascii="Arial" w:hAnsi="Arial" w:cs="Arial"/>
                <w:sz w:val="24"/>
                <w:szCs w:val="24"/>
              </w:rPr>
              <w:t>May 2018</w:t>
            </w:r>
          </w:p>
        </w:tc>
      </w:tr>
      <w:tr w:rsidR="00E63BEF" w:rsidRPr="00E63BEF" w:rsidTr="00E63BEF">
        <w:tc>
          <w:tcPr>
            <w:tcW w:w="2943" w:type="dxa"/>
          </w:tcPr>
          <w:p w:rsidR="00E63BEF" w:rsidRPr="00E63BEF" w:rsidRDefault="00E63BEF" w:rsidP="00E63BEF">
            <w:pPr>
              <w:rPr>
                <w:rFonts w:ascii="Arial" w:hAnsi="Arial" w:cs="Arial"/>
                <w:b/>
                <w:sz w:val="24"/>
                <w:szCs w:val="24"/>
              </w:rPr>
            </w:pPr>
            <w:r w:rsidRPr="00E63BEF">
              <w:rPr>
                <w:rFonts w:ascii="Arial" w:hAnsi="Arial" w:cs="Arial"/>
                <w:b/>
                <w:sz w:val="24"/>
                <w:szCs w:val="24"/>
              </w:rPr>
              <w:t>Prepared by:</w:t>
            </w:r>
          </w:p>
          <w:p w:rsidR="00E63BEF" w:rsidRPr="00E63BEF" w:rsidRDefault="00E63BEF" w:rsidP="00E63BEF">
            <w:pPr>
              <w:rPr>
                <w:rFonts w:ascii="Arial" w:hAnsi="Arial" w:cs="Arial"/>
                <w:b/>
                <w:sz w:val="24"/>
                <w:szCs w:val="24"/>
              </w:rPr>
            </w:pPr>
          </w:p>
        </w:tc>
        <w:tc>
          <w:tcPr>
            <w:tcW w:w="5954" w:type="dxa"/>
          </w:tcPr>
          <w:p w:rsidR="00E63BEF" w:rsidRPr="00E63BEF" w:rsidRDefault="00E63BEF" w:rsidP="00E63BEF">
            <w:pPr>
              <w:rPr>
                <w:rFonts w:ascii="Arial" w:eastAsia="Times New Roman" w:hAnsi="Arial" w:cs="Arial"/>
                <w:sz w:val="24"/>
                <w:szCs w:val="24"/>
              </w:rPr>
            </w:pPr>
            <w:r w:rsidRPr="00E63BEF">
              <w:rPr>
                <w:rFonts w:ascii="Arial" w:eastAsia="Times New Roman" w:hAnsi="Arial" w:cs="Arial"/>
                <w:sz w:val="24"/>
                <w:szCs w:val="24"/>
              </w:rPr>
              <w:t>Pamela Njawe</w:t>
            </w:r>
          </w:p>
          <w:p w:rsidR="00E63BEF" w:rsidRPr="00E63BEF" w:rsidRDefault="00E63BEF" w:rsidP="00E63BEF">
            <w:pPr>
              <w:rPr>
                <w:rFonts w:ascii="Arial" w:eastAsia="Times New Roman" w:hAnsi="Arial" w:cs="Arial"/>
                <w:sz w:val="24"/>
                <w:szCs w:val="24"/>
              </w:rPr>
            </w:pPr>
            <w:r w:rsidRPr="00E63BEF">
              <w:rPr>
                <w:rFonts w:ascii="Arial" w:eastAsia="Times New Roman" w:hAnsi="Arial" w:cs="Arial"/>
                <w:sz w:val="24"/>
                <w:szCs w:val="24"/>
              </w:rPr>
              <w:t>Screening and Immunisation Manager</w:t>
            </w:r>
          </w:p>
          <w:p w:rsidR="00E63BEF" w:rsidRPr="00E63BEF" w:rsidRDefault="00E63BEF" w:rsidP="00E63BEF">
            <w:pPr>
              <w:rPr>
                <w:rFonts w:ascii="Arial" w:eastAsia="Times New Roman" w:hAnsi="Arial" w:cs="Arial"/>
                <w:sz w:val="24"/>
                <w:szCs w:val="24"/>
              </w:rPr>
            </w:pPr>
            <w:r w:rsidRPr="00E63BEF">
              <w:rPr>
                <w:rFonts w:ascii="Arial" w:eastAsia="Times New Roman" w:hAnsi="Arial" w:cs="Arial"/>
                <w:sz w:val="24"/>
                <w:szCs w:val="24"/>
              </w:rPr>
              <w:t>Public Health England South East</w:t>
            </w:r>
            <w:r>
              <w:rPr>
                <w:rFonts w:ascii="Arial" w:eastAsia="Times New Roman" w:hAnsi="Arial" w:cs="Arial"/>
                <w:sz w:val="24"/>
                <w:szCs w:val="24"/>
              </w:rPr>
              <w:t>/</w:t>
            </w:r>
            <w:r w:rsidRPr="00E63BEF">
              <w:rPr>
                <w:rFonts w:ascii="Arial" w:eastAsia="Times New Roman" w:hAnsi="Arial" w:cs="Arial"/>
                <w:sz w:val="24"/>
                <w:szCs w:val="24"/>
              </w:rPr>
              <w:t xml:space="preserve">NHSE South </w:t>
            </w:r>
            <w:r>
              <w:rPr>
                <w:rFonts w:ascii="Arial" w:eastAsia="Times New Roman" w:hAnsi="Arial" w:cs="Arial"/>
                <w:sz w:val="24"/>
                <w:szCs w:val="24"/>
              </w:rPr>
              <w:t xml:space="preserve">East </w:t>
            </w:r>
            <w:r w:rsidRPr="00E63BEF">
              <w:rPr>
                <w:rFonts w:ascii="Arial" w:eastAsia="Times New Roman" w:hAnsi="Arial" w:cs="Arial"/>
                <w:sz w:val="24"/>
                <w:szCs w:val="24"/>
              </w:rPr>
              <w:t>(</w:t>
            </w:r>
            <w:r>
              <w:rPr>
                <w:rFonts w:ascii="Arial" w:eastAsia="Times New Roman" w:hAnsi="Arial" w:cs="Arial"/>
                <w:sz w:val="24"/>
                <w:szCs w:val="24"/>
              </w:rPr>
              <w:t>Kent, Surrey &amp; Sussex</w:t>
            </w:r>
            <w:r w:rsidRPr="00E63BEF">
              <w:rPr>
                <w:rFonts w:ascii="Arial" w:eastAsia="Times New Roman" w:hAnsi="Arial" w:cs="Arial"/>
                <w:sz w:val="24"/>
                <w:szCs w:val="24"/>
              </w:rPr>
              <w:t>)</w:t>
            </w:r>
          </w:p>
          <w:p w:rsidR="00E63BEF" w:rsidRPr="00E63BEF" w:rsidRDefault="00E63BEF" w:rsidP="00E63BEF">
            <w:pPr>
              <w:rPr>
                <w:rFonts w:ascii="Arial" w:hAnsi="Arial" w:cs="Arial"/>
                <w:sz w:val="24"/>
                <w:szCs w:val="24"/>
              </w:rPr>
            </w:pPr>
          </w:p>
        </w:tc>
      </w:tr>
      <w:tr w:rsidR="00E63BEF" w:rsidRPr="00E63BEF" w:rsidTr="00E63BEF">
        <w:tc>
          <w:tcPr>
            <w:tcW w:w="2943" w:type="dxa"/>
          </w:tcPr>
          <w:p w:rsidR="00E63BEF" w:rsidRPr="00E63BEF" w:rsidRDefault="00E63BEF" w:rsidP="00E63BEF">
            <w:pPr>
              <w:rPr>
                <w:rFonts w:ascii="Arial" w:hAnsi="Arial" w:cs="Arial"/>
                <w:b/>
                <w:sz w:val="24"/>
                <w:szCs w:val="24"/>
              </w:rPr>
            </w:pPr>
            <w:r w:rsidRPr="00E63BEF">
              <w:rPr>
                <w:rFonts w:ascii="Arial" w:hAnsi="Arial" w:cs="Arial"/>
                <w:b/>
                <w:sz w:val="24"/>
                <w:szCs w:val="24"/>
              </w:rPr>
              <w:t>Classification:</w:t>
            </w:r>
          </w:p>
        </w:tc>
        <w:tc>
          <w:tcPr>
            <w:tcW w:w="5954" w:type="dxa"/>
          </w:tcPr>
          <w:p w:rsidR="00E63BEF" w:rsidRDefault="00E63BEF" w:rsidP="00E63BEF">
            <w:pPr>
              <w:rPr>
                <w:rFonts w:ascii="Arial" w:hAnsi="Arial" w:cs="Arial"/>
                <w:sz w:val="24"/>
                <w:szCs w:val="24"/>
              </w:rPr>
            </w:pPr>
            <w:r w:rsidRPr="00E63BEF">
              <w:rPr>
                <w:rFonts w:ascii="Arial" w:hAnsi="Arial" w:cs="Arial"/>
                <w:sz w:val="24"/>
                <w:szCs w:val="24"/>
              </w:rPr>
              <w:t>OFFICIAL</w:t>
            </w:r>
          </w:p>
          <w:p w:rsidR="00E63BEF" w:rsidRPr="00E63BEF" w:rsidRDefault="00E63BEF" w:rsidP="00E63BEF">
            <w:pPr>
              <w:rPr>
                <w:rFonts w:ascii="Arial" w:hAnsi="Arial" w:cs="Arial"/>
                <w:sz w:val="24"/>
                <w:szCs w:val="24"/>
              </w:rPr>
            </w:pPr>
          </w:p>
        </w:tc>
      </w:tr>
    </w:tbl>
    <w:p w:rsidR="00E63BEF" w:rsidRDefault="00E63BEF" w:rsidP="00E63BEF">
      <w:r w:rsidRPr="00AD18FA">
        <w:rPr>
          <w:b/>
          <w:sz w:val="32"/>
          <w:szCs w:val="32"/>
        </w:rPr>
        <w:t xml:space="preserve"> </w:t>
      </w:r>
    </w:p>
    <w:p w:rsidR="00E63BEF" w:rsidRPr="00E63BEF" w:rsidRDefault="00E63BEF" w:rsidP="00E63BEF">
      <w:pPr>
        <w:rPr>
          <w:rFonts w:ascii="Calibri" w:eastAsia="HGSMinchoE" w:hAnsi="Calibri" w:cs="Calibri"/>
          <w:bCs/>
          <w:sz w:val="32"/>
          <w:szCs w:val="32"/>
          <w:lang w:eastAsia="en-GB"/>
        </w:rPr>
      </w:pPr>
      <w:r w:rsidRPr="00E63BEF">
        <w:rPr>
          <w:rFonts w:eastAsia="HGSMinchoE" w:cs="Arial"/>
          <w:sz w:val="32"/>
          <w:szCs w:val="32"/>
          <w:lang w:eastAsia="en-GB"/>
        </w:rPr>
        <w:t>This information can be made available in alternative formats, such as easy read or large print, and may be available in alter</w:t>
      </w:r>
      <w:r w:rsidR="000361C2">
        <w:rPr>
          <w:rFonts w:eastAsia="HGSMinchoE" w:cs="Arial"/>
          <w:sz w:val="32"/>
          <w:szCs w:val="32"/>
          <w:lang w:eastAsia="en-GB"/>
        </w:rPr>
        <w:t xml:space="preserve">native languages, upon request.  </w:t>
      </w:r>
      <w:r w:rsidRPr="00E63BEF">
        <w:rPr>
          <w:rFonts w:eastAsia="HGSMinchoE" w:cs="Arial"/>
          <w:sz w:val="32"/>
          <w:szCs w:val="32"/>
          <w:lang w:eastAsia="en-GB"/>
        </w:rPr>
        <w:t xml:space="preserve">Please contact </w:t>
      </w:r>
      <w:r w:rsidR="000361C2">
        <w:rPr>
          <w:rFonts w:eastAsia="HGSMinchoE" w:cs="Arial"/>
          <w:sz w:val="32"/>
          <w:szCs w:val="32"/>
          <w:lang w:eastAsia="en-GB"/>
        </w:rPr>
        <w:t xml:space="preserve">the Kent and Medway Screening &amp; Immunisation Team at </w:t>
      </w:r>
      <w:hyperlink r:id="rId9" w:history="1">
        <w:r w:rsidR="000361C2" w:rsidRPr="005F06C3">
          <w:rPr>
            <w:rStyle w:val="Hyperlink"/>
            <w:rFonts w:eastAsia="HGSMinchoE" w:cs="Arial"/>
            <w:sz w:val="32"/>
            <w:szCs w:val="32"/>
            <w:lang w:eastAsia="en-GB"/>
          </w:rPr>
          <w:t>phst@nhs.net</w:t>
        </w:r>
      </w:hyperlink>
      <w:r w:rsidR="000361C2">
        <w:rPr>
          <w:rFonts w:eastAsia="HGSMinchoE" w:cs="Arial"/>
          <w:sz w:val="32"/>
          <w:szCs w:val="32"/>
          <w:lang w:eastAsia="en-GB"/>
        </w:rPr>
        <w:t xml:space="preserve">. </w:t>
      </w:r>
    </w:p>
    <w:p w:rsidR="00E63BEF" w:rsidRDefault="00E63BEF" w:rsidP="00E63BEF">
      <w:pPr>
        <w:widowControl w:val="0"/>
        <w:autoSpaceDE w:val="0"/>
        <w:autoSpaceDN w:val="0"/>
        <w:adjustRightInd w:val="0"/>
      </w:pPr>
      <w:r w:rsidRPr="00485AE8">
        <w:rPr>
          <w:rFonts w:eastAsia="HGSMinchoE" w:cs="Arial"/>
          <w:szCs w:val="24"/>
          <w:lang w:eastAsia="en-GB"/>
        </w:rPr>
        <w:t> </w:t>
      </w:r>
    </w:p>
    <w:p w:rsidR="0060305C" w:rsidRDefault="00E63BEF" w:rsidP="0060305C">
      <w:pPr>
        <w:pStyle w:val="Heading1"/>
        <w:rPr>
          <w:rFonts w:eastAsia="Calibri"/>
          <w:bCs w:val="0"/>
          <w:color w:val="242424"/>
          <w:sz w:val="22"/>
          <w:szCs w:val="22"/>
          <w:lang w:val="en-US"/>
        </w:rPr>
      </w:pPr>
      <w:r>
        <w:rPr>
          <w:rFonts w:eastAsia="Calibri"/>
          <w:bCs w:val="0"/>
          <w:color w:val="242424"/>
          <w:sz w:val="22"/>
          <w:szCs w:val="22"/>
          <w:lang w:val="en-US"/>
        </w:rPr>
        <w:br w:type="page"/>
      </w:r>
    </w:p>
    <w:bookmarkStart w:id="0" w:name="_Toc509930132" w:displacedByCustomXml="next"/>
    <w:bookmarkStart w:id="1" w:name="_Toc509930218" w:displacedByCustomXml="next"/>
    <w:bookmarkStart w:id="2" w:name="_Toc512592216" w:displacedByCustomXml="next"/>
    <w:sdt>
      <w:sdtPr>
        <w:rPr>
          <w:rFonts w:asciiTheme="minorHAnsi" w:eastAsiaTheme="minorHAnsi" w:hAnsiTheme="minorHAnsi" w:cs="Times New Roman"/>
          <w:b w:val="0"/>
          <w:bCs w:val="0"/>
          <w:color w:val="1F497D" w:themeColor="text2"/>
          <w:sz w:val="24"/>
          <w:szCs w:val="26"/>
        </w:rPr>
        <w:id w:val="420308047"/>
        <w:docPartObj>
          <w:docPartGallery w:val="Table of Contents"/>
          <w:docPartUnique/>
        </w:docPartObj>
      </w:sdtPr>
      <w:sdtEndPr>
        <w:rPr>
          <w:rFonts w:cstheme="minorBidi"/>
          <w:b/>
          <w:noProof/>
          <w:color w:val="auto"/>
          <w:sz w:val="22"/>
          <w:szCs w:val="22"/>
        </w:rPr>
      </w:sdtEndPr>
      <w:sdtContent>
        <w:p w:rsidR="0060305C" w:rsidRDefault="0060305C" w:rsidP="0060305C">
          <w:pPr>
            <w:pStyle w:val="Heading1"/>
            <w:rPr>
              <w:color w:val="000000" w:themeColor="text1"/>
            </w:rPr>
          </w:pPr>
          <w:r w:rsidRPr="006F7BB1">
            <w:rPr>
              <w:color w:val="000000" w:themeColor="text1"/>
            </w:rPr>
            <w:t>Contents</w:t>
          </w:r>
          <w:bookmarkEnd w:id="2"/>
          <w:bookmarkEnd w:id="1"/>
          <w:bookmarkEnd w:id="0"/>
        </w:p>
        <w:p w:rsidR="00F27386" w:rsidRDefault="0060305C">
          <w:pPr>
            <w:pStyle w:val="TOC1"/>
            <w:rPr>
              <w:rFonts w:asciiTheme="minorHAnsi" w:eastAsiaTheme="minorEastAsia" w:hAnsiTheme="minorHAnsi" w:cstheme="minorBidi"/>
              <w:bCs w:val="0"/>
              <w:noProof/>
              <w:sz w:val="22"/>
              <w:szCs w:val="22"/>
              <w:lang w:eastAsia="en-GB"/>
            </w:rPr>
          </w:pPr>
          <w:r>
            <w:fldChar w:fldCharType="begin"/>
          </w:r>
          <w:r>
            <w:instrText xml:space="preserve"> TOC \o "1-3" \h \z \u </w:instrText>
          </w:r>
          <w:r>
            <w:fldChar w:fldCharType="separate"/>
          </w:r>
          <w:hyperlink w:anchor="_Toc512592216" w:history="1">
            <w:r w:rsidR="00F27386" w:rsidRPr="007A4133">
              <w:rPr>
                <w:rStyle w:val="Hyperlink"/>
                <w:rFonts w:eastAsiaTheme="majorEastAsia"/>
                <w:noProof/>
              </w:rPr>
              <w:t>Contents</w:t>
            </w:r>
            <w:r w:rsidR="00F27386">
              <w:rPr>
                <w:noProof/>
                <w:webHidden/>
              </w:rPr>
              <w:tab/>
            </w:r>
            <w:r w:rsidR="00F27386">
              <w:rPr>
                <w:noProof/>
                <w:webHidden/>
              </w:rPr>
              <w:fldChar w:fldCharType="begin"/>
            </w:r>
            <w:r w:rsidR="00F27386">
              <w:rPr>
                <w:noProof/>
                <w:webHidden/>
              </w:rPr>
              <w:instrText xml:space="preserve"> PAGEREF _Toc512592216 \h </w:instrText>
            </w:r>
            <w:r w:rsidR="00F27386">
              <w:rPr>
                <w:noProof/>
                <w:webHidden/>
              </w:rPr>
            </w:r>
            <w:r w:rsidR="00F27386">
              <w:rPr>
                <w:noProof/>
                <w:webHidden/>
              </w:rPr>
              <w:fldChar w:fldCharType="separate"/>
            </w:r>
            <w:r w:rsidR="00F27386">
              <w:rPr>
                <w:noProof/>
                <w:webHidden/>
              </w:rPr>
              <w:t>3</w:t>
            </w:r>
            <w:r w:rsidR="00F27386">
              <w:rPr>
                <w:noProof/>
                <w:webHidden/>
              </w:rPr>
              <w:fldChar w:fldCharType="end"/>
            </w:r>
          </w:hyperlink>
        </w:p>
        <w:p w:rsidR="00F27386" w:rsidRDefault="00137793">
          <w:pPr>
            <w:pStyle w:val="TOC1"/>
            <w:tabs>
              <w:tab w:val="left" w:pos="480"/>
            </w:tabs>
            <w:rPr>
              <w:rFonts w:asciiTheme="minorHAnsi" w:eastAsiaTheme="minorEastAsia" w:hAnsiTheme="minorHAnsi" w:cstheme="minorBidi"/>
              <w:bCs w:val="0"/>
              <w:noProof/>
              <w:sz w:val="22"/>
              <w:szCs w:val="22"/>
              <w:lang w:eastAsia="en-GB"/>
            </w:rPr>
          </w:pPr>
          <w:hyperlink w:anchor="_Toc512592217" w:history="1">
            <w:r w:rsidR="00F27386" w:rsidRPr="007A4133">
              <w:rPr>
                <w:rStyle w:val="Hyperlink"/>
                <w:rFonts w:eastAsiaTheme="majorEastAsia" w:cs="Arial"/>
                <w:noProof/>
              </w:rPr>
              <w:t>1.</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Executive Summary</w:t>
            </w:r>
            <w:r w:rsidR="00F27386">
              <w:rPr>
                <w:noProof/>
                <w:webHidden/>
              </w:rPr>
              <w:tab/>
            </w:r>
            <w:r w:rsidR="00F27386">
              <w:rPr>
                <w:noProof/>
                <w:webHidden/>
              </w:rPr>
              <w:fldChar w:fldCharType="begin"/>
            </w:r>
            <w:r w:rsidR="00F27386">
              <w:rPr>
                <w:noProof/>
                <w:webHidden/>
              </w:rPr>
              <w:instrText xml:space="preserve"> PAGEREF _Toc512592217 \h </w:instrText>
            </w:r>
            <w:r w:rsidR="00F27386">
              <w:rPr>
                <w:noProof/>
                <w:webHidden/>
              </w:rPr>
            </w:r>
            <w:r w:rsidR="00F27386">
              <w:rPr>
                <w:noProof/>
                <w:webHidden/>
              </w:rPr>
              <w:fldChar w:fldCharType="separate"/>
            </w:r>
            <w:r w:rsidR="00F27386">
              <w:rPr>
                <w:noProof/>
                <w:webHidden/>
              </w:rPr>
              <w:t>4</w:t>
            </w:r>
            <w:r w:rsidR="00F27386">
              <w:rPr>
                <w:noProof/>
                <w:webHidden/>
              </w:rPr>
              <w:fldChar w:fldCharType="end"/>
            </w:r>
          </w:hyperlink>
        </w:p>
        <w:p w:rsidR="00F27386" w:rsidRDefault="00137793">
          <w:pPr>
            <w:pStyle w:val="TOC1"/>
            <w:tabs>
              <w:tab w:val="left" w:pos="480"/>
            </w:tabs>
            <w:rPr>
              <w:rFonts w:asciiTheme="minorHAnsi" w:eastAsiaTheme="minorEastAsia" w:hAnsiTheme="minorHAnsi" w:cstheme="minorBidi"/>
              <w:bCs w:val="0"/>
              <w:noProof/>
              <w:sz w:val="22"/>
              <w:szCs w:val="22"/>
              <w:lang w:eastAsia="en-GB"/>
            </w:rPr>
          </w:pPr>
          <w:hyperlink w:anchor="_Toc512592218" w:history="1">
            <w:r w:rsidR="00F27386" w:rsidRPr="007A4133">
              <w:rPr>
                <w:rStyle w:val="Hyperlink"/>
                <w:rFonts w:eastAsiaTheme="majorEastAsia" w:cs="Arial"/>
                <w:noProof/>
              </w:rPr>
              <w:t>2.</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Overview of Kent &amp; Medway Population</w:t>
            </w:r>
            <w:r w:rsidR="00F27386">
              <w:rPr>
                <w:noProof/>
                <w:webHidden/>
              </w:rPr>
              <w:tab/>
            </w:r>
            <w:r w:rsidR="00F27386">
              <w:rPr>
                <w:noProof/>
                <w:webHidden/>
              </w:rPr>
              <w:fldChar w:fldCharType="begin"/>
            </w:r>
            <w:r w:rsidR="00F27386">
              <w:rPr>
                <w:noProof/>
                <w:webHidden/>
              </w:rPr>
              <w:instrText xml:space="preserve"> PAGEREF _Toc512592218 \h </w:instrText>
            </w:r>
            <w:r w:rsidR="00F27386">
              <w:rPr>
                <w:noProof/>
                <w:webHidden/>
              </w:rPr>
            </w:r>
            <w:r w:rsidR="00F27386">
              <w:rPr>
                <w:noProof/>
                <w:webHidden/>
              </w:rPr>
              <w:fldChar w:fldCharType="separate"/>
            </w:r>
            <w:r w:rsidR="00F27386">
              <w:rPr>
                <w:noProof/>
                <w:webHidden/>
              </w:rPr>
              <w:t>5</w:t>
            </w:r>
            <w:r w:rsidR="00F27386">
              <w:rPr>
                <w:noProof/>
                <w:webHidden/>
              </w:rPr>
              <w:fldChar w:fldCharType="end"/>
            </w:r>
          </w:hyperlink>
        </w:p>
        <w:p w:rsidR="00F27386" w:rsidRDefault="00137793">
          <w:pPr>
            <w:pStyle w:val="TOC2"/>
            <w:tabs>
              <w:tab w:val="left" w:pos="880"/>
              <w:tab w:val="right" w:leader="dot" w:pos="9016"/>
            </w:tabs>
            <w:rPr>
              <w:rFonts w:asciiTheme="minorHAnsi" w:eastAsiaTheme="minorEastAsia" w:hAnsiTheme="minorHAnsi" w:cstheme="minorBidi"/>
              <w:bCs w:val="0"/>
              <w:noProof/>
              <w:sz w:val="22"/>
              <w:szCs w:val="22"/>
              <w:lang w:eastAsia="en-GB"/>
            </w:rPr>
          </w:pPr>
          <w:hyperlink w:anchor="_Toc512592219" w:history="1">
            <w:r w:rsidR="00F27386" w:rsidRPr="007A4133">
              <w:rPr>
                <w:rStyle w:val="Hyperlink"/>
                <w:rFonts w:eastAsiaTheme="majorEastAsia" w:cs="Arial"/>
                <w:noProof/>
              </w:rPr>
              <w:t>2.1</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Kent County Council (KCC) population characteristics</w:t>
            </w:r>
            <w:r w:rsidR="00F27386">
              <w:rPr>
                <w:noProof/>
                <w:webHidden/>
              </w:rPr>
              <w:tab/>
            </w:r>
            <w:r w:rsidR="00F27386">
              <w:rPr>
                <w:noProof/>
                <w:webHidden/>
              </w:rPr>
              <w:fldChar w:fldCharType="begin"/>
            </w:r>
            <w:r w:rsidR="00F27386">
              <w:rPr>
                <w:noProof/>
                <w:webHidden/>
              </w:rPr>
              <w:instrText xml:space="preserve"> PAGEREF _Toc512592219 \h </w:instrText>
            </w:r>
            <w:r w:rsidR="00F27386">
              <w:rPr>
                <w:noProof/>
                <w:webHidden/>
              </w:rPr>
            </w:r>
            <w:r w:rsidR="00F27386">
              <w:rPr>
                <w:noProof/>
                <w:webHidden/>
              </w:rPr>
              <w:fldChar w:fldCharType="separate"/>
            </w:r>
            <w:r w:rsidR="00F27386">
              <w:rPr>
                <w:noProof/>
                <w:webHidden/>
              </w:rPr>
              <w:t>5</w:t>
            </w:r>
            <w:r w:rsidR="00F27386">
              <w:rPr>
                <w:noProof/>
                <w:webHidden/>
              </w:rPr>
              <w:fldChar w:fldCharType="end"/>
            </w:r>
          </w:hyperlink>
        </w:p>
        <w:p w:rsidR="00F27386" w:rsidRDefault="00137793">
          <w:pPr>
            <w:pStyle w:val="TOC3"/>
            <w:tabs>
              <w:tab w:val="right" w:leader="dot" w:pos="9016"/>
            </w:tabs>
            <w:rPr>
              <w:rFonts w:asciiTheme="minorHAnsi" w:eastAsiaTheme="minorEastAsia" w:hAnsiTheme="minorHAnsi" w:cstheme="minorBidi"/>
              <w:bCs w:val="0"/>
              <w:noProof/>
              <w:sz w:val="22"/>
              <w:szCs w:val="22"/>
              <w:lang w:eastAsia="en-GB"/>
            </w:rPr>
          </w:pPr>
          <w:hyperlink w:anchor="_Toc512592220" w:history="1">
            <w:r w:rsidR="00F27386" w:rsidRPr="007A4133">
              <w:rPr>
                <w:rStyle w:val="Hyperlink"/>
                <w:rFonts w:eastAsiaTheme="majorEastAsia" w:cs="Arial"/>
                <w:noProof/>
              </w:rPr>
              <w:t>2.1.1 Ethnicity</w:t>
            </w:r>
            <w:r w:rsidR="00F27386">
              <w:rPr>
                <w:noProof/>
                <w:webHidden/>
              </w:rPr>
              <w:tab/>
            </w:r>
            <w:r w:rsidR="00F27386">
              <w:rPr>
                <w:noProof/>
                <w:webHidden/>
              </w:rPr>
              <w:fldChar w:fldCharType="begin"/>
            </w:r>
            <w:r w:rsidR="00F27386">
              <w:rPr>
                <w:noProof/>
                <w:webHidden/>
              </w:rPr>
              <w:instrText xml:space="preserve"> PAGEREF _Toc512592220 \h </w:instrText>
            </w:r>
            <w:r w:rsidR="00F27386">
              <w:rPr>
                <w:noProof/>
                <w:webHidden/>
              </w:rPr>
            </w:r>
            <w:r w:rsidR="00F27386">
              <w:rPr>
                <w:noProof/>
                <w:webHidden/>
              </w:rPr>
              <w:fldChar w:fldCharType="separate"/>
            </w:r>
            <w:r w:rsidR="00F27386">
              <w:rPr>
                <w:noProof/>
                <w:webHidden/>
              </w:rPr>
              <w:t>5</w:t>
            </w:r>
            <w:r w:rsidR="00F27386">
              <w:rPr>
                <w:noProof/>
                <w:webHidden/>
              </w:rPr>
              <w:fldChar w:fldCharType="end"/>
            </w:r>
          </w:hyperlink>
        </w:p>
        <w:p w:rsidR="00F27386" w:rsidRDefault="00137793">
          <w:pPr>
            <w:pStyle w:val="TOC3"/>
            <w:tabs>
              <w:tab w:val="right" w:leader="dot" w:pos="9016"/>
            </w:tabs>
            <w:rPr>
              <w:rFonts w:asciiTheme="minorHAnsi" w:eastAsiaTheme="minorEastAsia" w:hAnsiTheme="minorHAnsi" w:cstheme="minorBidi"/>
              <w:bCs w:val="0"/>
              <w:noProof/>
              <w:sz w:val="22"/>
              <w:szCs w:val="22"/>
              <w:lang w:eastAsia="en-GB"/>
            </w:rPr>
          </w:pPr>
          <w:hyperlink w:anchor="_Toc512592221" w:history="1">
            <w:r w:rsidR="00F27386" w:rsidRPr="007A4133">
              <w:rPr>
                <w:rStyle w:val="Hyperlink"/>
                <w:rFonts w:eastAsiaTheme="majorEastAsia" w:cs="Arial"/>
                <w:noProof/>
                <w:lang w:val="en"/>
              </w:rPr>
              <w:t>2.1.2 Deprivation</w:t>
            </w:r>
            <w:r w:rsidR="00F27386">
              <w:rPr>
                <w:noProof/>
                <w:webHidden/>
              </w:rPr>
              <w:tab/>
            </w:r>
            <w:r w:rsidR="00F27386">
              <w:rPr>
                <w:noProof/>
                <w:webHidden/>
              </w:rPr>
              <w:fldChar w:fldCharType="begin"/>
            </w:r>
            <w:r w:rsidR="00F27386">
              <w:rPr>
                <w:noProof/>
                <w:webHidden/>
              </w:rPr>
              <w:instrText xml:space="preserve"> PAGEREF _Toc512592221 \h </w:instrText>
            </w:r>
            <w:r w:rsidR="00F27386">
              <w:rPr>
                <w:noProof/>
                <w:webHidden/>
              </w:rPr>
            </w:r>
            <w:r w:rsidR="00F27386">
              <w:rPr>
                <w:noProof/>
                <w:webHidden/>
              </w:rPr>
              <w:fldChar w:fldCharType="separate"/>
            </w:r>
            <w:r w:rsidR="00F27386">
              <w:rPr>
                <w:noProof/>
                <w:webHidden/>
              </w:rPr>
              <w:t>6</w:t>
            </w:r>
            <w:r w:rsidR="00F27386">
              <w:rPr>
                <w:noProof/>
                <w:webHidden/>
              </w:rPr>
              <w:fldChar w:fldCharType="end"/>
            </w:r>
          </w:hyperlink>
        </w:p>
        <w:p w:rsidR="00F27386" w:rsidRDefault="00137793">
          <w:pPr>
            <w:pStyle w:val="TOC2"/>
            <w:tabs>
              <w:tab w:val="left" w:pos="880"/>
              <w:tab w:val="right" w:leader="dot" w:pos="9016"/>
            </w:tabs>
            <w:rPr>
              <w:rFonts w:asciiTheme="minorHAnsi" w:eastAsiaTheme="minorEastAsia" w:hAnsiTheme="minorHAnsi" w:cstheme="minorBidi"/>
              <w:bCs w:val="0"/>
              <w:noProof/>
              <w:sz w:val="22"/>
              <w:szCs w:val="22"/>
              <w:lang w:eastAsia="en-GB"/>
            </w:rPr>
          </w:pPr>
          <w:hyperlink w:anchor="_Toc512592222" w:history="1">
            <w:r w:rsidR="00F27386" w:rsidRPr="007A4133">
              <w:rPr>
                <w:rStyle w:val="Hyperlink"/>
                <w:rFonts w:eastAsiaTheme="majorEastAsia" w:cs="Arial"/>
                <w:noProof/>
              </w:rPr>
              <w:t>2.2</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Medway Council population characteristics</w:t>
            </w:r>
            <w:r w:rsidR="00F27386">
              <w:rPr>
                <w:noProof/>
                <w:webHidden/>
              </w:rPr>
              <w:tab/>
            </w:r>
            <w:r w:rsidR="00F27386">
              <w:rPr>
                <w:noProof/>
                <w:webHidden/>
              </w:rPr>
              <w:fldChar w:fldCharType="begin"/>
            </w:r>
            <w:r w:rsidR="00F27386">
              <w:rPr>
                <w:noProof/>
                <w:webHidden/>
              </w:rPr>
              <w:instrText xml:space="preserve"> PAGEREF _Toc512592222 \h </w:instrText>
            </w:r>
            <w:r w:rsidR="00F27386">
              <w:rPr>
                <w:noProof/>
                <w:webHidden/>
              </w:rPr>
            </w:r>
            <w:r w:rsidR="00F27386">
              <w:rPr>
                <w:noProof/>
                <w:webHidden/>
              </w:rPr>
              <w:fldChar w:fldCharType="separate"/>
            </w:r>
            <w:r w:rsidR="00F27386">
              <w:rPr>
                <w:noProof/>
                <w:webHidden/>
              </w:rPr>
              <w:t>7</w:t>
            </w:r>
            <w:r w:rsidR="00F27386">
              <w:rPr>
                <w:noProof/>
                <w:webHidden/>
              </w:rPr>
              <w:fldChar w:fldCharType="end"/>
            </w:r>
          </w:hyperlink>
        </w:p>
        <w:p w:rsidR="00F27386" w:rsidRDefault="00137793">
          <w:pPr>
            <w:pStyle w:val="TOC2"/>
            <w:tabs>
              <w:tab w:val="right" w:leader="dot" w:pos="9016"/>
            </w:tabs>
            <w:rPr>
              <w:rFonts w:asciiTheme="minorHAnsi" w:eastAsiaTheme="minorEastAsia" w:hAnsiTheme="minorHAnsi" w:cstheme="minorBidi"/>
              <w:bCs w:val="0"/>
              <w:noProof/>
              <w:sz w:val="22"/>
              <w:szCs w:val="22"/>
              <w:lang w:eastAsia="en-GB"/>
            </w:rPr>
          </w:pPr>
          <w:hyperlink w:anchor="_Toc512592223" w:history="1">
            <w:r w:rsidR="00F27386" w:rsidRPr="007A4133">
              <w:rPr>
                <w:rStyle w:val="Hyperlink"/>
                <w:rFonts w:eastAsiaTheme="majorEastAsia" w:cs="Arial"/>
                <w:noProof/>
              </w:rPr>
              <w:t>2.3 Population projections for Kent and Medway</w:t>
            </w:r>
            <w:r w:rsidR="00F27386">
              <w:rPr>
                <w:noProof/>
                <w:webHidden/>
              </w:rPr>
              <w:tab/>
            </w:r>
            <w:r w:rsidR="00F27386">
              <w:rPr>
                <w:noProof/>
                <w:webHidden/>
              </w:rPr>
              <w:fldChar w:fldCharType="begin"/>
            </w:r>
            <w:r w:rsidR="00F27386">
              <w:rPr>
                <w:noProof/>
                <w:webHidden/>
              </w:rPr>
              <w:instrText xml:space="preserve"> PAGEREF _Toc512592223 \h </w:instrText>
            </w:r>
            <w:r w:rsidR="00F27386">
              <w:rPr>
                <w:noProof/>
                <w:webHidden/>
              </w:rPr>
            </w:r>
            <w:r w:rsidR="00F27386">
              <w:rPr>
                <w:noProof/>
                <w:webHidden/>
              </w:rPr>
              <w:fldChar w:fldCharType="separate"/>
            </w:r>
            <w:r w:rsidR="00F27386">
              <w:rPr>
                <w:noProof/>
                <w:webHidden/>
              </w:rPr>
              <w:t>8</w:t>
            </w:r>
            <w:r w:rsidR="00F27386">
              <w:rPr>
                <w:noProof/>
                <w:webHidden/>
              </w:rPr>
              <w:fldChar w:fldCharType="end"/>
            </w:r>
          </w:hyperlink>
        </w:p>
        <w:p w:rsidR="00F27386" w:rsidRDefault="00137793">
          <w:pPr>
            <w:pStyle w:val="TOC1"/>
            <w:tabs>
              <w:tab w:val="left" w:pos="480"/>
            </w:tabs>
            <w:rPr>
              <w:rFonts w:asciiTheme="minorHAnsi" w:eastAsiaTheme="minorEastAsia" w:hAnsiTheme="minorHAnsi" w:cstheme="minorBidi"/>
              <w:bCs w:val="0"/>
              <w:noProof/>
              <w:sz w:val="22"/>
              <w:szCs w:val="22"/>
              <w:lang w:eastAsia="en-GB"/>
            </w:rPr>
          </w:pPr>
          <w:hyperlink w:anchor="_Toc512592224" w:history="1">
            <w:r w:rsidR="00F27386" w:rsidRPr="007A4133">
              <w:rPr>
                <w:rStyle w:val="Hyperlink"/>
                <w:rFonts w:eastAsiaTheme="majorEastAsia" w:cs="Arial"/>
                <w:noProof/>
              </w:rPr>
              <w:t>3.</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Diabetic Population in Kent and Medway</w:t>
            </w:r>
            <w:r w:rsidR="00F27386">
              <w:rPr>
                <w:noProof/>
                <w:webHidden/>
              </w:rPr>
              <w:tab/>
            </w:r>
            <w:r w:rsidR="00F27386">
              <w:rPr>
                <w:noProof/>
                <w:webHidden/>
              </w:rPr>
              <w:fldChar w:fldCharType="begin"/>
            </w:r>
            <w:r w:rsidR="00F27386">
              <w:rPr>
                <w:noProof/>
                <w:webHidden/>
              </w:rPr>
              <w:instrText xml:space="preserve"> PAGEREF _Toc512592224 \h </w:instrText>
            </w:r>
            <w:r w:rsidR="00F27386">
              <w:rPr>
                <w:noProof/>
                <w:webHidden/>
              </w:rPr>
            </w:r>
            <w:r w:rsidR="00F27386">
              <w:rPr>
                <w:noProof/>
                <w:webHidden/>
              </w:rPr>
              <w:fldChar w:fldCharType="separate"/>
            </w:r>
            <w:r w:rsidR="00F27386">
              <w:rPr>
                <w:noProof/>
                <w:webHidden/>
              </w:rPr>
              <w:t>8</w:t>
            </w:r>
            <w:r w:rsidR="00F27386">
              <w:rPr>
                <w:noProof/>
                <w:webHidden/>
              </w:rPr>
              <w:fldChar w:fldCharType="end"/>
            </w:r>
          </w:hyperlink>
        </w:p>
        <w:p w:rsidR="00F27386" w:rsidRDefault="00137793">
          <w:pPr>
            <w:pStyle w:val="TOC2"/>
            <w:tabs>
              <w:tab w:val="left" w:pos="880"/>
              <w:tab w:val="right" w:leader="dot" w:pos="9016"/>
            </w:tabs>
            <w:rPr>
              <w:rFonts w:asciiTheme="minorHAnsi" w:eastAsiaTheme="minorEastAsia" w:hAnsiTheme="minorHAnsi" w:cstheme="minorBidi"/>
              <w:bCs w:val="0"/>
              <w:noProof/>
              <w:sz w:val="22"/>
              <w:szCs w:val="22"/>
              <w:lang w:eastAsia="en-GB"/>
            </w:rPr>
          </w:pPr>
          <w:hyperlink w:anchor="_Toc512592225" w:history="1">
            <w:r w:rsidR="00F27386" w:rsidRPr="007A4133">
              <w:rPr>
                <w:rStyle w:val="Hyperlink"/>
                <w:rFonts w:eastAsiaTheme="majorEastAsia" w:cs="Arial"/>
                <w:noProof/>
              </w:rPr>
              <w:t>3.1</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Other Groups</w:t>
            </w:r>
            <w:r w:rsidR="00F27386">
              <w:rPr>
                <w:noProof/>
                <w:webHidden/>
              </w:rPr>
              <w:tab/>
            </w:r>
            <w:r w:rsidR="00F27386">
              <w:rPr>
                <w:noProof/>
                <w:webHidden/>
              </w:rPr>
              <w:fldChar w:fldCharType="begin"/>
            </w:r>
            <w:r w:rsidR="00F27386">
              <w:rPr>
                <w:noProof/>
                <w:webHidden/>
              </w:rPr>
              <w:instrText xml:space="preserve"> PAGEREF _Toc512592225 \h </w:instrText>
            </w:r>
            <w:r w:rsidR="00F27386">
              <w:rPr>
                <w:noProof/>
                <w:webHidden/>
              </w:rPr>
            </w:r>
            <w:r w:rsidR="00F27386">
              <w:rPr>
                <w:noProof/>
                <w:webHidden/>
              </w:rPr>
              <w:fldChar w:fldCharType="separate"/>
            </w:r>
            <w:r w:rsidR="00F27386">
              <w:rPr>
                <w:noProof/>
                <w:webHidden/>
              </w:rPr>
              <w:t>9</w:t>
            </w:r>
            <w:r w:rsidR="00F27386">
              <w:rPr>
                <w:noProof/>
                <w:webHidden/>
              </w:rPr>
              <w:fldChar w:fldCharType="end"/>
            </w:r>
          </w:hyperlink>
        </w:p>
        <w:p w:rsidR="00F27386" w:rsidRDefault="00137793">
          <w:pPr>
            <w:pStyle w:val="TOC3"/>
            <w:tabs>
              <w:tab w:val="left" w:pos="1320"/>
              <w:tab w:val="right" w:leader="dot" w:pos="9016"/>
            </w:tabs>
            <w:rPr>
              <w:rFonts w:asciiTheme="minorHAnsi" w:eastAsiaTheme="minorEastAsia" w:hAnsiTheme="minorHAnsi" w:cstheme="minorBidi"/>
              <w:bCs w:val="0"/>
              <w:noProof/>
              <w:sz w:val="22"/>
              <w:szCs w:val="22"/>
              <w:lang w:eastAsia="en-GB"/>
            </w:rPr>
          </w:pPr>
          <w:hyperlink w:anchor="_Toc512592226" w:history="1">
            <w:r w:rsidR="00F27386" w:rsidRPr="007A4133">
              <w:rPr>
                <w:rStyle w:val="Hyperlink"/>
                <w:rFonts w:eastAsiaTheme="majorEastAsia" w:cs="Arial"/>
                <w:noProof/>
              </w:rPr>
              <w:t>3.1.1</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Prisons</w:t>
            </w:r>
            <w:r w:rsidR="00F27386">
              <w:rPr>
                <w:noProof/>
                <w:webHidden/>
              </w:rPr>
              <w:tab/>
            </w:r>
            <w:r w:rsidR="00F27386">
              <w:rPr>
                <w:noProof/>
                <w:webHidden/>
              </w:rPr>
              <w:fldChar w:fldCharType="begin"/>
            </w:r>
            <w:r w:rsidR="00F27386">
              <w:rPr>
                <w:noProof/>
                <w:webHidden/>
              </w:rPr>
              <w:instrText xml:space="preserve"> PAGEREF _Toc512592226 \h </w:instrText>
            </w:r>
            <w:r w:rsidR="00F27386">
              <w:rPr>
                <w:noProof/>
                <w:webHidden/>
              </w:rPr>
            </w:r>
            <w:r w:rsidR="00F27386">
              <w:rPr>
                <w:noProof/>
                <w:webHidden/>
              </w:rPr>
              <w:fldChar w:fldCharType="separate"/>
            </w:r>
            <w:r w:rsidR="00F27386">
              <w:rPr>
                <w:noProof/>
                <w:webHidden/>
              </w:rPr>
              <w:t>9</w:t>
            </w:r>
            <w:r w:rsidR="00F27386">
              <w:rPr>
                <w:noProof/>
                <w:webHidden/>
              </w:rPr>
              <w:fldChar w:fldCharType="end"/>
            </w:r>
          </w:hyperlink>
        </w:p>
        <w:p w:rsidR="00F27386" w:rsidRDefault="00137793">
          <w:pPr>
            <w:pStyle w:val="TOC3"/>
            <w:tabs>
              <w:tab w:val="left" w:pos="1320"/>
              <w:tab w:val="right" w:leader="dot" w:pos="9016"/>
            </w:tabs>
            <w:rPr>
              <w:rFonts w:asciiTheme="minorHAnsi" w:eastAsiaTheme="minorEastAsia" w:hAnsiTheme="minorHAnsi" w:cstheme="minorBidi"/>
              <w:bCs w:val="0"/>
              <w:noProof/>
              <w:sz w:val="22"/>
              <w:szCs w:val="22"/>
              <w:lang w:eastAsia="en-GB"/>
            </w:rPr>
          </w:pPr>
          <w:hyperlink w:anchor="_Toc512592227" w:history="1">
            <w:r w:rsidR="00F27386" w:rsidRPr="007A4133">
              <w:rPr>
                <w:rStyle w:val="Hyperlink"/>
                <w:rFonts w:eastAsiaTheme="majorEastAsia" w:cs="Arial"/>
                <w:noProof/>
              </w:rPr>
              <w:t>3.1.2</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Secure Mental Health Units</w:t>
            </w:r>
            <w:r w:rsidR="00F27386">
              <w:rPr>
                <w:noProof/>
                <w:webHidden/>
              </w:rPr>
              <w:tab/>
            </w:r>
            <w:r w:rsidR="00F27386">
              <w:rPr>
                <w:noProof/>
                <w:webHidden/>
              </w:rPr>
              <w:fldChar w:fldCharType="begin"/>
            </w:r>
            <w:r w:rsidR="00F27386">
              <w:rPr>
                <w:noProof/>
                <w:webHidden/>
              </w:rPr>
              <w:instrText xml:space="preserve"> PAGEREF _Toc512592227 \h </w:instrText>
            </w:r>
            <w:r w:rsidR="00F27386">
              <w:rPr>
                <w:noProof/>
                <w:webHidden/>
              </w:rPr>
            </w:r>
            <w:r w:rsidR="00F27386">
              <w:rPr>
                <w:noProof/>
                <w:webHidden/>
              </w:rPr>
              <w:fldChar w:fldCharType="separate"/>
            </w:r>
            <w:r w:rsidR="00F27386">
              <w:rPr>
                <w:noProof/>
                <w:webHidden/>
              </w:rPr>
              <w:t>9</w:t>
            </w:r>
            <w:r w:rsidR="00F27386">
              <w:rPr>
                <w:noProof/>
                <w:webHidden/>
              </w:rPr>
              <w:fldChar w:fldCharType="end"/>
            </w:r>
          </w:hyperlink>
        </w:p>
        <w:p w:rsidR="00F27386" w:rsidRDefault="00137793">
          <w:pPr>
            <w:pStyle w:val="TOC3"/>
            <w:tabs>
              <w:tab w:val="left" w:pos="1320"/>
              <w:tab w:val="right" w:leader="dot" w:pos="9016"/>
            </w:tabs>
            <w:rPr>
              <w:rFonts w:asciiTheme="minorHAnsi" w:eastAsiaTheme="minorEastAsia" w:hAnsiTheme="minorHAnsi" w:cstheme="minorBidi"/>
              <w:bCs w:val="0"/>
              <w:noProof/>
              <w:sz w:val="22"/>
              <w:szCs w:val="22"/>
              <w:lang w:eastAsia="en-GB"/>
            </w:rPr>
          </w:pPr>
          <w:hyperlink w:anchor="_Toc512592228" w:history="1">
            <w:r w:rsidR="00F27386" w:rsidRPr="007A4133">
              <w:rPr>
                <w:rStyle w:val="Hyperlink"/>
                <w:rFonts w:eastAsiaTheme="majorEastAsia" w:cs="Arial"/>
                <w:noProof/>
              </w:rPr>
              <w:t>3.1.3</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Armed Forces</w:t>
            </w:r>
            <w:r w:rsidR="00F27386">
              <w:rPr>
                <w:noProof/>
                <w:webHidden/>
              </w:rPr>
              <w:tab/>
            </w:r>
            <w:r w:rsidR="00F27386">
              <w:rPr>
                <w:noProof/>
                <w:webHidden/>
              </w:rPr>
              <w:fldChar w:fldCharType="begin"/>
            </w:r>
            <w:r w:rsidR="00F27386">
              <w:rPr>
                <w:noProof/>
                <w:webHidden/>
              </w:rPr>
              <w:instrText xml:space="preserve"> PAGEREF _Toc512592228 \h </w:instrText>
            </w:r>
            <w:r w:rsidR="00F27386">
              <w:rPr>
                <w:noProof/>
                <w:webHidden/>
              </w:rPr>
            </w:r>
            <w:r w:rsidR="00F27386">
              <w:rPr>
                <w:noProof/>
                <w:webHidden/>
              </w:rPr>
              <w:fldChar w:fldCharType="separate"/>
            </w:r>
            <w:r w:rsidR="00F27386">
              <w:rPr>
                <w:noProof/>
                <w:webHidden/>
              </w:rPr>
              <w:t>9</w:t>
            </w:r>
            <w:r w:rsidR="00F27386">
              <w:rPr>
                <w:noProof/>
                <w:webHidden/>
              </w:rPr>
              <w:fldChar w:fldCharType="end"/>
            </w:r>
          </w:hyperlink>
        </w:p>
        <w:p w:rsidR="00F27386" w:rsidRDefault="00137793">
          <w:pPr>
            <w:pStyle w:val="TOC1"/>
            <w:tabs>
              <w:tab w:val="left" w:pos="480"/>
            </w:tabs>
            <w:rPr>
              <w:rFonts w:asciiTheme="minorHAnsi" w:eastAsiaTheme="minorEastAsia" w:hAnsiTheme="minorHAnsi" w:cstheme="minorBidi"/>
              <w:bCs w:val="0"/>
              <w:noProof/>
              <w:sz w:val="22"/>
              <w:szCs w:val="22"/>
              <w:lang w:eastAsia="en-GB"/>
            </w:rPr>
          </w:pPr>
          <w:hyperlink w:anchor="_Toc512592229" w:history="1">
            <w:r w:rsidR="00F27386" w:rsidRPr="007A4133">
              <w:rPr>
                <w:rStyle w:val="Hyperlink"/>
                <w:rFonts w:eastAsiaTheme="majorEastAsia" w:cs="Arial"/>
                <w:noProof/>
              </w:rPr>
              <w:t>4.</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Current Pathway, Service Provision and Delivery Model</w:t>
            </w:r>
            <w:r w:rsidR="00F27386">
              <w:rPr>
                <w:noProof/>
                <w:webHidden/>
              </w:rPr>
              <w:tab/>
            </w:r>
            <w:r w:rsidR="00F27386">
              <w:rPr>
                <w:noProof/>
                <w:webHidden/>
              </w:rPr>
              <w:fldChar w:fldCharType="begin"/>
            </w:r>
            <w:r w:rsidR="00F27386">
              <w:rPr>
                <w:noProof/>
                <w:webHidden/>
              </w:rPr>
              <w:instrText xml:space="preserve"> PAGEREF _Toc512592229 \h </w:instrText>
            </w:r>
            <w:r w:rsidR="00F27386">
              <w:rPr>
                <w:noProof/>
                <w:webHidden/>
              </w:rPr>
            </w:r>
            <w:r w:rsidR="00F27386">
              <w:rPr>
                <w:noProof/>
                <w:webHidden/>
              </w:rPr>
              <w:fldChar w:fldCharType="separate"/>
            </w:r>
            <w:r w:rsidR="00F27386">
              <w:rPr>
                <w:noProof/>
                <w:webHidden/>
              </w:rPr>
              <w:t>10</w:t>
            </w:r>
            <w:r w:rsidR="00F27386">
              <w:rPr>
                <w:noProof/>
                <w:webHidden/>
              </w:rPr>
              <w:fldChar w:fldCharType="end"/>
            </w:r>
          </w:hyperlink>
        </w:p>
        <w:p w:rsidR="00F27386" w:rsidRDefault="00137793">
          <w:pPr>
            <w:pStyle w:val="TOC2"/>
            <w:tabs>
              <w:tab w:val="left" w:pos="880"/>
              <w:tab w:val="right" w:leader="dot" w:pos="9016"/>
            </w:tabs>
            <w:rPr>
              <w:rFonts w:asciiTheme="minorHAnsi" w:eastAsiaTheme="minorEastAsia" w:hAnsiTheme="minorHAnsi" w:cstheme="minorBidi"/>
              <w:bCs w:val="0"/>
              <w:noProof/>
              <w:sz w:val="22"/>
              <w:szCs w:val="22"/>
              <w:lang w:eastAsia="en-GB"/>
            </w:rPr>
          </w:pPr>
          <w:hyperlink w:anchor="_Toc512592230" w:history="1">
            <w:r w:rsidR="00F27386" w:rsidRPr="007A4133">
              <w:rPr>
                <w:rStyle w:val="Hyperlink"/>
                <w:rFonts w:eastAsiaTheme="majorEastAsia" w:cs="Arial"/>
                <w:noProof/>
              </w:rPr>
              <w:t>4.1</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Routine Digital Screening</w:t>
            </w:r>
            <w:r w:rsidR="00F27386">
              <w:rPr>
                <w:noProof/>
                <w:webHidden/>
              </w:rPr>
              <w:tab/>
            </w:r>
            <w:r w:rsidR="00F27386">
              <w:rPr>
                <w:noProof/>
                <w:webHidden/>
              </w:rPr>
              <w:fldChar w:fldCharType="begin"/>
            </w:r>
            <w:r w:rsidR="00F27386">
              <w:rPr>
                <w:noProof/>
                <w:webHidden/>
              </w:rPr>
              <w:instrText xml:space="preserve"> PAGEREF _Toc512592230 \h </w:instrText>
            </w:r>
            <w:r w:rsidR="00F27386">
              <w:rPr>
                <w:noProof/>
                <w:webHidden/>
              </w:rPr>
            </w:r>
            <w:r w:rsidR="00F27386">
              <w:rPr>
                <w:noProof/>
                <w:webHidden/>
              </w:rPr>
              <w:fldChar w:fldCharType="separate"/>
            </w:r>
            <w:r w:rsidR="00F27386">
              <w:rPr>
                <w:noProof/>
                <w:webHidden/>
              </w:rPr>
              <w:t>10</w:t>
            </w:r>
            <w:r w:rsidR="00F27386">
              <w:rPr>
                <w:noProof/>
                <w:webHidden/>
              </w:rPr>
              <w:fldChar w:fldCharType="end"/>
            </w:r>
          </w:hyperlink>
        </w:p>
        <w:p w:rsidR="00F27386" w:rsidRDefault="00137793">
          <w:pPr>
            <w:pStyle w:val="TOC2"/>
            <w:tabs>
              <w:tab w:val="left" w:pos="880"/>
              <w:tab w:val="right" w:leader="dot" w:pos="9016"/>
            </w:tabs>
            <w:rPr>
              <w:rFonts w:asciiTheme="minorHAnsi" w:eastAsiaTheme="minorEastAsia" w:hAnsiTheme="minorHAnsi" w:cstheme="minorBidi"/>
              <w:bCs w:val="0"/>
              <w:noProof/>
              <w:sz w:val="22"/>
              <w:szCs w:val="22"/>
              <w:lang w:eastAsia="en-GB"/>
            </w:rPr>
          </w:pPr>
          <w:hyperlink w:anchor="_Toc512592231" w:history="1">
            <w:r w:rsidR="00F27386" w:rsidRPr="007A4133">
              <w:rPr>
                <w:rStyle w:val="Hyperlink"/>
                <w:rFonts w:eastAsiaTheme="majorEastAsia" w:cs="Arial"/>
                <w:noProof/>
              </w:rPr>
              <w:t>4.2</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Digital Surveillance (DS)</w:t>
            </w:r>
            <w:r w:rsidR="00F27386">
              <w:rPr>
                <w:noProof/>
                <w:webHidden/>
              </w:rPr>
              <w:tab/>
            </w:r>
            <w:r w:rsidR="00F27386">
              <w:rPr>
                <w:noProof/>
                <w:webHidden/>
              </w:rPr>
              <w:fldChar w:fldCharType="begin"/>
            </w:r>
            <w:r w:rsidR="00F27386">
              <w:rPr>
                <w:noProof/>
                <w:webHidden/>
              </w:rPr>
              <w:instrText xml:space="preserve"> PAGEREF _Toc512592231 \h </w:instrText>
            </w:r>
            <w:r w:rsidR="00F27386">
              <w:rPr>
                <w:noProof/>
                <w:webHidden/>
              </w:rPr>
            </w:r>
            <w:r w:rsidR="00F27386">
              <w:rPr>
                <w:noProof/>
                <w:webHidden/>
              </w:rPr>
              <w:fldChar w:fldCharType="separate"/>
            </w:r>
            <w:r w:rsidR="00F27386">
              <w:rPr>
                <w:noProof/>
                <w:webHidden/>
              </w:rPr>
              <w:t>10</w:t>
            </w:r>
            <w:r w:rsidR="00F27386">
              <w:rPr>
                <w:noProof/>
                <w:webHidden/>
              </w:rPr>
              <w:fldChar w:fldCharType="end"/>
            </w:r>
          </w:hyperlink>
        </w:p>
        <w:p w:rsidR="00F27386" w:rsidRDefault="00137793">
          <w:pPr>
            <w:pStyle w:val="TOC2"/>
            <w:tabs>
              <w:tab w:val="left" w:pos="880"/>
              <w:tab w:val="right" w:leader="dot" w:pos="9016"/>
            </w:tabs>
            <w:rPr>
              <w:rFonts w:asciiTheme="minorHAnsi" w:eastAsiaTheme="minorEastAsia" w:hAnsiTheme="minorHAnsi" w:cstheme="minorBidi"/>
              <w:bCs w:val="0"/>
              <w:noProof/>
              <w:sz w:val="22"/>
              <w:szCs w:val="22"/>
              <w:lang w:eastAsia="en-GB"/>
            </w:rPr>
          </w:pPr>
          <w:hyperlink w:anchor="_Toc512592232" w:history="1">
            <w:r w:rsidR="00F27386" w:rsidRPr="007A4133">
              <w:rPr>
                <w:rStyle w:val="Hyperlink"/>
                <w:rFonts w:eastAsiaTheme="majorEastAsia" w:cs="Arial"/>
                <w:noProof/>
              </w:rPr>
              <w:t>4.3</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Slit Lamp Biomicroscopy (SLB)</w:t>
            </w:r>
            <w:r w:rsidR="00F27386">
              <w:rPr>
                <w:noProof/>
                <w:webHidden/>
              </w:rPr>
              <w:tab/>
            </w:r>
            <w:r w:rsidR="00F27386">
              <w:rPr>
                <w:noProof/>
                <w:webHidden/>
              </w:rPr>
              <w:fldChar w:fldCharType="begin"/>
            </w:r>
            <w:r w:rsidR="00F27386">
              <w:rPr>
                <w:noProof/>
                <w:webHidden/>
              </w:rPr>
              <w:instrText xml:space="preserve"> PAGEREF _Toc512592232 \h </w:instrText>
            </w:r>
            <w:r w:rsidR="00F27386">
              <w:rPr>
                <w:noProof/>
                <w:webHidden/>
              </w:rPr>
            </w:r>
            <w:r w:rsidR="00F27386">
              <w:rPr>
                <w:noProof/>
                <w:webHidden/>
              </w:rPr>
              <w:fldChar w:fldCharType="separate"/>
            </w:r>
            <w:r w:rsidR="00F27386">
              <w:rPr>
                <w:noProof/>
                <w:webHidden/>
              </w:rPr>
              <w:t>10</w:t>
            </w:r>
            <w:r w:rsidR="00F27386">
              <w:rPr>
                <w:noProof/>
                <w:webHidden/>
              </w:rPr>
              <w:fldChar w:fldCharType="end"/>
            </w:r>
          </w:hyperlink>
        </w:p>
        <w:p w:rsidR="00F27386" w:rsidRDefault="00137793">
          <w:pPr>
            <w:pStyle w:val="TOC2"/>
            <w:tabs>
              <w:tab w:val="left" w:pos="880"/>
              <w:tab w:val="right" w:leader="dot" w:pos="9016"/>
            </w:tabs>
            <w:rPr>
              <w:rFonts w:asciiTheme="minorHAnsi" w:eastAsiaTheme="minorEastAsia" w:hAnsiTheme="minorHAnsi" w:cstheme="minorBidi"/>
              <w:bCs w:val="0"/>
              <w:noProof/>
              <w:sz w:val="22"/>
              <w:szCs w:val="22"/>
              <w:lang w:eastAsia="en-GB"/>
            </w:rPr>
          </w:pPr>
          <w:hyperlink w:anchor="_Toc512592233" w:history="1">
            <w:r w:rsidR="00F27386" w:rsidRPr="007A4133">
              <w:rPr>
                <w:rStyle w:val="Hyperlink"/>
                <w:rFonts w:eastAsiaTheme="majorEastAsia" w:cs="Arial"/>
                <w:noProof/>
              </w:rPr>
              <w:t>4.4</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Optical Coherence Tomography (OCT)</w:t>
            </w:r>
            <w:r w:rsidR="00F27386">
              <w:rPr>
                <w:noProof/>
                <w:webHidden/>
              </w:rPr>
              <w:tab/>
            </w:r>
            <w:r w:rsidR="00F27386">
              <w:rPr>
                <w:noProof/>
                <w:webHidden/>
              </w:rPr>
              <w:fldChar w:fldCharType="begin"/>
            </w:r>
            <w:r w:rsidR="00F27386">
              <w:rPr>
                <w:noProof/>
                <w:webHidden/>
              </w:rPr>
              <w:instrText xml:space="preserve"> PAGEREF _Toc512592233 \h </w:instrText>
            </w:r>
            <w:r w:rsidR="00F27386">
              <w:rPr>
                <w:noProof/>
                <w:webHidden/>
              </w:rPr>
            </w:r>
            <w:r w:rsidR="00F27386">
              <w:rPr>
                <w:noProof/>
                <w:webHidden/>
              </w:rPr>
              <w:fldChar w:fldCharType="separate"/>
            </w:r>
            <w:r w:rsidR="00F27386">
              <w:rPr>
                <w:noProof/>
                <w:webHidden/>
              </w:rPr>
              <w:t>10</w:t>
            </w:r>
            <w:r w:rsidR="00F27386">
              <w:rPr>
                <w:noProof/>
                <w:webHidden/>
              </w:rPr>
              <w:fldChar w:fldCharType="end"/>
            </w:r>
          </w:hyperlink>
        </w:p>
        <w:p w:rsidR="00F27386" w:rsidRDefault="00137793">
          <w:pPr>
            <w:pStyle w:val="TOC2"/>
            <w:tabs>
              <w:tab w:val="left" w:pos="880"/>
              <w:tab w:val="right" w:leader="dot" w:pos="9016"/>
            </w:tabs>
            <w:rPr>
              <w:rFonts w:asciiTheme="minorHAnsi" w:eastAsiaTheme="minorEastAsia" w:hAnsiTheme="minorHAnsi" w:cstheme="minorBidi"/>
              <w:bCs w:val="0"/>
              <w:noProof/>
              <w:sz w:val="22"/>
              <w:szCs w:val="22"/>
              <w:lang w:eastAsia="en-GB"/>
            </w:rPr>
          </w:pPr>
          <w:hyperlink w:anchor="_Toc512592234" w:history="1">
            <w:r w:rsidR="00F27386" w:rsidRPr="007A4133">
              <w:rPr>
                <w:rStyle w:val="Hyperlink"/>
                <w:rFonts w:eastAsiaTheme="majorEastAsia" w:cs="Arial"/>
                <w:noProof/>
              </w:rPr>
              <w:t>4.5</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Hospital Eye Services (HESs)</w:t>
            </w:r>
            <w:r w:rsidR="00F27386">
              <w:rPr>
                <w:noProof/>
                <w:webHidden/>
              </w:rPr>
              <w:tab/>
            </w:r>
            <w:r w:rsidR="00F27386">
              <w:rPr>
                <w:noProof/>
                <w:webHidden/>
              </w:rPr>
              <w:fldChar w:fldCharType="begin"/>
            </w:r>
            <w:r w:rsidR="00F27386">
              <w:rPr>
                <w:noProof/>
                <w:webHidden/>
              </w:rPr>
              <w:instrText xml:space="preserve"> PAGEREF _Toc512592234 \h </w:instrText>
            </w:r>
            <w:r w:rsidR="00F27386">
              <w:rPr>
                <w:noProof/>
                <w:webHidden/>
              </w:rPr>
            </w:r>
            <w:r w:rsidR="00F27386">
              <w:rPr>
                <w:noProof/>
                <w:webHidden/>
              </w:rPr>
              <w:fldChar w:fldCharType="separate"/>
            </w:r>
            <w:r w:rsidR="00F27386">
              <w:rPr>
                <w:noProof/>
                <w:webHidden/>
              </w:rPr>
              <w:t>11</w:t>
            </w:r>
            <w:r w:rsidR="00F27386">
              <w:rPr>
                <w:noProof/>
                <w:webHidden/>
              </w:rPr>
              <w:fldChar w:fldCharType="end"/>
            </w:r>
          </w:hyperlink>
        </w:p>
        <w:p w:rsidR="00F27386" w:rsidRDefault="00137793">
          <w:pPr>
            <w:pStyle w:val="TOC2"/>
            <w:tabs>
              <w:tab w:val="left" w:pos="880"/>
              <w:tab w:val="right" w:leader="dot" w:pos="9016"/>
            </w:tabs>
            <w:rPr>
              <w:rFonts w:asciiTheme="minorHAnsi" w:eastAsiaTheme="minorEastAsia" w:hAnsiTheme="minorHAnsi" w:cstheme="minorBidi"/>
              <w:bCs w:val="0"/>
              <w:noProof/>
              <w:sz w:val="22"/>
              <w:szCs w:val="22"/>
              <w:lang w:eastAsia="en-GB"/>
            </w:rPr>
          </w:pPr>
          <w:hyperlink w:anchor="_Toc512592235" w:history="1">
            <w:r w:rsidR="00F27386" w:rsidRPr="007A4133">
              <w:rPr>
                <w:rStyle w:val="Hyperlink"/>
                <w:rFonts w:eastAsiaTheme="majorEastAsia" w:cs="Arial"/>
                <w:noProof/>
              </w:rPr>
              <w:t>4.6</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Model of service delivery</w:t>
            </w:r>
            <w:r w:rsidR="00F27386">
              <w:rPr>
                <w:noProof/>
                <w:webHidden/>
              </w:rPr>
              <w:tab/>
            </w:r>
            <w:r w:rsidR="00F27386">
              <w:rPr>
                <w:noProof/>
                <w:webHidden/>
              </w:rPr>
              <w:fldChar w:fldCharType="begin"/>
            </w:r>
            <w:r w:rsidR="00F27386">
              <w:rPr>
                <w:noProof/>
                <w:webHidden/>
              </w:rPr>
              <w:instrText xml:space="preserve"> PAGEREF _Toc512592235 \h </w:instrText>
            </w:r>
            <w:r w:rsidR="00F27386">
              <w:rPr>
                <w:noProof/>
                <w:webHidden/>
              </w:rPr>
            </w:r>
            <w:r w:rsidR="00F27386">
              <w:rPr>
                <w:noProof/>
                <w:webHidden/>
              </w:rPr>
              <w:fldChar w:fldCharType="separate"/>
            </w:r>
            <w:r w:rsidR="00F27386">
              <w:rPr>
                <w:noProof/>
                <w:webHidden/>
              </w:rPr>
              <w:t>11</w:t>
            </w:r>
            <w:r w:rsidR="00F27386">
              <w:rPr>
                <w:noProof/>
                <w:webHidden/>
              </w:rPr>
              <w:fldChar w:fldCharType="end"/>
            </w:r>
          </w:hyperlink>
        </w:p>
        <w:p w:rsidR="00F27386" w:rsidRDefault="00137793">
          <w:pPr>
            <w:pStyle w:val="TOC1"/>
            <w:tabs>
              <w:tab w:val="left" w:pos="480"/>
            </w:tabs>
            <w:rPr>
              <w:rFonts w:asciiTheme="minorHAnsi" w:eastAsiaTheme="minorEastAsia" w:hAnsiTheme="minorHAnsi" w:cstheme="minorBidi"/>
              <w:bCs w:val="0"/>
              <w:noProof/>
              <w:sz w:val="22"/>
              <w:szCs w:val="22"/>
              <w:lang w:eastAsia="en-GB"/>
            </w:rPr>
          </w:pPr>
          <w:hyperlink w:anchor="_Toc512592236" w:history="1">
            <w:r w:rsidR="00F27386" w:rsidRPr="007A4133">
              <w:rPr>
                <w:rStyle w:val="Hyperlink"/>
                <w:rFonts w:eastAsiaTheme="majorEastAsia" w:cs="Arial"/>
                <w:noProof/>
              </w:rPr>
              <w:t>5.</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Performance against National Standards</w:t>
            </w:r>
            <w:r w:rsidR="00F27386">
              <w:rPr>
                <w:noProof/>
                <w:webHidden/>
              </w:rPr>
              <w:tab/>
            </w:r>
            <w:r w:rsidR="00F27386">
              <w:rPr>
                <w:noProof/>
                <w:webHidden/>
              </w:rPr>
              <w:fldChar w:fldCharType="begin"/>
            </w:r>
            <w:r w:rsidR="00F27386">
              <w:rPr>
                <w:noProof/>
                <w:webHidden/>
              </w:rPr>
              <w:instrText xml:space="preserve"> PAGEREF _Toc512592236 \h </w:instrText>
            </w:r>
            <w:r w:rsidR="00F27386">
              <w:rPr>
                <w:noProof/>
                <w:webHidden/>
              </w:rPr>
            </w:r>
            <w:r w:rsidR="00F27386">
              <w:rPr>
                <w:noProof/>
                <w:webHidden/>
              </w:rPr>
              <w:fldChar w:fldCharType="separate"/>
            </w:r>
            <w:r w:rsidR="00F27386">
              <w:rPr>
                <w:noProof/>
                <w:webHidden/>
              </w:rPr>
              <w:t>11</w:t>
            </w:r>
            <w:r w:rsidR="00F27386">
              <w:rPr>
                <w:noProof/>
                <w:webHidden/>
              </w:rPr>
              <w:fldChar w:fldCharType="end"/>
            </w:r>
          </w:hyperlink>
        </w:p>
        <w:p w:rsidR="00F27386" w:rsidRDefault="00137793">
          <w:pPr>
            <w:pStyle w:val="TOC2"/>
            <w:tabs>
              <w:tab w:val="left" w:pos="880"/>
              <w:tab w:val="right" w:leader="dot" w:pos="9016"/>
            </w:tabs>
            <w:rPr>
              <w:rFonts w:asciiTheme="minorHAnsi" w:eastAsiaTheme="minorEastAsia" w:hAnsiTheme="minorHAnsi" w:cstheme="minorBidi"/>
              <w:bCs w:val="0"/>
              <w:noProof/>
              <w:sz w:val="22"/>
              <w:szCs w:val="22"/>
              <w:lang w:eastAsia="en-GB"/>
            </w:rPr>
          </w:pPr>
          <w:hyperlink w:anchor="_Toc512592237" w:history="1">
            <w:r w:rsidR="00F27386" w:rsidRPr="007A4133">
              <w:rPr>
                <w:rStyle w:val="Hyperlink"/>
                <w:rFonts w:eastAsiaTheme="majorEastAsia" w:cs="Arial"/>
                <w:noProof/>
              </w:rPr>
              <w:t>5.1</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Key Performance Indicators</w:t>
            </w:r>
            <w:r w:rsidR="00F27386">
              <w:rPr>
                <w:noProof/>
                <w:webHidden/>
              </w:rPr>
              <w:tab/>
            </w:r>
            <w:r w:rsidR="00F27386">
              <w:rPr>
                <w:noProof/>
                <w:webHidden/>
              </w:rPr>
              <w:fldChar w:fldCharType="begin"/>
            </w:r>
            <w:r w:rsidR="00F27386">
              <w:rPr>
                <w:noProof/>
                <w:webHidden/>
              </w:rPr>
              <w:instrText xml:space="preserve"> PAGEREF _Toc512592237 \h </w:instrText>
            </w:r>
            <w:r w:rsidR="00F27386">
              <w:rPr>
                <w:noProof/>
                <w:webHidden/>
              </w:rPr>
            </w:r>
            <w:r w:rsidR="00F27386">
              <w:rPr>
                <w:noProof/>
                <w:webHidden/>
              </w:rPr>
              <w:fldChar w:fldCharType="separate"/>
            </w:r>
            <w:r w:rsidR="00F27386">
              <w:rPr>
                <w:noProof/>
                <w:webHidden/>
              </w:rPr>
              <w:t>11</w:t>
            </w:r>
            <w:r w:rsidR="00F27386">
              <w:rPr>
                <w:noProof/>
                <w:webHidden/>
              </w:rPr>
              <w:fldChar w:fldCharType="end"/>
            </w:r>
          </w:hyperlink>
        </w:p>
        <w:p w:rsidR="00F27386" w:rsidRDefault="00137793">
          <w:pPr>
            <w:pStyle w:val="TOC2"/>
            <w:tabs>
              <w:tab w:val="left" w:pos="880"/>
              <w:tab w:val="right" w:leader="dot" w:pos="9016"/>
            </w:tabs>
            <w:rPr>
              <w:rFonts w:asciiTheme="minorHAnsi" w:eastAsiaTheme="minorEastAsia" w:hAnsiTheme="minorHAnsi" w:cstheme="minorBidi"/>
              <w:bCs w:val="0"/>
              <w:noProof/>
              <w:sz w:val="22"/>
              <w:szCs w:val="22"/>
              <w:lang w:eastAsia="en-GB"/>
            </w:rPr>
          </w:pPr>
          <w:hyperlink w:anchor="_Toc512592238" w:history="1">
            <w:r w:rsidR="00F27386" w:rsidRPr="007A4133">
              <w:rPr>
                <w:rStyle w:val="Hyperlink"/>
                <w:rFonts w:eastAsiaTheme="majorEastAsia" w:cs="Arial"/>
                <w:noProof/>
              </w:rPr>
              <w:t>5.2</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Programme Pathway Standards</w:t>
            </w:r>
            <w:r w:rsidR="00F27386">
              <w:rPr>
                <w:noProof/>
                <w:webHidden/>
              </w:rPr>
              <w:tab/>
            </w:r>
            <w:r w:rsidR="00F27386">
              <w:rPr>
                <w:noProof/>
                <w:webHidden/>
              </w:rPr>
              <w:fldChar w:fldCharType="begin"/>
            </w:r>
            <w:r w:rsidR="00F27386">
              <w:rPr>
                <w:noProof/>
                <w:webHidden/>
              </w:rPr>
              <w:instrText xml:space="preserve"> PAGEREF _Toc512592238 \h </w:instrText>
            </w:r>
            <w:r w:rsidR="00F27386">
              <w:rPr>
                <w:noProof/>
                <w:webHidden/>
              </w:rPr>
            </w:r>
            <w:r w:rsidR="00F27386">
              <w:rPr>
                <w:noProof/>
                <w:webHidden/>
              </w:rPr>
              <w:fldChar w:fldCharType="separate"/>
            </w:r>
            <w:r w:rsidR="00F27386">
              <w:rPr>
                <w:noProof/>
                <w:webHidden/>
              </w:rPr>
              <w:t>11</w:t>
            </w:r>
            <w:r w:rsidR="00F27386">
              <w:rPr>
                <w:noProof/>
                <w:webHidden/>
              </w:rPr>
              <w:fldChar w:fldCharType="end"/>
            </w:r>
          </w:hyperlink>
        </w:p>
        <w:p w:rsidR="00F27386" w:rsidRDefault="00137793">
          <w:pPr>
            <w:pStyle w:val="TOC1"/>
            <w:tabs>
              <w:tab w:val="left" w:pos="480"/>
            </w:tabs>
            <w:rPr>
              <w:rFonts w:asciiTheme="minorHAnsi" w:eastAsiaTheme="minorEastAsia" w:hAnsiTheme="minorHAnsi" w:cstheme="minorBidi"/>
              <w:bCs w:val="0"/>
              <w:noProof/>
              <w:sz w:val="22"/>
              <w:szCs w:val="22"/>
              <w:lang w:eastAsia="en-GB"/>
            </w:rPr>
          </w:pPr>
          <w:hyperlink w:anchor="_Toc512592239" w:history="1">
            <w:r w:rsidR="00F27386" w:rsidRPr="007A4133">
              <w:rPr>
                <w:rStyle w:val="Hyperlink"/>
                <w:rFonts w:eastAsiaTheme="minorHAnsi" w:cs="Arial"/>
                <w:noProof/>
              </w:rPr>
              <w:t>6.</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Challenges and Opportunities</w:t>
            </w:r>
            <w:r w:rsidR="00F27386">
              <w:rPr>
                <w:noProof/>
                <w:webHidden/>
              </w:rPr>
              <w:tab/>
            </w:r>
            <w:r w:rsidR="00F27386">
              <w:rPr>
                <w:noProof/>
                <w:webHidden/>
              </w:rPr>
              <w:fldChar w:fldCharType="begin"/>
            </w:r>
            <w:r w:rsidR="00F27386">
              <w:rPr>
                <w:noProof/>
                <w:webHidden/>
              </w:rPr>
              <w:instrText xml:space="preserve"> PAGEREF _Toc512592239 \h </w:instrText>
            </w:r>
            <w:r w:rsidR="00F27386">
              <w:rPr>
                <w:noProof/>
                <w:webHidden/>
              </w:rPr>
            </w:r>
            <w:r w:rsidR="00F27386">
              <w:rPr>
                <w:noProof/>
                <w:webHidden/>
              </w:rPr>
              <w:fldChar w:fldCharType="separate"/>
            </w:r>
            <w:r w:rsidR="00F27386">
              <w:rPr>
                <w:noProof/>
                <w:webHidden/>
              </w:rPr>
              <w:t>12</w:t>
            </w:r>
            <w:r w:rsidR="00F27386">
              <w:rPr>
                <w:noProof/>
                <w:webHidden/>
              </w:rPr>
              <w:fldChar w:fldCharType="end"/>
            </w:r>
          </w:hyperlink>
        </w:p>
        <w:p w:rsidR="00F27386" w:rsidRDefault="00137793">
          <w:pPr>
            <w:pStyle w:val="TOC2"/>
            <w:tabs>
              <w:tab w:val="left" w:pos="880"/>
              <w:tab w:val="right" w:leader="dot" w:pos="9016"/>
            </w:tabs>
            <w:rPr>
              <w:rFonts w:asciiTheme="minorHAnsi" w:eastAsiaTheme="minorEastAsia" w:hAnsiTheme="minorHAnsi" w:cstheme="minorBidi"/>
              <w:bCs w:val="0"/>
              <w:noProof/>
              <w:sz w:val="22"/>
              <w:szCs w:val="22"/>
              <w:lang w:eastAsia="en-GB"/>
            </w:rPr>
          </w:pPr>
          <w:hyperlink w:anchor="_Toc512592240" w:history="1">
            <w:r w:rsidR="00F27386" w:rsidRPr="007A4133">
              <w:rPr>
                <w:rStyle w:val="Hyperlink"/>
                <w:rFonts w:eastAsiaTheme="majorEastAsia" w:cs="Arial"/>
                <w:noProof/>
              </w:rPr>
              <w:t>6.1</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Current challenges in service delivery</w:t>
            </w:r>
            <w:r w:rsidR="00F27386">
              <w:rPr>
                <w:noProof/>
                <w:webHidden/>
              </w:rPr>
              <w:tab/>
            </w:r>
            <w:r w:rsidR="00F27386">
              <w:rPr>
                <w:noProof/>
                <w:webHidden/>
              </w:rPr>
              <w:fldChar w:fldCharType="begin"/>
            </w:r>
            <w:r w:rsidR="00F27386">
              <w:rPr>
                <w:noProof/>
                <w:webHidden/>
              </w:rPr>
              <w:instrText xml:space="preserve"> PAGEREF _Toc512592240 \h </w:instrText>
            </w:r>
            <w:r w:rsidR="00F27386">
              <w:rPr>
                <w:noProof/>
                <w:webHidden/>
              </w:rPr>
            </w:r>
            <w:r w:rsidR="00F27386">
              <w:rPr>
                <w:noProof/>
                <w:webHidden/>
              </w:rPr>
              <w:fldChar w:fldCharType="separate"/>
            </w:r>
            <w:r w:rsidR="00F27386">
              <w:rPr>
                <w:noProof/>
                <w:webHidden/>
              </w:rPr>
              <w:t>12</w:t>
            </w:r>
            <w:r w:rsidR="00F27386">
              <w:rPr>
                <w:noProof/>
                <w:webHidden/>
              </w:rPr>
              <w:fldChar w:fldCharType="end"/>
            </w:r>
          </w:hyperlink>
        </w:p>
        <w:p w:rsidR="00F27386" w:rsidRDefault="00137793">
          <w:pPr>
            <w:pStyle w:val="TOC3"/>
            <w:tabs>
              <w:tab w:val="left" w:pos="1320"/>
              <w:tab w:val="right" w:leader="dot" w:pos="9016"/>
            </w:tabs>
            <w:rPr>
              <w:rFonts w:asciiTheme="minorHAnsi" w:eastAsiaTheme="minorEastAsia" w:hAnsiTheme="minorHAnsi" w:cstheme="minorBidi"/>
              <w:bCs w:val="0"/>
              <w:noProof/>
              <w:sz w:val="22"/>
              <w:szCs w:val="22"/>
              <w:lang w:eastAsia="en-GB"/>
            </w:rPr>
          </w:pPr>
          <w:hyperlink w:anchor="_Toc512592241" w:history="1">
            <w:r w:rsidR="00F27386" w:rsidRPr="007A4133">
              <w:rPr>
                <w:rStyle w:val="Hyperlink"/>
                <w:rFonts w:eastAsiaTheme="majorEastAsia" w:cs="Arial"/>
                <w:noProof/>
              </w:rPr>
              <w:t>6.1.1</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Timely consultation and feedback from Hospital Eye Services</w:t>
            </w:r>
            <w:r w:rsidR="00F27386">
              <w:rPr>
                <w:noProof/>
                <w:webHidden/>
              </w:rPr>
              <w:tab/>
            </w:r>
            <w:r w:rsidR="00F27386">
              <w:rPr>
                <w:noProof/>
                <w:webHidden/>
              </w:rPr>
              <w:fldChar w:fldCharType="begin"/>
            </w:r>
            <w:r w:rsidR="00F27386">
              <w:rPr>
                <w:noProof/>
                <w:webHidden/>
              </w:rPr>
              <w:instrText xml:space="preserve"> PAGEREF _Toc512592241 \h </w:instrText>
            </w:r>
            <w:r w:rsidR="00F27386">
              <w:rPr>
                <w:noProof/>
                <w:webHidden/>
              </w:rPr>
            </w:r>
            <w:r w:rsidR="00F27386">
              <w:rPr>
                <w:noProof/>
                <w:webHidden/>
              </w:rPr>
              <w:fldChar w:fldCharType="separate"/>
            </w:r>
            <w:r w:rsidR="00F27386">
              <w:rPr>
                <w:noProof/>
                <w:webHidden/>
              </w:rPr>
              <w:t>12</w:t>
            </w:r>
            <w:r w:rsidR="00F27386">
              <w:rPr>
                <w:noProof/>
                <w:webHidden/>
              </w:rPr>
              <w:fldChar w:fldCharType="end"/>
            </w:r>
          </w:hyperlink>
        </w:p>
        <w:p w:rsidR="00F27386" w:rsidRDefault="00137793">
          <w:pPr>
            <w:pStyle w:val="TOC3"/>
            <w:tabs>
              <w:tab w:val="left" w:pos="1320"/>
              <w:tab w:val="right" w:leader="dot" w:pos="9016"/>
            </w:tabs>
            <w:rPr>
              <w:rFonts w:asciiTheme="minorHAnsi" w:eastAsiaTheme="minorEastAsia" w:hAnsiTheme="minorHAnsi" w:cstheme="minorBidi"/>
              <w:bCs w:val="0"/>
              <w:noProof/>
              <w:sz w:val="22"/>
              <w:szCs w:val="22"/>
              <w:lang w:eastAsia="en-GB"/>
            </w:rPr>
          </w:pPr>
          <w:hyperlink w:anchor="_Toc512592242" w:history="1">
            <w:r w:rsidR="00F27386" w:rsidRPr="007A4133">
              <w:rPr>
                <w:rStyle w:val="Hyperlink"/>
                <w:rFonts w:eastAsiaTheme="majorEastAsia" w:cs="Arial"/>
                <w:noProof/>
              </w:rPr>
              <w:t>6.1.2</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Full delivery of OCT</w:t>
            </w:r>
            <w:r w:rsidR="00F27386">
              <w:rPr>
                <w:noProof/>
                <w:webHidden/>
              </w:rPr>
              <w:tab/>
            </w:r>
            <w:r w:rsidR="00F27386">
              <w:rPr>
                <w:noProof/>
                <w:webHidden/>
              </w:rPr>
              <w:fldChar w:fldCharType="begin"/>
            </w:r>
            <w:r w:rsidR="00F27386">
              <w:rPr>
                <w:noProof/>
                <w:webHidden/>
              </w:rPr>
              <w:instrText xml:space="preserve"> PAGEREF _Toc512592242 \h </w:instrText>
            </w:r>
            <w:r w:rsidR="00F27386">
              <w:rPr>
                <w:noProof/>
                <w:webHidden/>
              </w:rPr>
            </w:r>
            <w:r w:rsidR="00F27386">
              <w:rPr>
                <w:noProof/>
                <w:webHidden/>
              </w:rPr>
              <w:fldChar w:fldCharType="separate"/>
            </w:r>
            <w:r w:rsidR="00F27386">
              <w:rPr>
                <w:noProof/>
                <w:webHidden/>
              </w:rPr>
              <w:t>12</w:t>
            </w:r>
            <w:r w:rsidR="00F27386">
              <w:rPr>
                <w:noProof/>
                <w:webHidden/>
              </w:rPr>
              <w:fldChar w:fldCharType="end"/>
            </w:r>
          </w:hyperlink>
        </w:p>
        <w:p w:rsidR="00F27386" w:rsidRDefault="00137793">
          <w:pPr>
            <w:pStyle w:val="TOC3"/>
            <w:tabs>
              <w:tab w:val="left" w:pos="1320"/>
              <w:tab w:val="right" w:leader="dot" w:pos="9016"/>
            </w:tabs>
            <w:rPr>
              <w:rFonts w:asciiTheme="minorHAnsi" w:eastAsiaTheme="minorEastAsia" w:hAnsiTheme="minorHAnsi" w:cstheme="minorBidi"/>
              <w:bCs w:val="0"/>
              <w:noProof/>
              <w:sz w:val="22"/>
              <w:szCs w:val="22"/>
              <w:lang w:eastAsia="en-GB"/>
            </w:rPr>
          </w:pPr>
          <w:hyperlink w:anchor="_Toc512592243" w:history="1">
            <w:r w:rsidR="00F27386" w:rsidRPr="007A4133">
              <w:rPr>
                <w:rStyle w:val="Hyperlink"/>
                <w:rFonts w:eastAsiaTheme="majorEastAsia" w:cs="Arial"/>
                <w:noProof/>
              </w:rPr>
              <w:t>6.1.3</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Primary care coding</w:t>
            </w:r>
            <w:r w:rsidR="00F27386">
              <w:rPr>
                <w:noProof/>
                <w:webHidden/>
              </w:rPr>
              <w:tab/>
            </w:r>
            <w:r w:rsidR="00F27386">
              <w:rPr>
                <w:noProof/>
                <w:webHidden/>
              </w:rPr>
              <w:fldChar w:fldCharType="begin"/>
            </w:r>
            <w:r w:rsidR="00F27386">
              <w:rPr>
                <w:noProof/>
                <w:webHidden/>
              </w:rPr>
              <w:instrText xml:space="preserve"> PAGEREF _Toc512592243 \h </w:instrText>
            </w:r>
            <w:r w:rsidR="00F27386">
              <w:rPr>
                <w:noProof/>
                <w:webHidden/>
              </w:rPr>
            </w:r>
            <w:r w:rsidR="00F27386">
              <w:rPr>
                <w:noProof/>
                <w:webHidden/>
              </w:rPr>
              <w:fldChar w:fldCharType="separate"/>
            </w:r>
            <w:r w:rsidR="00F27386">
              <w:rPr>
                <w:noProof/>
                <w:webHidden/>
              </w:rPr>
              <w:t>12</w:t>
            </w:r>
            <w:r w:rsidR="00F27386">
              <w:rPr>
                <w:noProof/>
                <w:webHidden/>
              </w:rPr>
              <w:fldChar w:fldCharType="end"/>
            </w:r>
          </w:hyperlink>
        </w:p>
        <w:p w:rsidR="00F27386" w:rsidRDefault="00137793">
          <w:pPr>
            <w:pStyle w:val="TOC2"/>
            <w:tabs>
              <w:tab w:val="left" w:pos="880"/>
              <w:tab w:val="right" w:leader="dot" w:pos="9016"/>
            </w:tabs>
            <w:rPr>
              <w:rFonts w:asciiTheme="minorHAnsi" w:eastAsiaTheme="minorEastAsia" w:hAnsiTheme="minorHAnsi" w:cstheme="minorBidi"/>
              <w:bCs w:val="0"/>
              <w:noProof/>
              <w:sz w:val="22"/>
              <w:szCs w:val="22"/>
              <w:lang w:eastAsia="en-GB"/>
            </w:rPr>
          </w:pPr>
          <w:hyperlink w:anchor="_Toc512592244" w:history="1">
            <w:r w:rsidR="00F27386" w:rsidRPr="007A4133">
              <w:rPr>
                <w:rStyle w:val="Hyperlink"/>
                <w:rFonts w:eastAsiaTheme="majorEastAsia" w:cs="Arial"/>
                <w:noProof/>
              </w:rPr>
              <w:t>6.2</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Opportunities</w:t>
            </w:r>
            <w:r w:rsidR="00F27386">
              <w:rPr>
                <w:noProof/>
                <w:webHidden/>
              </w:rPr>
              <w:tab/>
            </w:r>
            <w:r w:rsidR="00F27386">
              <w:rPr>
                <w:noProof/>
                <w:webHidden/>
              </w:rPr>
              <w:fldChar w:fldCharType="begin"/>
            </w:r>
            <w:r w:rsidR="00F27386">
              <w:rPr>
                <w:noProof/>
                <w:webHidden/>
              </w:rPr>
              <w:instrText xml:space="preserve"> PAGEREF _Toc512592244 \h </w:instrText>
            </w:r>
            <w:r w:rsidR="00F27386">
              <w:rPr>
                <w:noProof/>
                <w:webHidden/>
              </w:rPr>
            </w:r>
            <w:r w:rsidR="00F27386">
              <w:rPr>
                <w:noProof/>
                <w:webHidden/>
              </w:rPr>
              <w:fldChar w:fldCharType="separate"/>
            </w:r>
            <w:r w:rsidR="00F27386">
              <w:rPr>
                <w:noProof/>
                <w:webHidden/>
              </w:rPr>
              <w:t>12</w:t>
            </w:r>
            <w:r w:rsidR="00F27386">
              <w:rPr>
                <w:noProof/>
                <w:webHidden/>
              </w:rPr>
              <w:fldChar w:fldCharType="end"/>
            </w:r>
          </w:hyperlink>
        </w:p>
        <w:p w:rsidR="00F27386" w:rsidRDefault="00137793">
          <w:pPr>
            <w:pStyle w:val="TOC3"/>
            <w:tabs>
              <w:tab w:val="left" w:pos="1320"/>
              <w:tab w:val="right" w:leader="dot" w:pos="9016"/>
            </w:tabs>
            <w:rPr>
              <w:rFonts w:asciiTheme="minorHAnsi" w:eastAsiaTheme="minorEastAsia" w:hAnsiTheme="minorHAnsi" w:cstheme="minorBidi"/>
              <w:bCs w:val="0"/>
              <w:noProof/>
              <w:sz w:val="22"/>
              <w:szCs w:val="22"/>
              <w:lang w:eastAsia="en-GB"/>
            </w:rPr>
          </w:pPr>
          <w:hyperlink w:anchor="_Toc512592245" w:history="1">
            <w:r w:rsidR="00F27386" w:rsidRPr="007A4133">
              <w:rPr>
                <w:rStyle w:val="Hyperlink"/>
                <w:rFonts w:eastAsiaTheme="majorEastAsia" w:cs="Arial"/>
                <w:noProof/>
              </w:rPr>
              <w:t>6.2.1</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Engagement in STP diabetes management and oversight</w:t>
            </w:r>
            <w:r w:rsidR="00F27386">
              <w:rPr>
                <w:noProof/>
                <w:webHidden/>
              </w:rPr>
              <w:tab/>
            </w:r>
            <w:r w:rsidR="00F27386">
              <w:rPr>
                <w:noProof/>
                <w:webHidden/>
              </w:rPr>
              <w:fldChar w:fldCharType="begin"/>
            </w:r>
            <w:r w:rsidR="00F27386">
              <w:rPr>
                <w:noProof/>
                <w:webHidden/>
              </w:rPr>
              <w:instrText xml:space="preserve"> PAGEREF _Toc512592245 \h </w:instrText>
            </w:r>
            <w:r w:rsidR="00F27386">
              <w:rPr>
                <w:noProof/>
                <w:webHidden/>
              </w:rPr>
            </w:r>
            <w:r w:rsidR="00F27386">
              <w:rPr>
                <w:noProof/>
                <w:webHidden/>
              </w:rPr>
              <w:fldChar w:fldCharType="separate"/>
            </w:r>
            <w:r w:rsidR="00F27386">
              <w:rPr>
                <w:noProof/>
                <w:webHidden/>
              </w:rPr>
              <w:t>12</w:t>
            </w:r>
            <w:r w:rsidR="00F27386">
              <w:rPr>
                <w:noProof/>
                <w:webHidden/>
              </w:rPr>
              <w:fldChar w:fldCharType="end"/>
            </w:r>
          </w:hyperlink>
        </w:p>
        <w:p w:rsidR="00F27386" w:rsidRDefault="00137793">
          <w:pPr>
            <w:pStyle w:val="TOC3"/>
            <w:tabs>
              <w:tab w:val="right" w:leader="dot" w:pos="9016"/>
            </w:tabs>
            <w:rPr>
              <w:rFonts w:asciiTheme="minorHAnsi" w:eastAsiaTheme="minorEastAsia" w:hAnsiTheme="minorHAnsi" w:cstheme="minorBidi"/>
              <w:bCs w:val="0"/>
              <w:noProof/>
              <w:sz w:val="22"/>
              <w:szCs w:val="22"/>
              <w:lang w:eastAsia="en-GB"/>
            </w:rPr>
          </w:pPr>
          <w:hyperlink w:anchor="_Toc512592246" w:history="1">
            <w:r w:rsidR="00F27386" w:rsidRPr="007A4133">
              <w:rPr>
                <w:rStyle w:val="Hyperlink"/>
                <w:rFonts w:eastAsiaTheme="majorEastAsia" w:cs="Arial"/>
                <w:noProof/>
              </w:rPr>
              <w:t>6.2.2 National change to screening intervals for routine digital screening</w:t>
            </w:r>
            <w:r w:rsidR="00F27386">
              <w:rPr>
                <w:noProof/>
                <w:webHidden/>
              </w:rPr>
              <w:tab/>
            </w:r>
            <w:r w:rsidR="00F27386">
              <w:rPr>
                <w:noProof/>
                <w:webHidden/>
              </w:rPr>
              <w:fldChar w:fldCharType="begin"/>
            </w:r>
            <w:r w:rsidR="00F27386">
              <w:rPr>
                <w:noProof/>
                <w:webHidden/>
              </w:rPr>
              <w:instrText xml:space="preserve"> PAGEREF _Toc512592246 \h </w:instrText>
            </w:r>
            <w:r w:rsidR="00F27386">
              <w:rPr>
                <w:noProof/>
                <w:webHidden/>
              </w:rPr>
            </w:r>
            <w:r w:rsidR="00F27386">
              <w:rPr>
                <w:noProof/>
                <w:webHidden/>
              </w:rPr>
              <w:fldChar w:fldCharType="separate"/>
            </w:r>
            <w:r w:rsidR="00F27386">
              <w:rPr>
                <w:noProof/>
                <w:webHidden/>
              </w:rPr>
              <w:t>13</w:t>
            </w:r>
            <w:r w:rsidR="00F27386">
              <w:rPr>
                <w:noProof/>
                <w:webHidden/>
              </w:rPr>
              <w:fldChar w:fldCharType="end"/>
            </w:r>
          </w:hyperlink>
        </w:p>
        <w:p w:rsidR="00F27386" w:rsidRDefault="00137793">
          <w:pPr>
            <w:pStyle w:val="TOC3"/>
            <w:tabs>
              <w:tab w:val="right" w:leader="dot" w:pos="9016"/>
            </w:tabs>
            <w:rPr>
              <w:rFonts w:asciiTheme="minorHAnsi" w:eastAsiaTheme="minorEastAsia" w:hAnsiTheme="minorHAnsi" w:cstheme="minorBidi"/>
              <w:bCs w:val="0"/>
              <w:noProof/>
              <w:sz w:val="22"/>
              <w:szCs w:val="22"/>
              <w:lang w:eastAsia="en-GB"/>
            </w:rPr>
          </w:pPr>
          <w:hyperlink w:anchor="_Toc512592247" w:history="1">
            <w:r w:rsidR="00F27386" w:rsidRPr="007A4133">
              <w:rPr>
                <w:rStyle w:val="Hyperlink"/>
                <w:rFonts w:eastAsiaTheme="majorEastAsia" w:cs="Arial"/>
                <w:noProof/>
              </w:rPr>
              <w:t>6.2.3 Improving uptake of the programme through primary care collaboration</w:t>
            </w:r>
            <w:r w:rsidR="00F27386">
              <w:rPr>
                <w:noProof/>
                <w:webHidden/>
              </w:rPr>
              <w:tab/>
            </w:r>
            <w:r w:rsidR="00F27386">
              <w:rPr>
                <w:noProof/>
                <w:webHidden/>
              </w:rPr>
              <w:fldChar w:fldCharType="begin"/>
            </w:r>
            <w:r w:rsidR="00F27386">
              <w:rPr>
                <w:noProof/>
                <w:webHidden/>
              </w:rPr>
              <w:instrText xml:space="preserve"> PAGEREF _Toc512592247 \h </w:instrText>
            </w:r>
            <w:r w:rsidR="00F27386">
              <w:rPr>
                <w:noProof/>
                <w:webHidden/>
              </w:rPr>
            </w:r>
            <w:r w:rsidR="00F27386">
              <w:rPr>
                <w:noProof/>
                <w:webHidden/>
              </w:rPr>
              <w:fldChar w:fldCharType="separate"/>
            </w:r>
            <w:r w:rsidR="00F27386">
              <w:rPr>
                <w:noProof/>
                <w:webHidden/>
              </w:rPr>
              <w:t>13</w:t>
            </w:r>
            <w:r w:rsidR="00F27386">
              <w:rPr>
                <w:noProof/>
                <w:webHidden/>
              </w:rPr>
              <w:fldChar w:fldCharType="end"/>
            </w:r>
          </w:hyperlink>
        </w:p>
        <w:p w:rsidR="00F27386" w:rsidRDefault="00137793">
          <w:pPr>
            <w:pStyle w:val="TOC3"/>
            <w:tabs>
              <w:tab w:val="right" w:leader="dot" w:pos="9016"/>
            </w:tabs>
            <w:rPr>
              <w:rFonts w:asciiTheme="minorHAnsi" w:eastAsiaTheme="minorEastAsia" w:hAnsiTheme="minorHAnsi" w:cstheme="minorBidi"/>
              <w:bCs w:val="0"/>
              <w:noProof/>
              <w:sz w:val="22"/>
              <w:szCs w:val="22"/>
              <w:lang w:eastAsia="en-GB"/>
            </w:rPr>
          </w:pPr>
          <w:hyperlink w:anchor="_Toc512592248" w:history="1">
            <w:r w:rsidR="00F27386" w:rsidRPr="007A4133">
              <w:rPr>
                <w:rStyle w:val="Hyperlink"/>
                <w:rFonts w:eastAsiaTheme="majorEastAsia" w:cs="Arial"/>
                <w:noProof/>
              </w:rPr>
              <w:t>6.2.4 Making Every Contact Count (MECC)</w:t>
            </w:r>
            <w:r w:rsidR="00F27386">
              <w:rPr>
                <w:noProof/>
                <w:webHidden/>
              </w:rPr>
              <w:tab/>
            </w:r>
            <w:r w:rsidR="00F27386">
              <w:rPr>
                <w:noProof/>
                <w:webHidden/>
              </w:rPr>
              <w:fldChar w:fldCharType="begin"/>
            </w:r>
            <w:r w:rsidR="00F27386">
              <w:rPr>
                <w:noProof/>
                <w:webHidden/>
              </w:rPr>
              <w:instrText xml:space="preserve"> PAGEREF _Toc512592248 \h </w:instrText>
            </w:r>
            <w:r w:rsidR="00F27386">
              <w:rPr>
                <w:noProof/>
                <w:webHidden/>
              </w:rPr>
            </w:r>
            <w:r w:rsidR="00F27386">
              <w:rPr>
                <w:noProof/>
                <w:webHidden/>
              </w:rPr>
              <w:fldChar w:fldCharType="separate"/>
            </w:r>
            <w:r w:rsidR="00F27386">
              <w:rPr>
                <w:noProof/>
                <w:webHidden/>
              </w:rPr>
              <w:t>13</w:t>
            </w:r>
            <w:r w:rsidR="00F27386">
              <w:rPr>
                <w:noProof/>
                <w:webHidden/>
              </w:rPr>
              <w:fldChar w:fldCharType="end"/>
            </w:r>
          </w:hyperlink>
        </w:p>
        <w:p w:rsidR="00F27386" w:rsidRDefault="00137793">
          <w:pPr>
            <w:pStyle w:val="TOC1"/>
            <w:tabs>
              <w:tab w:val="left" w:pos="480"/>
            </w:tabs>
            <w:rPr>
              <w:rFonts w:asciiTheme="minorHAnsi" w:eastAsiaTheme="minorEastAsia" w:hAnsiTheme="minorHAnsi" w:cstheme="minorBidi"/>
              <w:bCs w:val="0"/>
              <w:noProof/>
              <w:sz w:val="22"/>
              <w:szCs w:val="22"/>
              <w:lang w:eastAsia="en-GB"/>
            </w:rPr>
          </w:pPr>
          <w:hyperlink w:anchor="_Toc512592249" w:history="1">
            <w:r w:rsidR="00F27386" w:rsidRPr="007A4133">
              <w:rPr>
                <w:rStyle w:val="Hyperlink"/>
                <w:rFonts w:eastAsiaTheme="majorEastAsia" w:cs="Arial"/>
                <w:noProof/>
              </w:rPr>
              <w:t>7.</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Recommendations</w:t>
            </w:r>
            <w:r w:rsidR="00F27386">
              <w:rPr>
                <w:noProof/>
                <w:webHidden/>
              </w:rPr>
              <w:tab/>
            </w:r>
            <w:r w:rsidR="00F27386">
              <w:rPr>
                <w:noProof/>
                <w:webHidden/>
              </w:rPr>
              <w:fldChar w:fldCharType="begin"/>
            </w:r>
            <w:r w:rsidR="00F27386">
              <w:rPr>
                <w:noProof/>
                <w:webHidden/>
              </w:rPr>
              <w:instrText xml:space="preserve"> PAGEREF _Toc512592249 \h </w:instrText>
            </w:r>
            <w:r w:rsidR="00F27386">
              <w:rPr>
                <w:noProof/>
                <w:webHidden/>
              </w:rPr>
            </w:r>
            <w:r w:rsidR="00F27386">
              <w:rPr>
                <w:noProof/>
                <w:webHidden/>
              </w:rPr>
              <w:fldChar w:fldCharType="separate"/>
            </w:r>
            <w:r w:rsidR="00F27386">
              <w:rPr>
                <w:noProof/>
                <w:webHidden/>
              </w:rPr>
              <w:t>13</w:t>
            </w:r>
            <w:r w:rsidR="00F27386">
              <w:rPr>
                <w:noProof/>
                <w:webHidden/>
              </w:rPr>
              <w:fldChar w:fldCharType="end"/>
            </w:r>
          </w:hyperlink>
        </w:p>
        <w:p w:rsidR="00F27386" w:rsidRDefault="00137793">
          <w:pPr>
            <w:pStyle w:val="TOC2"/>
            <w:tabs>
              <w:tab w:val="right" w:leader="dot" w:pos="9016"/>
            </w:tabs>
            <w:rPr>
              <w:rFonts w:asciiTheme="minorHAnsi" w:eastAsiaTheme="minorEastAsia" w:hAnsiTheme="minorHAnsi" w:cstheme="minorBidi"/>
              <w:bCs w:val="0"/>
              <w:noProof/>
              <w:sz w:val="22"/>
              <w:szCs w:val="22"/>
              <w:lang w:eastAsia="en-GB"/>
            </w:rPr>
          </w:pPr>
          <w:hyperlink w:anchor="_Toc512592250" w:history="1">
            <w:r w:rsidR="00F27386" w:rsidRPr="007A4133">
              <w:rPr>
                <w:rStyle w:val="Hyperlink"/>
                <w:rFonts w:eastAsiaTheme="majorEastAsia" w:cs="Arial"/>
                <w:noProof/>
              </w:rPr>
              <w:t>7.1 Develop and maintain stronger ties with HES providers</w:t>
            </w:r>
            <w:r w:rsidR="00F27386">
              <w:rPr>
                <w:noProof/>
                <w:webHidden/>
              </w:rPr>
              <w:tab/>
            </w:r>
            <w:r w:rsidR="00F27386">
              <w:rPr>
                <w:noProof/>
                <w:webHidden/>
              </w:rPr>
              <w:fldChar w:fldCharType="begin"/>
            </w:r>
            <w:r w:rsidR="00F27386">
              <w:rPr>
                <w:noProof/>
                <w:webHidden/>
              </w:rPr>
              <w:instrText xml:space="preserve"> PAGEREF _Toc512592250 \h </w:instrText>
            </w:r>
            <w:r w:rsidR="00F27386">
              <w:rPr>
                <w:noProof/>
                <w:webHidden/>
              </w:rPr>
            </w:r>
            <w:r w:rsidR="00F27386">
              <w:rPr>
                <w:noProof/>
                <w:webHidden/>
              </w:rPr>
              <w:fldChar w:fldCharType="separate"/>
            </w:r>
            <w:r w:rsidR="00F27386">
              <w:rPr>
                <w:noProof/>
                <w:webHidden/>
              </w:rPr>
              <w:t>13</w:t>
            </w:r>
            <w:r w:rsidR="00F27386">
              <w:rPr>
                <w:noProof/>
                <w:webHidden/>
              </w:rPr>
              <w:fldChar w:fldCharType="end"/>
            </w:r>
          </w:hyperlink>
        </w:p>
        <w:p w:rsidR="00F27386" w:rsidRDefault="00137793">
          <w:pPr>
            <w:pStyle w:val="TOC2"/>
            <w:tabs>
              <w:tab w:val="right" w:leader="dot" w:pos="9016"/>
            </w:tabs>
            <w:rPr>
              <w:rFonts w:asciiTheme="minorHAnsi" w:eastAsiaTheme="minorEastAsia" w:hAnsiTheme="minorHAnsi" w:cstheme="minorBidi"/>
              <w:bCs w:val="0"/>
              <w:noProof/>
              <w:sz w:val="22"/>
              <w:szCs w:val="22"/>
              <w:lang w:eastAsia="en-GB"/>
            </w:rPr>
          </w:pPr>
          <w:hyperlink w:anchor="_Toc512592251" w:history="1">
            <w:r w:rsidR="00F27386" w:rsidRPr="007A4133">
              <w:rPr>
                <w:rStyle w:val="Hyperlink"/>
                <w:rFonts w:eastAsiaTheme="majorEastAsia" w:cs="Arial"/>
                <w:noProof/>
              </w:rPr>
              <w:t>7.2 Clinical Leadership and management of incidents</w:t>
            </w:r>
            <w:r w:rsidR="00F27386">
              <w:rPr>
                <w:noProof/>
                <w:webHidden/>
              </w:rPr>
              <w:tab/>
            </w:r>
            <w:r w:rsidR="00F27386">
              <w:rPr>
                <w:noProof/>
                <w:webHidden/>
              </w:rPr>
              <w:fldChar w:fldCharType="begin"/>
            </w:r>
            <w:r w:rsidR="00F27386">
              <w:rPr>
                <w:noProof/>
                <w:webHidden/>
              </w:rPr>
              <w:instrText xml:space="preserve"> PAGEREF _Toc512592251 \h </w:instrText>
            </w:r>
            <w:r w:rsidR="00F27386">
              <w:rPr>
                <w:noProof/>
                <w:webHidden/>
              </w:rPr>
            </w:r>
            <w:r w:rsidR="00F27386">
              <w:rPr>
                <w:noProof/>
                <w:webHidden/>
              </w:rPr>
              <w:fldChar w:fldCharType="separate"/>
            </w:r>
            <w:r w:rsidR="00F27386">
              <w:rPr>
                <w:noProof/>
                <w:webHidden/>
              </w:rPr>
              <w:t>14</w:t>
            </w:r>
            <w:r w:rsidR="00F27386">
              <w:rPr>
                <w:noProof/>
                <w:webHidden/>
              </w:rPr>
              <w:fldChar w:fldCharType="end"/>
            </w:r>
          </w:hyperlink>
        </w:p>
        <w:p w:rsidR="00F27386" w:rsidRDefault="00137793">
          <w:pPr>
            <w:pStyle w:val="TOC2"/>
            <w:tabs>
              <w:tab w:val="right" w:leader="dot" w:pos="9016"/>
            </w:tabs>
            <w:rPr>
              <w:rFonts w:asciiTheme="minorHAnsi" w:eastAsiaTheme="minorEastAsia" w:hAnsiTheme="minorHAnsi" w:cstheme="minorBidi"/>
              <w:bCs w:val="0"/>
              <w:noProof/>
              <w:sz w:val="22"/>
              <w:szCs w:val="22"/>
              <w:lang w:eastAsia="en-GB"/>
            </w:rPr>
          </w:pPr>
          <w:hyperlink w:anchor="_Toc512592252" w:history="1">
            <w:r w:rsidR="00F27386" w:rsidRPr="007A4133">
              <w:rPr>
                <w:rStyle w:val="Hyperlink"/>
                <w:rFonts w:eastAsiaTheme="majorEastAsia" w:cs="Arial"/>
                <w:noProof/>
              </w:rPr>
              <w:t>7.3 Change to screening intervals for low risk patients</w:t>
            </w:r>
            <w:r w:rsidR="00F27386">
              <w:rPr>
                <w:noProof/>
                <w:webHidden/>
              </w:rPr>
              <w:tab/>
            </w:r>
            <w:r w:rsidR="00F27386">
              <w:rPr>
                <w:noProof/>
                <w:webHidden/>
              </w:rPr>
              <w:fldChar w:fldCharType="begin"/>
            </w:r>
            <w:r w:rsidR="00F27386">
              <w:rPr>
                <w:noProof/>
                <w:webHidden/>
              </w:rPr>
              <w:instrText xml:space="preserve"> PAGEREF _Toc512592252 \h </w:instrText>
            </w:r>
            <w:r w:rsidR="00F27386">
              <w:rPr>
                <w:noProof/>
                <w:webHidden/>
              </w:rPr>
            </w:r>
            <w:r w:rsidR="00F27386">
              <w:rPr>
                <w:noProof/>
                <w:webHidden/>
              </w:rPr>
              <w:fldChar w:fldCharType="separate"/>
            </w:r>
            <w:r w:rsidR="00F27386">
              <w:rPr>
                <w:noProof/>
                <w:webHidden/>
              </w:rPr>
              <w:t>14</w:t>
            </w:r>
            <w:r w:rsidR="00F27386">
              <w:rPr>
                <w:noProof/>
                <w:webHidden/>
              </w:rPr>
              <w:fldChar w:fldCharType="end"/>
            </w:r>
          </w:hyperlink>
        </w:p>
        <w:p w:rsidR="00F27386" w:rsidRDefault="00137793">
          <w:pPr>
            <w:pStyle w:val="TOC2"/>
            <w:tabs>
              <w:tab w:val="right" w:leader="dot" w:pos="9016"/>
            </w:tabs>
            <w:rPr>
              <w:rFonts w:asciiTheme="minorHAnsi" w:eastAsiaTheme="minorEastAsia" w:hAnsiTheme="minorHAnsi" w:cstheme="minorBidi"/>
              <w:bCs w:val="0"/>
              <w:noProof/>
              <w:sz w:val="22"/>
              <w:szCs w:val="22"/>
              <w:lang w:eastAsia="en-GB"/>
            </w:rPr>
          </w:pPr>
          <w:hyperlink w:anchor="_Toc512592253" w:history="1">
            <w:r w:rsidR="00F27386" w:rsidRPr="007A4133">
              <w:rPr>
                <w:rStyle w:val="Hyperlink"/>
                <w:rFonts w:eastAsiaTheme="majorEastAsia" w:cs="Arial"/>
                <w:noProof/>
              </w:rPr>
              <w:t>7.4 Rollout and embedding of OCT</w:t>
            </w:r>
            <w:r w:rsidR="00F27386">
              <w:rPr>
                <w:noProof/>
                <w:webHidden/>
              </w:rPr>
              <w:tab/>
            </w:r>
            <w:r w:rsidR="00F27386">
              <w:rPr>
                <w:noProof/>
                <w:webHidden/>
              </w:rPr>
              <w:fldChar w:fldCharType="begin"/>
            </w:r>
            <w:r w:rsidR="00F27386">
              <w:rPr>
                <w:noProof/>
                <w:webHidden/>
              </w:rPr>
              <w:instrText xml:space="preserve"> PAGEREF _Toc512592253 \h </w:instrText>
            </w:r>
            <w:r w:rsidR="00F27386">
              <w:rPr>
                <w:noProof/>
                <w:webHidden/>
              </w:rPr>
            </w:r>
            <w:r w:rsidR="00F27386">
              <w:rPr>
                <w:noProof/>
                <w:webHidden/>
              </w:rPr>
              <w:fldChar w:fldCharType="separate"/>
            </w:r>
            <w:r w:rsidR="00F27386">
              <w:rPr>
                <w:noProof/>
                <w:webHidden/>
              </w:rPr>
              <w:t>14</w:t>
            </w:r>
            <w:r w:rsidR="00F27386">
              <w:rPr>
                <w:noProof/>
                <w:webHidden/>
              </w:rPr>
              <w:fldChar w:fldCharType="end"/>
            </w:r>
          </w:hyperlink>
        </w:p>
        <w:p w:rsidR="00F27386" w:rsidRDefault="00137793">
          <w:pPr>
            <w:pStyle w:val="TOC1"/>
            <w:tabs>
              <w:tab w:val="left" w:pos="480"/>
            </w:tabs>
            <w:rPr>
              <w:rFonts w:asciiTheme="minorHAnsi" w:eastAsiaTheme="minorEastAsia" w:hAnsiTheme="minorHAnsi" w:cstheme="minorBidi"/>
              <w:bCs w:val="0"/>
              <w:noProof/>
              <w:sz w:val="22"/>
              <w:szCs w:val="22"/>
              <w:lang w:eastAsia="en-GB"/>
            </w:rPr>
          </w:pPr>
          <w:hyperlink w:anchor="_Toc512592254" w:history="1">
            <w:r w:rsidR="00F27386" w:rsidRPr="007A4133">
              <w:rPr>
                <w:rStyle w:val="Hyperlink"/>
                <w:rFonts w:eastAsiaTheme="majorEastAsia" w:cs="Arial"/>
                <w:noProof/>
              </w:rPr>
              <w:t>8.</w:t>
            </w:r>
            <w:r w:rsidR="00F27386">
              <w:rPr>
                <w:rFonts w:asciiTheme="minorHAnsi" w:eastAsiaTheme="minorEastAsia" w:hAnsiTheme="minorHAnsi" w:cstheme="minorBidi"/>
                <w:bCs w:val="0"/>
                <w:noProof/>
                <w:sz w:val="22"/>
                <w:szCs w:val="22"/>
                <w:lang w:eastAsia="en-GB"/>
              </w:rPr>
              <w:tab/>
            </w:r>
            <w:r w:rsidR="00F27386" w:rsidRPr="007A4133">
              <w:rPr>
                <w:rStyle w:val="Hyperlink"/>
                <w:rFonts w:eastAsiaTheme="majorEastAsia" w:cs="Arial"/>
                <w:noProof/>
              </w:rPr>
              <w:t>References</w:t>
            </w:r>
            <w:r w:rsidR="00F27386">
              <w:rPr>
                <w:noProof/>
                <w:webHidden/>
              </w:rPr>
              <w:tab/>
            </w:r>
            <w:r w:rsidR="00F27386">
              <w:rPr>
                <w:noProof/>
                <w:webHidden/>
              </w:rPr>
              <w:fldChar w:fldCharType="begin"/>
            </w:r>
            <w:r w:rsidR="00F27386">
              <w:rPr>
                <w:noProof/>
                <w:webHidden/>
              </w:rPr>
              <w:instrText xml:space="preserve"> PAGEREF _Toc512592254 \h </w:instrText>
            </w:r>
            <w:r w:rsidR="00F27386">
              <w:rPr>
                <w:noProof/>
                <w:webHidden/>
              </w:rPr>
            </w:r>
            <w:r w:rsidR="00F27386">
              <w:rPr>
                <w:noProof/>
                <w:webHidden/>
              </w:rPr>
              <w:fldChar w:fldCharType="separate"/>
            </w:r>
            <w:r w:rsidR="00F27386">
              <w:rPr>
                <w:noProof/>
                <w:webHidden/>
              </w:rPr>
              <w:t>14</w:t>
            </w:r>
            <w:r w:rsidR="00F27386">
              <w:rPr>
                <w:noProof/>
                <w:webHidden/>
              </w:rPr>
              <w:fldChar w:fldCharType="end"/>
            </w:r>
          </w:hyperlink>
        </w:p>
        <w:p w:rsidR="0060305C" w:rsidRDefault="0060305C" w:rsidP="0060305C">
          <w:pPr>
            <w:spacing w:after="0" w:line="240" w:lineRule="auto"/>
            <w:rPr>
              <w:b/>
              <w:noProof/>
            </w:rPr>
          </w:pPr>
          <w:r>
            <w:rPr>
              <w:b/>
              <w:noProof/>
            </w:rPr>
            <w:fldChar w:fldCharType="end"/>
          </w:r>
        </w:p>
      </w:sdtContent>
    </w:sdt>
    <w:p w:rsidR="00B3774D" w:rsidRPr="00D81C91" w:rsidRDefault="00B3774D">
      <w:pPr>
        <w:rPr>
          <w:rFonts w:ascii="Arial" w:hAnsi="Arial" w:cs="Arial"/>
        </w:rPr>
      </w:pPr>
      <w:r w:rsidRPr="00D81C91">
        <w:rPr>
          <w:rFonts w:ascii="Arial" w:hAnsi="Arial" w:cs="Arial"/>
        </w:rPr>
        <w:br w:type="page"/>
      </w:r>
    </w:p>
    <w:p w:rsidR="00846EDF" w:rsidRPr="0060305C" w:rsidRDefault="0060305C" w:rsidP="0060305C">
      <w:pPr>
        <w:pStyle w:val="Heading1"/>
        <w:ind w:left="426" w:hanging="426"/>
        <w:rPr>
          <w:rFonts w:ascii="Arial" w:hAnsi="Arial" w:cs="Arial"/>
          <w:sz w:val="32"/>
          <w:szCs w:val="32"/>
        </w:rPr>
      </w:pPr>
      <w:bookmarkStart w:id="3" w:name="_Toc512592217"/>
      <w:r w:rsidRPr="0060305C">
        <w:rPr>
          <w:rFonts w:ascii="Arial" w:hAnsi="Arial" w:cs="Arial"/>
          <w:sz w:val="32"/>
          <w:szCs w:val="32"/>
        </w:rPr>
        <w:lastRenderedPageBreak/>
        <w:t>1.</w:t>
      </w:r>
      <w:r w:rsidRPr="0060305C">
        <w:rPr>
          <w:rFonts w:ascii="Arial" w:hAnsi="Arial" w:cs="Arial"/>
          <w:sz w:val="32"/>
          <w:szCs w:val="32"/>
        </w:rPr>
        <w:tab/>
        <w:t>Executive Summary</w:t>
      </w:r>
      <w:bookmarkEnd w:id="3"/>
    </w:p>
    <w:p w:rsidR="006D496B" w:rsidRDefault="00753520" w:rsidP="006D496B">
      <w:pPr>
        <w:rPr>
          <w:rFonts w:ascii="Arial" w:hAnsi="Arial" w:cs="Arial"/>
          <w:sz w:val="24"/>
          <w:szCs w:val="24"/>
        </w:rPr>
      </w:pPr>
      <w:r>
        <w:rPr>
          <w:rFonts w:ascii="Arial" w:hAnsi="Arial" w:cs="Arial"/>
          <w:sz w:val="24"/>
          <w:szCs w:val="24"/>
        </w:rPr>
        <w:t xml:space="preserve">There are around 2.9m people with diabetes mellitus in England.  Diabetic retinopathy is a complication of diabetes and is the leading cause of blindness in the working population in the developed world.  </w:t>
      </w:r>
      <w:r w:rsidR="006D496B" w:rsidRPr="0060305C">
        <w:rPr>
          <w:rFonts w:ascii="Arial" w:hAnsi="Arial" w:cs="Arial"/>
          <w:sz w:val="24"/>
          <w:szCs w:val="24"/>
        </w:rPr>
        <w:t xml:space="preserve">The aim of the NHS Diabetic Eye Screening Programme is to reduce the risk of sight loss amongst people with diabetes by the prompt identification and effective treatment if necessary of sight threatening diabetic retinopathy, at the appropriate stage during the disease process. </w:t>
      </w:r>
      <w:r w:rsidR="00EE11EA" w:rsidRPr="0060305C">
        <w:rPr>
          <w:rFonts w:ascii="Arial" w:hAnsi="Arial" w:cs="Arial"/>
          <w:sz w:val="24"/>
          <w:szCs w:val="24"/>
        </w:rPr>
        <w:t>If left untreated, diabetic retinopathy may lead to blindness and can have devastating effects on individuals, families, communities and the wider society.</w:t>
      </w:r>
    </w:p>
    <w:p w:rsidR="00CB34E8" w:rsidRPr="0060305C" w:rsidRDefault="00CB34E8" w:rsidP="00CB34E8">
      <w:pPr>
        <w:rPr>
          <w:rFonts w:ascii="Arial" w:hAnsi="Arial" w:cs="Arial"/>
          <w:sz w:val="24"/>
          <w:szCs w:val="24"/>
        </w:rPr>
      </w:pPr>
      <w:r w:rsidRPr="0060305C">
        <w:rPr>
          <w:rFonts w:ascii="Arial" w:hAnsi="Arial" w:cs="Arial"/>
          <w:sz w:val="24"/>
          <w:szCs w:val="24"/>
        </w:rPr>
        <w:t xml:space="preserve">The </w:t>
      </w:r>
      <w:r w:rsidR="002E3056">
        <w:rPr>
          <w:rFonts w:ascii="Arial" w:hAnsi="Arial" w:cs="Arial"/>
          <w:sz w:val="24"/>
          <w:szCs w:val="24"/>
        </w:rPr>
        <w:t>Diabetic Eye Screening P</w:t>
      </w:r>
      <w:r w:rsidRPr="0060305C">
        <w:rPr>
          <w:rFonts w:ascii="Arial" w:hAnsi="Arial" w:cs="Arial"/>
          <w:sz w:val="24"/>
          <w:szCs w:val="24"/>
        </w:rPr>
        <w:t>rogramme is coordinated and led national</w:t>
      </w:r>
      <w:r>
        <w:rPr>
          <w:rFonts w:ascii="Arial" w:hAnsi="Arial" w:cs="Arial"/>
          <w:sz w:val="24"/>
          <w:szCs w:val="24"/>
        </w:rPr>
        <w:t>ly</w:t>
      </w:r>
      <w:r w:rsidRPr="0060305C">
        <w:rPr>
          <w:rFonts w:ascii="Arial" w:hAnsi="Arial" w:cs="Arial"/>
          <w:sz w:val="24"/>
          <w:szCs w:val="24"/>
        </w:rPr>
        <w:t xml:space="preserve"> by the Public Health England Screening Team which is responsible for setting </w:t>
      </w:r>
      <w:r>
        <w:rPr>
          <w:rFonts w:ascii="Arial" w:hAnsi="Arial" w:cs="Arial"/>
          <w:sz w:val="24"/>
          <w:szCs w:val="24"/>
        </w:rPr>
        <w:t>national</w:t>
      </w:r>
      <w:r w:rsidRPr="0060305C">
        <w:rPr>
          <w:rFonts w:ascii="Arial" w:hAnsi="Arial" w:cs="Arial"/>
          <w:sz w:val="24"/>
          <w:szCs w:val="24"/>
        </w:rPr>
        <w:t xml:space="preserve"> quality standards and procedures. </w:t>
      </w:r>
      <w:r>
        <w:rPr>
          <w:rFonts w:ascii="Arial" w:hAnsi="Arial" w:cs="Arial"/>
          <w:sz w:val="24"/>
          <w:szCs w:val="24"/>
        </w:rPr>
        <w:t xml:space="preserve"> NHS England commission</w:t>
      </w:r>
      <w:r w:rsidR="002E3056">
        <w:rPr>
          <w:rFonts w:ascii="Arial" w:hAnsi="Arial" w:cs="Arial"/>
          <w:sz w:val="24"/>
          <w:szCs w:val="24"/>
        </w:rPr>
        <w:t xml:space="preserve"> the</w:t>
      </w:r>
      <w:r>
        <w:rPr>
          <w:rFonts w:ascii="Arial" w:hAnsi="Arial" w:cs="Arial"/>
          <w:sz w:val="24"/>
          <w:szCs w:val="24"/>
        </w:rPr>
        <w:t xml:space="preserve"> l</w:t>
      </w:r>
      <w:r w:rsidRPr="0060305C">
        <w:rPr>
          <w:rFonts w:ascii="Arial" w:hAnsi="Arial" w:cs="Arial"/>
          <w:sz w:val="24"/>
          <w:szCs w:val="24"/>
        </w:rPr>
        <w:t xml:space="preserve">ocal </w:t>
      </w:r>
      <w:r>
        <w:rPr>
          <w:rFonts w:ascii="Arial" w:hAnsi="Arial" w:cs="Arial"/>
          <w:sz w:val="24"/>
          <w:szCs w:val="24"/>
        </w:rPr>
        <w:t xml:space="preserve">screening services </w:t>
      </w:r>
      <w:r w:rsidRPr="0060305C">
        <w:rPr>
          <w:rFonts w:ascii="Arial" w:hAnsi="Arial" w:cs="Arial"/>
          <w:sz w:val="24"/>
          <w:szCs w:val="24"/>
        </w:rPr>
        <w:t>provide</w:t>
      </w:r>
      <w:r>
        <w:rPr>
          <w:rFonts w:ascii="Arial" w:hAnsi="Arial" w:cs="Arial"/>
          <w:sz w:val="24"/>
          <w:szCs w:val="24"/>
        </w:rPr>
        <w:t xml:space="preserve">d in line with </w:t>
      </w:r>
      <w:r w:rsidR="002E3056">
        <w:rPr>
          <w:rFonts w:ascii="Arial" w:hAnsi="Arial" w:cs="Arial"/>
          <w:sz w:val="24"/>
          <w:szCs w:val="24"/>
        </w:rPr>
        <w:t xml:space="preserve">the </w:t>
      </w:r>
      <w:r>
        <w:rPr>
          <w:rFonts w:ascii="Arial" w:hAnsi="Arial" w:cs="Arial"/>
          <w:sz w:val="24"/>
          <w:szCs w:val="24"/>
        </w:rPr>
        <w:t>national quality standards.</w:t>
      </w:r>
    </w:p>
    <w:p w:rsidR="002B01EE" w:rsidRDefault="00CB34E8" w:rsidP="006D496B">
      <w:pPr>
        <w:rPr>
          <w:rFonts w:ascii="Arial" w:hAnsi="Arial" w:cs="Arial"/>
          <w:sz w:val="24"/>
          <w:szCs w:val="24"/>
        </w:rPr>
      </w:pPr>
      <w:r w:rsidRPr="0060305C">
        <w:rPr>
          <w:rFonts w:ascii="Arial" w:hAnsi="Arial" w:cs="Arial"/>
          <w:sz w:val="24"/>
          <w:szCs w:val="24"/>
        </w:rPr>
        <w:t xml:space="preserve">People diagnosed with type 1 or 2 diabetes aged 12 years or over are eligible to receive annual screening and </w:t>
      </w:r>
      <w:r w:rsidR="00E6357D">
        <w:rPr>
          <w:rFonts w:ascii="Arial" w:hAnsi="Arial" w:cs="Arial"/>
          <w:sz w:val="24"/>
          <w:szCs w:val="24"/>
        </w:rPr>
        <w:t xml:space="preserve">the </w:t>
      </w:r>
      <w:r w:rsidRPr="0060305C">
        <w:rPr>
          <w:rFonts w:ascii="Arial" w:hAnsi="Arial" w:cs="Arial"/>
          <w:sz w:val="24"/>
          <w:szCs w:val="24"/>
        </w:rPr>
        <w:t>main outcomes of the initial screen are either routine recall or referral for surveillance or treatment.</w:t>
      </w:r>
      <w:r>
        <w:rPr>
          <w:rFonts w:ascii="Arial" w:hAnsi="Arial" w:cs="Arial"/>
          <w:sz w:val="24"/>
          <w:szCs w:val="24"/>
        </w:rPr>
        <w:t xml:space="preserve">  </w:t>
      </w:r>
      <w:r w:rsidRPr="0060305C">
        <w:rPr>
          <w:rFonts w:ascii="Arial" w:hAnsi="Arial" w:cs="Arial"/>
          <w:sz w:val="24"/>
          <w:szCs w:val="24"/>
        </w:rPr>
        <w:t xml:space="preserve">In March 2014, PHE announced that screening is believed to have played a key role in diabetic retinopathy no longer being the leading cause for blindness among working class adults in England. This makes it important that participation in the screening programme is maximised for every eligible </w:t>
      </w:r>
      <w:r w:rsidR="002B01EE" w:rsidRPr="0060305C">
        <w:rPr>
          <w:rFonts w:ascii="Arial" w:hAnsi="Arial" w:cs="Arial"/>
          <w:sz w:val="24"/>
          <w:szCs w:val="24"/>
        </w:rPr>
        <w:t>person</w:t>
      </w:r>
      <w:r w:rsidR="002B01EE">
        <w:rPr>
          <w:rFonts w:ascii="Arial" w:hAnsi="Arial" w:cs="Arial"/>
          <w:sz w:val="24"/>
          <w:szCs w:val="24"/>
        </w:rPr>
        <w:t>.</w:t>
      </w:r>
      <w:r w:rsidR="002B01EE" w:rsidRPr="0060305C">
        <w:rPr>
          <w:rFonts w:ascii="Arial" w:hAnsi="Arial" w:cs="Arial"/>
          <w:sz w:val="24"/>
          <w:szCs w:val="24"/>
        </w:rPr>
        <w:t xml:space="preserve"> </w:t>
      </w:r>
    </w:p>
    <w:p w:rsidR="006D496B" w:rsidRPr="0060305C" w:rsidRDefault="002B01EE" w:rsidP="006D496B">
      <w:pPr>
        <w:rPr>
          <w:rFonts w:ascii="Arial" w:hAnsi="Arial" w:cs="Arial"/>
          <w:sz w:val="24"/>
          <w:szCs w:val="24"/>
        </w:rPr>
      </w:pPr>
      <w:r w:rsidRPr="0060305C">
        <w:rPr>
          <w:rFonts w:ascii="Arial" w:hAnsi="Arial" w:cs="Arial"/>
          <w:sz w:val="24"/>
          <w:szCs w:val="24"/>
        </w:rPr>
        <w:t>This</w:t>
      </w:r>
      <w:r w:rsidR="006D496B" w:rsidRPr="0060305C">
        <w:rPr>
          <w:rFonts w:ascii="Arial" w:hAnsi="Arial" w:cs="Arial"/>
          <w:sz w:val="24"/>
          <w:szCs w:val="24"/>
        </w:rPr>
        <w:t xml:space="preserve"> </w:t>
      </w:r>
      <w:r w:rsidR="00F90945">
        <w:rPr>
          <w:rFonts w:ascii="Arial" w:hAnsi="Arial" w:cs="Arial"/>
          <w:sz w:val="24"/>
          <w:szCs w:val="24"/>
        </w:rPr>
        <w:t>is</w:t>
      </w:r>
      <w:r w:rsidR="006D496B" w:rsidRPr="0060305C">
        <w:rPr>
          <w:rFonts w:ascii="Arial" w:hAnsi="Arial" w:cs="Arial"/>
          <w:sz w:val="24"/>
          <w:szCs w:val="24"/>
        </w:rPr>
        <w:t xml:space="preserve"> achieved by delivering evidence-based, population-based screening programmes that: </w:t>
      </w:r>
    </w:p>
    <w:p w:rsidR="006D496B" w:rsidRPr="0060305C" w:rsidRDefault="006D496B" w:rsidP="006D496B">
      <w:pPr>
        <w:numPr>
          <w:ilvl w:val="0"/>
          <w:numId w:val="4"/>
        </w:numPr>
        <w:rPr>
          <w:rFonts w:ascii="Arial" w:hAnsi="Arial" w:cs="Arial"/>
          <w:sz w:val="24"/>
          <w:szCs w:val="24"/>
        </w:rPr>
      </w:pPr>
      <w:r w:rsidRPr="0060305C">
        <w:rPr>
          <w:rFonts w:ascii="Arial" w:hAnsi="Arial" w:cs="Arial"/>
          <w:sz w:val="24"/>
          <w:szCs w:val="24"/>
        </w:rPr>
        <w:t>Identify the eligible population and ensure effective delivery with maximum coverage</w:t>
      </w:r>
    </w:p>
    <w:p w:rsidR="006D496B" w:rsidRPr="0060305C" w:rsidRDefault="006D496B" w:rsidP="006D496B">
      <w:pPr>
        <w:numPr>
          <w:ilvl w:val="0"/>
          <w:numId w:val="4"/>
        </w:numPr>
        <w:rPr>
          <w:rFonts w:ascii="Arial" w:hAnsi="Arial" w:cs="Arial"/>
          <w:sz w:val="24"/>
          <w:szCs w:val="24"/>
        </w:rPr>
      </w:pPr>
      <w:r w:rsidRPr="0060305C">
        <w:rPr>
          <w:rFonts w:ascii="Arial" w:hAnsi="Arial" w:cs="Arial"/>
          <w:sz w:val="24"/>
          <w:szCs w:val="24"/>
        </w:rPr>
        <w:t xml:space="preserve">Are safe, effective, of a high quality, externally and independently monitored, and quality assured </w:t>
      </w:r>
    </w:p>
    <w:p w:rsidR="006D496B" w:rsidRPr="0060305C" w:rsidRDefault="006D496B" w:rsidP="006D496B">
      <w:pPr>
        <w:numPr>
          <w:ilvl w:val="0"/>
          <w:numId w:val="4"/>
        </w:numPr>
        <w:rPr>
          <w:rFonts w:ascii="Arial" w:hAnsi="Arial" w:cs="Arial"/>
          <w:sz w:val="24"/>
          <w:szCs w:val="24"/>
        </w:rPr>
      </w:pPr>
      <w:r w:rsidRPr="0060305C">
        <w:rPr>
          <w:rFonts w:ascii="Arial" w:hAnsi="Arial" w:cs="Arial"/>
          <w:sz w:val="24"/>
          <w:szCs w:val="24"/>
        </w:rPr>
        <w:t>Lead to earlier detection, appropriate referral, effective treatment and improved outcomes</w:t>
      </w:r>
    </w:p>
    <w:p w:rsidR="006D496B" w:rsidRPr="0060305C" w:rsidRDefault="006D496B" w:rsidP="006D496B">
      <w:pPr>
        <w:numPr>
          <w:ilvl w:val="0"/>
          <w:numId w:val="4"/>
        </w:numPr>
        <w:rPr>
          <w:rFonts w:ascii="Arial" w:hAnsi="Arial" w:cs="Arial"/>
          <w:sz w:val="24"/>
          <w:szCs w:val="24"/>
        </w:rPr>
      </w:pPr>
      <w:r w:rsidRPr="0060305C">
        <w:rPr>
          <w:rFonts w:ascii="Arial" w:hAnsi="Arial" w:cs="Arial"/>
          <w:sz w:val="24"/>
          <w:szCs w:val="24"/>
        </w:rPr>
        <w:t xml:space="preserve">Are delivered and supported by suitably trained, competent, and qualified, clinical and non-clinical staff who, where relevant, participate in recognised on-going Continuous Medical Education (CME), Continuous Professional Development (CPD), and External Quality Assurance (EQA) schemes </w:t>
      </w:r>
    </w:p>
    <w:p w:rsidR="006D496B" w:rsidRPr="0060305C" w:rsidRDefault="006D496B" w:rsidP="006D496B">
      <w:pPr>
        <w:numPr>
          <w:ilvl w:val="0"/>
          <w:numId w:val="4"/>
        </w:numPr>
        <w:rPr>
          <w:rFonts w:ascii="Arial" w:hAnsi="Arial" w:cs="Arial"/>
          <w:sz w:val="24"/>
          <w:szCs w:val="24"/>
        </w:rPr>
      </w:pPr>
      <w:r w:rsidRPr="0060305C">
        <w:rPr>
          <w:rFonts w:ascii="Arial" w:hAnsi="Arial" w:cs="Arial"/>
          <w:sz w:val="24"/>
          <w:szCs w:val="24"/>
        </w:rPr>
        <w:t xml:space="preserve">Have audit embedded in the service. </w:t>
      </w:r>
    </w:p>
    <w:p w:rsidR="00846EDF" w:rsidRPr="0060305C" w:rsidRDefault="00846EDF" w:rsidP="002344D1">
      <w:pPr>
        <w:rPr>
          <w:rFonts w:ascii="Arial" w:hAnsi="Arial" w:cs="Arial"/>
          <w:sz w:val="24"/>
          <w:szCs w:val="24"/>
        </w:rPr>
      </w:pPr>
      <w:r w:rsidRPr="0060305C">
        <w:rPr>
          <w:rFonts w:ascii="Arial" w:hAnsi="Arial" w:cs="Arial"/>
          <w:sz w:val="24"/>
          <w:szCs w:val="24"/>
        </w:rPr>
        <w:t xml:space="preserve">This health needs assessment aims to </w:t>
      </w:r>
      <w:r w:rsidR="00417E0D" w:rsidRPr="0060305C">
        <w:rPr>
          <w:rFonts w:ascii="Arial" w:hAnsi="Arial" w:cs="Arial"/>
          <w:sz w:val="24"/>
          <w:szCs w:val="24"/>
        </w:rPr>
        <w:t xml:space="preserve">assess the current </w:t>
      </w:r>
      <w:r w:rsidR="00F90945">
        <w:rPr>
          <w:rFonts w:ascii="Arial" w:hAnsi="Arial" w:cs="Arial"/>
          <w:sz w:val="24"/>
          <w:szCs w:val="24"/>
        </w:rPr>
        <w:t>provision of</w:t>
      </w:r>
      <w:r w:rsidR="00417E0D" w:rsidRPr="0060305C">
        <w:rPr>
          <w:rFonts w:ascii="Arial" w:hAnsi="Arial" w:cs="Arial"/>
          <w:sz w:val="24"/>
          <w:szCs w:val="24"/>
        </w:rPr>
        <w:t xml:space="preserve"> DES</w:t>
      </w:r>
      <w:r w:rsidR="00DE5705" w:rsidRPr="0060305C">
        <w:rPr>
          <w:rFonts w:ascii="Arial" w:hAnsi="Arial" w:cs="Arial"/>
          <w:sz w:val="24"/>
          <w:szCs w:val="24"/>
        </w:rPr>
        <w:t xml:space="preserve"> services in Kent and Medway, identify any gaps in the service as well as possible health gains that can occur in the re-procuring of the service.</w:t>
      </w:r>
      <w:r w:rsidR="007F44D8">
        <w:rPr>
          <w:rFonts w:ascii="Arial" w:hAnsi="Arial" w:cs="Arial"/>
          <w:sz w:val="24"/>
          <w:szCs w:val="24"/>
        </w:rPr>
        <w:t xml:space="preserve"> It is expected that the provider will support the delivery of effective and efficient healthcare services alongside other partners across the sector for diabetes care in a systematic and sustainable manner.</w:t>
      </w:r>
    </w:p>
    <w:p w:rsidR="001F73F3" w:rsidRDefault="0060305C" w:rsidP="00BD11C6">
      <w:pPr>
        <w:pStyle w:val="Heading1"/>
        <w:spacing w:before="0"/>
        <w:ind w:left="426" w:hanging="426"/>
        <w:rPr>
          <w:rFonts w:ascii="Arial" w:hAnsi="Arial" w:cs="Arial"/>
          <w:sz w:val="32"/>
          <w:szCs w:val="32"/>
        </w:rPr>
      </w:pPr>
      <w:bookmarkStart w:id="4" w:name="_Toc512592218"/>
      <w:r w:rsidRPr="0060305C">
        <w:rPr>
          <w:rFonts w:ascii="Arial" w:hAnsi="Arial" w:cs="Arial"/>
          <w:sz w:val="32"/>
          <w:szCs w:val="32"/>
        </w:rPr>
        <w:lastRenderedPageBreak/>
        <w:t>2.</w:t>
      </w:r>
      <w:r w:rsidRPr="0060305C">
        <w:rPr>
          <w:rFonts w:ascii="Arial" w:hAnsi="Arial" w:cs="Arial"/>
          <w:sz w:val="32"/>
          <w:szCs w:val="32"/>
        </w:rPr>
        <w:tab/>
      </w:r>
      <w:r>
        <w:rPr>
          <w:rFonts w:ascii="Arial" w:hAnsi="Arial" w:cs="Arial"/>
          <w:sz w:val="32"/>
          <w:szCs w:val="32"/>
        </w:rPr>
        <w:t>Overview of Kent &amp; Medway P</w:t>
      </w:r>
      <w:r w:rsidR="001F73F3" w:rsidRPr="0060305C">
        <w:rPr>
          <w:rFonts w:ascii="Arial" w:hAnsi="Arial" w:cs="Arial"/>
          <w:sz w:val="32"/>
          <w:szCs w:val="32"/>
        </w:rPr>
        <w:t>opulation</w:t>
      </w:r>
      <w:bookmarkEnd w:id="4"/>
      <w:r w:rsidR="001F73F3" w:rsidRPr="0060305C">
        <w:rPr>
          <w:rFonts w:ascii="Arial" w:hAnsi="Arial" w:cs="Arial"/>
          <w:sz w:val="32"/>
          <w:szCs w:val="32"/>
        </w:rPr>
        <w:t xml:space="preserve"> </w:t>
      </w:r>
    </w:p>
    <w:p w:rsidR="00BD11C6" w:rsidRDefault="00BD11C6" w:rsidP="00BD11C6">
      <w:pPr>
        <w:spacing w:after="0"/>
        <w:rPr>
          <w:rFonts w:ascii="Arial" w:hAnsi="Arial" w:cs="Arial"/>
          <w:sz w:val="24"/>
          <w:szCs w:val="24"/>
        </w:rPr>
      </w:pPr>
    </w:p>
    <w:p w:rsidR="001F73F3" w:rsidRDefault="00F94F6E" w:rsidP="00BD11C6">
      <w:pPr>
        <w:spacing w:after="0"/>
        <w:rPr>
          <w:rFonts w:ascii="Arial" w:hAnsi="Arial" w:cs="Arial"/>
          <w:sz w:val="24"/>
          <w:szCs w:val="24"/>
        </w:rPr>
      </w:pPr>
      <w:r>
        <w:rPr>
          <w:rFonts w:ascii="Arial" w:hAnsi="Arial" w:cs="Arial"/>
          <w:sz w:val="24"/>
          <w:szCs w:val="24"/>
        </w:rPr>
        <w:t>Kent and Medway area comprises eight CCGs:</w:t>
      </w:r>
      <w:r w:rsidRPr="00F94F6E">
        <w:rPr>
          <w:rFonts w:ascii="Arial" w:hAnsi="Arial" w:cs="Arial"/>
          <w:sz w:val="24"/>
          <w:szCs w:val="24"/>
        </w:rPr>
        <w:t xml:space="preserve"> Ashford, Canterbury &amp; Coastal, Dartford Gravesham &amp; Swanley, Medway, South Kent Coast, Swale, Thanet and West Kent – which cover the areas of Kent County Counci</w:t>
      </w:r>
      <w:r w:rsidR="00BD11C6">
        <w:rPr>
          <w:rFonts w:ascii="Arial" w:hAnsi="Arial" w:cs="Arial"/>
          <w:sz w:val="24"/>
          <w:szCs w:val="24"/>
        </w:rPr>
        <w:t xml:space="preserve">l and Medway Unitary Authority.  </w:t>
      </w:r>
      <w:r w:rsidRPr="00F94F6E">
        <w:rPr>
          <w:rFonts w:ascii="Arial" w:hAnsi="Arial" w:cs="Arial"/>
          <w:sz w:val="24"/>
          <w:szCs w:val="24"/>
        </w:rPr>
        <w:t>There are around 1.8 million residents in K&amp;M and the area spends £3.6bn on health and social care. There are seven acute hospitals, three providers of community services and three providers of mental health services, as well as 249 GP practices and a</w:t>
      </w:r>
      <w:r w:rsidR="00BD11C6">
        <w:rPr>
          <w:rFonts w:ascii="Arial" w:hAnsi="Arial" w:cs="Arial"/>
          <w:sz w:val="24"/>
          <w:szCs w:val="24"/>
        </w:rPr>
        <w:t>round 466 social care providers, (</w:t>
      </w:r>
      <w:r>
        <w:rPr>
          <w:rFonts w:ascii="Arial" w:hAnsi="Arial" w:cs="Arial"/>
          <w:sz w:val="24"/>
          <w:szCs w:val="24"/>
        </w:rPr>
        <w:t xml:space="preserve">Kent </w:t>
      </w:r>
      <w:r w:rsidR="00BD11C6">
        <w:rPr>
          <w:rFonts w:ascii="Arial" w:hAnsi="Arial" w:cs="Arial"/>
          <w:sz w:val="24"/>
          <w:szCs w:val="24"/>
        </w:rPr>
        <w:t>Public Health Observatory, 2017)</w:t>
      </w:r>
      <w:r w:rsidR="007F44D8">
        <w:rPr>
          <w:rFonts w:ascii="Arial" w:hAnsi="Arial" w:cs="Arial"/>
          <w:sz w:val="24"/>
          <w:szCs w:val="24"/>
        </w:rPr>
        <w:t>. The Kent and Medway Sustainability Transformation Partnership (STP) is coterminous with this area.</w:t>
      </w:r>
    </w:p>
    <w:p w:rsidR="00BD11C6" w:rsidRPr="0060305C" w:rsidRDefault="00BD11C6" w:rsidP="00BD11C6">
      <w:pPr>
        <w:spacing w:after="0"/>
        <w:rPr>
          <w:rFonts w:ascii="Arial" w:hAnsi="Arial" w:cs="Arial"/>
          <w:sz w:val="24"/>
          <w:szCs w:val="24"/>
        </w:rPr>
      </w:pPr>
    </w:p>
    <w:p w:rsidR="00011351" w:rsidRDefault="00BD11C6" w:rsidP="00BD11C6">
      <w:pPr>
        <w:spacing w:after="0"/>
        <w:rPr>
          <w:rFonts w:ascii="Arial" w:hAnsi="Arial" w:cs="Arial"/>
        </w:rPr>
      </w:pPr>
      <w:r>
        <w:rPr>
          <w:rFonts w:ascii="Arial" w:hAnsi="Arial" w:cs="Arial"/>
          <w:sz w:val="24"/>
          <w:szCs w:val="24"/>
        </w:rPr>
        <w:t>R</w:t>
      </w:r>
      <w:r w:rsidR="00011351" w:rsidRPr="0060305C">
        <w:rPr>
          <w:rFonts w:ascii="Arial" w:hAnsi="Arial" w:cs="Arial"/>
          <w:sz w:val="24"/>
          <w:szCs w:val="24"/>
        </w:rPr>
        <w:t>ecent estimates of the registered population from NHS Digital published in October 2017, show a registered popu</w:t>
      </w:r>
      <w:r w:rsidR="00F560F4">
        <w:rPr>
          <w:rFonts w:ascii="Arial" w:hAnsi="Arial" w:cs="Arial"/>
          <w:sz w:val="24"/>
          <w:szCs w:val="24"/>
        </w:rPr>
        <w:t xml:space="preserve">lation for Kent and Medway </w:t>
      </w:r>
      <w:r w:rsidR="00011351" w:rsidRPr="0060305C">
        <w:rPr>
          <w:rFonts w:ascii="Arial" w:hAnsi="Arial" w:cs="Arial"/>
          <w:sz w:val="24"/>
          <w:szCs w:val="24"/>
        </w:rPr>
        <w:t>as 1,849,120</w:t>
      </w:r>
      <w:r>
        <w:rPr>
          <w:rFonts w:ascii="Arial" w:hAnsi="Arial" w:cs="Arial"/>
          <w:sz w:val="24"/>
          <w:szCs w:val="24"/>
        </w:rPr>
        <w:t xml:space="preserve"> (as of</w:t>
      </w:r>
      <w:r w:rsidRPr="0060305C">
        <w:rPr>
          <w:rFonts w:ascii="Arial" w:hAnsi="Arial" w:cs="Arial"/>
          <w:sz w:val="24"/>
          <w:szCs w:val="24"/>
        </w:rPr>
        <w:t xml:space="preserve"> March 2017</w:t>
      </w:r>
      <w:r>
        <w:rPr>
          <w:rFonts w:ascii="Arial" w:hAnsi="Arial" w:cs="Arial"/>
          <w:sz w:val="24"/>
          <w:szCs w:val="24"/>
        </w:rPr>
        <w:t>)</w:t>
      </w:r>
      <w:r w:rsidR="00011351" w:rsidRPr="0060305C">
        <w:rPr>
          <w:rFonts w:ascii="Arial" w:hAnsi="Arial" w:cs="Arial"/>
          <w:sz w:val="24"/>
          <w:szCs w:val="24"/>
        </w:rPr>
        <w:t xml:space="preserve">. This population forms the basis of referral and invitation </w:t>
      </w:r>
      <w:r w:rsidR="00DD20C2" w:rsidRPr="0060305C">
        <w:rPr>
          <w:rFonts w:ascii="Arial" w:hAnsi="Arial" w:cs="Arial"/>
          <w:sz w:val="24"/>
          <w:szCs w:val="24"/>
        </w:rPr>
        <w:t xml:space="preserve">of diagnosed diabetic population over the age of 12 years </w:t>
      </w:r>
      <w:r w:rsidR="00011351" w:rsidRPr="0060305C">
        <w:rPr>
          <w:rFonts w:ascii="Arial" w:hAnsi="Arial" w:cs="Arial"/>
          <w:sz w:val="24"/>
          <w:szCs w:val="24"/>
        </w:rPr>
        <w:t>to participate in the national diabetic eye screening programme</w:t>
      </w:r>
      <w:r w:rsidR="00011351" w:rsidRPr="00D81C91">
        <w:rPr>
          <w:rFonts w:ascii="Arial" w:hAnsi="Arial" w:cs="Arial"/>
        </w:rPr>
        <w:t xml:space="preserve">. </w:t>
      </w:r>
    </w:p>
    <w:p w:rsidR="00BD11C6" w:rsidRPr="00D81C91" w:rsidRDefault="00BD11C6" w:rsidP="00BD11C6">
      <w:pPr>
        <w:spacing w:after="0"/>
        <w:rPr>
          <w:rFonts w:ascii="Arial" w:hAnsi="Arial" w:cs="Arial"/>
        </w:rPr>
      </w:pPr>
    </w:p>
    <w:p w:rsidR="00D05F57" w:rsidRPr="007F6F7C" w:rsidRDefault="0060305C" w:rsidP="00BD11C6">
      <w:pPr>
        <w:pStyle w:val="Heading2"/>
        <w:spacing w:before="0"/>
        <w:ind w:left="426" w:hanging="426"/>
        <w:rPr>
          <w:rFonts w:ascii="Arial" w:hAnsi="Arial" w:cs="Arial"/>
          <w:color w:val="365F91" w:themeColor="accent1" w:themeShade="BF"/>
          <w:sz w:val="28"/>
          <w:szCs w:val="28"/>
        </w:rPr>
      </w:pPr>
      <w:bookmarkStart w:id="5" w:name="_Toc512592219"/>
      <w:r w:rsidRPr="007F6F7C">
        <w:rPr>
          <w:rFonts w:ascii="Arial" w:hAnsi="Arial" w:cs="Arial"/>
          <w:color w:val="365F91" w:themeColor="accent1" w:themeShade="BF"/>
          <w:sz w:val="28"/>
          <w:szCs w:val="28"/>
        </w:rPr>
        <w:t>2.1</w:t>
      </w:r>
      <w:r w:rsidRPr="007F6F7C">
        <w:rPr>
          <w:rFonts w:ascii="Arial" w:hAnsi="Arial" w:cs="Arial"/>
          <w:color w:val="365F91" w:themeColor="accent1" w:themeShade="BF"/>
          <w:sz w:val="28"/>
          <w:szCs w:val="28"/>
        </w:rPr>
        <w:tab/>
      </w:r>
      <w:r w:rsidR="002231A0" w:rsidRPr="007F6F7C">
        <w:rPr>
          <w:rFonts w:ascii="Arial" w:hAnsi="Arial" w:cs="Arial"/>
          <w:color w:val="365F91" w:themeColor="accent1" w:themeShade="BF"/>
          <w:sz w:val="28"/>
          <w:szCs w:val="28"/>
        </w:rPr>
        <w:t xml:space="preserve">Kent County Council </w:t>
      </w:r>
      <w:r w:rsidR="007F44D8" w:rsidRPr="007F6F7C">
        <w:rPr>
          <w:rFonts w:ascii="Arial" w:hAnsi="Arial" w:cs="Arial"/>
          <w:color w:val="365F91" w:themeColor="accent1" w:themeShade="BF"/>
          <w:sz w:val="28"/>
          <w:szCs w:val="28"/>
        </w:rPr>
        <w:t xml:space="preserve">(KCC) </w:t>
      </w:r>
      <w:r w:rsidR="002231A0" w:rsidRPr="007F6F7C">
        <w:rPr>
          <w:rFonts w:ascii="Arial" w:hAnsi="Arial" w:cs="Arial"/>
          <w:color w:val="365F91" w:themeColor="accent1" w:themeShade="BF"/>
          <w:sz w:val="28"/>
          <w:szCs w:val="28"/>
        </w:rPr>
        <w:t>population characteristics</w:t>
      </w:r>
      <w:bookmarkEnd w:id="5"/>
    </w:p>
    <w:p w:rsidR="00BD11C6" w:rsidRDefault="00BD11C6" w:rsidP="0060305C">
      <w:pPr>
        <w:spacing w:after="0"/>
        <w:rPr>
          <w:rFonts w:ascii="Arial" w:hAnsi="Arial" w:cs="Arial"/>
          <w:sz w:val="24"/>
          <w:szCs w:val="24"/>
        </w:rPr>
      </w:pPr>
    </w:p>
    <w:p w:rsidR="002231A0" w:rsidRDefault="002231A0" w:rsidP="0060305C">
      <w:pPr>
        <w:spacing w:after="0"/>
        <w:rPr>
          <w:rFonts w:ascii="Arial" w:hAnsi="Arial" w:cs="Arial"/>
          <w:sz w:val="24"/>
          <w:szCs w:val="24"/>
        </w:rPr>
      </w:pPr>
      <w:r w:rsidRPr="0060305C">
        <w:rPr>
          <w:rFonts w:ascii="Arial" w:hAnsi="Arial" w:cs="Arial"/>
          <w:sz w:val="24"/>
          <w:szCs w:val="24"/>
        </w:rPr>
        <w:t>According to the ONS mid-year 2016 population data, KCC has</w:t>
      </w:r>
      <w:r w:rsidR="006A615A">
        <w:rPr>
          <w:rFonts w:ascii="Arial" w:hAnsi="Arial" w:cs="Arial"/>
          <w:sz w:val="24"/>
          <w:szCs w:val="24"/>
        </w:rPr>
        <w:t xml:space="preserve"> a total population of 1,541,900 living w</w:t>
      </w:r>
      <w:r w:rsidRPr="0060305C">
        <w:rPr>
          <w:rFonts w:ascii="Arial" w:hAnsi="Arial" w:cs="Arial"/>
          <w:sz w:val="24"/>
          <w:szCs w:val="24"/>
        </w:rPr>
        <w:t xml:space="preserve">ithin 12 </w:t>
      </w:r>
      <w:r w:rsidR="006A615A">
        <w:rPr>
          <w:rFonts w:ascii="Arial" w:hAnsi="Arial" w:cs="Arial"/>
          <w:sz w:val="24"/>
          <w:szCs w:val="24"/>
        </w:rPr>
        <w:t xml:space="preserve">local authority districts. These </w:t>
      </w:r>
      <w:r w:rsidRPr="0060305C">
        <w:rPr>
          <w:rFonts w:ascii="Arial" w:hAnsi="Arial" w:cs="Arial"/>
          <w:sz w:val="24"/>
          <w:szCs w:val="24"/>
        </w:rPr>
        <w:t xml:space="preserve">districts </w:t>
      </w:r>
      <w:r w:rsidR="006A615A">
        <w:rPr>
          <w:rFonts w:ascii="Arial" w:hAnsi="Arial" w:cs="Arial"/>
          <w:sz w:val="24"/>
          <w:szCs w:val="24"/>
        </w:rPr>
        <w:t>(also referred to as</w:t>
      </w:r>
      <w:r w:rsidRPr="0060305C">
        <w:rPr>
          <w:rFonts w:ascii="Arial" w:hAnsi="Arial" w:cs="Arial"/>
          <w:sz w:val="24"/>
          <w:szCs w:val="24"/>
        </w:rPr>
        <w:t xml:space="preserve"> borough councils) are traditionally divided into West, North, East and South Kent areas: </w:t>
      </w:r>
    </w:p>
    <w:p w:rsidR="0060305C" w:rsidRPr="0060305C" w:rsidRDefault="0060305C" w:rsidP="0060305C">
      <w:pPr>
        <w:spacing w:after="0"/>
        <w:rPr>
          <w:rFonts w:ascii="Arial" w:hAnsi="Arial" w:cs="Arial"/>
          <w:sz w:val="24"/>
          <w:szCs w:val="24"/>
        </w:rPr>
      </w:pPr>
    </w:p>
    <w:p w:rsidR="002231A0" w:rsidRPr="0060305C" w:rsidRDefault="002231A0" w:rsidP="002231A0">
      <w:pPr>
        <w:numPr>
          <w:ilvl w:val="0"/>
          <w:numId w:val="3"/>
        </w:numPr>
        <w:rPr>
          <w:rFonts w:ascii="Arial" w:hAnsi="Arial" w:cs="Arial"/>
          <w:sz w:val="24"/>
          <w:szCs w:val="24"/>
        </w:rPr>
      </w:pPr>
      <w:r w:rsidRPr="0060305C">
        <w:rPr>
          <w:rFonts w:ascii="Arial" w:hAnsi="Arial" w:cs="Arial"/>
          <w:sz w:val="24"/>
          <w:szCs w:val="24"/>
        </w:rPr>
        <w:t xml:space="preserve">East Kent districts are Canterbury, Swale, Thanet </w:t>
      </w:r>
    </w:p>
    <w:p w:rsidR="002231A0" w:rsidRPr="0060305C" w:rsidRDefault="002231A0" w:rsidP="002231A0">
      <w:pPr>
        <w:numPr>
          <w:ilvl w:val="0"/>
          <w:numId w:val="3"/>
        </w:numPr>
        <w:rPr>
          <w:rFonts w:ascii="Arial" w:hAnsi="Arial" w:cs="Arial"/>
          <w:sz w:val="24"/>
          <w:szCs w:val="24"/>
        </w:rPr>
      </w:pPr>
      <w:r w:rsidRPr="0060305C">
        <w:rPr>
          <w:rFonts w:ascii="Arial" w:hAnsi="Arial" w:cs="Arial"/>
          <w:sz w:val="24"/>
          <w:szCs w:val="24"/>
        </w:rPr>
        <w:t xml:space="preserve">South Kent districts are Ashford, Dover, Shepway </w:t>
      </w:r>
    </w:p>
    <w:p w:rsidR="002231A0" w:rsidRPr="0060305C" w:rsidRDefault="002231A0" w:rsidP="002231A0">
      <w:pPr>
        <w:numPr>
          <w:ilvl w:val="0"/>
          <w:numId w:val="3"/>
        </w:numPr>
        <w:rPr>
          <w:rFonts w:ascii="Arial" w:hAnsi="Arial" w:cs="Arial"/>
          <w:sz w:val="24"/>
          <w:szCs w:val="24"/>
        </w:rPr>
      </w:pPr>
      <w:r w:rsidRPr="0060305C">
        <w:rPr>
          <w:rFonts w:ascii="Arial" w:hAnsi="Arial" w:cs="Arial"/>
          <w:sz w:val="24"/>
          <w:szCs w:val="24"/>
        </w:rPr>
        <w:t xml:space="preserve">North Kent districts are Dartford, Gravesham, Sevenoaks </w:t>
      </w:r>
    </w:p>
    <w:p w:rsidR="002231A0" w:rsidRDefault="002231A0" w:rsidP="002231A0">
      <w:pPr>
        <w:numPr>
          <w:ilvl w:val="0"/>
          <w:numId w:val="3"/>
        </w:numPr>
        <w:rPr>
          <w:rFonts w:ascii="Arial" w:hAnsi="Arial" w:cs="Arial"/>
          <w:sz w:val="24"/>
          <w:szCs w:val="24"/>
        </w:rPr>
      </w:pPr>
      <w:r w:rsidRPr="0060305C">
        <w:rPr>
          <w:rFonts w:ascii="Arial" w:hAnsi="Arial" w:cs="Arial"/>
          <w:sz w:val="24"/>
          <w:szCs w:val="24"/>
        </w:rPr>
        <w:t>West Kent districts are Maidstone, Tonbridge and Malling, Tunbridge Wells</w:t>
      </w:r>
      <w:r w:rsidR="006A615A">
        <w:rPr>
          <w:rFonts w:ascii="Arial" w:hAnsi="Arial" w:cs="Arial"/>
          <w:sz w:val="24"/>
          <w:szCs w:val="24"/>
        </w:rPr>
        <w:t xml:space="preserve"> (Kent County Council, 2017)</w:t>
      </w:r>
    </w:p>
    <w:p w:rsidR="00BD11C6" w:rsidRPr="007F6F7C" w:rsidRDefault="00323A14" w:rsidP="00BD11C6">
      <w:pPr>
        <w:pStyle w:val="Heading3"/>
        <w:spacing w:before="0"/>
        <w:rPr>
          <w:rFonts w:ascii="Arial" w:hAnsi="Arial" w:cs="Arial"/>
          <w:color w:val="365F91" w:themeColor="accent1" w:themeShade="BF"/>
          <w:sz w:val="24"/>
          <w:szCs w:val="24"/>
        </w:rPr>
      </w:pPr>
      <w:bookmarkStart w:id="6" w:name="_Toc512592220"/>
      <w:r w:rsidRPr="007F6F7C">
        <w:rPr>
          <w:rFonts w:ascii="Arial" w:hAnsi="Arial" w:cs="Arial"/>
          <w:color w:val="365F91" w:themeColor="accent1" w:themeShade="BF"/>
          <w:sz w:val="24"/>
          <w:szCs w:val="24"/>
        </w:rPr>
        <w:t>2.1.1 Ethnicity</w:t>
      </w:r>
      <w:bookmarkEnd w:id="6"/>
    </w:p>
    <w:p w:rsidR="006A615A" w:rsidRPr="006A615A" w:rsidRDefault="006A615A" w:rsidP="006A615A">
      <w:pPr>
        <w:rPr>
          <w:rFonts w:ascii="Arial" w:hAnsi="Arial" w:cs="Arial"/>
          <w:bCs/>
          <w:sz w:val="24"/>
          <w:szCs w:val="24"/>
        </w:rPr>
      </w:pPr>
      <w:r w:rsidRPr="006A615A">
        <w:rPr>
          <w:rFonts w:ascii="Arial" w:hAnsi="Arial" w:cs="Arial"/>
          <w:bCs/>
          <w:sz w:val="24"/>
          <w:szCs w:val="24"/>
        </w:rPr>
        <w:t xml:space="preserve">The following information has been obtained from the Kent County Council </w:t>
      </w:r>
      <w:r w:rsidR="00FD2A0E">
        <w:rPr>
          <w:rFonts w:ascii="Arial" w:hAnsi="Arial" w:cs="Arial"/>
          <w:bCs/>
          <w:sz w:val="24"/>
          <w:szCs w:val="24"/>
        </w:rPr>
        <w:t>(2013) Business Intelligence Statistical Bulletin</w:t>
      </w:r>
      <w:r w:rsidRPr="006A615A">
        <w:rPr>
          <w:rFonts w:ascii="Arial" w:hAnsi="Arial" w:cs="Arial"/>
          <w:bCs/>
          <w:sz w:val="24"/>
          <w:szCs w:val="24"/>
        </w:rPr>
        <w:t xml:space="preserve">. </w:t>
      </w:r>
    </w:p>
    <w:p w:rsidR="002231A0" w:rsidRPr="0060305C" w:rsidRDefault="002231A0" w:rsidP="002231A0">
      <w:pPr>
        <w:rPr>
          <w:rFonts w:ascii="Arial" w:hAnsi="Arial" w:cs="Arial"/>
          <w:sz w:val="24"/>
          <w:szCs w:val="24"/>
          <w:lang w:val="en"/>
        </w:rPr>
      </w:pPr>
      <w:r w:rsidRPr="0060305C">
        <w:rPr>
          <w:rFonts w:ascii="Arial" w:hAnsi="Arial" w:cs="Arial"/>
          <w:sz w:val="24"/>
          <w:szCs w:val="24"/>
          <w:lang w:val="en"/>
        </w:rPr>
        <w:t>The largest ethnic group in KCC is White. 93.7% of all residents are</w:t>
      </w:r>
      <w:r w:rsidR="00FD2A0E">
        <w:rPr>
          <w:rFonts w:ascii="Arial" w:hAnsi="Arial" w:cs="Arial"/>
          <w:sz w:val="24"/>
          <w:szCs w:val="24"/>
          <w:lang w:val="en"/>
        </w:rPr>
        <w:t xml:space="preserve"> of white ethnic origin, and 6.3</w:t>
      </w:r>
      <w:r w:rsidRPr="0060305C">
        <w:rPr>
          <w:rFonts w:ascii="Arial" w:hAnsi="Arial" w:cs="Arial"/>
          <w:sz w:val="24"/>
          <w:szCs w:val="24"/>
          <w:lang w:val="en"/>
        </w:rPr>
        <w:t xml:space="preserve">% are of Black Minority Ethnic (BME) origin. The largest single BME group in Kent is Indian representing 1.2% of the total population. </w:t>
      </w:r>
    </w:p>
    <w:p w:rsidR="00BD11C6" w:rsidRDefault="002231A0" w:rsidP="002231A0">
      <w:pPr>
        <w:rPr>
          <w:rFonts w:ascii="Arial" w:hAnsi="Arial" w:cs="Arial"/>
          <w:sz w:val="24"/>
          <w:szCs w:val="24"/>
        </w:rPr>
      </w:pPr>
      <w:r w:rsidRPr="0060305C">
        <w:rPr>
          <w:rFonts w:ascii="Arial" w:hAnsi="Arial" w:cs="Arial"/>
          <w:sz w:val="24"/>
          <w:szCs w:val="24"/>
          <w:lang w:val="en"/>
        </w:rPr>
        <w:t>Of the 12 districts, Gravesham has the highest number and proportion of residents from a BME group. 17.2% of Gravesham’s population, 17,494 people are from a BME group. This is much higher than the national and regional proportions.</w:t>
      </w:r>
      <w:r w:rsidRPr="0060305C">
        <w:rPr>
          <w:rFonts w:ascii="Arial" w:hAnsi="Arial" w:cs="Arial"/>
          <w:sz w:val="24"/>
          <w:szCs w:val="24"/>
        </w:rPr>
        <w:t xml:space="preserve"> </w:t>
      </w:r>
    </w:p>
    <w:p w:rsidR="002231A0" w:rsidRPr="0060305C" w:rsidRDefault="002231A0" w:rsidP="002231A0">
      <w:pPr>
        <w:rPr>
          <w:rFonts w:ascii="Arial" w:hAnsi="Arial" w:cs="Arial"/>
          <w:sz w:val="24"/>
          <w:szCs w:val="24"/>
          <w:lang w:val="en"/>
        </w:rPr>
      </w:pPr>
      <w:r w:rsidRPr="0060305C">
        <w:rPr>
          <w:rFonts w:ascii="Arial" w:hAnsi="Arial" w:cs="Arial"/>
          <w:sz w:val="24"/>
          <w:szCs w:val="24"/>
        </w:rPr>
        <w:lastRenderedPageBreak/>
        <w:t xml:space="preserve">Dartford has the second highest BME population with 12,295 residents (12.6%) from a BME group. Canterbury is third with 10,525 residents (7.0%). All of these areas have a have a higher proportion of BME residents compared to the Kent average of 6.3% </w:t>
      </w:r>
    </w:p>
    <w:p w:rsidR="002231A0" w:rsidRPr="0060305C" w:rsidRDefault="002231A0" w:rsidP="002231A0">
      <w:pPr>
        <w:rPr>
          <w:rFonts w:ascii="Arial" w:hAnsi="Arial" w:cs="Arial"/>
          <w:sz w:val="24"/>
          <w:szCs w:val="24"/>
        </w:rPr>
      </w:pPr>
      <w:r w:rsidRPr="0060305C">
        <w:rPr>
          <w:rFonts w:ascii="Arial" w:hAnsi="Arial" w:cs="Arial"/>
          <w:sz w:val="24"/>
          <w:szCs w:val="24"/>
        </w:rPr>
        <w:t>Of the 12 districts, Dover has the lowest number and proportion of residents from a BME group. 3.32% of Dover’s population, 3,708 people are from a BME group.</w:t>
      </w:r>
    </w:p>
    <w:p w:rsidR="002231A0" w:rsidRPr="0060305C" w:rsidRDefault="002231A0" w:rsidP="002231A0">
      <w:pPr>
        <w:rPr>
          <w:rFonts w:ascii="Arial" w:hAnsi="Arial" w:cs="Arial"/>
          <w:sz w:val="24"/>
          <w:szCs w:val="24"/>
          <w:lang w:val="en"/>
        </w:rPr>
      </w:pPr>
      <w:r w:rsidRPr="0060305C">
        <w:rPr>
          <w:rFonts w:ascii="Arial" w:hAnsi="Arial" w:cs="Arial"/>
          <w:sz w:val="24"/>
          <w:szCs w:val="24"/>
          <w:lang w:val="en"/>
        </w:rPr>
        <w:t>The Asian/ Asian British group is the 2nd largest ethnic group after the “White” ethnic group in Kent. 47,614 of KCC’s residents are from this ethnic group which equates to 3.3% of the total population.</w:t>
      </w:r>
    </w:p>
    <w:p w:rsidR="002231A0" w:rsidRDefault="002231A0" w:rsidP="002231A0">
      <w:pPr>
        <w:rPr>
          <w:rFonts w:ascii="Arial" w:hAnsi="Arial" w:cs="Arial"/>
          <w:sz w:val="24"/>
          <w:szCs w:val="24"/>
          <w:lang w:val="en"/>
        </w:rPr>
      </w:pPr>
      <w:r w:rsidRPr="0060305C">
        <w:rPr>
          <w:rFonts w:ascii="Arial" w:hAnsi="Arial" w:cs="Arial"/>
          <w:sz w:val="24"/>
          <w:szCs w:val="24"/>
          <w:lang w:val="en"/>
        </w:rPr>
        <w:t>The 3rd largest ethnic group is the mixed/multiple ethnic group with a population of 22,107 people. This accounts for 1.5% of Kent’s total population. The Black/ African / Caribbean/ Black British group accounts for 1.1% of the total KCC area population. This is equivalent to a total of 16,216 people. The smallest ethnic group is the “Other” ethnic group which accounts for less than 1% of KCC’s total population with a total of 6,701 people.</w:t>
      </w:r>
    </w:p>
    <w:p w:rsidR="00065E40" w:rsidRPr="007F6F7C" w:rsidRDefault="00323A14" w:rsidP="00323A14">
      <w:pPr>
        <w:pStyle w:val="Heading3"/>
        <w:rPr>
          <w:rFonts w:ascii="Arial" w:hAnsi="Arial" w:cs="Arial"/>
          <w:color w:val="365F91" w:themeColor="accent1" w:themeShade="BF"/>
          <w:sz w:val="24"/>
          <w:szCs w:val="24"/>
          <w:lang w:val="en"/>
        </w:rPr>
      </w:pPr>
      <w:bookmarkStart w:id="7" w:name="_Toc512592221"/>
      <w:r w:rsidRPr="007F6F7C">
        <w:rPr>
          <w:rFonts w:ascii="Arial" w:hAnsi="Arial" w:cs="Arial"/>
          <w:color w:val="365F91" w:themeColor="accent1" w:themeShade="BF"/>
          <w:sz w:val="24"/>
          <w:szCs w:val="24"/>
          <w:lang w:val="en"/>
        </w:rPr>
        <w:t>2.1.2 Deprivation</w:t>
      </w:r>
      <w:bookmarkEnd w:id="7"/>
      <w:r w:rsidRPr="007F6F7C">
        <w:rPr>
          <w:rFonts w:ascii="Arial" w:hAnsi="Arial" w:cs="Arial"/>
          <w:color w:val="365F91" w:themeColor="accent1" w:themeShade="BF"/>
          <w:sz w:val="24"/>
          <w:szCs w:val="24"/>
          <w:lang w:val="en"/>
        </w:rPr>
        <w:t xml:space="preserve"> </w:t>
      </w:r>
    </w:p>
    <w:p w:rsidR="00323A14" w:rsidRPr="006A615A" w:rsidRDefault="00323A14" w:rsidP="00323A14">
      <w:pPr>
        <w:rPr>
          <w:rFonts w:ascii="Arial" w:hAnsi="Arial" w:cs="Arial"/>
          <w:bCs/>
          <w:sz w:val="24"/>
          <w:szCs w:val="24"/>
        </w:rPr>
      </w:pPr>
      <w:r w:rsidRPr="006A615A">
        <w:rPr>
          <w:rFonts w:ascii="Arial" w:hAnsi="Arial" w:cs="Arial"/>
          <w:bCs/>
          <w:sz w:val="24"/>
          <w:szCs w:val="24"/>
        </w:rPr>
        <w:t xml:space="preserve">The following information has been obtained from the Kent County Council </w:t>
      </w:r>
      <w:r>
        <w:rPr>
          <w:rFonts w:ascii="Arial" w:hAnsi="Arial" w:cs="Arial"/>
          <w:bCs/>
          <w:sz w:val="24"/>
          <w:szCs w:val="24"/>
        </w:rPr>
        <w:t>(2015) Business Intelligence Statistical Bulletin</w:t>
      </w:r>
      <w:r w:rsidRPr="006A615A">
        <w:rPr>
          <w:rFonts w:ascii="Arial" w:hAnsi="Arial" w:cs="Arial"/>
          <w:bCs/>
          <w:sz w:val="24"/>
          <w:szCs w:val="24"/>
        </w:rPr>
        <w:t xml:space="preserve">. </w:t>
      </w:r>
    </w:p>
    <w:p w:rsidR="00323A14" w:rsidRPr="0060305C" w:rsidRDefault="00323A14" w:rsidP="00323A14">
      <w:pPr>
        <w:rPr>
          <w:rFonts w:ascii="Arial" w:hAnsi="Arial" w:cs="Arial"/>
          <w:sz w:val="24"/>
          <w:szCs w:val="24"/>
          <w:lang w:val="en"/>
        </w:rPr>
      </w:pPr>
      <w:r w:rsidRPr="00323A14">
        <w:rPr>
          <w:rFonts w:ascii="Arial" w:hAnsi="Arial" w:cs="Arial"/>
          <w:sz w:val="24"/>
          <w:szCs w:val="24"/>
        </w:rPr>
        <w:t>The overall IMD2015 ranks Kent at 100 out of 152 local authorities in England</w:t>
      </w:r>
      <w:r>
        <w:rPr>
          <w:rFonts w:ascii="Arial" w:hAnsi="Arial" w:cs="Arial"/>
          <w:sz w:val="24"/>
          <w:szCs w:val="24"/>
        </w:rPr>
        <w:t xml:space="preserve">. </w:t>
      </w:r>
      <w:r w:rsidRPr="00323A14">
        <w:rPr>
          <w:rFonts w:ascii="Arial" w:hAnsi="Arial" w:cs="Arial"/>
          <w:sz w:val="24"/>
          <w:szCs w:val="24"/>
        </w:rPr>
        <w:t>This places Kent within the least 50% deprived local authorities in England.</w:t>
      </w:r>
      <w:r>
        <w:rPr>
          <w:rFonts w:ascii="Arial" w:hAnsi="Arial" w:cs="Arial"/>
          <w:sz w:val="24"/>
          <w:szCs w:val="24"/>
        </w:rPr>
        <w:t xml:space="preserve"> </w:t>
      </w:r>
      <w:r w:rsidRPr="00323A14">
        <w:rPr>
          <w:rFonts w:ascii="Arial" w:hAnsi="Arial" w:cs="Arial"/>
          <w:sz w:val="24"/>
          <w:szCs w:val="24"/>
        </w:rPr>
        <w:t>This position is two places higher than the IMD2010 and six places higher</w:t>
      </w:r>
      <w:r>
        <w:rPr>
          <w:rFonts w:ascii="Arial" w:hAnsi="Arial" w:cs="Arial"/>
          <w:sz w:val="24"/>
          <w:szCs w:val="24"/>
        </w:rPr>
        <w:t xml:space="preserve"> </w:t>
      </w:r>
      <w:r w:rsidRPr="00323A14">
        <w:rPr>
          <w:rFonts w:ascii="Arial" w:hAnsi="Arial" w:cs="Arial"/>
          <w:sz w:val="24"/>
          <w:szCs w:val="24"/>
        </w:rPr>
        <w:t>than the IMD2007 which indicates that Kent has become more deprived in</w:t>
      </w:r>
      <w:r>
        <w:rPr>
          <w:rFonts w:ascii="Arial" w:hAnsi="Arial" w:cs="Arial"/>
          <w:sz w:val="24"/>
          <w:szCs w:val="24"/>
        </w:rPr>
        <w:t xml:space="preserve"> </w:t>
      </w:r>
      <w:r w:rsidRPr="00323A14">
        <w:rPr>
          <w:rFonts w:ascii="Arial" w:hAnsi="Arial" w:cs="Arial"/>
          <w:sz w:val="24"/>
          <w:szCs w:val="24"/>
        </w:rPr>
        <w:t>2015 relative to all other areas.</w:t>
      </w:r>
    </w:p>
    <w:p w:rsidR="00323A14" w:rsidRPr="00323A14" w:rsidRDefault="00323A14" w:rsidP="00323A14">
      <w:pPr>
        <w:rPr>
          <w:rFonts w:ascii="Arial" w:hAnsi="Arial" w:cs="Arial"/>
          <w:sz w:val="24"/>
          <w:szCs w:val="24"/>
        </w:rPr>
      </w:pPr>
      <w:bookmarkStart w:id="8" w:name="_Toc491257083"/>
      <w:r w:rsidRPr="00323A14">
        <w:rPr>
          <w:rFonts w:ascii="Arial" w:hAnsi="Arial" w:cs="Arial"/>
          <w:sz w:val="24"/>
          <w:szCs w:val="24"/>
        </w:rPr>
        <w:t>Thanet was the most deprived local authority in the IMD2010 and remains</w:t>
      </w:r>
      <w:r>
        <w:rPr>
          <w:rFonts w:ascii="Arial" w:hAnsi="Arial" w:cs="Arial"/>
          <w:sz w:val="24"/>
          <w:szCs w:val="24"/>
        </w:rPr>
        <w:t xml:space="preserve"> </w:t>
      </w:r>
      <w:r w:rsidRPr="00323A14">
        <w:rPr>
          <w:rFonts w:ascii="Arial" w:hAnsi="Arial" w:cs="Arial"/>
          <w:sz w:val="24"/>
          <w:szCs w:val="24"/>
        </w:rPr>
        <w:t>Kent’s most deprived local authority district in IMD2015. Nationally, Thanet is</w:t>
      </w:r>
      <w:r>
        <w:rPr>
          <w:rFonts w:ascii="Arial" w:hAnsi="Arial" w:cs="Arial"/>
          <w:sz w:val="24"/>
          <w:szCs w:val="24"/>
        </w:rPr>
        <w:t xml:space="preserve"> </w:t>
      </w:r>
      <w:r w:rsidRPr="00323A14">
        <w:rPr>
          <w:rFonts w:ascii="Arial" w:hAnsi="Arial" w:cs="Arial"/>
          <w:sz w:val="24"/>
          <w:szCs w:val="24"/>
        </w:rPr>
        <w:t>ranked at 21 out of 326 authorities placing it within England’s 10% most</w:t>
      </w:r>
      <w:r>
        <w:rPr>
          <w:rFonts w:ascii="Arial" w:hAnsi="Arial" w:cs="Arial"/>
          <w:sz w:val="24"/>
          <w:szCs w:val="24"/>
        </w:rPr>
        <w:t xml:space="preserve"> </w:t>
      </w:r>
      <w:r w:rsidRPr="00323A14">
        <w:rPr>
          <w:rFonts w:ascii="Arial" w:hAnsi="Arial" w:cs="Arial"/>
          <w:sz w:val="24"/>
          <w:szCs w:val="24"/>
        </w:rPr>
        <w:t>deprived of authorities.</w:t>
      </w:r>
    </w:p>
    <w:p w:rsidR="00323A14" w:rsidRPr="00323A14" w:rsidRDefault="00323A14" w:rsidP="00323A14">
      <w:pPr>
        <w:rPr>
          <w:rFonts w:ascii="Arial" w:hAnsi="Arial" w:cs="Arial"/>
          <w:sz w:val="24"/>
          <w:szCs w:val="24"/>
        </w:rPr>
      </w:pPr>
      <w:r w:rsidRPr="00323A14">
        <w:rPr>
          <w:rFonts w:ascii="Arial" w:hAnsi="Arial" w:cs="Arial"/>
          <w:sz w:val="24"/>
          <w:szCs w:val="24"/>
        </w:rPr>
        <w:t>Kent’s least deprived local authority district in the IMD2015 is Tunbridge Wells</w:t>
      </w:r>
      <w:r>
        <w:rPr>
          <w:rFonts w:ascii="Arial" w:hAnsi="Arial" w:cs="Arial"/>
          <w:sz w:val="24"/>
          <w:szCs w:val="24"/>
        </w:rPr>
        <w:t xml:space="preserve"> </w:t>
      </w:r>
      <w:r w:rsidRPr="00323A14">
        <w:rPr>
          <w:rFonts w:ascii="Arial" w:hAnsi="Arial" w:cs="Arial"/>
          <w:sz w:val="24"/>
          <w:szCs w:val="24"/>
        </w:rPr>
        <w:t>with a rank of 282 out of 326 authorities. This rank places Tunbridge Wells</w:t>
      </w:r>
      <w:r>
        <w:rPr>
          <w:rFonts w:ascii="Arial" w:hAnsi="Arial" w:cs="Arial"/>
          <w:sz w:val="24"/>
          <w:szCs w:val="24"/>
        </w:rPr>
        <w:t xml:space="preserve"> </w:t>
      </w:r>
      <w:r w:rsidRPr="00323A14">
        <w:rPr>
          <w:rFonts w:ascii="Arial" w:hAnsi="Arial" w:cs="Arial"/>
          <w:sz w:val="24"/>
          <w:szCs w:val="24"/>
        </w:rPr>
        <w:t>within the least 20% deprived areas in England.</w:t>
      </w:r>
    </w:p>
    <w:p w:rsidR="00323A14" w:rsidRPr="00323A14" w:rsidRDefault="00323A14" w:rsidP="00323A14">
      <w:pPr>
        <w:rPr>
          <w:rFonts w:ascii="Arial" w:hAnsi="Arial" w:cs="Arial"/>
          <w:sz w:val="24"/>
          <w:szCs w:val="24"/>
        </w:rPr>
      </w:pPr>
      <w:r w:rsidRPr="00323A14">
        <w:rPr>
          <w:rFonts w:ascii="Arial" w:hAnsi="Arial" w:cs="Arial"/>
          <w:sz w:val="24"/>
          <w:szCs w:val="24"/>
        </w:rPr>
        <w:t>Deprivation levels have increased in eight out of the 12 local authority districts</w:t>
      </w:r>
      <w:r>
        <w:rPr>
          <w:rFonts w:ascii="Arial" w:hAnsi="Arial" w:cs="Arial"/>
          <w:sz w:val="24"/>
          <w:szCs w:val="24"/>
        </w:rPr>
        <w:t xml:space="preserve"> </w:t>
      </w:r>
      <w:r w:rsidRPr="00323A14">
        <w:rPr>
          <w:rFonts w:ascii="Arial" w:hAnsi="Arial" w:cs="Arial"/>
          <w:sz w:val="24"/>
          <w:szCs w:val="24"/>
        </w:rPr>
        <w:t>relative to all other areas between IMD2010 and IMD2015.</w:t>
      </w:r>
      <w:r>
        <w:rPr>
          <w:rFonts w:ascii="Arial" w:hAnsi="Arial" w:cs="Arial"/>
          <w:sz w:val="24"/>
          <w:szCs w:val="24"/>
        </w:rPr>
        <w:t xml:space="preserve"> </w:t>
      </w:r>
      <w:r w:rsidRPr="00323A14">
        <w:rPr>
          <w:rFonts w:ascii="Arial" w:hAnsi="Arial" w:cs="Arial"/>
          <w:sz w:val="24"/>
          <w:szCs w:val="24"/>
        </w:rPr>
        <w:t>Ashford and Swale have seen the greatest change in national rank, both</w:t>
      </w:r>
      <w:r>
        <w:rPr>
          <w:rFonts w:ascii="Arial" w:hAnsi="Arial" w:cs="Arial"/>
          <w:sz w:val="24"/>
          <w:szCs w:val="24"/>
        </w:rPr>
        <w:t xml:space="preserve"> </w:t>
      </w:r>
      <w:r w:rsidRPr="00323A14">
        <w:rPr>
          <w:rFonts w:ascii="Arial" w:hAnsi="Arial" w:cs="Arial"/>
          <w:sz w:val="24"/>
          <w:szCs w:val="24"/>
        </w:rPr>
        <w:t>moving up 22 places between 2010 and 2015. This indicates that these areas</w:t>
      </w:r>
      <w:r>
        <w:rPr>
          <w:rFonts w:ascii="Arial" w:hAnsi="Arial" w:cs="Arial"/>
          <w:sz w:val="24"/>
          <w:szCs w:val="24"/>
        </w:rPr>
        <w:t xml:space="preserve"> </w:t>
      </w:r>
      <w:r w:rsidRPr="00323A14">
        <w:rPr>
          <w:rFonts w:ascii="Arial" w:hAnsi="Arial" w:cs="Arial"/>
          <w:sz w:val="24"/>
          <w:szCs w:val="24"/>
        </w:rPr>
        <w:t>are more deprived in 2015 than in 2010 relative to all other local authorities in</w:t>
      </w:r>
      <w:r>
        <w:rPr>
          <w:rFonts w:ascii="Arial" w:hAnsi="Arial" w:cs="Arial"/>
          <w:sz w:val="24"/>
          <w:szCs w:val="24"/>
        </w:rPr>
        <w:t xml:space="preserve"> </w:t>
      </w:r>
      <w:r w:rsidRPr="00323A14">
        <w:rPr>
          <w:rFonts w:ascii="Arial" w:hAnsi="Arial" w:cs="Arial"/>
          <w:sz w:val="24"/>
          <w:szCs w:val="24"/>
        </w:rPr>
        <w:t>England.</w:t>
      </w:r>
    </w:p>
    <w:p w:rsidR="00995053" w:rsidRDefault="00323A14" w:rsidP="00323A14">
      <w:pPr>
        <w:rPr>
          <w:rFonts w:ascii="Arial" w:hAnsi="Arial" w:cs="Arial"/>
          <w:sz w:val="24"/>
          <w:szCs w:val="24"/>
        </w:rPr>
      </w:pPr>
      <w:r w:rsidRPr="00323A14">
        <w:rPr>
          <w:rFonts w:ascii="Arial" w:hAnsi="Arial" w:cs="Arial"/>
          <w:sz w:val="24"/>
          <w:szCs w:val="24"/>
        </w:rPr>
        <w:t>Canterbury, Shepway, Tonbridge &amp; Malling and Tunbridge Wells have all</w:t>
      </w:r>
      <w:r>
        <w:rPr>
          <w:rFonts w:ascii="Arial" w:hAnsi="Arial" w:cs="Arial"/>
          <w:sz w:val="24"/>
          <w:szCs w:val="24"/>
        </w:rPr>
        <w:t xml:space="preserve"> </w:t>
      </w:r>
      <w:r w:rsidRPr="00323A14">
        <w:rPr>
          <w:rFonts w:ascii="Arial" w:hAnsi="Arial" w:cs="Arial"/>
          <w:sz w:val="24"/>
          <w:szCs w:val="24"/>
        </w:rPr>
        <w:t>moved down</w:t>
      </w:r>
      <w:r w:rsidR="00AC7791">
        <w:rPr>
          <w:rFonts w:ascii="Arial" w:hAnsi="Arial" w:cs="Arial"/>
          <w:sz w:val="24"/>
          <w:szCs w:val="24"/>
        </w:rPr>
        <w:t xml:space="preserve"> in the rankings which indicate</w:t>
      </w:r>
      <w:r w:rsidRPr="00323A14">
        <w:rPr>
          <w:rFonts w:ascii="Arial" w:hAnsi="Arial" w:cs="Arial"/>
          <w:sz w:val="24"/>
          <w:szCs w:val="24"/>
        </w:rPr>
        <w:t xml:space="preserve"> that levels of deprivation have</w:t>
      </w:r>
      <w:r>
        <w:rPr>
          <w:rFonts w:ascii="Arial" w:hAnsi="Arial" w:cs="Arial"/>
          <w:sz w:val="24"/>
          <w:szCs w:val="24"/>
        </w:rPr>
        <w:t xml:space="preserve"> </w:t>
      </w:r>
      <w:r w:rsidRPr="00323A14">
        <w:rPr>
          <w:rFonts w:ascii="Arial" w:hAnsi="Arial" w:cs="Arial"/>
          <w:sz w:val="24"/>
          <w:szCs w:val="24"/>
        </w:rPr>
        <w:t>reduced between 2010 and 2015 relative to other local authorities in England.</w:t>
      </w:r>
    </w:p>
    <w:p w:rsidR="00BD11C6" w:rsidRDefault="00BD11C6">
      <w:pPr>
        <w:rPr>
          <w:rFonts w:ascii="Arial" w:hAnsi="Arial" w:cs="Arial"/>
          <w:b/>
          <w:bCs/>
        </w:rPr>
      </w:pPr>
      <w:r>
        <w:rPr>
          <w:rFonts w:ascii="Arial" w:hAnsi="Arial" w:cs="Arial"/>
          <w:b/>
          <w:bCs/>
        </w:rPr>
        <w:br w:type="page"/>
      </w:r>
    </w:p>
    <w:p w:rsidR="002231A0" w:rsidRPr="00CA3500" w:rsidRDefault="002231A0" w:rsidP="00323A14">
      <w:pPr>
        <w:rPr>
          <w:rFonts w:ascii="Arial" w:hAnsi="Arial" w:cs="Arial"/>
          <w:b/>
          <w:bCs/>
          <w:color w:val="365F91" w:themeColor="accent1" w:themeShade="BF"/>
          <w:sz w:val="24"/>
          <w:szCs w:val="24"/>
        </w:rPr>
      </w:pPr>
      <w:r w:rsidRPr="00CA3500">
        <w:rPr>
          <w:rFonts w:ascii="Arial" w:hAnsi="Arial" w:cs="Arial"/>
          <w:b/>
          <w:bCs/>
          <w:color w:val="365F91" w:themeColor="accent1" w:themeShade="BF"/>
          <w:sz w:val="24"/>
          <w:szCs w:val="24"/>
        </w:rPr>
        <w:lastRenderedPageBreak/>
        <w:t>Table 1: Kent Local Authorities by national and Kent ranks: IMD2010, IMD2015</w:t>
      </w:r>
      <w:bookmarkEnd w:id="8"/>
    </w:p>
    <w:p w:rsidR="009033B8" w:rsidRPr="00D81C91" w:rsidRDefault="002231A0" w:rsidP="009033B8">
      <w:pPr>
        <w:spacing w:after="0"/>
        <w:rPr>
          <w:rFonts w:ascii="Arial" w:hAnsi="Arial" w:cs="Arial"/>
        </w:rPr>
      </w:pPr>
      <w:r w:rsidRPr="00D81C91">
        <w:rPr>
          <w:rFonts w:ascii="Arial" w:hAnsi="Arial" w:cs="Arial"/>
          <w:noProof/>
          <w:lang w:eastAsia="en-GB"/>
        </w:rPr>
        <w:drawing>
          <wp:inline distT="0" distB="0" distL="0" distR="0" wp14:anchorId="355A6C6D" wp14:editId="68FE5388">
            <wp:extent cx="6018028" cy="35512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8879" r="7061" b="13084"/>
                    <a:stretch/>
                  </pic:blipFill>
                  <pic:spPr bwMode="auto">
                    <a:xfrm>
                      <a:off x="0" y="0"/>
                      <a:ext cx="6018028" cy="3551275"/>
                    </a:xfrm>
                    <a:prstGeom prst="rect">
                      <a:avLst/>
                    </a:prstGeom>
                    <a:noFill/>
                    <a:ln>
                      <a:noFill/>
                    </a:ln>
                    <a:extLst>
                      <a:ext uri="{53640926-AAD7-44D8-BBD7-CCE9431645EC}">
                        <a14:shadowObscured xmlns:a14="http://schemas.microsoft.com/office/drawing/2010/main"/>
                      </a:ext>
                    </a:extLst>
                  </pic:spPr>
                </pic:pic>
              </a:graphicData>
            </a:graphic>
          </wp:inline>
        </w:drawing>
      </w:r>
      <w:r w:rsidRPr="00D81C91">
        <w:rPr>
          <w:rFonts w:ascii="Arial" w:hAnsi="Arial" w:cs="Arial"/>
          <w:sz w:val="16"/>
          <w:szCs w:val="16"/>
        </w:rPr>
        <w:t>Table ranked by highest IMD 2015 Score</w:t>
      </w:r>
    </w:p>
    <w:p w:rsidR="002231A0" w:rsidRPr="00D81C91" w:rsidRDefault="002231A0" w:rsidP="009033B8">
      <w:pPr>
        <w:spacing w:after="0"/>
        <w:rPr>
          <w:rFonts w:ascii="Arial" w:hAnsi="Arial" w:cs="Arial"/>
        </w:rPr>
      </w:pPr>
      <w:r w:rsidRPr="00D81C91">
        <w:rPr>
          <w:rFonts w:ascii="Arial" w:hAnsi="Arial" w:cs="Arial"/>
          <w:sz w:val="16"/>
          <w:szCs w:val="16"/>
        </w:rPr>
        <w:t>*A minus change in rank illustrates that a district has moved down the rankings and is therefore now less deprived relative to other areas in England.</w:t>
      </w:r>
    </w:p>
    <w:p w:rsidR="002231A0" w:rsidRPr="00D81C91" w:rsidRDefault="002231A0" w:rsidP="009033B8">
      <w:pPr>
        <w:spacing w:after="0"/>
        <w:rPr>
          <w:rFonts w:ascii="Arial" w:hAnsi="Arial" w:cs="Arial"/>
          <w:sz w:val="16"/>
          <w:szCs w:val="16"/>
        </w:rPr>
      </w:pPr>
      <w:r w:rsidRPr="00D81C91">
        <w:rPr>
          <w:rFonts w:ascii="Arial" w:hAnsi="Arial" w:cs="Arial"/>
          <w:sz w:val="16"/>
          <w:szCs w:val="16"/>
        </w:rPr>
        <w:t>*A positive change in rank illustrates an area is more deprived in ID2015 than ID2010 relative to other areas.</w:t>
      </w:r>
    </w:p>
    <w:p w:rsidR="002231A0" w:rsidRPr="00D81C91" w:rsidRDefault="002231A0" w:rsidP="009033B8">
      <w:pPr>
        <w:spacing w:after="0"/>
        <w:rPr>
          <w:rFonts w:ascii="Arial" w:hAnsi="Arial" w:cs="Arial"/>
          <w:bCs/>
          <w:i/>
          <w:sz w:val="16"/>
          <w:szCs w:val="16"/>
        </w:rPr>
      </w:pPr>
      <w:r w:rsidRPr="00D81C91">
        <w:rPr>
          <w:rFonts w:ascii="Arial" w:hAnsi="Arial" w:cs="Arial"/>
          <w:i/>
          <w:sz w:val="16"/>
          <w:szCs w:val="16"/>
        </w:rPr>
        <w:t>Note – Reprinted from (Indices of Deprivation (IMD 2015) - Kent</w:t>
      </w:r>
      <w:r w:rsidRPr="00D81C91">
        <w:rPr>
          <w:rFonts w:ascii="Arial" w:hAnsi="Arial" w:cs="Arial"/>
          <w:b/>
          <w:bCs/>
          <w:i/>
          <w:sz w:val="16"/>
          <w:szCs w:val="16"/>
        </w:rPr>
        <w:t xml:space="preserve"> </w:t>
      </w:r>
      <w:r w:rsidRPr="00D81C91">
        <w:rPr>
          <w:rFonts w:ascii="Arial" w:hAnsi="Arial" w:cs="Arial"/>
          <w:bCs/>
          <w:i/>
          <w:sz w:val="16"/>
          <w:szCs w:val="16"/>
        </w:rPr>
        <w:t>Business Intelligence Statistical Bulletin</w:t>
      </w:r>
      <w:r w:rsidRPr="00D81C91">
        <w:rPr>
          <w:rFonts w:ascii="Arial" w:hAnsi="Arial" w:cs="Arial"/>
          <w:sz w:val="16"/>
          <w:szCs w:val="16"/>
        </w:rPr>
        <w:t>)</w:t>
      </w:r>
      <w:r w:rsidRPr="00D81C91">
        <w:rPr>
          <w:rFonts w:ascii="Arial" w:hAnsi="Arial" w:cs="Arial"/>
          <w:b/>
          <w:bCs/>
          <w:sz w:val="16"/>
          <w:szCs w:val="16"/>
        </w:rPr>
        <w:t xml:space="preserve"> </w:t>
      </w:r>
      <w:r w:rsidRPr="00D81C91">
        <w:rPr>
          <w:rFonts w:ascii="Arial" w:hAnsi="Arial" w:cs="Arial"/>
          <w:bCs/>
          <w:i/>
          <w:sz w:val="16"/>
          <w:szCs w:val="16"/>
        </w:rPr>
        <w:t>Strategic Business Development &amp; Intelligence, Kent County Council www.kent.gov.uk/research</w:t>
      </w:r>
    </w:p>
    <w:p w:rsidR="00BD11C6" w:rsidRDefault="00BD11C6" w:rsidP="00BD11C6">
      <w:pPr>
        <w:pStyle w:val="Heading2"/>
        <w:spacing w:before="0"/>
        <w:ind w:left="567" w:hanging="567"/>
        <w:rPr>
          <w:rFonts w:ascii="Arial" w:hAnsi="Arial" w:cs="Arial"/>
          <w:color w:val="365F91" w:themeColor="accent1" w:themeShade="BF"/>
          <w:sz w:val="28"/>
          <w:szCs w:val="28"/>
        </w:rPr>
      </w:pPr>
      <w:bookmarkStart w:id="9" w:name="_Toc512592222"/>
    </w:p>
    <w:p w:rsidR="002231A0" w:rsidRPr="007F6F7C" w:rsidRDefault="0060305C" w:rsidP="00B0181D">
      <w:pPr>
        <w:pStyle w:val="Heading2"/>
        <w:ind w:left="567" w:hanging="567"/>
        <w:rPr>
          <w:rFonts w:ascii="Arial" w:hAnsi="Arial" w:cs="Arial"/>
          <w:color w:val="365F91" w:themeColor="accent1" w:themeShade="BF"/>
          <w:sz w:val="28"/>
          <w:szCs w:val="28"/>
        </w:rPr>
      </w:pPr>
      <w:r w:rsidRPr="007F6F7C">
        <w:rPr>
          <w:rFonts w:ascii="Arial" w:hAnsi="Arial" w:cs="Arial"/>
          <w:color w:val="365F91" w:themeColor="accent1" w:themeShade="BF"/>
          <w:sz w:val="28"/>
          <w:szCs w:val="28"/>
        </w:rPr>
        <w:t>2.2</w:t>
      </w:r>
      <w:r w:rsidRPr="007F6F7C">
        <w:rPr>
          <w:rFonts w:ascii="Arial" w:hAnsi="Arial" w:cs="Arial"/>
          <w:color w:val="365F91" w:themeColor="accent1" w:themeShade="BF"/>
          <w:sz w:val="28"/>
          <w:szCs w:val="28"/>
        </w:rPr>
        <w:tab/>
      </w:r>
      <w:r w:rsidR="002231A0" w:rsidRPr="007F6F7C">
        <w:rPr>
          <w:rFonts w:ascii="Arial" w:hAnsi="Arial" w:cs="Arial"/>
          <w:color w:val="365F91" w:themeColor="accent1" w:themeShade="BF"/>
          <w:sz w:val="28"/>
          <w:szCs w:val="28"/>
        </w:rPr>
        <w:t>Medway Council population characteristics</w:t>
      </w:r>
      <w:bookmarkEnd w:id="9"/>
    </w:p>
    <w:p w:rsidR="006B5AA8" w:rsidRDefault="006B5AA8" w:rsidP="001270A9">
      <w:pPr>
        <w:rPr>
          <w:rFonts w:ascii="Arial" w:hAnsi="Arial" w:cs="Arial"/>
          <w:bCs/>
          <w:sz w:val="24"/>
          <w:szCs w:val="24"/>
        </w:rPr>
      </w:pPr>
      <w:r>
        <w:rPr>
          <w:rFonts w:ascii="Arial" w:hAnsi="Arial" w:cs="Arial"/>
          <w:bCs/>
          <w:sz w:val="24"/>
          <w:szCs w:val="24"/>
        </w:rPr>
        <w:t xml:space="preserve">The following information has been obtained from the Medway Council Joint Strategic Needs Assessment </w:t>
      </w:r>
      <w:r w:rsidR="00EE626E">
        <w:rPr>
          <w:rFonts w:ascii="Arial" w:hAnsi="Arial" w:cs="Arial"/>
          <w:bCs/>
          <w:sz w:val="24"/>
          <w:szCs w:val="24"/>
        </w:rPr>
        <w:t xml:space="preserve">last </w:t>
      </w:r>
      <w:r>
        <w:rPr>
          <w:rFonts w:ascii="Arial" w:hAnsi="Arial" w:cs="Arial"/>
          <w:bCs/>
          <w:sz w:val="24"/>
          <w:szCs w:val="24"/>
        </w:rPr>
        <w:t>update</w:t>
      </w:r>
      <w:r w:rsidR="00EE626E">
        <w:rPr>
          <w:rFonts w:ascii="Arial" w:hAnsi="Arial" w:cs="Arial"/>
          <w:bCs/>
          <w:sz w:val="24"/>
          <w:szCs w:val="24"/>
        </w:rPr>
        <w:t>d</w:t>
      </w:r>
      <w:r>
        <w:rPr>
          <w:rFonts w:ascii="Arial" w:hAnsi="Arial" w:cs="Arial"/>
          <w:bCs/>
          <w:sz w:val="24"/>
          <w:szCs w:val="24"/>
        </w:rPr>
        <w:t xml:space="preserve"> in November 2017. </w:t>
      </w:r>
    </w:p>
    <w:p w:rsidR="001270A9" w:rsidRPr="00B0181D" w:rsidRDefault="001270A9" w:rsidP="001270A9">
      <w:pPr>
        <w:rPr>
          <w:rFonts w:ascii="Arial" w:hAnsi="Arial" w:cs="Arial"/>
          <w:bCs/>
          <w:sz w:val="24"/>
          <w:szCs w:val="24"/>
          <w:lang w:val="en"/>
        </w:rPr>
      </w:pPr>
      <w:r w:rsidRPr="00B0181D">
        <w:rPr>
          <w:rFonts w:ascii="Arial" w:hAnsi="Arial" w:cs="Arial"/>
          <w:bCs/>
          <w:sz w:val="24"/>
          <w:szCs w:val="24"/>
        </w:rPr>
        <w:t xml:space="preserve">Medway Council is a unitary authority </w:t>
      </w:r>
      <w:r w:rsidRPr="00B0181D">
        <w:rPr>
          <w:rFonts w:ascii="Arial" w:hAnsi="Arial" w:cs="Arial"/>
          <w:bCs/>
          <w:sz w:val="24"/>
          <w:szCs w:val="24"/>
          <w:lang w:val="en"/>
        </w:rPr>
        <w:t xml:space="preserve">situated in the County of Kent in the south-east of England but separate from KCC. </w:t>
      </w:r>
      <w:r w:rsidR="006B5AA8">
        <w:rPr>
          <w:rFonts w:ascii="Arial" w:hAnsi="Arial" w:cs="Arial"/>
          <w:bCs/>
          <w:sz w:val="24"/>
          <w:szCs w:val="24"/>
          <w:lang w:val="en"/>
        </w:rPr>
        <w:t>There were approximately 278,542</w:t>
      </w:r>
      <w:r w:rsidRPr="00B0181D">
        <w:rPr>
          <w:rFonts w:ascii="Arial" w:hAnsi="Arial" w:cs="Arial"/>
          <w:bCs/>
          <w:sz w:val="24"/>
          <w:szCs w:val="24"/>
          <w:lang w:val="en"/>
        </w:rPr>
        <w:t xml:space="preserve"> people resident in Medway in 2016, according to figures produced by the Office for National Statistics (ONS). Medway Council provides all local government services and consists of five main towns (Strood, Rochester, Chatham, Gillingham, and Rainham) and a number of smaller towns and villages.</w:t>
      </w:r>
      <w:r w:rsidRPr="00B0181D">
        <w:rPr>
          <w:rFonts w:ascii="Arial" w:hAnsi="Arial" w:cs="Arial"/>
          <w:bCs/>
          <w:sz w:val="24"/>
          <w:szCs w:val="24"/>
        </w:rPr>
        <w:t xml:space="preserve"> According to the Index of Multiple Deprivation 2015, Medway is ranked 118th most deprived local authority of 326 in England. This is a relatively worse position than in the previous index in 2010, when Medway was ranked 136th most deprived of 325.</w:t>
      </w:r>
    </w:p>
    <w:p w:rsidR="001270A9" w:rsidRDefault="001270A9" w:rsidP="001270A9">
      <w:pPr>
        <w:rPr>
          <w:rFonts w:ascii="Arial" w:hAnsi="Arial" w:cs="Arial"/>
          <w:bCs/>
          <w:sz w:val="24"/>
          <w:szCs w:val="24"/>
        </w:rPr>
      </w:pPr>
      <w:r w:rsidRPr="00B0181D">
        <w:rPr>
          <w:rFonts w:ascii="Arial" w:hAnsi="Arial" w:cs="Arial"/>
          <w:bCs/>
          <w:sz w:val="24"/>
          <w:szCs w:val="24"/>
        </w:rPr>
        <w:t xml:space="preserve">The </w:t>
      </w:r>
      <w:r w:rsidR="00995053">
        <w:rPr>
          <w:rFonts w:ascii="Arial" w:hAnsi="Arial" w:cs="Arial"/>
          <w:bCs/>
          <w:sz w:val="24"/>
          <w:szCs w:val="24"/>
        </w:rPr>
        <w:t xml:space="preserve">2011 census showed the </w:t>
      </w:r>
      <w:r w:rsidR="007031D4">
        <w:rPr>
          <w:rFonts w:ascii="Arial" w:hAnsi="Arial" w:cs="Arial"/>
          <w:bCs/>
          <w:sz w:val="24"/>
          <w:szCs w:val="24"/>
        </w:rPr>
        <w:t>majority of the population (89.6</w:t>
      </w:r>
      <w:r w:rsidRPr="00B0181D">
        <w:rPr>
          <w:rFonts w:ascii="Arial" w:hAnsi="Arial" w:cs="Arial"/>
          <w:bCs/>
          <w:sz w:val="24"/>
          <w:szCs w:val="24"/>
        </w:rPr>
        <w:t xml:space="preserve">%) in Medway are classified as </w:t>
      </w:r>
      <w:r w:rsidR="007124AE">
        <w:rPr>
          <w:rFonts w:ascii="Arial" w:hAnsi="Arial" w:cs="Arial"/>
          <w:bCs/>
          <w:sz w:val="24"/>
          <w:szCs w:val="24"/>
        </w:rPr>
        <w:t>White (</w:t>
      </w:r>
      <w:r w:rsidRPr="00B0181D">
        <w:rPr>
          <w:rFonts w:ascii="Arial" w:hAnsi="Arial" w:cs="Arial"/>
          <w:bCs/>
          <w:sz w:val="24"/>
          <w:szCs w:val="24"/>
        </w:rPr>
        <w:t xml:space="preserve">White British, </w:t>
      </w:r>
      <w:r w:rsidR="007124AE" w:rsidRPr="00B0181D">
        <w:rPr>
          <w:rFonts w:ascii="Arial" w:hAnsi="Arial" w:cs="Arial"/>
          <w:bCs/>
          <w:sz w:val="24"/>
          <w:szCs w:val="24"/>
        </w:rPr>
        <w:t>White Irish, White Gypsy and Irish Traveller and White Other)</w:t>
      </w:r>
      <w:r w:rsidR="007124AE">
        <w:rPr>
          <w:rFonts w:ascii="Arial" w:hAnsi="Arial" w:cs="Arial"/>
          <w:bCs/>
          <w:sz w:val="24"/>
          <w:szCs w:val="24"/>
        </w:rPr>
        <w:t xml:space="preserve"> </w:t>
      </w:r>
      <w:r w:rsidRPr="00B0181D">
        <w:rPr>
          <w:rFonts w:ascii="Arial" w:hAnsi="Arial" w:cs="Arial"/>
          <w:bCs/>
          <w:sz w:val="24"/>
          <w:szCs w:val="24"/>
        </w:rPr>
        <w:t>with the next largest ethnic group b</w:t>
      </w:r>
      <w:r w:rsidR="007031D4">
        <w:rPr>
          <w:rFonts w:ascii="Arial" w:hAnsi="Arial" w:cs="Arial"/>
          <w:bCs/>
          <w:sz w:val="24"/>
          <w:szCs w:val="24"/>
        </w:rPr>
        <w:t>ein</w:t>
      </w:r>
      <w:r w:rsidR="00995053">
        <w:rPr>
          <w:rFonts w:ascii="Arial" w:hAnsi="Arial" w:cs="Arial"/>
          <w:bCs/>
          <w:sz w:val="24"/>
          <w:szCs w:val="24"/>
        </w:rPr>
        <w:t xml:space="preserve">g Asian or Asian British (5.2%). Black residents made up 2.5% of Medway’s population and mixed/multiple </w:t>
      </w:r>
      <w:r w:rsidR="007124AE">
        <w:rPr>
          <w:rFonts w:ascii="Arial" w:hAnsi="Arial" w:cs="Arial"/>
          <w:bCs/>
          <w:sz w:val="24"/>
          <w:szCs w:val="24"/>
        </w:rPr>
        <w:t>ethnic groups 2%</w:t>
      </w:r>
      <w:r w:rsidRPr="00B0181D">
        <w:rPr>
          <w:rFonts w:ascii="Arial" w:hAnsi="Arial" w:cs="Arial"/>
          <w:bCs/>
          <w:sz w:val="24"/>
          <w:szCs w:val="24"/>
        </w:rPr>
        <w:t xml:space="preserve">. </w:t>
      </w:r>
    </w:p>
    <w:p w:rsidR="007C362B" w:rsidRPr="007F6F7C" w:rsidRDefault="007C362B" w:rsidP="00BD11C6">
      <w:pPr>
        <w:pStyle w:val="Heading2"/>
        <w:spacing w:before="0"/>
        <w:ind w:left="567" w:hanging="567"/>
        <w:rPr>
          <w:rFonts w:ascii="Arial" w:hAnsi="Arial" w:cs="Arial"/>
          <w:color w:val="365F91" w:themeColor="accent1" w:themeShade="BF"/>
          <w:sz w:val="28"/>
          <w:szCs w:val="28"/>
        </w:rPr>
      </w:pPr>
      <w:bookmarkStart w:id="10" w:name="_Toc512592223"/>
      <w:r w:rsidRPr="007F6F7C">
        <w:rPr>
          <w:rFonts w:ascii="Arial" w:hAnsi="Arial" w:cs="Arial"/>
          <w:color w:val="365F91" w:themeColor="accent1" w:themeShade="BF"/>
          <w:sz w:val="28"/>
          <w:szCs w:val="28"/>
        </w:rPr>
        <w:lastRenderedPageBreak/>
        <w:t>2.3 Population projections for Kent and Medway</w:t>
      </w:r>
      <w:bookmarkEnd w:id="10"/>
    </w:p>
    <w:p w:rsidR="00BD11C6" w:rsidRPr="00BD11C6" w:rsidRDefault="00BD11C6" w:rsidP="00BD11C6">
      <w:pPr>
        <w:spacing w:after="0"/>
      </w:pPr>
    </w:p>
    <w:p w:rsidR="007C362B" w:rsidRDefault="007C362B" w:rsidP="001270A9">
      <w:pPr>
        <w:rPr>
          <w:rFonts w:ascii="Arial" w:hAnsi="Arial" w:cs="Arial"/>
          <w:bCs/>
          <w:sz w:val="24"/>
          <w:szCs w:val="24"/>
        </w:rPr>
      </w:pPr>
      <w:r>
        <w:rPr>
          <w:rFonts w:ascii="Arial" w:hAnsi="Arial" w:cs="Arial"/>
          <w:bCs/>
          <w:sz w:val="24"/>
          <w:szCs w:val="24"/>
        </w:rPr>
        <w:t xml:space="preserve">There is rapid growth expected in the area between 2011 and 2031. In that period, </w:t>
      </w:r>
      <w:r w:rsidRPr="007C362B">
        <w:rPr>
          <w:rFonts w:ascii="Arial" w:hAnsi="Arial" w:cs="Arial"/>
          <w:bCs/>
          <w:sz w:val="24"/>
          <w:szCs w:val="24"/>
        </w:rPr>
        <w:t>planned housing developments are expected to bring an additional 414,000 peo</w:t>
      </w:r>
      <w:r>
        <w:rPr>
          <w:rFonts w:ascii="Arial" w:hAnsi="Arial" w:cs="Arial"/>
          <w:bCs/>
          <w:sz w:val="24"/>
          <w:szCs w:val="24"/>
        </w:rPr>
        <w:t>ple in K&amp;M in 188,200 new homes</w:t>
      </w:r>
      <w:r w:rsidRPr="007C362B">
        <w:rPr>
          <w:rFonts w:ascii="Arial" w:hAnsi="Arial" w:cs="Arial"/>
          <w:bCs/>
          <w:sz w:val="24"/>
          <w:szCs w:val="24"/>
        </w:rPr>
        <w:t xml:space="preserve">; 10,000 of these new homes will </w:t>
      </w:r>
      <w:r>
        <w:rPr>
          <w:rFonts w:ascii="Arial" w:hAnsi="Arial" w:cs="Arial"/>
          <w:bCs/>
          <w:sz w:val="24"/>
          <w:szCs w:val="24"/>
        </w:rPr>
        <w:t>be in the new town in Ebbsfleet</w:t>
      </w:r>
      <w:r w:rsidRPr="007C362B">
        <w:rPr>
          <w:rFonts w:ascii="Arial" w:hAnsi="Arial" w:cs="Arial"/>
          <w:bCs/>
          <w:sz w:val="24"/>
          <w:szCs w:val="24"/>
        </w:rPr>
        <w:t>. This growth will be distributed unevenly across K&amp;M, with most housing growth occurring in Medway, Dartford and Maidstone.</w:t>
      </w:r>
      <w:r>
        <w:rPr>
          <w:rFonts w:ascii="Arial" w:hAnsi="Arial" w:cs="Arial"/>
          <w:bCs/>
          <w:sz w:val="24"/>
          <w:szCs w:val="24"/>
        </w:rPr>
        <w:t xml:space="preserve"> (Kent Public Health Observatory, 2017)</w:t>
      </w:r>
    </w:p>
    <w:p w:rsidR="00BD11C6" w:rsidRDefault="00BD11C6" w:rsidP="001270A9">
      <w:pPr>
        <w:rPr>
          <w:rFonts w:ascii="Arial" w:hAnsi="Arial" w:cs="Arial"/>
          <w:bCs/>
          <w:sz w:val="24"/>
          <w:szCs w:val="24"/>
        </w:rPr>
      </w:pPr>
    </w:p>
    <w:p w:rsidR="00DE5705" w:rsidRPr="007F6F7C" w:rsidRDefault="00B0181D" w:rsidP="00BD11C6">
      <w:pPr>
        <w:pStyle w:val="Heading1"/>
        <w:spacing w:before="0"/>
        <w:rPr>
          <w:rFonts w:ascii="Arial" w:hAnsi="Arial" w:cs="Arial"/>
          <w:sz w:val="32"/>
          <w:szCs w:val="32"/>
        </w:rPr>
      </w:pPr>
      <w:bookmarkStart w:id="11" w:name="_Toc512592224"/>
      <w:r w:rsidRPr="007F6F7C">
        <w:rPr>
          <w:rFonts w:ascii="Arial" w:hAnsi="Arial" w:cs="Arial"/>
          <w:sz w:val="32"/>
          <w:szCs w:val="32"/>
        </w:rPr>
        <w:t>3.</w:t>
      </w:r>
      <w:r w:rsidRPr="007F6F7C">
        <w:rPr>
          <w:rFonts w:ascii="Arial" w:hAnsi="Arial" w:cs="Arial"/>
          <w:sz w:val="32"/>
          <w:szCs w:val="32"/>
        </w:rPr>
        <w:tab/>
        <w:t>Diabetic P</w:t>
      </w:r>
      <w:r w:rsidR="00DE5705" w:rsidRPr="007F6F7C">
        <w:rPr>
          <w:rFonts w:ascii="Arial" w:hAnsi="Arial" w:cs="Arial"/>
          <w:sz w:val="32"/>
          <w:szCs w:val="32"/>
        </w:rPr>
        <w:t xml:space="preserve">opulation </w:t>
      </w:r>
      <w:r w:rsidRPr="007F6F7C">
        <w:rPr>
          <w:rFonts w:ascii="Arial" w:hAnsi="Arial" w:cs="Arial"/>
          <w:sz w:val="32"/>
          <w:szCs w:val="32"/>
        </w:rPr>
        <w:t>in</w:t>
      </w:r>
      <w:r w:rsidR="00DE5705" w:rsidRPr="007F6F7C">
        <w:rPr>
          <w:rFonts w:ascii="Arial" w:hAnsi="Arial" w:cs="Arial"/>
          <w:sz w:val="32"/>
          <w:szCs w:val="32"/>
        </w:rPr>
        <w:t xml:space="preserve"> Kent and Medway</w:t>
      </w:r>
      <w:bookmarkEnd w:id="11"/>
    </w:p>
    <w:p w:rsidR="00BD11C6" w:rsidRPr="00BD11C6" w:rsidRDefault="00BD11C6" w:rsidP="00BD11C6">
      <w:pPr>
        <w:spacing w:after="0"/>
      </w:pPr>
    </w:p>
    <w:p w:rsidR="00654647" w:rsidRDefault="00C36307" w:rsidP="002344D1">
      <w:pPr>
        <w:rPr>
          <w:rFonts w:ascii="Arial" w:hAnsi="Arial" w:cs="Arial"/>
          <w:sz w:val="24"/>
          <w:szCs w:val="24"/>
        </w:rPr>
      </w:pPr>
      <w:r w:rsidRPr="00F27386">
        <w:rPr>
          <w:rFonts w:ascii="Arial" w:hAnsi="Arial" w:cs="Arial"/>
          <w:sz w:val="24"/>
          <w:szCs w:val="24"/>
        </w:rPr>
        <w:t>The most recent Quality and Outcome Framework (QOF) figures for 2016/17</w:t>
      </w:r>
      <w:r w:rsidR="00AD362A" w:rsidRPr="00F27386">
        <w:rPr>
          <w:rFonts w:ascii="Arial" w:hAnsi="Arial" w:cs="Arial"/>
          <w:sz w:val="24"/>
          <w:szCs w:val="24"/>
        </w:rPr>
        <w:t xml:space="preserve"> (</w:t>
      </w:r>
      <w:r w:rsidR="00AD362A" w:rsidRPr="00F27386">
        <w:rPr>
          <w:rFonts w:ascii="Arial" w:eastAsiaTheme="majorEastAsia" w:hAnsi="Arial" w:cs="Arial"/>
          <w:sz w:val="24"/>
          <w:szCs w:val="24"/>
        </w:rPr>
        <w:t>published by NHS Digital)</w:t>
      </w:r>
      <w:r w:rsidRPr="00F27386">
        <w:rPr>
          <w:rFonts w:ascii="Arial" w:hAnsi="Arial" w:cs="Arial"/>
          <w:sz w:val="24"/>
          <w:szCs w:val="24"/>
        </w:rPr>
        <w:t xml:space="preserve"> </w:t>
      </w:r>
      <w:r w:rsidR="00417E0D" w:rsidRPr="00F27386">
        <w:rPr>
          <w:rFonts w:ascii="Arial" w:hAnsi="Arial" w:cs="Arial"/>
          <w:sz w:val="24"/>
          <w:szCs w:val="24"/>
        </w:rPr>
        <w:t>has</w:t>
      </w:r>
      <w:r w:rsidRPr="00F27386">
        <w:rPr>
          <w:rFonts w:ascii="Arial" w:hAnsi="Arial" w:cs="Arial"/>
          <w:sz w:val="24"/>
          <w:szCs w:val="24"/>
        </w:rPr>
        <w:t xml:space="preserve"> the prevalence of diabe</w:t>
      </w:r>
      <w:r w:rsidR="00222B45" w:rsidRPr="00F27386">
        <w:rPr>
          <w:rFonts w:ascii="Arial" w:hAnsi="Arial" w:cs="Arial"/>
          <w:sz w:val="24"/>
          <w:szCs w:val="24"/>
        </w:rPr>
        <w:t>tes</w:t>
      </w:r>
      <w:r w:rsidR="00DA7D42" w:rsidRPr="00F27386">
        <w:rPr>
          <w:rFonts w:ascii="Arial" w:hAnsi="Arial" w:cs="Arial"/>
          <w:sz w:val="24"/>
          <w:szCs w:val="24"/>
        </w:rPr>
        <w:t xml:space="preserve"> (for those aged 17 years and over)</w:t>
      </w:r>
      <w:r w:rsidR="00222B45" w:rsidRPr="00F27386">
        <w:rPr>
          <w:rFonts w:ascii="Arial" w:hAnsi="Arial" w:cs="Arial"/>
          <w:sz w:val="24"/>
          <w:szCs w:val="24"/>
        </w:rPr>
        <w:t xml:space="preserve"> in Kent and Medway at 6.65%</w:t>
      </w:r>
      <w:r w:rsidRPr="00F27386">
        <w:rPr>
          <w:rFonts w:ascii="Arial" w:hAnsi="Arial" w:cs="Arial"/>
          <w:sz w:val="24"/>
          <w:szCs w:val="24"/>
        </w:rPr>
        <w:t xml:space="preserve"> </w:t>
      </w:r>
      <w:r w:rsidR="00222B45" w:rsidRPr="00F27386">
        <w:rPr>
          <w:rFonts w:ascii="Arial" w:hAnsi="Arial" w:cs="Arial"/>
          <w:sz w:val="24"/>
          <w:szCs w:val="24"/>
        </w:rPr>
        <w:t>an increase of 0.17% on the previous year.</w:t>
      </w:r>
      <w:r w:rsidR="00654647">
        <w:rPr>
          <w:rFonts w:ascii="Arial" w:hAnsi="Arial" w:cs="Arial"/>
          <w:sz w:val="24"/>
          <w:szCs w:val="24"/>
        </w:rPr>
        <w:t xml:space="preserve"> Local trends mirror those for England as shown in graph below.</w:t>
      </w:r>
    </w:p>
    <w:p w:rsidR="00CA3500" w:rsidRPr="00CA3500" w:rsidRDefault="00CA3500" w:rsidP="00CA3500">
      <w:pPr>
        <w:spacing w:after="0"/>
        <w:rPr>
          <w:rFonts w:ascii="Arial" w:hAnsi="Arial" w:cs="Arial"/>
          <w:b/>
          <w:color w:val="365F91" w:themeColor="accent1" w:themeShade="BF"/>
          <w:sz w:val="24"/>
          <w:szCs w:val="24"/>
        </w:rPr>
      </w:pPr>
      <w:r w:rsidRPr="00CA3500">
        <w:rPr>
          <w:rFonts w:ascii="Arial" w:hAnsi="Arial" w:cs="Arial"/>
          <w:b/>
          <w:color w:val="365F91" w:themeColor="accent1" w:themeShade="BF"/>
          <w:sz w:val="24"/>
          <w:szCs w:val="24"/>
        </w:rPr>
        <w:t xml:space="preserve">Table 2:  Trends in </w:t>
      </w:r>
      <w:r w:rsidR="001F2D97" w:rsidRPr="00CA3500">
        <w:rPr>
          <w:rFonts w:ascii="Arial" w:hAnsi="Arial" w:cs="Arial"/>
          <w:b/>
          <w:color w:val="365F91" w:themeColor="accent1" w:themeShade="BF"/>
          <w:sz w:val="24"/>
          <w:szCs w:val="24"/>
        </w:rPr>
        <w:t>Prevalence</w:t>
      </w:r>
      <w:r w:rsidRPr="00CA3500">
        <w:rPr>
          <w:rFonts w:ascii="Arial" w:hAnsi="Arial" w:cs="Arial"/>
          <w:b/>
          <w:color w:val="365F91" w:themeColor="accent1" w:themeShade="BF"/>
          <w:sz w:val="24"/>
          <w:szCs w:val="24"/>
        </w:rPr>
        <w:t xml:space="preserve"> of Diabetes, Registered Population 17yrs+</w:t>
      </w:r>
    </w:p>
    <w:p w:rsidR="00654647" w:rsidRDefault="00654647" w:rsidP="002344D1">
      <w:pPr>
        <w:rPr>
          <w:rFonts w:ascii="Arial" w:hAnsi="Arial" w:cs="Arial"/>
          <w:sz w:val="24"/>
          <w:szCs w:val="24"/>
        </w:rPr>
      </w:pPr>
      <w:r>
        <w:rPr>
          <w:noProof/>
          <w:lang w:eastAsia="en-GB"/>
        </w:rPr>
        <w:drawing>
          <wp:inline distT="0" distB="0" distL="0" distR="0" wp14:anchorId="7FD7829C" wp14:editId="09BAA4B2">
            <wp:extent cx="5572125" cy="28765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D11C6" w:rsidRDefault="00BD11C6" w:rsidP="00BD11C6">
      <w:pPr>
        <w:spacing w:after="0"/>
        <w:rPr>
          <w:rFonts w:ascii="Arial" w:hAnsi="Arial" w:cs="Arial"/>
          <w:sz w:val="24"/>
          <w:szCs w:val="24"/>
        </w:rPr>
      </w:pPr>
    </w:p>
    <w:p w:rsidR="00D570B7" w:rsidRDefault="00654647" w:rsidP="002344D1">
      <w:pPr>
        <w:rPr>
          <w:rFonts w:ascii="Arial" w:hAnsi="Arial" w:cs="Arial"/>
          <w:sz w:val="24"/>
          <w:szCs w:val="24"/>
        </w:rPr>
      </w:pPr>
      <w:r>
        <w:rPr>
          <w:rFonts w:ascii="Arial" w:hAnsi="Arial" w:cs="Arial"/>
          <w:sz w:val="24"/>
          <w:szCs w:val="24"/>
        </w:rPr>
        <w:t>For Kent and Medway the 6.65% prevalence represents</w:t>
      </w:r>
      <w:r w:rsidR="00C36307" w:rsidRPr="00F27386">
        <w:rPr>
          <w:rFonts w:ascii="Arial" w:hAnsi="Arial" w:cs="Arial"/>
          <w:sz w:val="24"/>
          <w:szCs w:val="24"/>
        </w:rPr>
        <w:t xml:space="preserve"> approximately 98,000 patients aged 17 years and over with diabetes. </w:t>
      </w:r>
      <w:r w:rsidR="00DE5705" w:rsidRPr="00F27386">
        <w:rPr>
          <w:rFonts w:ascii="Arial" w:hAnsi="Arial" w:cs="Arial"/>
          <w:sz w:val="24"/>
          <w:szCs w:val="24"/>
        </w:rPr>
        <w:t xml:space="preserve">According </w:t>
      </w:r>
      <w:r w:rsidR="00DA7D42" w:rsidRPr="00F27386">
        <w:rPr>
          <w:rFonts w:ascii="Arial" w:hAnsi="Arial" w:cs="Arial"/>
          <w:sz w:val="24"/>
          <w:szCs w:val="24"/>
        </w:rPr>
        <w:t xml:space="preserve">to </w:t>
      </w:r>
      <w:r w:rsidR="00DE5705" w:rsidRPr="00F27386">
        <w:rPr>
          <w:rFonts w:ascii="Arial" w:hAnsi="Arial" w:cs="Arial"/>
          <w:sz w:val="24"/>
          <w:szCs w:val="24"/>
        </w:rPr>
        <w:t xml:space="preserve">the </w:t>
      </w:r>
      <w:r>
        <w:rPr>
          <w:rFonts w:ascii="Arial" w:hAnsi="Arial" w:cs="Arial"/>
          <w:sz w:val="24"/>
          <w:szCs w:val="24"/>
        </w:rPr>
        <w:t xml:space="preserve">recent </w:t>
      </w:r>
      <w:r w:rsidR="00DE5705" w:rsidRPr="00F27386">
        <w:rPr>
          <w:rFonts w:ascii="Arial" w:hAnsi="Arial" w:cs="Arial"/>
          <w:sz w:val="24"/>
          <w:szCs w:val="24"/>
        </w:rPr>
        <w:t>data held by the current DESP provider</w:t>
      </w:r>
      <w:r w:rsidR="00C36307" w:rsidRPr="00F27386">
        <w:rPr>
          <w:rFonts w:ascii="Arial" w:hAnsi="Arial" w:cs="Arial"/>
          <w:sz w:val="24"/>
          <w:szCs w:val="24"/>
        </w:rPr>
        <w:t xml:space="preserve"> (and following </w:t>
      </w:r>
      <w:r w:rsidR="00DA7D42" w:rsidRPr="00F27386">
        <w:rPr>
          <w:rFonts w:ascii="Arial" w:hAnsi="Arial" w:cs="Arial"/>
          <w:sz w:val="24"/>
          <w:szCs w:val="24"/>
        </w:rPr>
        <w:t>full implementation</w:t>
      </w:r>
      <w:r w:rsidR="00C36307" w:rsidRPr="00F27386">
        <w:rPr>
          <w:rFonts w:ascii="Arial" w:hAnsi="Arial" w:cs="Arial"/>
          <w:sz w:val="24"/>
          <w:szCs w:val="24"/>
        </w:rPr>
        <w:t xml:space="preserve"> of the electronic transfer system</w:t>
      </w:r>
      <w:r w:rsidR="00DA7D42" w:rsidRPr="00F27386">
        <w:rPr>
          <w:rFonts w:ascii="Arial" w:hAnsi="Arial" w:cs="Arial"/>
          <w:sz w:val="24"/>
          <w:szCs w:val="24"/>
        </w:rPr>
        <w:t xml:space="preserve"> GP2DRS</w:t>
      </w:r>
      <w:r w:rsidR="00C36307" w:rsidRPr="00F27386">
        <w:rPr>
          <w:rFonts w:ascii="Arial" w:hAnsi="Arial" w:cs="Arial"/>
          <w:sz w:val="24"/>
          <w:szCs w:val="24"/>
        </w:rPr>
        <w:t>)</w:t>
      </w:r>
      <w:r w:rsidR="00DE5705" w:rsidRPr="00F27386">
        <w:rPr>
          <w:rFonts w:ascii="Arial" w:hAnsi="Arial" w:cs="Arial"/>
          <w:sz w:val="24"/>
          <w:szCs w:val="24"/>
        </w:rPr>
        <w:t>, there are approximately 103,000</w:t>
      </w:r>
      <w:r w:rsidR="00E171B4" w:rsidRPr="00F27386">
        <w:rPr>
          <w:rFonts w:ascii="Arial" w:hAnsi="Arial" w:cs="Arial"/>
          <w:sz w:val="24"/>
          <w:szCs w:val="24"/>
        </w:rPr>
        <w:t xml:space="preserve"> </w:t>
      </w:r>
      <w:r w:rsidR="00DE5705" w:rsidRPr="00F27386">
        <w:rPr>
          <w:rFonts w:ascii="Arial" w:hAnsi="Arial" w:cs="Arial"/>
          <w:sz w:val="24"/>
          <w:szCs w:val="24"/>
        </w:rPr>
        <w:t>people in the area diagnosed with diabetes as per GP records and aged over 12 years</w:t>
      </w:r>
      <w:r w:rsidR="00E171B4" w:rsidRPr="00F27386">
        <w:rPr>
          <w:rFonts w:ascii="Arial" w:hAnsi="Arial" w:cs="Arial"/>
          <w:sz w:val="24"/>
          <w:szCs w:val="24"/>
        </w:rPr>
        <w:t xml:space="preserve"> (as of 1</w:t>
      </w:r>
      <w:r w:rsidR="00E171B4" w:rsidRPr="00F27386">
        <w:rPr>
          <w:rFonts w:ascii="Arial" w:hAnsi="Arial" w:cs="Arial"/>
          <w:sz w:val="24"/>
          <w:szCs w:val="24"/>
          <w:vertAlign w:val="superscript"/>
        </w:rPr>
        <w:t>st</w:t>
      </w:r>
      <w:r w:rsidR="00E171B4" w:rsidRPr="00F27386">
        <w:rPr>
          <w:rFonts w:ascii="Arial" w:hAnsi="Arial" w:cs="Arial"/>
          <w:sz w:val="24"/>
          <w:szCs w:val="24"/>
        </w:rPr>
        <w:t xml:space="preserve"> October 2017)</w:t>
      </w:r>
      <w:r w:rsidR="00DE5705" w:rsidRPr="00F27386">
        <w:rPr>
          <w:rFonts w:ascii="Arial" w:hAnsi="Arial" w:cs="Arial"/>
          <w:sz w:val="24"/>
          <w:szCs w:val="24"/>
        </w:rPr>
        <w:t>.</w:t>
      </w:r>
      <w:r w:rsidR="00B66EA1" w:rsidRPr="00F27386">
        <w:rPr>
          <w:rFonts w:ascii="Arial" w:hAnsi="Arial" w:cs="Arial"/>
          <w:sz w:val="24"/>
          <w:szCs w:val="24"/>
        </w:rPr>
        <w:t xml:space="preserve"> </w:t>
      </w:r>
    </w:p>
    <w:p w:rsidR="00CA3500" w:rsidRDefault="00CA3500" w:rsidP="002344D1">
      <w:pPr>
        <w:rPr>
          <w:rFonts w:ascii="Arial" w:hAnsi="Arial" w:cs="Arial"/>
          <w:sz w:val="24"/>
          <w:szCs w:val="24"/>
        </w:rPr>
      </w:pPr>
    </w:p>
    <w:p w:rsidR="00CA3500" w:rsidRDefault="00CA3500" w:rsidP="002344D1">
      <w:pPr>
        <w:rPr>
          <w:rFonts w:ascii="Arial" w:hAnsi="Arial" w:cs="Arial"/>
          <w:sz w:val="24"/>
          <w:szCs w:val="24"/>
        </w:rPr>
      </w:pPr>
    </w:p>
    <w:p w:rsidR="00CA3500" w:rsidRDefault="00CA3500" w:rsidP="002344D1">
      <w:pPr>
        <w:rPr>
          <w:rFonts w:ascii="Arial" w:hAnsi="Arial" w:cs="Arial"/>
          <w:sz w:val="24"/>
          <w:szCs w:val="24"/>
        </w:rPr>
      </w:pPr>
    </w:p>
    <w:p w:rsidR="00CA3500" w:rsidRPr="00CA3500" w:rsidRDefault="00CA3500" w:rsidP="00CA3500">
      <w:pPr>
        <w:spacing w:after="0"/>
        <w:rPr>
          <w:rFonts w:ascii="Arial" w:hAnsi="Arial" w:cs="Arial"/>
          <w:b/>
          <w:color w:val="365F91" w:themeColor="accent1" w:themeShade="BF"/>
          <w:sz w:val="24"/>
          <w:szCs w:val="24"/>
        </w:rPr>
      </w:pPr>
      <w:r w:rsidRPr="00CA3500">
        <w:rPr>
          <w:rFonts w:ascii="Arial" w:hAnsi="Arial" w:cs="Arial"/>
          <w:b/>
          <w:color w:val="365F91" w:themeColor="accent1" w:themeShade="BF"/>
          <w:sz w:val="24"/>
          <w:szCs w:val="24"/>
        </w:rPr>
        <w:lastRenderedPageBreak/>
        <w:t>Table 3:  Diabetes Prevalence by Practice</w:t>
      </w:r>
    </w:p>
    <w:p w:rsidR="006B5AA8" w:rsidRPr="00D81C91" w:rsidRDefault="00BD22B0" w:rsidP="00CA3500">
      <w:pPr>
        <w:spacing w:after="0"/>
        <w:rPr>
          <w:rFonts w:ascii="Arial" w:hAnsi="Arial" w:cs="Arial"/>
        </w:rPr>
      </w:pPr>
      <w:r w:rsidRPr="00BD22B0">
        <w:rPr>
          <w:noProof/>
          <w:lang w:eastAsia="en-GB"/>
        </w:rPr>
        <w:drawing>
          <wp:inline distT="0" distB="0" distL="0" distR="0" wp14:anchorId="584CE41B" wp14:editId="18D7B66E">
            <wp:extent cx="5731510" cy="25019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501985"/>
                    </a:xfrm>
                    <a:prstGeom prst="rect">
                      <a:avLst/>
                    </a:prstGeom>
                    <a:noFill/>
                    <a:ln>
                      <a:noFill/>
                    </a:ln>
                  </pic:spPr>
                </pic:pic>
              </a:graphicData>
            </a:graphic>
          </wp:inline>
        </w:drawing>
      </w:r>
    </w:p>
    <w:p w:rsidR="00753B61" w:rsidRDefault="00753B61" w:rsidP="00CA3500">
      <w:pPr>
        <w:spacing w:after="0" w:line="240" w:lineRule="auto"/>
        <w:rPr>
          <w:rFonts w:ascii="Arial" w:hAnsi="Arial" w:cs="Arial"/>
          <w:sz w:val="18"/>
          <w:szCs w:val="18"/>
        </w:rPr>
      </w:pPr>
      <w:r w:rsidRPr="00D81C91">
        <w:rPr>
          <w:rFonts w:ascii="Arial" w:hAnsi="Arial" w:cs="Arial"/>
          <w:sz w:val="18"/>
          <w:szCs w:val="18"/>
        </w:rPr>
        <w:t>Source: NHS Digital</w:t>
      </w:r>
      <w:r w:rsidR="006E372E">
        <w:rPr>
          <w:rFonts w:ascii="Arial" w:hAnsi="Arial" w:cs="Arial"/>
          <w:sz w:val="18"/>
          <w:szCs w:val="18"/>
        </w:rPr>
        <w:t xml:space="preserve"> (2017)</w:t>
      </w:r>
    </w:p>
    <w:p w:rsidR="00CA3500" w:rsidRDefault="00CA3500" w:rsidP="00CA3500">
      <w:pPr>
        <w:spacing w:after="0" w:line="240" w:lineRule="auto"/>
        <w:rPr>
          <w:rFonts w:ascii="Arial" w:hAnsi="Arial" w:cs="Arial"/>
          <w:sz w:val="18"/>
          <w:szCs w:val="18"/>
        </w:rPr>
      </w:pPr>
    </w:p>
    <w:p w:rsidR="00535917" w:rsidRDefault="001961CE" w:rsidP="00CA3500">
      <w:pPr>
        <w:spacing w:after="0" w:line="240" w:lineRule="auto"/>
        <w:rPr>
          <w:rFonts w:ascii="Arial" w:hAnsi="Arial" w:cs="Arial"/>
          <w:sz w:val="24"/>
          <w:szCs w:val="24"/>
        </w:rPr>
      </w:pPr>
      <w:r w:rsidRPr="00F27386">
        <w:rPr>
          <w:rFonts w:ascii="Arial" w:hAnsi="Arial" w:cs="Arial"/>
          <w:sz w:val="24"/>
          <w:szCs w:val="24"/>
        </w:rPr>
        <w:t xml:space="preserve">PHE have published data on projected estimates of diabetes prevalence by local authority and CCG (the latter for resident and registered populations available via </w:t>
      </w:r>
      <w:hyperlink r:id="rId13" w:history="1">
        <w:r w:rsidRPr="00F27386">
          <w:rPr>
            <w:rStyle w:val="Hyperlink"/>
            <w:rFonts w:ascii="Arial" w:hAnsi="Arial" w:cs="Arial"/>
            <w:sz w:val="24"/>
            <w:szCs w:val="24"/>
          </w:rPr>
          <w:t>https://www.gov.uk/government/publications/diabetes-prevalence-estimates-for-local-populations</w:t>
        </w:r>
      </w:hyperlink>
      <w:r w:rsidRPr="00F27386">
        <w:rPr>
          <w:rStyle w:val="Hyperlink"/>
          <w:rFonts w:ascii="Arial" w:hAnsi="Arial" w:cs="Arial"/>
          <w:sz w:val="24"/>
          <w:szCs w:val="24"/>
        </w:rPr>
        <w:t xml:space="preserve"> </w:t>
      </w:r>
      <w:r w:rsidR="00CA3500" w:rsidRPr="00CA3500">
        <w:rPr>
          <w:rStyle w:val="Hyperlink"/>
          <w:rFonts w:ascii="Arial" w:hAnsi="Arial" w:cs="Arial"/>
          <w:color w:val="auto"/>
          <w:sz w:val="24"/>
          <w:szCs w:val="24"/>
          <w:u w:val="none"/>
        </w:rPr>
        <w:t xml:space="preserve">.  </w:t>
      </w:r>
      <w:r w:rsidR="00535917" w:rsidRPr="00F27386">
        <w:rPr>
          <w:rFonts w:ascii="Arial" w:hAnsi="Arial" w:cs="Arial"/>
          <w:sz w:val="24"/>
          <w:szCs w:val="24"/>
        </w:rPr>
        <w:t>Projected estimates include those not coded on GP systems as having diabetes. Not all patients with diabetes have symptoms or attend general practice to have diabetes diagnosed. There is a potential to increase detection and coding in the future and therefore there is a possibility of an increase in the numbers who should be offered eye screening independent of historic trends.</w:t>
      </w:r>
    </w:p>
    <w:p w:rsidR="00CA3500" w:rsidRPr="00F27386" w:rsidRDefault="00CA3500" w:rsidP="00CA3500">
      <w:pPr>
        <w:spacing w:after="0" w:line="240" w:lineRule="auto"/>
        <w:rPr>
          <w:rFonts w:ascii="Arial" w:hAnsi="Arial" w:cs="Arial"/>
          <w:sz w:val="24"/>
          <w:szCs w:val="24"/>
        </w:rPr>
      </w:pPr>
    </w:p>
    <w:p w:rsidR="00CA3500" w:rsidRPr="00CA3500" w:rsidRDefault="00B0181D" w:rsidP="00CA3500">
      <w:pPr>
        <w:pStyle w:val="Heading2"/>
        <w:spacing w:before="0"/>
        <w:rPr>
          <w:rFonts w:ascii="Arial" w:hAnsi="Arial" w:cs="Arial"/>
          <w:color w:val="365F91" w:themeColor="accent1" w:themeShade="BF"/>
          <w:sz w:val="28"/>
          <w:szCs w:val="28"/>
        </w:rPr>
      </w:pPr>
      <w:bookmarkStart w:id="12" w:name="_Toc512592225"/>
      <w:r w:rsidRPr="007F6F7C">
        <w:rPr>
          <w:rFonts w:ascii="Arial" w:hAnsi="Arial" w:cs="Arial"/>
          <w:color w:val="365F91" w:themeColor="accent1" w:themeShade="BF"/>
          <w:sz w:val="28"/>
          <w:szCs w:val="28"/>
        </w:rPr>
        <w:t>3.1</w:t>
      </w:r>
      <w:r w:rsidRPr="007F6F7C">
        <w:rPr>
          <w:rFonts w:ascii="Arial" w:hAnsi="Arial" w:cs="Arial"/>
          <w:color w:val="365F91" w:themeColor="accent1" w:themeShade="BF"/>
          <w:sz w:val="28"/>
          <w:szCs w:val="28"/>
        </w:rPr>
        <w:tab/>
      </w:r>
      <w:r w:rsidR="00AF2760" w:rsidRPr="007F6F7C">
        <w:rPr>
          <w:rFonts w:ascii="Arial" w:hAnsi="Arial" w:cs="Arial"/>
          <w:color w:val="365F91" w:themeColor="accent1" w:themeShade="BF"/>
          <w:sz w:val="28"/>
          <w:szCs w:val="28"/>
        </w:rPr>
        <w:t>Other Groups</w:t>
      </w:r>
      <w:bookmarkEnd w:id="12"/>
    </w:p>
    <w:p w:rsidR="00D570B7" w:rsidRPr="00F27386" w:rsidRDefault="00222B45" w:rsidP="00CA3500">
      <w:pPr>
        <w:spacing w:after="0"/>
        <w:rPr>
          <w:rFonts w:ascii="Arial" w:hAnsi="Arial" w:cs="Arial"/>
          <w:sz w:val="24"/>
          <w:szCs w:val="24"/>
        </w:rPr>
      </w:pPr>
      <w:r w:rsidRPr="00F27386">
        <w:rPr>
          <w:rFonts w:ascii="Arial" w:hAnsi="Arial" w:cs="Arial"/>
          <w:sz w:val="24"/>
          <w:szCs w:val="24"/>
        </w:rPr>
        <w:t>In addition to the GP resident population, there are eligible people within other settings such as prisons, secure mental health units and within the armed forces barracks, who require regular</w:t>
      </w:r>
      <w:r w:rsidR="008841DE" w:rsidRPr="00F27386">
        <w:rPr>
          <w:rFonts w:ascii="Arial" w:hAnsi="Arial" w:cs="Arial"/>
          <w:sz w:val="24"/>
          <w:szCs w:val="24"/>
        </w:rPr>
        <w:t xml:space="preserve"> </w:t>
      </w:r>
      <w:r w:rsidR="00A73793" w:rsidRPr="00F27386">
        <w:rPr>
          <w:rFonts w:ascii="Arial" w:hAnsi="Arial" w:cs="Arial"/>
          <w:sz w:val="24"/>
          <w:szCs w:val="24"/>
        </w:rPr>
        <w:t xml:space="preserve">screening and </w:t>
      </w:r>
      <w:r w:rsidRPr="00F27386">
        <w:rPr>
          <w:rFonts w:ascii="Arial" w:hAnsi="Arial" w:cs="Arial"/>
          <w:sz w:val="24"/>
          <w:szCs w:val="24"/>
        </w:rPr>
        <w:t>management as per the national programme standards.</w:t>
      </w:r>
    </w:p>
    <w:p w:rsidR="00AF2760" w:rsidRPr="007F6F7C" w:rsidRDefault="00B0181D" w:rsidP="00692144">
      <w:pPr>
        <w:pStyle w:val="Heading3"/>
        <w:rPr>
          <w:rFonts w:ascii="Arial" w:hAnsi="Arial" w:cs="Arial"/>
          <w:i/>
          <w:color w:val="365F91" w:themeColor="accent1" w:themeShade="BF"/>
          <w:sz w:val="24"/>
          <w:szCs w:val="24"/>
        </w:rPr>
      </w:pPr>
      <w:bookmarkStart w:id="13" w:name="_Toc512592226"/>
      <w:r w:rsidRPr="007F6F7C">
        <w:rPr>
          <w:rFonts w:ascii="Arial" w:hAnsi="Arial" w:cs="Arial"/>
          <w:color w:val="365F91" w:themeColor="accent1" w:themeShade="BF"/>
          <w:sz w:val="24"/>
          <w:szCs w:val="24"/>
        </w:rPr>
        <w:t>3.1.1</w:t>
      </w:r>
      <w:r w:rsidRPr="007F6F7C">
        <w:rPr>
          <w:rFonts w:ascii="Arial" w:hAnsi="Arial" w:cs="Arial"/>
          <w:color w:val="365F91" w:themeColor="accent1" w:themeShade="BF"/>
          <w:sz w:val="24"/>
          <w:szCs w:val="24"/>
        </w:rPr>
        <w:tab/>
      </w:r>
      <w:r w:rsidR="00AF2760" w:rsidRPr="007F6F7C">
        <w:rPr>
          <w:rFonts w:ascii="Arial" w:hAnsi="Arial" w:cs="Arial"/>
          <w:color w:val="365F91" w:themeColor="accent1" w:themeShade="BF"/>
          <w:sz w:val="24"/>
          <w:szCs w:val="24"/>
        </w:rPr>
        <w:t>Prisons</w:t>
      </w:r>
      <w:bookmarkEnd w:id="13"/>
    </w:p>
    <w:p w:rsidR="00AF2760" w:rsidRPr="00B0181D" w:rsidRDefault="00AF2760" w:rsidP="002344D1">
      <w:pPr>
        <w:rPr>
          <w:rFonts w:ascii="Arial" w:hAnsi="Arial" w:cs="Arial"/>
          <w:sz w:val="24"/>
          <w:szCs w:val="24"/>
        </w:rPr>
      </w:pPr>
      <w:r w:rsidRPr="00B0181D">
        <w:rPr>
          <w:rFonts w:ascii="Arial" w:hAnsi="Arial" w:cs="Arial"/>
          <w:sz w:val="24"/>
          <w:szCs w:val="24"/>
        </w:rPr>
        <w:t>Kent and Medway</w:t>
      </w:r>
      <w:r w:rsidR="00FB5B44" w:rsidRPr="00B0181D">
        <w:rPr>
          <w:rFonts w:ascii="Arial" w:hAnsi="Arial" w:cs="Arial"/>
          <w:sz w:val="24"/>
          <w:szCs w:val="24"/>
        </w:rPr>
        <w:t xml:space="preserve"> area</w:t>
      </w:r>
      <w:r w:rsidRPr="00B0181D">
        <w:rPr>
          <w:rFonts w:ascii="Arial" w:hAnsi="Arial" w:cs="Arial"/>
          <w:sz w:val="24"/>
          <w:szCs w:val="24"/>
        </w:rPr>
        <w:t xml:space="preserve"> has a total of 8 </w:t>
      </w:r>
      <w:r w:rsidR="007B7073" w:rsidRPr="00B0181D">
        <w:rPr>
          <w:rFonts w:ascii="Arial" w:hAnsi="Arial" w:cs="Arial"/>
          <w:sz w:val="24"/>
          <w:szCs w:val="24"/>
        </w:rPr>
        <w:t>Prescribed Places of Detention (PPDs)</w:t>
      </w:r>
      <w:r w:rsidRPr="00B0181D">
        <w:rPr>
          <w:rFonts w:ascii="Arial" w:hAnsi="Arial" w:cs="Arial"/>
          <w:sz w:val="24"/>
          <w:szCs w:val="24"/>
        </w:rPr>
        <w:t xml:space="preserve">, comprising </w:t>
      </w:r>
      <w:r w:rsidR="00160234" w:rsidRPr="00B0181D">
        <w:rPr>
          <w:rFonts w:ascii="Arial" w:hAnsi="Arial" w:cs="Arial"/>
          <w:sz w:val="24"/>
          <w:szCs w:val="24"/>
        </w:rPr>
        <w:t xml:space="preserve">1 Young Offenders Institute (YOI), 1 Secure Training Centre (STC) and </w:t>
      </w:r>
      <w:r w:rsidR="00A5174C" w:rsidRPr="00B0181D">
        <w:rPr>
          <w:rFonts w:ascii="Arial" w:hAnsi="Arial" w:cs="Arial"/>
          <w:sz w:val="24"/>
          <w:szCs w:val="24"/>
        </w:rPr>
        <w:t xml:space="preserve">6 prisons. Two of the prisons East Sutton Park and Stanford Hill) are open prisons with the expectations that those prisoners should be able to attend appointments in </w:t>
      </w:r>
      <w:r w:rsidR="00FB5B44" w:rsidRPr="00B0181D">
        <w:rPr>
          <w:rFonts w:ascii="Arial" w:hAnsi="Arial" w:cs="Arial"/>
          <w:sz w:val="24"/>
          <w:szCs w:val="24"/>
        </w:rPr>
        <w:t>nearby</w:t>
      </w:r>
      <w:r w:rsidR="00A5174C" w:rsidRPr="00B0181D">
        <w:rPr>
          <w:rFonts w:ascii="Arial" w:hAnsi="Arial" w:cs="Arial"/>
          <w:sz w:val="24"/>
          <w:szCs w:val="24"/>
        </w:rPr>
        <w:t xml:space="preserve"> community settings.</w:t>
      </w:r>
      <w:r w:rsidR="002D660F">
        <w:rPr>
          <w:rFonts w:ascii="Arial" w:hAnsi="Arial" w:cs="Arial"/>
          <w:sz w:val="24"/>
          <w:szCs w:val="24"/>
        </w:rPr>
        <w:t xml:space="preserve"> The</w:t>
      </w:r>
      <w:r w:rsidR="00137793">
        <w:rPr>
          <w:rFonts w:ascii="Arial" w:hAnsi="Arial" w:cs="Arial"/>
          <w:sz w:val="24"/>
          <w:szCs w:val="24"/>
        </w:rPr>
        <w:t xml:space="preserve"> other</w:t>
      </w:r>
      <w:r w:rsidR="002D660F">
        <w:rPr>
          <w:rFonts w:ascii="Arial" w:hAnsi="Arial" w:cs="Arial"/>
          <w:sz w:val="24"/>
          <w:szCs w:val="24"/>
        </w:rPr>
        <w:t xml:space="preserve"> institutions require the service to be provided within their premises.</w:t>
      </w:r>
    </w:p>
    <w:p w:rsidR="00A5174C" w:rsidRPr="007F6F7C" w:rsidRDefault="00B0181D" w:rsidP="00692144">
      <w:pPr>
        <w:pStyle w:val="Heading3"/>
        <w:rPr>
          <w:rFonts w:ascii="Arial" w:hAnsi="Arial" w:cs="Arial"/>
          <w:i/>
          <w:color w:val="365F91" w:themeColor="accent1" w:themeShade="BF"/>
          <w:sz w:val="24"/>
          <w:szCs w:val="24"/>
        </w:rPr>
      </w:pPr>
      <w:bookmarkStart w:id="14" w:name="_Toc512592227"/>
      <w:r w:rsidRPr="007F6F7C">
        <w:rPr>
          <w:rFonts w:ascii="Arial" w:hAnsi="Arial" w:cs="Arial"/>
          <w:color w:val="365F91" w:themeColor="accent1" w:themeShade="BF"/>
          <w:sz w:val="24"/>
          <w:szCs w:val="24"/>
        </w:rPr>
        <w:t>3.1.2</w:t>
      </w:r>
      <w:r w:rsidRPr="007F6F7C">
        <w:rPr>
          <w:rFonts w:ascii="Arial" w:hAnsi="Arial" w:cs="Arial"/>
          <w:color w:val="365F91" w:themeColor="accent1" w:themeShade="BF"/>
          <w:sz w:val="24"/>
          <w:szCs w:val="24"/>
        </w:rPr>
        <w:tab/>
      </w:r>
      <w:r w:rsidR="00A5174C" w:rsidRPr="007F6F7C">
        <w:rPr>
          <w:rFonts w:ascii="Arial" w:hAnsi="Arial" w:cs="Arial"/>
          <w:color w:val="365F91" w:themeColor="accent1" w:themeShade="BF"/>
          <w:sz w:val="24"/>
          <w:szCs w:val="24"/>
        </w:rPr>
        <w:t>Secure Mental Health Units</w:t>
      </w:r>
      <w:bookmarkEnd w:id="14"/>
    </w:p>
    <w:p w:rsidR="00A5174C" w:rsidRPr="00B0181D" w:rsidRDefault="00A5174C" w:rsidP="002344D1">
      <w:pPr>
        <w:rPr>
          <w:rFonts w:ascii="Arial" w:hAnsi="Arial" w:cs="Arial"/>
          <w:sz w:val="24"/>
          <w:szCs w:val="24"/>
        </w:rPr>
      </w:pPr>
      <w:r w:rsidRPr="00B0181D">
        <w:rPr>
          <w:rFonts w:ascii="Arial" w:hAnsi="Arial" w:cs="Arial"/>
          <w:sz w:val="24"/>
          <w:szCs w:val="24"/>
        </w:rPr>
        <w:t xml:space="preserve">There are currently two NHS providers of forensic mental health facilities in Kent and Medway: Oxleas NHS Trust and Kent and Medway Partnership Trust (KMPT). The former deliver services based at the Bracton Centre in Dartford and the latter deliver over two locations – the Trevor Gibbons Unit in Maidstone and Greenacres in Dartford. </w:t>
      </w:r>
      <w:r w:rsidR="002D660F">
        <w:rPr>
          <w:rFonts w:ascii="Arial" w:hAnsi="Arial" w:cs="Arial"/>
          <w:sz w:val="24"/>
          <w:szCs w:val="24"/>
        </w:rPr>
        <w:t>Local arrangements are made between the units and the screening provider to deliver eye screening.</w:t>
      </w:r>
    </w:p>
    <w:p w:rsidR="00A5174C" w:rsidRPr="007F6F7C" w:rsidRDefault="00B0181D" w:rsidP="00692144">
      <w:pPr>
        <w:pStyle w:val="Heading3"/>
        <w:rPr>
          <w:rFonts w:ascii="Arial" w:hAnsi="Arial" w:cs="Arial"/>
          <w:color w:val="365F91" w:themeColor="accent1" w:themeShade="BF"/>
          <w:sz w:val="24"/>
          <w:szCs w:val="24"/>
        </w:rPr>
      </w:pPr>
      <w:bookmarkStart w:id="15" w:name="_Toc512592228"/>
      <w:r w:rsidRPr="007F6F7C">
        <w:rPr>
          <w:rFonts w:ascii="Arial" w:hAnsi="Arial" w:cs="Arial"/>
          <w:color w:val="365F91" w:themeColor="accent1" w:themeShade="BF"/>
          <w:sz w:val="24"/>
          <w:szCs w:val="24"/>
        </w:rPr>
        <w:lastRenderedPageBreak/>
        <w:t>3.1.3</w:t>
      </w:r>
      <w:r w:rsidRPr="007F6F7C">
        <w:rPr>
          <w:rFonts w:ascii="Arial" w:hAnsi="Arial" w:cs="Arial"/>
          <w:color w:val="365F91" w:themeColor="accent1" w:themeShade="BF"/>
          <w:sz w:val="24"/>
          <w:szCs w:val="24"/>
        </w:rPr>
        <w:tab/>
      </w:r>
      <w:r w:rsidR="00A5174C" w:rsidRPr="007F6F7C">
        <w:rPr>
          <w:rFonts w:ascii="Arial" w:hAnsi="Arial" w:cs="Arial"/>
          <w:color w:val="365F91" w:themeColor="accent1" w:themeShade="BF"/>
          <w:sz w:val="24"/>
          <w:szCs w:val="24"/>
        </w:rPr>
        <w:t>Armed Forces</w:t>
      </w:r>
      <w:bookmarkEnd w:id="15"/>
    </w:p>
    <w:p w:rsidR="00A5174C" w:rsidRDefault="00A5174C" w:rsidP="00F41C3C">
      <w:pPr>
        <w:spacing w:after="0"/>
        <w:rPr>
          <w:rFonts w:ascii="Arial" w:hAnsi="Arial" w:cs="Arial"/>
          <w:sz w:val="24"/>
          <w:szCs w:val="24"/>
        </w:rPr>
      </w:pPr>
      <w:r w:rsidRPr="00B0181D">
        <w:rPr>
          <w:rFonts w:ascii="Arial" w:hAnsi="Arial" w:cs="Arial"/>
          <w:sz w:val="24"/>
          <w:szCs w:val="24"/>
        </w:rPr>
        <w:t xml:space="preserve">There are 3 </w:t>
      </w:r>
      <w:r w:rsidR="00016A98" w:rsidRPr="00B0181D">
        <w:rPr>
          <w:rFonts w:ascii="Arial" w:hAnsi="Arial" w:cs="Arial"/>
          <w:sz w:val="24"/>
          <w:szCs w:val="24"/>
        </w:rPr>
        <w:t>Defence</w:t>
      </w:r>
      <w:r w:rsidRPr="00B0181D">
        <w:rPr>
          <w:rFonts w:ascii="Arial" w:hAnsi="Arial" w:cs="Arial"/>
          <w:sz w:val="24"/>
          <w:szCs w:val="24"/>
        </w:rPr>
        <w:t xml:space="preserve"> Medical Services (DMSs), one per barrack, in Kent and Medway responsible for the delivery of general medical services to the members of the Armed Forces and their dependents. </w:t>
      </w:r>
      <w:r w:rsidR="00FB5B44" w:rsidRPr="00B0181D">
        <w:rPr>
          <w:rFonts w:ascii="Arial" w:hAnsi="Arial" w:cs="Arial"/>
          <w:sz w:val="24"/>
          <w:szCs w:val="24"/>
        </w:rPr>
        <w:t>The GP2DRS electronic extraction system does not include these institution</w:t>
      </w:r>
      <w:r w:rsidR="00432B15" w:rsidRPr="00B0181D">
        <w:rPr>
          <w:rFonts w:ascii="Arial" w:hAnsi="Arial" w:cs="Arial"/>
          <w:sz w:val="24"/>
          <w:szCs w:val="24"/>
        </w:rPr>
        <w:t>s</w:t>
      </w:r>
      <w:r w:rsidR="00FB5B44" w:rsidRPr="00B0181D">
        <w:rPr>
          <w:rFonts w:ascii="Arial" w:hAnsi="Arial" w:cs="Arial"/>
          <w:sz w:val="24"/>
          <w:szCs w:val="24"/>
        </w:rPr>
        <w:t xml:space="preserve"> at present</w:t>
      </w:r>
      <w:r w:rsidR="002D660F">
        <w:rPr>
          <w:rFonts w:ascii="Arial" w:hAnsi="Arial" w:cs="Arial"/>
          <w:sz w:val="24"/>
          <w:szCs w:val="24"/>
        </w:rPr>
        <w:t xml:space="preserve">, therefore regular contact between the barracks and the screening provider is maintained </w:t>
      </w:r>
      <w:r w:rsidR="00F27386">
        <w:rPr>
          <w:rFonts w:ascii="Arial" w:hAnsi="Arial" w:cs="Arial"/>
          <w:sz w:val="24"/>
          <w:szCs w:val="24"/>
        </w:rPr>
        <w:t>and screening delivered through</w:t>
      </w:r>
      <w:r w:rsidR="002D660F">
        <w:rPr>
          <w:rFonts w:ascii="Arial" w:hAnsi="Arial" w:cs="Arial"/>
          <w:sz w:val="24"/>
          <w:szCs w:val="24"/>
        </w:rPr>
        <w:t xml:space="preserve"> mobile or static unit.</w:t>
      </w:r>
    </w:p>
    <w:p w:rsidR="00F41C3C" w:rsidRPr="00B0181D" w:rsidRDefault="00F41C3C" w:rsidP="00F41C3C">
      <w:pPr>
        <w:spacing w:after="0"/>
        <w:rPr>
          <w:rFonts w:ascii="Arial" w:hAnsi="Arial" w:cs="Arial"/>
          <w:sz w:val="24"/>
          <w:szCs w:val="24"/>
        </w:rPr>
      </w:pPr>
    </w:p>
    <w:p w:rsidR="00222B45" w:rsidRPr="007F6F7C" w:rsidRDefault="00EB1416" w:rsidP="00F41C3C">
      <w:pPr>
        <w:pStyle w:val="Heading1"/>
        <w:spacing w:before="0"/>
        <w:ind w:left="567" w:hanging="567"/>
        <w:rPr>
          <w:rFonts w:ascii="Arial" w:hAnsi="Arial" w:cs="Arial"/>
          <w:sz w:val="32"/>
          <w:szCs w:val="32"/>
        </w:rPr>
      </w:pPr>
      <w:bookmarkStart w:id="16" w:name="_Toc512592229"/>
      <w:r w:rsidRPr="007F6F7C">
        <w:rPr>
          <w:rFonts w:ascii="Arial" w:hAnsi="Arial" w:cs="Arial"/>
          <w:sz w:val="32"/>
          <w:szCs w:val="32"/>
        </w:rPr>
        <w:t>4.</w:t>
      </w:r>
      <w:r w:rsidRPr="007F6F7C">
        <w:rPr>
          <w:rFonts w:ascii="Arial" w:hAnsi="Arial" w:cs="Arial"/>
          <w:sz w:val="32"/>
          <w:szCs w:val="32"/>
        </w:rPr>
        <w:tab/>
        <w:t>Current Pathway, Service Provision and Delivery M</w:t>
      </w:r>
      <w:r w:rsidR="00222B45" w:rsidRPr="007F6F7C">
        <w:rPr>
          <w:rFonts w:ascii="Arial" w:hAnsi="Arial" w:cs="Arial"/>
          <w:sz w:val="32"/>
          <w:szCs w:val="32"/>
        </w:rPr>
        <w:t>odel</w:t>
      </w:r>
      <w:bookmarkEnd w:id="16"/>
    </w:p>
    <w:p w:rsidR="00A06065" w:rsidRPr="007F6F7C" w:rsidRDefault="00EB1416" w:rsidP="00EB1416">
      <w:pPr>
        <w:pStyle w:val="Heading2"/>
        <w:ind w:left="567" w:hanging="567"/>
        <w:rPr>
          <w:rFonts w:ascii="Arial" w:hAnsi="Arial" w:cs="Arial"/>
          <w:color w:val="365F91" w:themeColor="accent1" w:themeShade="BF"/>
          <w:sz w:val="28"/>
          <w:szCs w:val="28"/>
        </w:rPr>
      </w:pPr>
      <w:bookmarkStart w:id="17" w:name="_Toc512592230"/>
      <w:r w:rsidRPr="007F6F7C">
        <w:rPr>
          <w:rFonts w:ascii="Arial" w:hAnsi="Arial" w:cs="Arial"/>
          <w:color w:val="365F91" w:themeColor="accent1" w:themeShade="BF"/>
          <w:sz w:val="28"/>
          <w:szCs w:val="28"/>
        </w:rPr>
        <w:t>4.1</w:t>
      </w:r>
      <w:r w:rsidRPr="007F6F7C">
        <w:rPr>
          <w:rFonts w:ascii="Arial" w:hAnsi="Arial" w:cs="Arial"/>
          <w:color w:val="365F91" w:themeColor="accent1" w:themeShade="BF"/>
          <w:sz w:val="28"/>
          <w:szCs w:val="28"/>
        </w:rPr>
        <w:tab/>
      </w:r>
      <w:r w:rsidR="00A06065" w:rsidRPr="007F6F7C">
        <w:rPr>
          <w:rFonts w:ascii="Arial" w:hAnsi="Arial" w:cs="Arial"/>
          <w:color w:val="365F91" w:themeColor="accent1" w:themeShade="BF"/>
          <w:sz w:val="28"/>
          <w:szCs w:val="28"/>
        </w:rPr>
        <w:t>Routine Digital Screening</w:t>
      </w:r>
      <w:bookmarkEnd w:id="17"/>
    </w:p>
    <w:p w:rsidR="00BD22B0" w:rsidRDefault="00A06065" w:rsidP="002344D1">
      <w:pPr>
        <w:rPr>
          <w:rFonts w:ascii="Arial" w:hAnsi="Arial" w:cs="Arial"/>
          <w:sz w:val="24"/>
          <w:szCs w:val="24"/>
        </w:rPr>
      </w:pPr>
      <w:r w:rsidRPr="00C9446A">
        <w:rPr>
          <w:rFonts w:ascii="Arial" w:hAnsi="Arial" w:cs="Arial"/>
          <w:sz w:val="24"/>
          <w:szCs w:val="24"/>
        </w:rPr>
        <w:t>Routine Digital Screening (RDS) is delive</w:t>
      </w:r>
      <w:r w:rsidR="00813B4B" w:rsidRPr="00C9446A">
        <w:rPr>
          <w:rFonts w:ascii="Arial" w:hAnsi="Arial" w:cs="Arial"/>
          <w:sz w:val="24"/>
          <w:szCs w:val="24"/>
        </w:rPr>
        <w:t xml:space="preserve">red via a combination of static </w:t>
      </w:r>
      <w:r w:rsidRPr="00C9446A">
        <w:rPr>
          <w:rFonts w:ascii="Arial" w:hAnsi="Arial" w:cs="Arial"/>
          <w:sz w:val="24"/>
          <w:szCs w:val="24"/>
        </w:rPr>
        <w:t>and mobile sites</w:t>
      </w:r>
      <w:r w:rsidRPr="00D81C91">
        <w:rPr>
          <w:rFonts w:ascii="Arial" w:hAnsi="Arial" w:cs="Arial"/>
        </w:rPr>
        <w:t xml:space="preserve"> </w:t>
      </w:r>
      <w:r w:rsidRPr="00EB1416">
        <w:rPr>
          <w:rFonts w:ascii="Arial" w:hAnsi="Arial" w:cs="Arial"/>
          <w:sz w:val="24"/>
          <w:szCs w:val="24"/>
        </w:rPr>
        <w:t xml:space="preserve">throughout Kent and Medway. </w:t>
      </w:r>
      <w:r w:rsidR="00222B45" w:rsidRPr="00EB1416">
        <w:rPr>
          <w:rFonts w:ascii="Arial" w:hAnsi="Arial" w:cs="Arial"/>
          <w:sz w:val="24"/>
          <w:szCs w:val="24"/>
        </w:rPr>
        <w:t xml:space="preserve">The initial screen consists of the digital photography of the retina by screeners, grading of the resulting images and decisions for ongoing managements by senior staff and the Clinical Lead. </w:t>
      </w:r>
      <w:r w:rsidR="00A73793" w:rsidRPr="00EB1416">
        <w:rPr>
          <w:rFonts w:ascii="Arial" w:hAnsi="Arial" w:cs="Arial"/>
          <w:sz w:val="24"/>
          <w:szCs w:val="24"/>
        </w:rPr>
        <w:t xml:space="preserve">They are then either returned to annual routine digital screening or referred for surveillance or further assessment and/or treatment as needed. </w:t>
      </w:r>
    </w:p>
    <w:p w:rsidR="00BD22B0" w:rsidRDefault="00BD22B0" w:rsidP="002344D1">
      <w:pPr>
        <w:rPr>
          <w:rFonts w:ascii="Arial" w:hAnsi="Arial" w:cs="Arial"/>
          <w:sz w:val="24"/>
          <w:szCs w:val="24"/>
        </w:rPr>
      </w:pPr>
      <w:r>
        <w:rPr>
          <w:rFonts w:ascii="Arial" w:hAnsi="Arial" w:cs="Arial"/>
          <w:sz w:val="24"/>
          <w:szCs w:val="24"/>
        </w:rPr>
        <w:t xml:space="preserve">Uptake of routine digital screening is expected to meet the 80% achievable national target. </w:t>
      </w:r>
      <w:r w:rsidR="00216CEB">
        <w:rPr>
          <w:rFonts w:ascii="Arial" w:hAnsi="Arial" w:cs="Arial"/>
          <w:sz w:val="24"/>
          <w:szCs w:val="24"/>
        </w:rPr>
        <w:t>The quarterly trends in uptake for the Kent and Medway programme in comparison to the data for England are in the table below:</w:t>
      </w:r>
    </w:p>
    <w:p w:rsidR="00CA3500" w:rsidRPr="00CA3500" w:rsidRDefault="00CA3500" w:rsidP="00CA3500">
      <w:pPr>
        <w:spacing w:after="0"/>
        <w:rPr>
          <w:rFonts w:ascii="Arial" w:hAnsi="Arial" w:cs="Arial"/>
          <w:b/>
          <w:color w:val="365F91" w:themeColor="accent1" w:themeShade="BF"/>
          <w:sz w:val="24"/>
          <w:szCs w:val="24"/>
        </w:rPr>
      </w:pPr>
      <w:r w:rsidRPr="00CA3500">
        <w:rPr>
          <w:rFonts w:ascii="Arial" w:hAnsi="Arial" w:cs="Arial"/>
          <w:b/>
          <w:color w:val="365F91" w:themeColor="accent1" w:themeShade="BF"/>
          <w:sz w:val="24"/>
          <w:szCs w:val="24"/>
        </w:rPr>
        <w:t>Table 4: Uptake of Routine Digital Screening 2016/17</w:t>
      </w:r>
    </w:p>
    <w:tbl>
      <w:tblPr>
        <w:tblStyle w:val="LightGrid-Accent5"/>
        <w:tblW w:w="0" w:type="auto"/>
        <w:tblLook w:val="04A0" w:firstRow="1" w:lastRow="0" w:firstColumn="1" w:lastColumn="0" w:noHBand="0" w:noVBand="1"/>
      </w:tblPr>
      <w:tblGrid>
        <w:gridCol w:w="1848"/>
        <w:gridCol w:w="1848"/>
        <w:gridCol w:w="1848"/>
        <w:gridCol w:w="1849"/>
        <w:gridCol w:w="1849"/>
      </w:tblGrid>
      <w:tr w:rsidR="00216CEB" w:rsidRPr="00216CEB" w:rsidTr="000A6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rsidR="00216CEB" w:rsidRPr="00216CEB" w:rsidRDefault="00216CEB" w:rsidP="002344D1">
            <w:pPr>
              <w:rPr>
                <w:rFonts w:ascii="Arial" w:hAnsi="Arial" w:cs="Arial"/>
                <w:sz w:val="18"/>
                <w:szCs w:val="18"/>
              </w:rPr>
            </w:pPr>
          </w:p>
        </w:tc>
        <w:tc>
          <w:tcPr>
            <w:tcW w:w="7394" w:type="dxa"/>
            <w:gridSpan w:val="4"/>
          </w:tcPr>
          <w:p w:rsidR="00216CEB" w:rsidRPr="00216CEB" w:rsidRDefault="00216CEB" w:rsidP="00216CE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Uptake of routine digital screening 2016/17</w:t>
            </w:r>
          </w:p>
        </w:tc>
      </w:tr>
      <w:tr w:rsidR="00216CEB" w:rsidRPr="00216CEB" w:rsidTr="000A6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rsidR="00216CEB" w:rsidRPr="00216CEB" w:rsidRDefault="00216CEB" w:rsidP="002344D1">
            <w:pPr>
              <w:rPr>
                <w:rFonts w:ascii="Arial" w:hAnsi="Arial" w:cs="Arial"/>
                <w:sz w:val="18"/>
                <w:szCs w:val="18"/>
              </w:rPr>
            </w:pPr>
          </w:p>
        </w:tc>
        <w:tc>
          <w:tcPr>
            <w:tcW w:w="1848" w:type="dxa"/>
          </w:tcPr>
          <w:p w:rsidR="00216CEB" w:rsidRPr="00216CEB" w:rsidRDefault="00216CEB" w:rsidP="002344D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16CEB">
              <w:rPr>
                <w:rFonts w:ascii="Arial" w:hAnsi="Arial" w:cs="Arial"/>
                <w:sz w:val="18"/>
                <w:szCs w:val="18"/>
              </w:rPr>
              <w:t>Q1</w:t>
            </w:r>
          </w:p>
        </w:tc>
        <w:tc>
          <w:tcPr>
            <w:tcW w:w="1848" w:type="dxa"/>
          </w:tcPr>
          <w:p w:rsidR="00216CEB" w:rsidRPr="00216CEB" w:rsidRDefault="00216CEB" w:rsidP="002344D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16CEB">
              <w:rPr>
                <w:rFonts w:ascii="Arial" w:hAnsi="Arial" w:cs="Arial"/>
                <w:sz w:val="18"/>
                <w:szCs w:val="18"/>
              </w:rPr>
              <w:t>Q2</w:t>
            </w:r>
          </w:p>
        </w:tc>
        <w:tc>
          <w:tcPr>
            <w:tcW w:w="1849" w:type="dxa"/>
          </w:tcPr>
          <w:p w:rsidR="00216CEB" w:rsidRPr="00216CEB" w:rsidRDefault="00216CEB" w:rsidP="002344D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16CEB">
              <w:rPr>
                <w:rFonts w:ascii="Arial" w:hAnsi="Arial" w:cs="Arial"/>
                <w:sz w:val="18"/>
                <w:szCs w:val="18"/>
              </w:rPr>
              <w:t>Q3</w:t>
            </w:r>
          </w:p>
        </w:tc>
        <w:tc>
          <w:tcPr>
            <w:tcW w:w="1849" w:type="dxa"/>
          </w:tcPr>
          <w:p w:rsidR="00216CEB" w:rsidRPr="00216CEB" w:rsidRDefault="00216CEB" w:rsidP="002344D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16CEB">
              <w:rPr>
                <w:rFonts w:ascii="Arial" w:hAnsi="Arial" w:cs="Arial"/>
                <w:sz w:val="18"/>
                <w:szCs w:val="18"/>
              </w:rPr>
              <w:t>Q4</w:t>
            </w:r>
          </w:p>
        </w:tc>
      </w:tr>
      <w:tr w:rsidR="00216CEB" w:rsidRPr="00216CEB" w:rsidTr="000A62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rsidR="00216CEB" w:rsidRPr="00216CEB" w:rsidRDefault="00216CEB" w:rsidP="002344D1">
            <w:pPr>
              <w:rPr>
                <w:rFonts w:ascii="Arial" w:hAnsi="Arial" w:cs="Arial"/>
                <w:sz w:val="18"/>
                <w:szCs w:val="18"/>
              </w:rPr>
            </w:pPr>
            <w:r w:rsidRPr="00216CEB">
              <w:rPr>
                <w:rFonts w:ascii="Arial" w:hAnsi="Arial" w:cs="Arial"/>
                <w:sz w:val="18"/>
                <w:szCs w:val="18"/>
              </w:rPr>
              <w:t>Kent and Medway</w:t>
            </w:r>
          </w:p>
        </w:tc>
        <w:tc>
          <w:tcPr>
            <w:tcW w:w="1848" w:type="dxa"/>
          </w:tcPr>
          <w:p w:rsidR="00216CEB" w:rsidRPr="00216CEB" w:rsidRDefault="00216CEB" w:rsidP="002344D1">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85.5</w:t>
            </w:r>
          </w:p>
        </w:tc>
        <w:tc>
          <w:tcPr>
            <w:tcW w:w="1848" w:type="dxa"/>
          </w:tcPr>
          <w:p w:rsidR="00216CEB" w:rsidRPr="00216CEB" w:rsidRDefault="00216CEB" w:rsidP="002344D1">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82.9</w:t>
            </w:r>
          </w:p>
        </w:tc>
        <w:tc>
          <w:tcPr>
            <w:tcW w:w="1849" w:type="dxa"/>
          </w:tcPr>
          <w:p w:rsidR="00216CEB" w:rsidRPr="00216CEB" w:rsidRDefault="00216CEB" w:rsidP="002344D1">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81.8</w:t>
            </w:r>
          </w:p>
        </w:tc>
        <w:tc>
          <w:tcPr>
            <w:tcW w:w="1849" w:type="dxa"/>
          </w:tcPr>
          <w:p w:rsidR="00216CEB" w:rsidRPr="00216CEB" w:rsidRDefault="00216CEB" w:rsidP="002344D1">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82.5</w:t>
            </w:r>
          </w:p>
        </w:tc>
      </w:tr>
      <w:tr w:rsidR="00216CEB" w:rsidRPr="00216CEB" w:rsidTr="000A6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rsidR="00216CEB" w:rsidRPr="00216CEB" w:rsidRDefault="00216CEB" w:rsidP="002344D1">
            <w:pPr>
              <w:rPr>
                <w:rFonts w:ascii="Arial" w:hAnsi="Arial" w:cs="Arial"/>
                <w:sz w:val="18"/>
                <w:szCs w:val="18"/>
              </w:rPr>
            </w:pPr>
            <w:r w:rsidRPr="00216CEB">
              <w:rPr>
                <w:rFonts w:ascii="Arial" w:hAnsi="Arial" w:cs="Arial"/>
                <w:sz w:val="18"/>
                <w:szCs w:val="18"/>
              </w:rPr>
              <w:t>England</w:t>
            </w:r>
          </w:p>
        </w:tc>
        <w:tc>
          <w:tcPr>
            <w:tcW w:w="1848" w:type="dxa"/>
          </w:tcPr>
          <w:p w:rsidR="00216CEB" w:rsidRPr="00216CEB" w:rsidRDefault="00216CEB" w:rsidP="002344D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82.5</w:t>
            </w:r>
          </w:p>
        </w:tc>
        <w:tc>
          <w:tcPr>
            <w:tcW w:w="1848" w:type="dxa"/>
          </w:tcPr>
          <w:p w:rsidR="00216CEB" w:rsidRPr="00216CEB" w:rsidRDefault="00216CEB" w:rsidP="002344D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82.2</w:t>
            </w:r>
          </w:p>
        </w:tc>
        <w:tc>
          <w:tcPr>
            <w:tcW w:w="1849" w:type="dxa"/>
          </w:tcPr>
          <w:p w:rsidR="00216CEB" w:rsidRPr="00216CEB" w:rsidRDefault="00216CEB" w:rsidP="002344D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82.1</w:t>
            </w:r>
          </w:p>
        </w:tc>
        <w:tc>
          <w:tcPr>
            <w:tcW w:w="1849" w:type="dxa"/>
          </w:tcPr>
          <w:p w:rsidR="00216CEB" w:rsidRPr="00216CEB" w:rsidRDefault="00216CEB" w:rsidP="002344D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82.2</w:t>
            </w:r>
          </w:p>
        </w:tc>
      </w:tr>
      <w:tr w:rsidR="00216CEB" w:rsidRPr="00216CEB" w:rsidTr="000A62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5"/>
          </w:tcPr>
          <w:p w:rsidR="00216CEB" w:rsidRPr="00216CEB" w:rsidRDefault="00216CEB" w:rsidP="002344D1">
            <w:pPr>
              <w:rPr>
                <w:rFonts w:ascii="Arial" w:hAnsi="Arial" w:cs="Arial"/>
                <w:sz w:val="16"/>
                <w:szCs w:val="16"/>
              </w:rPr>
            </w:pPr>
            <w:r w:rsidRPr="00216CEB">
              <w:rPr>
                <w:rFonts w:ascii="Arial" w:hAnsi="Arial" w:cs="Arial"/>
                <w:sz w:val="16"/>
                <w:szCs w:val="16"/>
              </w:rPr>
              <w:t>Source: PHE Screening (2017)</w:t>
            </w:r>
          </w:p>
        </w:tc>
      </w:tr>
    </w:tbl>
    <w:p w:rsidR="00216CEB" w:rsidRDefault="00216CEB" w:rsidP="00CA3500">
      <w:pPr>
        <w:spacing w:after="0"/>
        <w:rPr>
          <w:rFonts w:ascii="Arial" w:hAnsi="Arial" w:cs="Arial"/>
          <w:sz w:val="24"/>
          <w:szCs w:val="24"/>
        </w:rPr>
      </w:pPr>
    </w:p>
    <w:p w:rsidR="00A73793" w:rsidRPr="00EB1416" w:rsidRDefault="00CE310D" w:rsidP="002344D1">
      <w:pPr>
        <w:rPr>
          <w:rFonts w:ascii="Arial" w:hAnsi="Arial" w:cs="Arial"/>
          <w:sz w:val="24"/>
          <w:szCs w:val="24"/>
        </w:rPr>
      </w:pPr>
      <w:r w:rsidRPr="00EB1416">
        <w:rPr>
          <w:rFonts w:ascii="Arial" w:hAnsi="Arial" w:cs="Arial"/>
          <w:sz w:val="24"/>
          <w:szCs w:val="24"/>
        </w:rPr>
        <w:t xml:space="preserve">Local data for the year 2016/17 showed that about 65% of those eligible for screening were returned to </w:t>
      </w:r>
      <w:r w:rsidR="00A73793" w:rsidRPr="00EB1416">
        <w:rPr>
          <w:rFonts w:ascii="Arial" w:hAnsi="Arial" w:cs="Arial"/>
          <w:sz w:val="24"/>
          <w:szCs w:val="24"/>
        </w:rPr>
        <w:t xml:space="preserve">routine </w:t>
      </w:r>
      <w:r w:rsidRPr="00EB1416">
        <w:rPr>
          <w:rFonts w:ascii="Arial" w:hAnsi="Arial" w:cs="Arial"/>
          <w:sz w:val="24"/>
          <w:szCs w:val="24"/>
        </w:rPr>
        <w:t>annual recall.</w:t>
      </w:r>
      <w:r w:rsidR="009606EA" w:rsidRPr="00EB1416">
        <w:rPr>
          <w:rFonts w:ascii="Arial" w:hAnsi="Arial" w:cs="Arial"/>
          <w:sz w:val="24"/>
          <w:szCs w:val="24"/>
        </w:rPr>
        <w:t xml:space="preserve"> </w:t>
      </w:r>
    </w:p>
    <w:p w:rsidR="00034826" w:rsidRPr="00EB1416" w:rsidRDefault="00EB1416" w:rsidP="00EB1416">
      <w:pPr>
        <w:pStyle w:val="Heading2"/>
        <w:ind w:left="567" w:hanging="567"/>
        <w:rPr>
          <w:rFonts w:ascii="Arial" w:hAnsi="Arial" w:cs="Arial"/>
          <w:color w:val="365F91" w:themeColor="accent1" w:themeShade="BF"/>
          <w:sz w:val="28"/>
          <w:szCs w:val="28"/>
        </w:rPr>
      </w:pPr>
      <w:bookmarkStart w:id="18" w:name="_Toc512592231"/>
      <w:r w:rsidRPr="00EB1416">
        <w:rPr>
          <w:rFonts w:ascii="Arial" w:hAnsi="Arial" w:cs="Arial"/>
          <w:color w:val="365F91" w:themeColor="accent1" w:themeShade="BF"/>
          <w:sz w:val="28"/>
          <w:szCs w:val="28"/>
        </w:rPr>
        <w:t>4.2</w:t>
      </w:r>
      <w:r w:rsidRPr="00EB1416">
        <w:rPr>
          <w:rFonts w:ascii="Arial" w:hAnsi="Arial" w:cs="Arial"/>
          <w:color w:val="365F91" w:themeColor="accent1" w:themeShade="BF"/>
          <w:sz w:val="28"/>
          <w:szCs w:val="28"/>
        </w:rPr>
        <w:tab/>
      </w:r>
      <w:r w:rsidR="00034826" w:rsidRPr="00EB1416">
        <w:rPr>
          <w:rFonts w:ascii="Arial" w:hAnsi="Arial" w:cs="Arial"/>
          <w:color w:val="365F91" w:themeColor="accent1" w:themeShade="BF"/>
          <w:sz w:val="28"/>
          <w:szCs w:val="28"/>
        </w:rPr>
        <w:t>Digital Surveillance</w:t>
      </w:r>
      <w:r w:rsidR="00C9446A">
        <w:rPr>
          <w:rFonts w:ascii="Arial" w:hAnsi="Arial" w:cs="Arial"/>
          <w:color w:val="365F91" w:themeColor="accent1" w:themeShade="BF"/>
          <w:sz w:val="28"/>
          <w:szCs w:val="28"/>
        </w:rPr>
        <w:t xml:space="preserve"> (DS)</w:t>
      </w:r>
      <w:bookmarkEnd w:id="18"/>
    </w:p>
    <w:p w:rsidR="00813B4B" w:rsidRPr="00EB1416" w:rsidRDefault="006C69E6" w:rsidP="002344D1">
      <w:pPr>
        <w:rPr>
          <w:rFonts w:ascii="Arial" w:hAnsi="Arial" w:cs="Arial"/>
          <w:sz w:val="24"/>
          <w:szCs w:val="24"/>
        </w:rPr>
      </w:pPr>
      <w:r w:rsidRPr="00EB1416">
        <w:rPr>
          <w:rFonts w:ascii="Arial" w:hAnsi="Arial" w:cs="Arial"/>
          <w:sz w:val="24"/>
          <w:szCs w:val="24"/>
        </w:rPr>
        <w:t>Digital Surveillance</w:t>
      </w:r>
      <w:r w:rsidR="001E3A9B">
        <w:rPr>
          <w:rFonts w:ascii="Arial" w:hAnsi="Arial" w:cs="Arial"/>
          <w:sz w:val="24"/>
          <w:szCs w:val="24"/>
        </w:rPr>
        <w:t xml:space="preserve"> </w:t>
      </w:r>
      <w:r w:rsidRPr="00EB1416">
        <w:rPr>
          <w:rFonts w:ascii="Arial" w:hAnsi="Arial" w:cs="Arial"/>
          <w:sz w:val="24"/>
          <w:szCs w:val="24"/>
        </w:rPr>
        <w:t xml:space="preserve">is </w:t>
      </w:r>
      <w:r w:rsidR="001E3A9B">
        <w:rPr>
          <w:rFonts w:ascii="Arial" w:hAnsi="Arial" w:cs="Arial"/>
          <w:sz w:val="24"/>
          <w:szCs w:val="24"/>
        </w:rPr>
        <w:t>defined as  “t</w:t>
      </w:r>
      <w:r w:rsidR="001E3A9B" w:rsidRPr="001E3A9B">
        <w:rPr>
          <w:rFonts w:ascii="Arial" w:hAnsi="Arial" w:cs="Arial"/>
          <w:sz w:val="24"/>
          <w:szCs w:val="24"/>
        </w:rPr>
        <w:t>he pathway under which a patient requires monitoring on a more frequent basis than annual routine digital screening but there is no current requirement for the patient to be referred to HES</w:t>
      </w:r>
      <w:r w:rsidR="001E3A9B">
        <w:rPr>
          <w:rFonts w:ascii="Arial" w:hAnsi="Arial" w:cs="Arial"/>
          <w:sz w:val="24"/>
          <w:szCs w:val="24"/>
        </w:rPr>
        <w:t>” (UKNSC, 2014)</w:t>
      </w:r>
      <w:r w:rsidR="001E3A9B" w:rsidRPr="001E3A9B">
        <w:rPr>
          <w:rFonts w:ascii="Arial" w:hAnsi="Arial" w:cs="Arial"/>
          <w:sz w:val="24"/>
          <w:szCs w:val="24"/>
        </w:rPr>
        <w:t xml:space="preserve">. </w:t>
      </w:r>
      <w:r w:rsidR="001E3A9B">
        <w:rPr>
          <w:rFonts w:ascii="Arial" w:hAnsi="Arial" w:cs="Arial"/>
          <w:sz w:val="24"/>
          <w:szCs w:val="24"/>
        </w:rPr>
        <w:t xml:space="preserve">It is </w:t>
      </w:r>
      <w:r w:rsidRPr="00EB1416">
        <w:rPr>
          <w:rFonts w:ascii="Arial" w:hAnsi="Arial" w:cs="Arial"/>
          <w:sz w:val="24"/>
          <w:szCs w:val="24"/>
        </w:rPr>
        <w:t xml:space="preserve">delivered to a proportion of patients not requiring referral to hospital eye services but in need of more frequently </w:t>
      </w:r>
      <w:r w:rsidR="009606EA" w:rsidRPr="00EB1416">
        <w:rPr>
          <w:rFonts w:ascii="Arial" w:hAnsi="Arial" w:cs="Arial"/>
          <w:sz w:val="24"/>
          <w:szCs w:val="24"/>
        </w:rPr>
        <w:t>monitoring – generally varying</w:t>
      </w:r>
      <w:r w:rsidRPr="00EB1416">
        <w:rPr>
          <w:rFonts w:ascii="Arial" w:hAnsi="Arial" w:cs="Arial"/>
          <w:sz w:val="24"/>
          <w:szCs w:val="24"/>
        </w:rPr>
        <w:t xml:space="preserve"> from </w:t>
      </w:r>
      <w:r w:rsidR="009606EA" w:rsidRPr="00EB1416">
        <w:rPr>
          <w:rFonts w:ascii="Arial" w:hAnsi="Arial" w:cs="Arial"/>
          <w:sz w:val="24"/>
          <w:szCs w:val="24"/>
        </w:rPr>
        <w:t>3 to 9 months.</w:t>
      </w:r>
      <w:r w:rsidR="009558F3" w:rsidRPr="00EB1416">
        <w:rPr>
          <w:rFonts w:ascii="Arial" w:hAnsi="Arial" w:cs="Arial"/>
          <w:sz w:val="24"/>
          <w:szCs w:val="24"/>
        </w:rPr>
        <w:t xml:space="preserve"> It is delivered from the same sites as RDS.</w:t>
      </w:r>
    </w:p>
    <w:p w:rsidR="005D30F8" w:rsidRPr="00EB1416" w:rsidRDefault="00EB1416" w:rsidP="00EB1416">
      <w:pPr>
        <w:pStyle w:val="Heading2"/>
        <w:ind w:left="567" w:hanging="567"/>
        <w:rPr>
          <w:rFonts w:ascii="Arial" w:hAnsi="Arial" w:cs="Arial"/>
          <w:color w:val="365F91" w:themeColor="accent1" w:themeShade="BF"/>
          <w:sz w:val="28"/>
          <w:szCs w:val="28"/>
        </w:rPr>
      </w:pPr>
      <w:bookmarkStart w:id="19" w:name="_Toc512592232"/>
      <w:r w:rsidRPr="00EB1416">
        <w:rPr>
          <w:rFonts w:ascii="Arial" w:hAnsi="Arial" w:cs="Arial"/>
          <w:color w:val="365F91" w:themeColor="accent1" w:themeShade="BF"/>
          <w:sz w:val="28"/>
          <w:szCs w:val="28"/>
        </w:rPr>
        <w:t>4.3</w:t>
      </w:r>
      <w:r w:rsidRPr="00EB1416">
        <w:rPr>
          <w:rFonts w:ascii="Arial" w:hAnsi="Arial" w:cs="Arial"/>
          <w:color w:val="365F91" w:themeColor="accent1" w:themeShade="BF"/>
          <w:sz w:val="28"/>
          <w:szCs w:val="28"/>
        </w:rPr>
        <w:tab/>
      </w:r>
      <w:r w:rsidR="005D30F8" w:rsidRPr="00EB1416">
        <w:rPr>
          <w:rFonts w:ascii="Arial" w:hAnsi="Arial" w:cs="Arial"/>
          <w:color w:val="365F91" w:themeColor="accent1" w:themeShade="BF"/>
          <w:sz w:val="28"/>
          <w:szCs w:val="28"/>
        </w:rPr>
        <w:t>Slit Lamp Biomicroscopy</w:t>
      </w:r>
      <w:r w:rsidR="00905415">
        <w:rPr>
          <w:rFonts w:ascii="Arial" w:hAnsi="Arial" w:cs="Arial"/>
          <w:color w:val="365F91" w:themeColor="accent1" w:themeShade="BF"/>
          <w:sz w:val="28"/>
          <w:szCs w:val="28"/>
        </w:rPr>
        <w:t xml:space="preserve"> (SLB)</w:t>
      </w:r>
      <w:bookmarkEnd w:id="19"/>
    </w:p>
    <w:p w:rsidR="003D68DA" w:rsidRPr="00EB1416" w:rsidRDefault="001E3A9B" w:rsidP="002344D1">
      <w:pPr>
        <w:rPr>
          <w:rFonts w:ascii="Arial" w:hAnsi="Arial" w:cs="Arial"/>
          <w:sz w:val="24"/>
          <w:szCs w:val="24"/>
        </w:rPr>
      </w:pPr>
      <w:r>
        <w:rPr>
          <w:rFonts w:ascii="Arial" w:hAnsi="Arial" w:cs="Arial"/>
          <w:sz w:val="24"/>
          <w:szCs w:val="24"/>
        </w:rPr>
        <w:t xml:space="preserve">This is “the </w:t>
      </w:r>
      <w:r w:rsidRPr="001E3A9B">
        <w:rPr>
          <w:rFonts w:ascii="Arial" w:hAnsi="Arial" w:cs="Arial"/>
          <w:sz w:val="24"/>
          <w:szCs w:val="24"/>
        </w:rPr>
        <w:t>pathway under which patients are managed following RDS, where patients for whom adequate retinal examination cannot be obtained by retinal photography, are examined by SLB” (UKNSC, 2014)</w:t>
      </w:r>
      <w:r>
        <w:rPr>
          <w:rFonts w:ascii="Arial" w:hAnsi="Arial" w:cs="Arial"/>
          <w:sz w:val="24"/>
          <w:szCs w:val="24"/>
        </w:rPr>
        <w:t xml:space="preserve">. </w:t>
      </w:r>
      <w:r w:rsidR="003D68DA" w:rsidRPr="00EB1416">
        <w:rPr>
          <w:rFonts w:ascii="Arial" w:hAnsi="Arial" w:cs="Arial"/>
          <w:sz w:val="24"/>
          <w:szCs w:val="24"/>
        </w:rPr>
        <w:t>The delivery of SLB within the service occurs mainly via subcontracts with local optometry services spread throughout most of the area. Where no local services have been obtained, delivery via hospital eye services has continued and is reviewed in line with new optometry services recruited.</w:t>
      </w:r>
    </w:p>
    <w:p w:rsidR="00987A1A" w:rsidRPr="00EB1416" w:rsidRDefault="00EB1416" w:rsidP="00EB1416">
      <w:pPr>
        <w:pStyle w:val="Heading2"/>
        <w:ind w:left="567" w:hanging="567"/>
        <w:rPr>
          <w:rFonts w:ascii="Arial" w:hAnsi="Arial" w:cs="Arial"/>
          <w:color w:val="365F91" w:themeColor="accent1" w:themeShade="BF"/>
          <w:sz w:val="28"/>
          <w:szCs w:val="28"/>
        </w:rPr>
      </w:pPr>
      <w:bookmarkStart w:id="20" w:name="_Toc512592233"/>
      <w:r w:rsidRPr="00EB1416">
        <w:rPr>
          <w:rFonts w:ascii="Arial" w:hAnsi="Arial" w:cs="Arial"/>
          <w:color w:val="365F91" w:themeColor="accent1" w:themeShade="BF"/>
          <w:sz w:val="28"/>
          <w:szCs w:val="28"/>
        </w:rPr>
        <w:lastRenderedPageBreak/>
        <w:t>4.4</w:t>
      </w:r>
      <w:r w:rsidRPr="00EB1416">
        <w:rPr>
          <w:rFonts w:ascii="Arial" w:hAnsi="Arial" w:cs="Arial"/>
          <w:color w:val="365F91" w:themeColor="accent1" w:themeShade="BF"/>
          <w:sz w:val="28"/>
          <w:szCs w:val="28"/>
        </w:rPr>
        <w:tab/>
      </w:r>
      <w:r w:rsidR="00987A1A" w:rsidRPr="00EB1416">
        <w:rPr>
          <w:rFonts w:ascii="Arial" w:hAnsi="Arial" w:cs="Arial"/>
          <w:color w:val="365F91" w:themeColor="accent1" w:themeShade="BF"/>
          <w:sz w:val="28"/>
          <w:szCs w:val="28"/>
        </w:rPr>
        <w:t>Optical Coherence Tomography (OCT)</w:t>
      </w:r>
      <w:bookmarkEnd w:id="20"/>
    </w:p>
    <w:p w:rsidR="003D68DA" w:rsidRPr="00EB1416" w:rsidRDefault="00E77233" w:rsidP="002344D1">
      <w:pPr>
        <w:rPr>
          <w:rFonts w:ascii="Arial" w:hAnsi="Arial" w:cs="Arial"/>
          <w:sz w:val="24"/>
          <w:szCs w:val="24"/>
        </w:rPr>
      </w:pPr>
      <w:r>
        <w:rPr>
          <w:rFonts w:ascii="Arial" w:hAnsi="Arial" w:cs="Arial"/>
          <w:sz w:val="24"/>
          <w:szCs w:val="24"/>
        </w:rPr>
        <w:t xml:space="preserve">OCT is a non-invasive diagnostic test that takes cross-sectional images of the retina. </w:t>
      </w:r>
      <w:r w:rsidR="003D68DA" w:rsidRPr="00EB1416">
        <w:rPr>
          <w:rFonts w:ascii="Arial" w:hAnsi="Arial" w:cs="Arial"/>
          <w:sz w:val="24"/>
          <w:szCs w:val="24"/>
        </w:rPr>
        <w:t xml:space="preserve">The </w:t>
      </w:r>
      <w:r w:rsidR="002D660F">
        <w:rPr>
          <w:rFonts w:ascii="Arial" w:hAnsi="Arial" w:cs="Arial"/>
          <w:sz w:val="24"/>
          <w:szCs w:val="24"/>
        </w:rPr>
        <w:t xml:space="preserve">provision of </w:t>
      </w:r>
      <w:r w:rsidR="003D68DA" w:rsidRPr="00EB1416">
        <w:rPr>
          <w:rFonts w:ascii="Arial" w:hAnsi="Arial" w:cs="Arial"/>
          <w:sz w:val="24"/>
          <w:szCs w:val="24"/>
        </w:rPr>
        <w:t xml:space="preserve">OCT </w:t>
      </w:r>
      <w:r w:rsidR="00E6357D">
        <w:rPr>
          <w:rFonts w:ascii="Arial" w:hAnsi="Arial" w:cs="Arial"/>
          <w:sz w:val="24"/>
          <w:szCs w:val="24"/>
        </w:rPr>
        <w:t>is part of the current contract</w:t>
      </w:r>
      <w:r w:rsidR="003D68DA" w:rsidRPr="00EB1416">
        <w:rPr>
          <w:rFonts w:ascii="Arial" w:hAnsi="Arial" w:cs="Arial"/>
          <w:sz w:val="24"/>
          <w:szCs w:val="24"/>
        </w:rPr>
        <w:t xml:space="preserve">. The aim </w:t>
      </w:r>
      <w:r w:rsidR="00E6357D">
        <w:rPr>
          <w:rFonts w:ascii="Arial" w:hAnsi="Arial" w:cs="Arial"/>
          <w:sz w:val="24"/>
          <w:szCs w:val="24"/>
        </w:rPr>
        <w:t>is</w:t>
      </w:r>
      <w:r w:rsidR="003D68DA" w:rsidRPr="00EB1416">
        <w:rPr>
          <w:rFonts w:ascii="Arial" w:hAnsi="Arial" w:cs="Arial"/>
          <w:sz w:val="24"/>
          <w:szCs w:val="24"/>
        </w:rPr>
        <w:t xml:space="preserve"> to ensure patients graded as M1 </w:t>
      </w:r>
      <w:r w:rsidR="002D660F">
        <w:rPr>
          <w:rFonts w:ascii="Arial" w:hAnsi="Arial" w:cs="Arial"/>
          <w:sz w:val="24"/>
          <w:szCs w:val="24"/>
        </w:rPr>
        <w:t>are</w:t>
      </w:r>
      <w:r w:rsidR="002D660F" w:rsidRPr="00EB1416">
        <w:rPr>
          <w:rFonts w:ascii="Arial" w:hAnsi="Arial" w:cs="Arial"/>
          <w:sz w:val="24"/>
          <w:szCs w:val="24"/>
        </w:rPr>
        <w:t xml:space="preserve"> </w:t>
      </w:r>
      <w:r w:rsidR="003D68DA" w:rsidRPr="00EB1416">
        <w:rPr>
          <w:rFonts w:ascii="Arial" w:hAnsi="Arial" w:cs="Arial"/>
          <w:sz w:val="24"/>
          <w:szCs w:val="24"/>
        </w:rPr>
        <w:t xml:space="preserve">only referred to hospital eye services when treatment </w:t>
      </w:r>
      <w:r w:rsidR="002D660F">
        <w:rPr>
          <w:rFonts w:ascii="Arial" w:hAnsi="Arial" w:cs="Arial"/>
          <w:sz w:val="24"/>
          <w:szCs w:val="24"/>
        </w:rPr>
        <w:t>is needed</w:t>
      </w:r>
      <w:r w:rsidR="003D68DA" w:rsidRPr="00EB1416">
        <w:rPr>
          <w:rFonts w:ascii="Arial" w:hAnsi="Arial" w:cs="Arial"/>
          <w:sz w:val="24"/>
          <w:szCs w:val="24"/>
        </w:rPr>
        <w:t xml:space="preserve"> and continue to regularly monitor those not needing treatment at the point of screening. </w:t>
      </w:r>
    </w:p>
    <w:p w:rsidR="00E55190" w:rsidRPr="00EB1416" w:rsidRDefault="00EB1416" w:rsidP="00EB1416">
      <w:pPr>
        <w:pStyle w:val="Heading2"/>
        <w:ind w:left="567" w:hanging="567"/>
        <w:rPr>
          <w:rFonts w:ascii="Arial" w:hAnsi="Arial" w:cs="Arial"/>
          <w:color w:val="365F91" w:themeColor="accent1" w:themeShade="BF"/>
          <w:sz w:val="28"/>
          <w:szCs w:val="28"/>
        </w:rPr>
      </w:pPr>
      <w:bookmarkStart w:id="21" w:name="_Toc512592234"/>
      <w:r w:rsidRPr="00EB1416">
        <w:rPr>
          <w:rFonts w:ascii="Arial" w:hAnsi="Arial" w:cs="Arial"/>
          <w:color w:val="365F91" w:themeColor="accent1" w:themeShade="BF"/>
          <w:sz w:val="28"/>
          <w:szCs w:val="28"/>
        </w:rPr>
        <w:t>4.5</w:t>
      </w:r>
      <w:r w:rsidRPr="00EB1416">
        <w:rPr>
          <w:rFonts w:ascii="Arial" w:hAnsi="Arial" w:cs="Arial"/>
          <w:color w:val="365F91" w:themeColor="accent1" w:themeShade="BF"/>
          <w:sz w:val="28"/>
          <w:szCs w:val="28"/>
        </w:rPr>
        <w:tab/>
      </w:r>
      <w:r w:rsidR="00E55190" w:rsidRPr="00EB1416">
        <w:rPr>
          <w:rFonts w:ascii="Arial" w:hAnsi="Arial" w:cs="Arial"/>
          <w:color w:val="365F91" w:themeColor="accent1" w:themeShade="BF"/>
          <w:sz w:val="28"/>
          <w:szCs w:val="28"/>
        </w:rPr>
        <w:t>Hospital Eye Services (HESs)</w:t>
      </w:r>
      <w:bookmarkEnd w:id="21"/>
    </w:p>
    <w:p w:rsidR="00E55190" w:rsidRPr="00EB1416" w:rsidRDefault="00E55190" w:rsidP="002344D1">
      <w:pPr>
        <w:rPr>
          <w:rFonts w:ascii="Arial" w:hAnsi="Arial" w:cs="Arial"/>
          <w:sz w:val="24"/>
          <w:szCs w:val="24"/>
        </w:rPr>
      </w:pPr>
      <w:r w:rsidRPr="00EB1416">
        <w:rPr>
          <w:rFonts w:ascii="Arial" w:hAnsi="Arial" w:cs="Arial"/>
          <w:sz w:val="24"/>
          <w:szCs w:val="24"/>
        </w:rPr>
        <w:t xml:space="preserve">The Kent and Medway Diabetic Eye Screening Programme </w:t>
      </w:r>
      <w:r w:rsidR="00016A98" w:rsidRPr="00EB1416">
        <w:rPr>
          <w:rFonts w:ascii="Arial" w:hAnsi="Arial" w:cs="Arial"/>
          <w:sz w:val="24"/>
          <w:szCs w:val="24"/>
        </w:rPr>
        <w:t>link</w:t>
      </w:r>
      <w:r w:rsidRPr="00EB1416">
        <w:rPr>
          <w:rFonts w:ascii="Arial" w:hAnsi="Arial" w:cs="Arial"/>
          <w:sz w:val="24"/>
          <w:szCs w:val="24"/>
        </w:rPr>
        <w:t xml:space="preserve"> in with three HES providers:</w:t>
      </w:r>
    </w:p>
    <w:p w:rsidR="00E55190" w:rsidRPr="00EB1416" w:rsidRDefault="00E55190" w:rsidP="00E55190">
      <w:pPr>
        <w:pStyle w:val="ListParagraph"/>
        <w:numPr>
          <w:ilvl w:val="0"/>
          <w:numId w:val="7"/>
        </w:numPr>
        <w:rPr>
          <w:rFonts w:ascii="Arial" w:hAnsi="Arial" w:cs="Arial"/>
          <w:sz w:val="24"/>
          <w:szCs w:val="24"/>
        </w:rPr>
      </w:pPr>
      <w:r w:rsidRPr="00EB1416">
        <w:rPr>
          <w:rFonts w:ascii="Arial" w:hAnsi="Arial" w:cs="Arial"/>
          <w:sz w:val="24"/>
          <w:szCs w:val="24"/>
        </w:rPr>
        <w:t xml:space="preserve">East Kent Hospital University NHS Foundation Trust which delivers </w:t>
      </w:r>
      <w:r w:rsidR="009558F3" w:rsidRPr="00EB1416">
        <w:rPr>
          <w:rFonts w:ascii="Arial" w:hAnsi="Arial" w:cs="Arial"/>
          <w:sz w:val="24"/>
          <w:szCs w:val="24"/>
        </w:rPr>
        <w:t>treatment</w:t>
      </w:r>
      <w:r w:rsidRPr="00EB1416">
        <w:rPr>
          <w:rFonts w:ascii="Arial" w:hAnsi="Arial" w:cs="Arial"/>
          <w:sz w:val="24"/>
          <w:szCs w:val="24"/>
        </w:rPr>
        <w:t xml:space="preserve"> service</w:t>
      </w:r>
      <w:r w:rsidR="009558F3" w:rsidRPr="00EB1416">
        <w:rPr>
          <w:rFonts w:ascii="Arial" w:hAnsi="Arial" w:cs="Arial"/>
          <w:sz w:val="24"/>
          <w:szCs w:val="24"/>
        </w:rPr>
        <w:t>s</w:t>
      </w:r>
      <w:r w:rsidRPr="00EB1416">
        <w:rPr>
          <w:rFonts w:ascii="Arial" w:hAnsi="Arial" w:cs="Arial"/>
          <w:sz w:val="24"/>
          <w:szCs w:val="24"/>
        </w:rPr>
        <w:t xml:space="preserve"> </w:t>
      </w:r>
      <w:r w:rsidR="009558F3" w:rsidRPr="00EB1416">
        <w:rPr>
          <w:rFonts w:ascii="Arial" w:hAnsi="Arial" w:cs="Arial"/>
          <w:sz w:val="24"/>
          <w:szCs w:val="24"/>
        </w:rPr>
        <w:t>from these</w:t>
      </w:r>
      <w:r w:rsidRPr="00EB1416">
        <w:rPr>
          <w:rFonts w:ascii="Arial" w:hAnsi="Arial" w:cs="Arial"/>
          <w:sz w:val="24"/>
          <w:szCs w:val="24"/>
        </w:rPr>
        <w:t xml:space="preserve"> sites:</w:t>
      </w:r>
      <w:r w:rsidR="009558F3" w:rsidRPr="00EB1416">
        <w:rPr>
          <w:rFonts w:ascii="Arial" w:hAnsi="Arial" w:cs="Arial"/>
          <w:sz w:val="24"/>
          <w:szCs w:val="24"/>
        </w:rPr>
        <w:t xml:space="preserve"> </w:t>
      </w:r>
      <w:r w:rsidR="00CA0C27" w:rsidRPr="00CA0C27">
        <w:rPr>
          <w:rFonts w:ascii="Arial" w:hAnsi="Arial" w:cs="Arial"/>
          <w:sz w:val="24"/>
          <w:szCs w:val="24"/>
        </w:rPr>
        <w:t>William Harvey Hospital, Kent &amp; Canterbury Hospital, QEQMH Margate, Royal Victoria Hospital Folkestone, Buckland Hospital Dover and Estuary View Whitstable</w:t>
      </w:r>
    </w:p>
    <w:p w:rsidR="00E55190" w:rsidRPr="00EB1416" w:rsidRDefault="00E55190" w:rsidP="00E55190">
      <w:pPr>
        <w:pStyle w:val="ListParagraph"/>
        <w:numPr>
          <w:ilvl w:val="0"/>
          <w:numId w:val="7"/>
        </w:numPr>
        <w:rPr>
          <w:rFonts w:ascii="Arial" w:hAnsi="Arial" w:cs="Arial"/>
          <w:sz w:val="24"/>
          <w:szCs w:val="24"/>
        </w:rPr>
      </w:pPr>
      <w:r w:rsidRPr="00EB1416">
        <w:rPr>
          <w:rFonts w:ascii="Arial" w:hAnsi="Arial" w:cs="Arial"/>
          <w:sz w:val="24"/>
          <w:szCs w:val="24"/>
        </w:rPr>
        <w:t xml:space="preserve">Maidstone and Tunbridge Wells NHS Trust which delivers </w:t>
      </w:r>
      <w:r w:rsidR="009558F3" w:rsidRPr="00EB1416">
        <w:rPr>
          <w:rFonts w:ascii="Arial" w:hAnsi="Arial" w:cs="Arial"/>
          <w:sz w:val="24"/>
          <w:szCs w:val="24"/>
        </w:rPr>
        <w:t>treatment</w:t>
      </w:r>
      <w:r w:rsidRPr="00EB1416">
        <w:rPr>
          <w:rFonts w:ascii="Arial" w:hAnsi="Arial" w:cs="Arial"/>
          <w:sz w:val="24"/>
          <w:szCs w:val="24"/>
        </w:rPr>
        <w:t xml:space="preserve"> service</w:t>
      </w:r>
      <w:r w:rsidR="009558F3" w:rsidRPr="00EB1416">
        <w:rPr>
          <w:rFonts w:ascii="Arial" w:hAnsi="Arial" w:cs="Arial"/>
          <w:sz w:val="24"/>
          <w:szCs w:val="24"/>
        </w:rPr>
        <w:t>s</w:t>
      </w:r>
      <w:r w:rsidRPr="00EB1416">
        <w:rPr>
          <w:rFonts w:ascii="Arial" w:hAnsi="Arial" w:cs="Arial"/>
          <w:sz w:val="24"/>
          <w:szCs w:val="24"/>
        </w:rPr>
        <w:t xml:space="preserve"> from</w:t>
      </w:r>
      <w:r w:rsidR="009558F3" w:rsidRPr="00EB1416">
        <w:rPr>
          <w:rFonts w:ascii="Arial" w:hAnsi="Arial" w:cs="Arial"/>
          <w:sz w:val="24"/>
          <w:szCs w:val="24"/>
        </w:rPr>
        <w:t xml:space="preserve"> these sites:</w:t>
      </w:r>
      <w:r w:rsidR="00CA0C27">
        <w:rPr>
          <w:rFonts w:ascii="Arial" w:hAnsi="Arial" w:cs="Arial"/>
          <w:sz w:val="24"/>
          <w:szCs w:val="24"/>
        </w:rPr>
        <w:t xml:space="preserve"> </w:t>
      </w:r>
      <w:r w:rsidR="00CA0C27" w:rsidRPr="00CA0C27">
        <w:rPr>
          <w:rFonts w:ascii="Arial" w:hAnsi="Arial" w:cs="Arial"/>
          <w:sz w:val="24"/>
          <w:szCs w:val="24"/>
        </w:rPr>
        <w:t>Maidstone Hospital, Pembury Hospital and Medway Hospital</w:t>
      </w:r>
    </w:p>
    <w:p w:rsidR="00E55190" w:rsidRPr="00EB1416" w:rsidRDefault="00E55190" w:rsidP="00E55190">
      <w:pPr>
        <w:pStyle w:val="ListParagraph"/>
        <w:numPr>
          <w:ilvl w:val="0"/>
          <w:numId w:val="7"/>
        </w:numPr>
        <w:rPr>
          <w:rFonts w:ascii="Arial" w:hAnsi="Arial" w:cs="Arial"/>
          <w:sz w:val="24"/>
          <w:szCs w:val="24"/>
        </w:rPr>
      </w:pPr>
      <w:r w:rsidRPr="00EB1416">
        <w:rPr>
          <w:rFonts w:ascii="Arial" w:hAnsi="Arial" w:cs="Arial"/>
          <w:sz w:val="24"/>
          <w:szCs w:val="24"/>
        </w:rPr>
        <w:t>King’s Hospital which delivers the service from Queen Mary’s Hospital in Sidcup</w:t>
      </w:r>
    </w:p>
    <w:p w:rsidR="00987A1A" w:rsidRPr="00EB1416" w:rsidRDefault="00EB1416" w:rsidP="00EB1416">
      <w:pPr>
        <w:pStyle w:val="Heading2"/>
        <w:ind w:left="567" w:hanging="567"/>
        <w:rPr>
          <w:rFonts w:ascii="Arial" w:hAnsi="Arial" w:cs="Arial"/>
          <w:color w:val="365F91" w:themeColor="accent1" w:themeShade="BF"/>
          <w:sz w:val="28"/>
          <w:szCs w:val="28"/>
        </w:rPr>
      </w:pPr>
      <w:bookmarkStart w:id="22" w:name="_Toc512592235"/>
      <w:r w:rsidRPr="00EB1416">
        <w:rPr>
          <w:rFonts w:ascii="Arial" w:hAnsi="Arial" w:cs="Arial"/>
          <w:color w:val="365F91" w:themeColor="accent1" w:themeShade="BF"/>
          <w:sz w:val="28"/>
          <w:szCs w:val="28"/>
        </w:rPr>
        <w:t>4.6</w:t>
      </w:r>
      <w:r w:rsidRPr="00EB1416">
        <w:rPr>
          <w:rFonts w:ascii="Arial" w:hAnsi="Arial" w:cs="Arial"/>
          <w:color w:val="365F91" w:themeColor="accent1" w:themeShade="BF"/>
          <w:sz w:val="28"/>
          <w:szCs w:val="28"/>
        </w:rPr>
        <w:tab/>
      </w:r>
      <w:r w:rsidR="00137793">
        <w:rPr>
          <w:rFonts w:ascii="Arial" w:hAnsi="Arial" w:cs="Arial"/>
          <w:color w:val="365F91" w:themeColor="accent1" w:themeShade="BF"/>
          <w:sz w:val="28"/>
          <w:szCs w:val="28"/>
        </w:rPr>
        <w:t xml:space="preserve">Current </w:t>
      </w:r>
      <w:r w:rsidR="00987A1A" w:rsidRPr="00EB1416">
        <w:rPr>
          <w:rFonts w:ascii="Arial" w:hAnsi="Arial" w:cs="Arial"/>
          <w:color w:val="365F91" w:themeColor="accent1" w:themeShade="BF"/>
          <w:sz w:val="28"/>
          <w:szCs w:val="28"/>
        </w:rPr>
        <w:t>Model of service delivery</w:t>
      </w:r>
      <w:bookmarkEnd w:id="22"/>
    </w:p>
    <w:p w:rsidR="00987A1A" w:rsidRPr="00EB1416" w:rsidRDefault="00987A1A" w:rsidP="002344D1">
      <w:pPr>
        <w:rPr>
          <w:rFonts w:ascii="Arial" w:hAnsi="Arial" w:cs="Arial"/>
          <w:sz w:val="24"/>
          <w:szCs w:val="24"/>
        </w:rPr>
      </w:pPr>
      <w:r w:rsidRPr="00EB1416">
        <w:rPr>
          <w:rFonts w:ascii="Arial" w:hAnsi="Arial" w:cs="Arial"/>
          <w:sz w:val="24"/>
          <w:szCs w:val="24"/>
        </w:rPr>
        <w:t xml:space="preserve">The Kent and Medway programme for eye screening is </w:t>
      </w:r>
      <w:r w:rsidR="00137793">
        <w:rPr>
          <w:rFonts w:ascii="Arial" w:hAnsi="Arial" w:cs="Arial"/>
          <w:sz w:val="24"/>
          <w:szCs w:val="24"/>
        </w:rPr>
        <w:t xml:space="preserve">currently </w:t>
      </w:r>
      <w:r w:rsidRPr="00EB1416">
        <w:rPr>
          <w:rFonts w:ascii="Arial" w:hAnsi="Arial" w:cs="Arial"/>
          <w:sz w:val="24"/>
          <w:szCs w:val="24"/>
        </w:rPr>
        <w:t>delivered through a combination of static sites, mobile vans and community optometry services.</w:t>
      </w:r>
      <w:r w:rsidR="00C33BE1" w:rsidRPr="00EB1416">
        <w:rPr>
          <w:rFonts w:ascii="Arial" w:hAnsi="Arial" w:cs="Arial"/>
          <w:sz w:val="24"/>
          <w:szCs w:val="24"/>
        </w:rPr>
        <w:t xml:space="preserve"> Grading takes place centrally in the management office within the area</w:t>
      </w:r>
      <w:r w:rsidR="00696BBF" w:rsidRPr="00EB1416">
        <w:rPr>
          <w:rFonts w:ascii="Arial" w:hAnsi="Arial" w:cs="Arial"/>
          <w:sz w:val="24"/>
          <w:szCs w:val="24"/>
        </w:rPr>
        <w:t>.</w:t>
      </w:r>
      <w:r w:rsidR="00813B4B" w:rsidRPr="00EB1416">
        <w:rPr>
          <w:rFonts w:ascii="Arial" w:hAnsi="Arial" w:cs="Arial"/>
          <w:sz w:val="24"/>
          <w:szCs w:val="24"/>
        </w:rPr>
        <w:t xml:space="preserve"> See </w:t>
      </w:r>
      <w:r w:rsidR="002D660F">
        <w:rPr>
          <w:rFonts w:ascii="Arial" w:hAnsi="Arial" w:cs="Arial"/>
          <w:sz w:val="24"/>
          <w:szCs w:val="24"/>
        </w:rPr>
        <w:t>A</w:t>
      </w:r>
      <w:r w:rsidR="00813B4B" w:rsidRPr="00EB1416">
        <w:rPr>
          <w:rFonts w:ascii="Arial" w:hAnsi="Arial" w:cs="Arial"/>
          <w:sz w:val="24"/>
          <w:szCs w:val="24"/>
        </w:rPr>
        <w:t>ppendix 2 for distribution of delivery sites across the area.</w:t>
      </w:r>
    </w:p>
    <w:p w:rsidR="00A73793" w:rsidRPr="002E4863" w:rsidRDefault="002E4863" w:rsidP="002E4863">
      <w:pPr>
        <w:pStyle w:val="Heading1"/>
        <w:ind w:left="567" w:hanging="567"/>
        <w:rPr>
          <w:rFonts w:ascii="Arial" w:hAnsi="Arial" w:cs="Arial"/>
          <w:sz w:val="32"/>
          <w:szCs w:val="32"/>
        </w:rPr>
      </w:pPr>
      <w:bookmarkStart w:id="23" w:name="_Toc512592236"/>
      <w:r w:rsidRPr="002E4863">
        <w:rPr>
          <w:rFonts w:ascii="Arial" w:hAnsi="Arial" w:cs="Arial"/>
          <w:sz w:val="32"/>
          <w:szCs w:val="32"/>
        </w:rPr>
        <w:t>5.</w:t>
      </w:r>
      <w:r w:rsidRPr="002E4863">
        <w:rPr>
          <w:rFonts w:ascii="Arial" w:hAnsi="Arial" w:cs="Arial"/>
          <w:sz w:val="32"/>
          <w:szCs w:val="32"/>
        </w:rPr>
        <w:tab/>
      </w:r>
      <w:r>
        <w:rPr>
          <w:rFonts w:ascii="Arial" w:hAnsi="Arial" w:cs="Arial"/>
          <w:sz w:val="32"/>
          <w:szCs w:val="32"/>
        </w:rPr>
        <w:t>Performance against National S</w:t>
      </w:r>
      <w:r w:rsidR="00A73793" w:rsidRPr="002E4863">
        <w:rPr>
          <w:rFonts w:ascii="Arial" w:hAnsi="Arial" w:cs="Arial"/>
          <w:sz w:val="32"/>
          <w:szCs w:val="32"/>
        </w:rPr>
        <w:t>tandards</w:t>
      </w:r>
      <w:bookmarkEnd w:id="23"/>
    </w:p>
    <w:p w:rsidR="00034826" w:rsidRPr="002E4863" w:rsidRDefault="002E4863" w:rsidP="00AC1F6A">
      <w:pPr>
        <w:pStyle w:val="Heading2"/>
        <w:rPr>
          <w:rFonts w:ascii="Arial" w:hAnsi="Arial" w:cs="Arial"/>
          <w:color w:val="365F91" w:themeColor="accent1" w:themeShade="BF"/>
          <w:sz w:val="28"/>
          <w:szCs w:val="28"/>
        </w:rPr>
      </w:pPr>
      <w:bookmarkStart w:id="24" w:name="_Toc512592237"/>
      <w:r w:rsidRPr="002E4863">
        <w:rPr>
          <w:rFonts w:ascii="Arial" w:hAnsi="Arial" w:cs="Arial"/>
          <w:color w:val="365F91" w:themeColor="accent1" w:themeShade="BF"/>
          <w:sz w:val="28"/>
          <w:szCs w:val="28"/>
        </w:rPr>
        <w:t>5.1</w:t>
      </w:r>
      <w:r w:rsidRPr="002E4863">
        <w:rPr>
          <w:rFonts w:ascii="Arial" w:hAnsi="Arial" w:cs="Arial"/>
          <w:color w:val="365F91" w:themeColor="accent1" w:themeShade="BF"/>
          <w:sz w:val="28"/>
          <w:szCs w:val="28"/>
        </w:rPr>
        <w:tab/>
      </w:r>
      <w:r w:rsidR="00034826" w:rsidRPr="002E4863">
        <w:rPr>
          <w:rFonts w:ascii="Arial" w:hAnsi="Arial" w:cs="Arial"/>
          <w:color w:val="365F91" w:themeColor="accent1" w:themeShade="BF"/>
          <w:sz w:val="28"/>
          <w:szCs w:val="28"/>
        </w:rPr>
        <w:t>Key Performance Indicators</w:t>
      </w:r>
      <w:bookmarkEnd w:id="24"/>
    </w:p>
    <w:p w:rsidR="002E4863" w:rsidRDefault="001B14B9" w:rsidP="002344D1">
      <w:pPr>
        <w:rPr>
          <w:rFonts w:ascii="Arial" w:hAnsi="Arial" w:cs="Arial"/>
          <w:sz w:val="24"/>
          <w:szCs w:val="24"/>
        </w:rPr>
      </w:pPr>
      <w:r w:rsidRPr="002E4863">
        <w:rPr>
          <w:rFonts w:ascii="Arial" w:hAnsi="Arial" w:cs="Arial"/>
          <w:sz w:val="24"/>
          <w:szCs w:val="24"/>
        </w:rPr>
        <w:t>There are three key performance indicators (KPIs) used to monitor the programme</w:t>
      </w:r>
      <w:r w:rsidR="002E4863">
        <w:rPr>
          <w:rFonts w:ascii="Arial" w:hAnsi="Arial" w:cs="Arial"/>
          <w:sz w:val="24"/>
          <w:szCs w:val="24"/>
        </w:rPr>
        <w:t>:</w:t>
      </w:r>
      <w:r w:rsidRPr="002E4863">
        <w:rPr>
          <w:rFonts w:ascii="Arial" w:hAnsi="Arial" w:cs="Arial"/>
          <w:sz w:val="24"/>
          <w:szCs w:val="24"/>
        </w:rPr>
        <w:t xml:space="preserve"> </w:t>
      </w:r>
    </w:p>
    <w:p w:rsidR="001B14B9" w:rsidRPr="002E4863" w:rsidRDefault="001B14B9" w:rsidP="002E4863">
      <w:pPr>
        <w:pStyle w:val="ListParagraph"/>
        <w:numPr>
          <w:ilvl w:val="0"/>
          <w:numId w:val="8"/>
        </w:numPr>
        <w:rPr>
          <w:rFonts w:ascii="Arial" w:hAnsi="Arial" w:cs="Arial"/>
          <w:sz w:val="24"/>
          <w:szCs w:val="24"/>
        </w:rPr>
      </w:pPr>
      <w:r w:rsidRPr="002E4863">
        <w:rPr>
          <w:rFonts w:ascii="Arial" w:hAnsi="Arial" w:cs="Arial"/>
          <w:sz w:val="24"/>
          <w:szCs w:val="24"/>
        </w:rPr>
        <w:t>DE1 – uptake of routine digital screening</w:t>
      </w:r>
    </w:p>
    <w:p w:rsidR="001B14B9" w:rsidRPr="002E4863" w:rsidRDefault="001B14B9" w:rsidP="002E4863">
      <w:pPr>
        <w:pStyle w:val="ListParagraph"/>
        <w:numPr>
          <w:ilvl w:val="0"/>
          <w:numId w:val="8"/>
        </w:numPr>
        <w:rPr>
          <w:rFonts w:ascii="Arial" w:hAnsi="Arial" w:cs="Arial"/>
          <w:sz w:val="24"/>
          <w:szCs w:val="24"/>
        </w:rPr>
      </w:pPr>
      <w:r w:rsidRPr="002E4863">
        <w:rPr>
          <w:rFonts w:ascii="Arial" w:hAnsi="Arial" w:cs="Arial"/>
          <w:sz w:val="24"/>
          <w:szCs w:val="24"/>
        </w:rPr>
        <w:t>DE2 – results issued within 3 weeks of routine digital screening</w:t>
      </w:r>
    </w:p>
    <w:p w:rsidR="001B14B9" w:rsidRPr="002E4863" w:rsidRDefault="001B14B9" w:rsidP="002E4863">
      <w:pPr>
        <w:pStyle w:val="ListParagraph"/>
        <w:numPr>
          <w:ilvl w:val="0"/>
          <w:numId w:val="8"/>
        </w:numPr>
        <w:rPr>
          <w:rFonts w:ascii="Arial" w:hAnsi="Arial" w:cs="Arial"/>
          <w:sz w:val="24"/>
          <w:szCs w:val="24"/>
        </w:rPr>
      </w:pPr>
      <w:r w:rsidRPr="002E4863">
        <w:rPr>
          <w:rFonts w:ascii="Arial" w:hAnsi="Arial" w:cs="Arial"/>
          <w:sz w:val="24"/>
          <w:szCs w:val="24"/>
        </w:rPr>
        <w:t>DE3 – timely assessment for R3 screen positive</w:t>
      </w:r>
    </w:p>
    <w:p w:rsidR="00DC7BFC" w:rsidRPr="00F41C3C" w:rsidRDefault="00F41C3C" w:rsidP="00DC7BFC">
      <w:pPr>
        <w:spacing w:after="0"/>
        <w:rPr>
          <w:rFonts w:ascii="Arial" w:hAnsi="Arial" w:cs="Arial"/>
          <w:b/>
          <w:color w:val="365F91" w:themeColor="accent1" w:themeShade="BF"/>
          <w:sz w:val="24"/>
          <w:szCs w:val="24"/>
        </w:rPr>
      </w:pPr>
      <w:r w:rsidRPr="00F41C3C">
        <w:rPr>
          <w:rFonts w:ascii="Arial" w:hAnsi="Arial" w:cs="Arial"/>
          <w:b/>
          <w:color w:val="365F91" w:themeColor="accent1" w:themeShade="BF"/>
          <w:sz w:val="24"/>
          <w:szCs w:val="24"/>
        </w:rPr>
        <w:t xml:space="preserve">Table 5: 2016/17 </w:t>
      </w:r>
      <w:r w:rsidR="00DC7BFC">
        <w:rPr>
          <w:rFonts w:ascii="Arial" w:hAnsi="Arial" w:cs="Arial"/>
          <w:b/>
          <w:color w:val="365F91" w:themeColor="accent1" w:themeShade="BF"/>
          <w:sz w:val="24"/>
          <w:szCs w:val="24"/>
        </w:rPr>
        <w:t xml:space="preserve">KPI </w:t>
      </w:r>
      <w:r>
        <w:rPr>
          <w:rFonts w:ascii="Arial" w:hAnsi="Arial" w:cs="Arial"/>
          <w:b/>
          <w:color w:val="365F91" w:themeColor="accent1" w:themeShade="BF"/>
          <w:sz w:val="24"/>
          <w:szCs w:val="24"/>
        </w:rPr>
        <w:t>D</w:t>
      </w:r>
      <w:r w:rsidRPr="00F41C3C">
        <w:rPr>
          <w:rFonts w:ascii="Arial" w:hAnsi="Arial" w:cs="Arial"/>
          <w:b/>
          <w:color w:val="365F91" w:themeColor="accent1" w:themeShade="BF"/>
          <w:sz w:val="24"/>
          <w:szCs w:val="24"/>
        </w:rPr>
        <w:t xml:space="preserve">ata for Kent and Medway </w:t>
      </w:r>
      <w:r>
        <w:rPr>
          <w:rFonts w:ascii="Arial" w:hAnsi="Arial" w:cs="Arial"/>
          <w:b/>
          <w:color w:val="365F91" w:themeColor="accent1" w:themeShade="BF"/>
          <w:sz w:val="24"/>
          <w:szCs w:val="24"/>
        </w:rPr>
        <w:t xml:space="preserve">DESP </w:t>
      </w:r>
    </w:p>
    <w:tbl>
      <w:tblPr>
        <w:tblStyle w:val="TableGrid"/>
        <w:tblW w:w="0" w:type="auto"/>
        <w:tblLayout w:type="fixed"/>
        <w:tblLook w:val="04A0" w:firstRow="1" w:lastRow="0" w:firstColumn="1" w:lastColumn="0" w:noHBand="0" w:noVBand="1"/>
      </w:tblPr>
      <w:tblGrid>
        <w:gridCol w:w="1526"/>
        <w:gridCol w:w="1276"/>
        <w:gridCol w:w="1222"/>
        <w:gridCol w:w="1471"/>
        <w:gridCol w:w="1276"/>
        <w:gridCol w:w="1417"/>
        <w:gridCol w:w="1054"/>
      </w:tblGrid>
      <w:tr w:rsidR="00282111" w:rsidRPr="00D81C91" w:rsidTr="00610F58">
        <w:tc>
          <w:tcPr>
            <w:tcW w:w="1526" w:type="dxa"/>
          </w:tcPr>
          <w:p w:rsidR="00282111" w:rsidRPr="00D81C91" w:rsidRDefault="002516C1" w:rsidP="002516C1">
            <w:pPr>
              <w:jc w:val="center"/>
              <w:rPr>
                <w:rFonts w:ascii="Arial" w:hAnsi="Arial" w:cs="Arial"/>
              </w:rPr>
            </w:pPr>
            <w:r w:rsidRPr="00D81C91">
              <w:rPr>
                <w:rFonts w:ascii="Arial" w:hAnsi="Arial" w:cs="Arial"/>
              </w:rPr>
              <w:t>KPI</w:t>
            </w:r>
          </w:p>
        </w:tc>
        <w:tc>
          <w:tcPr>
            <w:tcW w:w="2498" w:type="dxa"/>
            <w:gridSpan w:val="2"/>
          </w:tcPr>
          <w:p w:rsidR="00282111" w:rsidRPr="00D81C91" w:rsidRDefault="00282111" w:rsidP="002516C1">
            <w:pPr>
              <w:jc w:val="center"/>
              <w:rPr>
                <w:rFonts w:ascii="Arial" w:hAnsi="Arial" w:cs="Arial"/>
              </w:rPr>
            </w:pPr>
            <w:r w:rsidRPr="00D81C91">
              <w:rPr>
                <w:rFonts w:ascii="Arial" w:hAnsi="Arial" w:cs="Arial"/>
              </w:rPr>
              <w:t>DE1</w:t>
            </w:r>
            <w:r w:rsidR="002516C1" w:rsidRPr="00D81C91">
              <w:rPr>
                <w:rFonts w:ascii="Arial" w:hAnsi="Arial" w:cs="Arial"/>
              </w:rPr>
              <w:t xml:space="preserve"> </w:t>
            </w:r>
          </w:p>
        </w:tc>
        <w:tc>
          <w:tcPr>
            <w:tcW w:w="2747" w:type="dxa"/>
            <w:gridSpan w:val="2"/>
          </w:tcPr>
          <w:p w:rsidR="00282111" w:rsidRPr="00D81C91" w:rsidRDefault="00282111" w:rsidP="00282111">
            <w:pPr>
              <w:jc w:val="center"/>
              <w:rPr>
                <w:rFonts w:ascii="Arial" w:hAnsi="Arial" w:cs="Arial"/>
              </w:rPr>
            </w:pPr>
            <w:r w:rsidRPr="00D81C91">
              <w:rPr>
                <w:rFonts w:ascii="Arial" w:hAnsi="Arial" w:cs="Arial"/>
              </w:rPr>
              <w:t>DE2</w:t>
            </w:r>
          </w:p>
        </w:tc>
        <w:tc>
          <w:tcPr>
            <w:tcW w:w="2471" w:type="dxa"/>
            <w:gridSpan w:val="2"/>
          </w:tcPr>
          <w:p w:rsidR="00282111" w:rsidRPr="00D81C91" w:rsidRDefault="00282111" w:rsidP="00282111">
            <w:pPr>
              <w:jc w:val="center"/>
              <w:rPr>
                <w:rFonts w:ascii="Arial" w:hAnsi="Arial" w:cs="Arial"/>
              </w:rPr>
            </w:pPr>
            <w:r w:rsidRPr="00D81C91">
              <w:rPr>
                <w:rFonts w:ascii="Arial" w:hAnsi="Arial" w:cs="Arial"/>
              </w:rPr>
              <w:t>DE3</w:t>
            </w:r>
          </w:p>
        </w:tc>
      </w:tr>
      <w:tr w:rsidR="00BD341F" w:rsidRPr="00D81C91" w:rsidTr="00610F58">
        <w:tc>
          <w:tcPr>
            <w:tcW w:w="1526" w:type="dxa"/>
            <w:vMerge w:val="restart"/>
            <w:vAlign w:val="center"/>
          </w:tcPr>
          <w:p w:rsidR="00BD341F" w:rsidRPr="00D81C91" w:rsidRDefault="00BD341F" w:rsidP="00BD341F">
            <w:pPr>
              <w:jc w:val="center"/>
              <w:rPr>
                <w:rFonts w:ascii="Arial" w:hAnsi="Arial" w:cs="Arial"/>
              </w:rPr>
            </w:pPr>
            <w:r w:rsidRPr="00D81C91">
              <w:rPr>
                <w:rFonts w:ascii="Arial" w:hAnsi="Arial" w:cs="Arial"/>
              </w:rPr>
              <w:t>Thresholds</w:t>
            </w:r>
          </w:p>
        </w:tc>
        <w:tc>
          <w:tcPr>
            <w:tcW w:w="2498" w:type="dxa"/>
            <w:gridSpan w:val="2"/>
          </w:tcPr>
          <w:p w:rsidR="00BD341F" w:rsidRPr="00D81C91" w:rsidRDefault="00BD341F" w:rsidP="00282111">
            <w:pPr>
              <w:jc w:val="center"/>
              <w:rPr>
                <w:rFonts w:ascii="Arial" w:hAnsi="Arial" w:cs="Arial"/>
                <w:sz w:val="18"/>
                <w:szCs w:val="18"/>
              </w:rPr>
            </w:pPr>
            <w:r w:rsidRPr="00D81C91">
              <w:rPr>
                <w:rFonts w:ascii="Arial" w:hAnsi="Arial" w:cs="Arial"/>
                <w:sz w:val="18"/>
                <w:szCs w:val="18"/>
              </w:rPr>
              <w:t>Acceptable = 70%</w:t>
            </w:r>
          </w:p>
        </w:tc>
        <w:tc>
          <w:tcPr>
            <w:tcW w:w="2747" w:type="dxa"/>
            <w:gridSpan w:val="2"/>
          </w:tcPr>
          <w:p w:rsidR="00BD341F" w:rsidRPr="00D81C91" w:rsidRDefault="00BD341F" w:rsidP="00282111">
            <w:pPr>
              <w:jc w:val="center"/>
              <w:rPr>
                <w:rFonts w:ascii="Arial" w:hAnsi="Arial" w:cs="Arial"/>
                <w:sz w:val="18"/>
                <w:szCs w:val="18"/>
              </w:rPr>
            </w:pPr>
            <w:r w:rsidRPr="00D81C91">
              <w:rPr>
                <w:rFonts w:ascii="Arial" w:hAnsi="Arial" w:cs="Arial"/>
                <w:sz w:val="18"/>
                <w:szCs w:val="18"/>
              </w:rPr>
              <w:t>Acceptable = 70%</w:t>
            </w:r>
          </w:p>
        </w:tc>
        <w:tc>
          <w:tcPr>
            <w:tcW w:w="2471" w:type="dxa"/>
            <w:gridSpan w:val="2"/>
          </w:tcPr>
          <w:p w:rsidR="00BD341F" w:rsidRPr="00D81C91" w:rsidRDefault="00BD341F" w:rsidP="00282111">
            <w:pPr>
              <w:jc w:val="center"/>
              <w:rPr>
                <w:rFonts w:ascii="Arial" w:hAnsi="Arial" w:cs="Arial"/>
                <w:sz w:val="18"/>
                <w:szCs w:val="18"/>
              </w:rPr>
            </w:pPr>
            <w:r w:rsidRPr="00D81C91">
              <w:rPr>
                <w:rFonts w:ascii="Arial" w:hAnsi="Arial" w:cs="Arial"/>
                <w:sz w:val="18"/>
                <w:szCs w:val="18"/>
              </w:rPr>
              <w:t>Acceptable = 80%</w:t>
            </w:r>
          </w:p>
        </w:tc>
      </w:tr>
      <w:tr w:rsidR="00BD341F" w:rsidRPr="00D81C91" w:rsidTr="00610F58">
        <w:tc>
          <w:tcPr>
            <w:tcW w:w="1526" w:type="dxa"/>
            <w:vMerge/>
          </w:tcPr>
          <w:p w:rsidR="00BD341F" w:rsidRPr="00D81C91" w:rsidRDefault="00BD341F" w:rsidP="002516C1">
            <w:pPr>
              <w:jc w:val="center"/>
              <w:rPr>
                <w:rFonts w:ascii="Arial" w:hAnsi="Arial" w:cs="Arial"/>
              </w:rPr>
            </w:pPr>
          </w:p>
        </w:tc>
        <w:tc>
          <w:tcPr>
            <w:tcW w:w="2498" w:type="dxa"/>
            <w:gridSpan w:val="2"/>
          </w:tcPr>
          <w:p w:rsidR="00BD341F" w:rsidRPr="00D81C91" w:rsidRDefault="00BD341F" w:rsidP="00282111">
            <w:pPr>
              <w:jc w:val="center"/>
              <w:rPr>
                <w:rFonts w:ascii="Arial" w:hAnsi="Arial" w:cs="Arial"/>
                <w:sz w:val="18"/>
                <w:szCs w:val="18"/>
              </w:rPr>
            </w:pPr>
            <w:r w:rsidRPr="00D81C91">
              <w:rPr>
                <w:rFonts w:ascii="Arial" w:hAnsi="Arial" w:cs="Arial"/>
                <w:sz w:val="18"/>
                <w:szCs w:val="18"/>
              </w:rPr>
              <w:t>Achievable = 80%</w:t>
            </w:r>
          </w:p>
        </w:tc>
        <w:tc>
          <w:tcPr>
            <w:tcW w:w="2747" w:type="dxa"/>
            <w:gridSpan w:val="2"/>
          </w:tcPr>
          <w:p w:rsidR="00BD341F" w:rsidRPr="00D81C91" w:rsidRDefault="00BD341F" w:rsidP="00282111">
            <w:pPr>
              <w:jc w:val="center"/>
              <w:rPr>
                <w:rFonts w:ascii="Arial" w:hAnsi="Arial" w:cs="Arial"/>
                <w:sz w:val="18"/>
                <w:szCs w:val="18"/>
              </w:rPr>
            </w:pPr>
            <w:r w:rsidRPr="00D81C91">
              <w:rPr>
                <w:rFonts w:ascii="Arial" w:hAnsi="Arial" w:cs="Arial"/>
                <w:sz w:val="18"/>
                <w:szCs w:val="18"/>
              </w:rPr>
              <w:t>Achievable = 95%</w:t>
            </w:r>
          </w:p>
        </w:tc>
        <w:tc>
          <w:tcPr>
            <w:tcW w:w="2471" w:type="dxa"/>
            <w:gridSpan w:val="2"/>
          </w:tcPr>
          <w:p w:rsidR="00BD341F" w:rsidRPr="00D81C91" w:rsidRDefault="00BD341F" w:rsidP="00282111">
            <w:pPr>
              <w:jc w:val="center"/>
              <w:rPr>
                <w:rFonts w:ascii="Arial" w:hAnsi="Arial" w:cs="Arial"/>
                <w:sz w:val="18"/>
                <w:szCs w:val="18"/>
              </w:rPr>
            </w:pPr>
          </w:p>
        </w:tc>
      </w:tr>
      <w:tr w:rsidR="00282111" w:rsidRPr="00D81C91" w:rsidTr="00610F58">
        <w:tc>
          <w:tcPr>
            <w:tcW w:w="1526" w:type="dxa"/>
          </w:tcPr>
          <w:p w:rsidR="00282111" w:rsidRPr="00D81C91" w:rsidRDefault="002516C1" w:rsidP="002516C1">
            <w:pPr>
              <w:jc w:val="center"/>
              <w:rPr>
                <w:rFonts w:ascii="Arial" w:hAnsi="Arial" w:cs="Arial"/>
              </w:rPr>
            </w:pPr>
            <w:r w:rsidRPr="00D81C91">
              <w:rPr>
                <w:rFonts w:ascii="Arial" w:hAnsi="Arial" w:cs="Arial"/>
              </w:rPr>
              <w:t>Area</w:t>
            </w:r>
          </w:p>
        </w:tc>
        <w:tc>
          <w:tcPr>
            <w:tcW w:w="1276" w:type="dxa"/>
          </w:tcPr>
          <w:p w:rsidR="00282111" w:rsidRPr="00D81C91" w:rsidRDefault="00282111" w:rsidP="002344D1">
            <w:pPr>
              <w:rPr>
                <w:rFonts w:ascii="Arial" w:hAnsi="Arial" w:cs="Arial"/>
                <w:sz w:val="20"/>
                <w:szCs w:val="20"/>
              </w:rPr>
            </w:pPr>
            <w:r w:rsidRPr="00D81C91">
              <w:rPr>
                <w:rFonts w:ascii="Arial" w:hAnsi="Arial" w:cs="Arial"/>
                <w:sz w:val="20"/>
                <w:szCs w:val="20"/>
              </w:rPr>
              <w:t>Kent &amp; Medway</w:t>
            </w:r>
          </w:p>
        </w:tc>
        <w:tc>
          <w:tcPr>
            <w:tcW w:w="1222" w:type="dxa"/>
          </w:tcPr>
          <w:p w:rsidR="00282111" w:rsidRPr="00D81C91" w:rsidRDefault="00282111" w:rsidP="002344D1">
            <w:pPr>
              <w:rPr>
                <w:rFonts w:ascii="Arial" w:hAnsi="Arial" w:cs="Arial"/>
              </w:rPr>
            </w:pPr>
            <w:r w:rsidRPr="00D81C91">
              <w:rPr>
                <w:rFonts w:ascii="Arial" w:hAnsi="Arial" w:cs="Arial"/>
              </w:rPr>
              <w:t>England</w:t>
            </w:r>
          </w:p>
        </w:tc>
        <w:tc>
          <w:tcPr>
            <w:tcW w:w="1471" w:type="dxa"/>
          </w:tcPr>
          <w:p w:rsidR="00282111" w:rsidRPr="00D81C91" w:rsidRDefault="00282111" w:rsidP="00126A6A">
            <w:pPr>
              <w:rPr>
                <w:rFonts w:ascii="Arial" w:hAnsi="Arial" w:cs="Arial"/>
                <w:sz w:val="20"/>
                <w:szCs w:val="20"/>
              </w:rPr>
            </w:pPr>
            <w:r w:rsidRPr="00D81C91">
              <w:rPr>
                <w:rFonts w:ascii="Arial" w:hAnsi="Arial" w:cs="Arial"/>
                <w:sz w:val="20"/>
                <w:szCs w:val="20"/>
              </w:rPr>
              <w:t>Kent &amp; Medway</w:t>
            </w:r>
          </w:p>
        </w:tc>
        <w:tc>
          <w:tcPr>
            <w:tcW w:w="1276" w:type="dxa"/>
          </w:tcPr>
          <w:p w:rsidR="00282111" w:rsidRPr="00D81C91" w:rsidRDefault="00282111" w:rsidP="00126A6A">
            <w:pPr>
              <w:rPr>
                <w:rFonts w:ascii="Arial" w:hAnsi="Arial" w:cs="Arial"/>
              </w:rPr>
            </w:pPr>
            <w:r w:rsidRPr="00D81C91">
              <w:rPr>
                <w:rFonts w:ascii="Arial" w:hAnsi="Arial" w:cs="Arial"/>
              </w:rPr>
              <w:t>England</w:t>
            </w:r>
          </w:p>
        </w:tc>
        <w:tc>
          <w:tcPr>
            <w:tcW w:w="1417" w:type="dxa"/>
          </w:tcPr>
          <w:p w:rsidR="00282111" w:rsidRPr="00D81C91" w:rsidRDefault="00282111" w:rsidP="00126A6A">
            <w:pPr>
              <w:rPr>
                <w:rFonts w:ascii="Arial" w:hAnsi="Arial" w:cs="Arial"/>
                <w:sz w:val="20"/>
                <w:szCs w:val="20"/>
              </w:rPr>
            </w:pPr>
            <w:r w:rsidRPr="00D81C91">
              <w:rPr>
                <w:rFonts w:ascii="Arial" w:hAnsi="Arial" w:cs="Arial"/>
                <w:sz w:val="20"/>
                <w:szCs w:val="20"/>
              </w:rPr>
              <w:t>Kent &amp; Medway</w:t>
            </w:r>
          </w:p>
        </w:tc>
        <w:tc>
          <w:tcPr>
            <w:tcW w:w="1054" w:type="dxa"/>
          </w:tcPr>
          <w:p w:rsidR="00282111" w:rsidRPr="00D81C91" w:rsidRDefault="00282111" w:rsidP="00126A6A">
            <w:pPr>
              <w:rPr>
                <w:rFonts w:ascii="Arial" w:hAnsi="Arial" w:cs="Arial"/>
              </w:rPr>
            </w:pPr>
            <w:r w:rsidRPr="00D81C91">
              <w:rPr>
                <w:rFonts w:ascii="Arial" w:hAnsi="Arial" w:cs="Arial"/>
              </w:rPr>
              <w:t>England</w:t>
            </w:r>
          </w:p>
        </w:tc>
      </w:tr>
      <w:tr w:rsidR="00282111" w:rsidRPr="00D81C91" w:rsidTr="00610F58">
        <w:tc>
          <w:tcPr>
            <w:tcW w:w="1526" w:type="dxa"/>
          </w:tcPr>
          <w:p w:rsidR="00282111" w:rsidRPr="00D81C91" w:rsidRDefault="00282111" w:rsidP="002516C1">
            <w:pPr>
              <w:jc w:val="center"/>
              <w:rPr>
                <w:rFonts w:ascii="Arial" w:hAnsi="Arial" w:cs="Arial"/>
              </w:rPr>
            </w:pPr>
            <w:r w:rsidRPr="00D81C91">
              <w:rPr>
                <w:rFonts w:ascii="Arial" w:hAnsi="Arial" w:cs="Arial"/>
              </w:rPr>
              <w:t>Numerator</w:t>
            </w:r>
          </w:p>
        </w:tc>
        <w:tc>
          <w:tcPr>
            <w:tcW w:w="1276" w:type="dxa"/>
          </w:tcPr>
          <w:p w:rsidR="00282111" w:rsidRPr="00D81C91" w:rsidRDefault="00AC1F6A" w:rsidP="002344D1">
            <w:pPr>
              <w:rPr>
                <w:rFonts w:ascii="Arial" w:hAnsi="Arial" w:cs="Arial"/>
              </w:rPr>
            </w:pPr>
            <w:r w:rsidRPr="00D81C91">
              <w:rPr>
                <w:rFonts w:ascii="Arial" w:hAnsi="Arial" w:cs="Arial"/>
              </w:rPr>
              <w:t>70,869</w:t>
            </w:r>
          </w:p>
        </w:tc>
        <w:tc>
          <w:tcPr>
            <w:tcW w:w="1222" w:type="dxa"/>
          </w:tcPr>
          <w:p w:rsidR="00282111" w:rsidRPr="00D81C91" w:rsidRDefault="00AC1F6A" w:rsidP="002344D1">
            <w:pPr>
              <w:rPr>
                <w:rFonts w:ascii="Arial" w:hAnsi="Arial" w:cs="Arial"/>
              </w:rPr>
            </w:pPr>
            <w:r w:rsidRPr="00D81C91">
              <w:rPr>
                <w:rFonts w:ascii="Arial" w:hAnsi="Arial" w:cs="Arial"/>
              </w:rPr>
              <w:t>2,248,277</w:t>
            </w:r>
          </w:p>
        </w:tc>
        <w:tc>
          <w:tcPr>
            <w:tcW w:w="1471" w:type="dxa"/>
          </w:tcPr>
          <w:p w:rsidR="00282111" w:rsidRPr="00D81C91" w:rsidRDefault="002516C1" w:rsidP="002344D1">
            <w:pPr>
              <w:rPr>
                <w:rFonts w:ascii="Arial" w:hAnsi="Arial" w:cs="Arial"/>
              </w:rPr>
            </w:pPr>
            <w:r w:rsidRPr="00D81C91">
              <w:rPr>
                <w:rFonts w:ascii="Arial" w:hAnsi="Arial" w:cs="Arial"/>
              </w:rPr>
              <w:t>41,909</w:t>
            </w:r>
          </w:p>
        </w:tc>
        <w:tc>
          <w:tcPr>
            <w:tcW w:w="1276" w:type="dxa"/>
          </w:tcPr>
          <w:p w:rsidR="00282111" w:rsidRPr="00D81C91" w:rsidRDefault="002516C1" w:rsidP="002344D1">
            <w:pPr>
              <w:rPr>
                <w:rFonts w:ascii="Arial" w:hAnsi="Arial" w:cs="Arial"/>
              </w:rPr>
            </w:pPr>
            <w:r w:rsidRPr="00D81C91">
              <w:rPr>
                <w:rFonts w:ascii="Arial" w:hAnsi="Arial" w:cs="Arial"/>
              </w:rPr>
              <w:t>2,214,347</w:t>
            </w:r>
          </w:p>
        </w:tc>
        <w:tc>
          <w:tcPr>
            <w:tcW w:w="1417" w:type="dxa"/>
          </w:tcPr>
          <w:p w:rsidR="00282111" w:rsidRPr="00D81C91" w:rsidRDefault="00A5061A" w:rsidP="002344D1">
            <w:pPr>
              <w:rPr>
                <w:rFonts w:ascii="Arial" w:hAnsi="Arial" w:cs="Arial"/>
              </w:rPr>
            </w:pPr>
            <w:r w:rsidRPr="00D81C91">
              <w:rPr>
                <w:rFonts w:ascii="Arial" w:hAnsi="Arial" w:cs="Arial"/>
              </w:rPr>
              <w:t>257</w:t>
            </w:r>
          </w:p>
        </w:tc>
        <w:tc>
          <w:tcPr>
            <w:tcW w:w="1054" w:type="dxa"/>
          </w:tcPr>
          <w:p w:rsidR="00282111" w:rsidRPr="00D81C91" w:rsidRDefault="00282111" w:rsidP="002344D1">
            <w:pPr>
              <w:rPr>
                <w:rFonts w:ascii="Arial" w:hAnsi="Arial" w:cs="Arial"/>
              </w:rPr>
            </w:pPr>
            <w:r w:rsidRPr="00D81C91">
              <w:rPr>
                <w:rFonts w:ascii="Arial" w:hAnsi="Arial" w:cs="Arial"/>
              </w:rPr>
              <w:t>6,347</w:t>
            </w:r>
          </w:p>
        </w:tc>
      </w:tr>
      <w:tr w:rsidR="00282111" w:rsidRPr="00D81C91" w:rsidTr="00610F58">
        <w:tc>
          <w:tcPr>
            <w:tcW w:w="1526" w:type="dxa"/>
          </w:tcPr>
          <w:p w:rsidR="00282111" w:rsidRPr="00D81C91" w:rsidRDefault="00282111" w:rsidP="002516C1">
            <w:pPr>
              <w:jc w:val="center"/>
              <w:rPr>
                <w:rFonts w:ascii="Arial" w:hAnsi="Arial" w:cs="Arial"/>
              </w:rPr>
            </w:pPr>
            <w:r w:rsidRPr="00D81C91">
              <w:rPr>
                <w:rFonts w:ascii="Arial" w:hAnsi="Arial" w:cs="Arial"/>
              </w:rPr>
              <w:t>Denominator</w:t>
            </w:r>
          </w:p>
        </w:tc>
        <w:tc>
          <w:tcPr>
            <w:tcW w:w="1276" w:type="dxa"/>
          </w:tcPr>
          <w:p w:rsidR="00282111" w:rsidRPr="00D81C91" w:rsidRDefault="00AC1F6A" w:rsidP="002344D1">
            <w:pPr>
              <w:rPr>
                <w:rFonts w:ascii="Arial" w:hAnsi="Arial" w:cs="Arial"/>
              </w:rPr>
            </w:pPr>
            <w:r w:rsidRPr="00D81C91">
              <w:rPr>
                <w:rFonts w:ascii="Arial" w:hAnsi="Arial" w:cs="Arial"/>
              </w:rPr>
              <w:t>85,899</w:t>
            </w:r>
          </w:p>
        </w:tc>
        <w:tc>
          <w:tcPr>
            <w:tcW w:w="1222" w:type="dxa"/>
          </w:tcPr>
          <w:p w:rsidR="00282111" w:rsidRPr="00D81C91" w:rsidRDefault="00AC1F6A" w:rsidP="002344D1">
            <w:pPr>
              <w:rPr>
                <w:rFonts w:ascii="Arial" w:hAnsi="Arial" w:cs="Arial"/>
              </w:rPr>
            </w:pPr>
            <w:r w:rsidRPr="00D81C91">
              <w:rPr>
                <w:rFonts w:ascii="Arial" w:hAnsi="Arial" w:cs="Arial"/>
              </w:rPr>
              <w:t>2,734,554</w:t>
            </w:r>
          </w:p>
        </w:tc>
        <w:tc>
          <w:tcPr>
            <w:tcW w:w="1471" w:type="dxa"/>
          </w:tcPr>
          <w:p w:rsidR="00282111" w:rsidRPr="00D81C91" w:rsidRDefault="002516C1" w:rsidP="002344D1">
            <w:pPr>
              <w:rPr>
                <w:rFonts w:ascii="Arial" w:hAnsi="Arial" w:cs="Arial"/>
              </w:rPr>
            </w:pPr>
            <w:r w:rsidRPr="00D81C91">
              <w:rPr>
                <w:rFonts w:ascii="Arial" w:hAnsi="Arial" w:cs="Arial"/>
              </w:rPr>
              <w:t>71,123</w:t>
            </w:r>
          </w:p>
        </w:tc>
        <w:tc>
          <w:tcPr>
            <w:tcW w:w="1276" w:type="dxa"/>
          </w:tcPr>
          <w:p w:rsidR="00282111" w:rsidRPr="00D81C91" w:rsidRDefault="002516C1" w:rsidP="002344D1">
            <w:pPr>
              <w:rPr>
                <w:rFonts w:ascii="Arial" w:hAnsi="Arial" w:cs="Arial"/>
              </w:rPr>
            </w:pPr>
            <w:r w:rsidRPr="00D81C91">
              <w:rPr>
                <w:rFonts w:ascii="Arial" w:hAnsi="Arial" w:cs="Arial"/>
              </w:rPr>
              <w:t>2,295,459</w:t>
            </w:r>
          </w:p>
        </w:tc>
        <w:tc>
          <w:tcPr>
            <w:tcW w:w="1417" w:type="dxa"/>
          </w:tcPr>
          <w:p w:rsidR="00282111" w:rsidRPr="00D81C91" w:rsidRDefault="00A5061A" w:rsidP="002344D1">
            <w:pPr>
              <w:rPr>
                <w:rFonts w:ascii="Arial" w:hAnsi="Arial" w:cs="Arial"/>
              </w:rPr>
            </w:pPr>
            <w:r w:rsidRPr="00D81C91">
              <w:rPr>
                <w:rFonts w:ascii="Arial" w:hAnsi="Arial" w:cs="Arial"/>
              </w:rPr>
              <w:t>373</w:t>
            </w:r>
          </w:p>
        </w:tc>
        <w:tc>
          <w:tcPr>
            <w:tcW w:w="1054" w:type="dxa"/>
          </w:tcPr>
          <w:p w:rsidR="00282111" w:rsidRPr="00D81C91" w:rsidRDefault="00282111" w:rsidP="002344D1">
            <w:pPr>
              <w:rPr>
                <w:rFonts w:ascii="Arial" w:hAnsi="Arial" w:cs="Arial"/>
              </w:rPr>
            </w:pPr>
            <w:r w:rsidRPr="00D81C91">
              <w:rPr>
                <w:rFonts w:ascii="Arial" w:hAnsi="Arial" w:cs="Arial"/>
              </w:rPr>
              <w:t>8,421</w:t>
            </w:r>
          </w:p>
        </w:tc>
      </w:tr>
      <w:tr w:rsidR="00282111" w:rsidRPr="00D81C91" w:rsidTr="00610F58">
        <w:tc>
          <w:tcPr>
            <w:tcW w:w="1526" w:type="dxa"/>
          </w:tcPr>
          <w:p w:rsidR="00282111" w:rsidRPr="00D81C91" w:rsidRDefault="00282111" w:rsidP="002516C1">
            <w:pPr>
              <w:jc w:val="center"/>
              <w:rPr>
                <w:rFonts w:ascii="Arial" w:hAnsi="Arial" w:cs="Arial"/>
              </w:rPr>
            </w:pPr>
            <w:r w:rsidRPr="00D81C91">
              <w:rPr>
                <w:rFonts w:ascii="Arial" w:hAnsi="Arial" w:cs="Arial"/>
              </w:rPr>
              <w:t>Performance</w:t>
            </w:r>
          </w:p>
        </w:tc>
        <w:tc>
          <w:tcPr>
            <w:tcW w:w="1276" w:type="dxa"/>
          </w:tcPr>
          <w:p w:rsidR="00282111" w:rsidRPr="00D81C91" w:rsidRDefault="00AC1F6A" w:rsidP="002344D1">
            <w:pPr>
              <w:rPr>
                <w:rFonts w:ascii="Arial" w:hAnsi="Arial" w:cs="Arial"/>
              </w:rPr>
            </w:pPr>
            <w:r w:rsidRPr="00D81C91">
              <w:rPr>
                <w:rFonts w:ascii="Arial" w:hAnsi="Arial" w:cs="Arial"/>
              </w:rPr>
              <w:t>82.5%</w:t>
            </w:r>
          </w:p>
        </w:tc>
        <w:tc>
          <w:tcPr>
            <w:tcW w:w="1222" w:type="dxa"/>
          </w:tcPr>
          <w:p w:rsidR="00282111" w:rsidRPr="00D81C91" w:rsidRDefault="00AC1F6A" w:rsidP="002344D1">
            <w:pPr>
              <w:rPr>
                <w:rFonts w:ascii="Arial" w:hAnsi="Arial" w:cs="Arial"/>
              </w:rPr>
            </w:pPr>
            <w:r w:rsidRPr="00D81C91">
              <w:rPr>
                <w:rFonts w:ascii="Arial" w:hAnsi="Arial" w:cs="Arial"/>
              </w:rPr>
              <w:t>82.2%</w:t>
            </w:r>
          </w:p>
        </w:tc>
        <w:tc>
          <w:tcPr>
            <w:tcW w:w="1471" w:type="dxa"/>
          </w:tcPr>
          <w:p w:rsidR="00282111" w:rsidRPr="00D81C91" w:rsidRDefault="002516C1" w:rsidP="002344D1">
            <w:pPr>
              <w:rPr>
                <w:rFonts w:ascii="Arial" w:hAnsi="Arial" w:cs="Arial"/>
              </w:rPr>
            </w:pPr>
            <w:r w:rsidRPr="00D81C91">
              <w:rPr>
                <w:rFonts w:ascii="Arial" w:hAnsi="Arial" w:cs="Arial"/>
              </w:rPr>
              <w:t>58.9%</w:t>
            </w:r>
          </w:p>
        </w:tc>
        <w:tc>
          <w:tcPr>
            <w:tcW w:w="1276" w:type="dxa"/>
          </w:tcPr>
          <w:p w:rsidR="00282111" w:rsidRPr="00D81C91" w:rsidRDefault="002516C1" w:rsidP="002344D1">
            <w:pPr>
              <w:rPr>
                <w:rFonts w:ascii="Arial" w:hAnsi="Arial" w:cs="Arial"/>
              </w:rPr>
            </w:pPr>
            <w:r w:rsidRPr="00D81C91">
              <w:rPr>
                <w:rFonts w:ascii="Arial" w:hAnsi="Arial" w:cs="Arial"/>
              </w:rPr>
              <w:t>95.6%</w:t>
            </w:r>
          </w:p>
        </w:tc>
        <w:tc>
          <w:tcPr>
            <w:tcW w:w="1417" w:type="dxa"/>
          </w:tcPr>
          <w:p w:rsidR="00282111" w:rsidRPr="00D81C91" w:rsidRDefault="002516C1" w:rsidP="002344D1">
            <w:pPr>
              <w:rPr>
                <w:rFonts w:ascii="Arial" w:hAnsi="Arial" w:cs="Arial"/>
              </w:rPr>
            </w:pPr>
            <w:r w:rsidRPr="00D81C91">
              <w:rPr>
                <w:rFonts w:ascii="Arial" w:hAnsi="Arial" w:cs="Arial"/>
              </w:rPr>
              <w:t>68.9%</w:t>
            </w:r>
          </w:p>
        </w:tc>
        <w:tc>
          <w:tcPr>
            <w:tcW w:w="1054" w:type="dxa"/>
          </w:tcPr>
          <w:p w:rsidR="00282111" w:rsidRPr="00D81C91" w:rsidRDefault="00282111" w:rsidP="002344D1">
            <w:pPr>
              <w:rPr>
                <w:rFonts w:ascii="Arial" w:hAnsi="Arial" w:cs="Arial"/>
              </w:rPr>
            </w:pPr>
            <w:r w:rsidRPr="00D81C91">
              <w:rPr>
                <w:rFonts w:ascii="Arial" w:hAnsi="Arial" w:cs="Arial"/>
              </w:rPr>
              <w:t>75.4%</w:t>
            </w:r>
          </w:p>
        </w:tc>
      </w:tr>
    </w:tbl>
    <w:p w:rsidR="001B14B9" w:rsidRPr="00D81C91" w:rsidRDefault="00282111" w:rsidP="002344D1">
      <w:pPr>
        <w:rPr>
          <w:rFonts w:ascii="Arial" w:hAnsi="Arial" w:cs="Arial"/>
          <w:sz w:val="18"/>
          <w:szCs w:val="18"/>
        </w:rPr>
      </w:pPr>
      <w:r w:rsidRPr="00D81C91">
        <w:rPr>
          <w:rFonts w:ascii="Arial" w:hAnsi="Arial" w:cs="Arial"/>
          <w:sz w:val="18"/>
          <w:szCs w:val="18"/>
        </w:rPr>
        <w:t>Source: PHE Screening</w:t>
      </w:r>
      <w:r w:rsidR="00BE7F09">
        <w:rPr>
          <w:rFonts w:ascii="Arial" w:hAnsi="Arial" w:cs="Arial"/>
          <w:sz w:val="18"/>
          <w:szCs w:val="18"/>
        </w:rPr>
        <w:t xml:space="preserve"> (2017)</w:t>
      </w:r>
    </w:p>
    <w:p w:rsidR="003D0BB1" w:rsidRDefault="003D0BB1" w:rsidP="009606EA">
      <w:pPr>
        <w:pStyle w:val="Heading2"/>
        <w:rPr>
          <w:rFonts w:ascii="Arial" w:hAnsi="Arial" w:cs="Arial"/>
          <w:color w:val="365F91" w:themeColor="accent1" w:themeShade="BF"/>
          <w:sz w:val="28"/>
          <w:szCs w:val="28"/>
        </w:rPr>
      </w:pPr>
    </w:p>
    <w:p w:rsidR="00034826" w:rsidRPr="00610F58" w:rsidRDefault="00610F58" w:rsidP="009606EA">
      <w:pPr>
        <w:pStyle w:val="Heading2"/>
        <w:rPr>
          <w:rFonts w:ascii="Arial" w:hAnsi="Arial" w:cs="Arial"/>
          <w:color w:val="365F91" w:themeColor="accent1" w:themeShade="BF"/>
          <w:sz w:val="28"/>
          <w:szCs w:val="28"/>
        </w:rPr>
      </w:pPr>
      <w:bookmarkStart w:id="25" w:name="_Toc512592238"/>
      <w:r w:rsidRPr="00610F58">
        <w:rPr>
          <w:rFonts w:ascii="Arial" w:hAnsi="Arial" w:cs="Arial"/>
          <w:color w:val="365F91" w:themeColor="accent1" w:themeShade="BF"/>
          <w:sz w:val="28"/>
          <w:szCs w:val="28"/>
        </w:rPr>
        <w:t>5.2</w:t>
      </w:r>
      <w:r w:rsidRPr="00610F58">
        <w:rPr>
          <w:rFonts w:ascii="Arial" w:hAnsi="Arial" w:cs="Arial"/>
          <w:color w:val="365F91" w:themeColor="accent1" w:themeShade="BF"/>
          <w:sz w:val="28"/>
          <w:szCs w:val="28"/>
        </w:rPr>
        <w:tab/>
      </w:r>
      <w:r w:rsidR="00034826" w:rsidRPr="00610F58">
        <w:rPr>
          <w:rFonts w:ascii="Arial" w:hAnsi="Arial" w:cs="Arial"/>
          <w:color w:val="365F91" w:themeColor="accent1" w:themeShade="BF"/>
          <w:sz w:val="28"/>
          <w:szCs w:val="28"/>
        </w:rPr>
        <w:t>Programme Pathway Standards</w:t>
      </w:r>
      <w:bookmarkEnd w:id="25"/>
    </w:p>
    <w:p w:rsidR="00034826" w:rsidRPr="00610F58" w:rsidRDefault="00034826" w:rsidP="002344D1">
      <w:pPr>
        <w:rPr>
          <w:rFonts w:ascii="Arial" w:hAnsi="Arial" w:cs="Arial"/>
          <w:sz w:val="24"/>
          <w:szCs w:val="24"/>
        </w:rPr>
      </w:pPr>
      <w:r w:rsidRPr="00610F58">
        <w:rPr>
          <w:rFonts w:ascii="Arial" w:hAnsi="Arial" w:cs="Arial"/>
          <w:sz w:val="24"/>
          <w:szCs w:val="24"/>
        </w:rPr>
        <w:t>A new set of pathways standards came into effect nationally from April 2017.</w:t>
      </w:r>
      <w:r w:rsidR="009606EA" w:rsidRPr="00610F58">
        <w:rPr>
          <w:rFonts w:ascii="Arial" w:hAnsi="Arial" w:cs="Arial"/>
          <w:sz w:val="24"/>
          <w:szCs w:val="24"/>
        </w:rPr>
        <w:t xml:space="preserve"> The number of standards was reduced from 19 to 13 and now includes more information on the other elements of the common pathway: digital surveillance, slit lamp biomicroscopy and also service delivery to pregnant women.</w:t>
      </w:r>
      <w:r w:rsidR="00CF3A41" w:rsidRPr="00610F58">
        <w:rPr>
          <w:rFonts w:ascii="Arial" w:hAnsi="Arial" w:cs="Arial"/>
          <w:sz w:val="24"/>
          <w:szCs w:val="24"/>
        </w:rPr>
        <w:t xml:space="preserve"> For details of the standards see </w:t>
      </w:r>
      <w:hyperlink r:id="rId14" w:history="1">
        <w:r w:rsidR="00CF3A41" w:rsidRPr="00610F58">
          <w:rPr>
            <w:rStyle w:val="Hyperlink"/>
            <w:rFonts w:ascii="Arial" w:hAnsi="Arial" w:cs="Arial"/>
            <w:sz w:val="24"/>
            <w:szCs w:val="24"/>
          </w:rPr>
          <w:t>https://www.gov.uk/government/publications/diabetic-eye-screening-standards-and-performance-objectives</w:t>
        </w:r>
      </w:hyperlink>
      <w:r w:rsidR="00CF3A41" w:rsidRPr="00610F58">
        <w:rPr>
          <w:rFonts w:ascii="Arial" w:hAnsi="Arial" w:cs="Arial"/>
          <w:sz w:val="24"/>
          <w:szCs w:val="24"/>
        </w:rPr>
        <w:t xml:space="preserve"> </w:t>
      </w:r>
    </w:p>
    <w:p w:rsidR="00CF3A41" w:rsidRPr="00692144" w:rsidRDefault="00610F58" w:rsidP="00692144">
      <w:pPr>
        <w:pStyle w:val="Heading1"/>
        <w:rPr>
          <w:rFonts w:ascii="Arial" w:hAnsi="Arial" w:cs="Arial"/>
          <w:sz w:val="32"/>
          <w:szCs w:val="32"/>
        </w:rPr>
      </w:pPr>
      <w:bookmarkStart w:id="26" w:name="_Toc512592239"/>
      <w:r w:rsidRPr="00692144">
        <w:rPr>
          <w:rFonts w:ascii="Arial" w:eastAsiaTheme="minorHAnsi" w:hAnsi="Arial" w:cs="Arial"/>
          <w:sz w:val="32"/>
          <w:szCs w:val="32"/>
        </w:rPr>
        <w:t>6.</w:t>
      </w:r>
      <w:r w:rsidRPr="00692144">
        <w:rPr>
          <w:rFonts w:ascii="Arial" w:eastAsiaTheme="minorHAnsi" w:hAnsi="Arial" w:cs="Arial"/>
          <w:sz w:val="32"/>
          <w:szCs w:val="32"/>
        </w:rPr>
        <w:tab/>
      </w:r>
      <w:r w:rsidRPr="00692144">
        <w:rPr>
          <w:rFonts w:ascii="Arial" w:hAnsi="Arial" w:cs="Arial"/>
          <w:sz w:val="32"/>
          <w:szCs w:val="32"/>
        </w:rPr>
        <w:t>Challenges and O</w:t>
      </w:r>
      <w:r w:rsidR="00CF3A41" w:rsidRPr="00692144">
        <w:rPr>
          <w:rFonts w:ascii="Arial" w:hAnsi="Arial" w:cs="Arial"/>
          <w:sz w:val="32"/>
          <w:szCs w:val="32"/>
        </w:rPr>
        <w:t>pportunities</w:t>
      </w:r>
      <w:bookmarkEnd w:id="26"/>
    </w:p>
    <w:p w:rsidR="00FB5B44" w:rsidRPr="00610F58" w:rsidRDefault="00FB5B44" w:rsidP="00610F58">
      <w:pPr>
        <w:pStyle w:val="Heading2"/>
        <w:numPr>
          <w:ilvl w:val="1"/>
          <w:numId w:val="10"/>
        </w:numPr>
        <w:rPr>
          <w:rFonts w:ascii="Arial" w:hAnsi="Arial" w:cs="Arial"/>
          <w:color w:val="365F91" w:themeColor="accent1" w:themeShade="BF"/>
          <w:sz w:val="28"/>
          <w:szCs w:val="28"/>
        </w:rPr>
      </w:pPr>
      <w:bookmarkStart w:id="27" w:name="_Toc512592240"/>
      <w:r w:rsidRPr="00610F58">
        <w:rPr>
          <w:rFonts w:ascii="Arial" w:hAnsi="Arial" w:cs="Arial"/>
          <w:color w:val="365F91" w:themeColor="accent1" w:themeShade="BF"/>
          <w:sz w:val="28"/>
          <w:szCs w:val="28"/>
        </w:rPr>
        <w:t>Current challenges in service delivery</w:t>
      </w:r>
      <w:bookmarkEnd w:id="27"/>
    </w:p>
    <w:p w:rsidR="00FB5B44" w:rsidRPr="00DC7BFC" w:rsidRDefault="00610F58" w:rsidP="00692144">
      <w:pPr>
        <w:pStyle w:val="Heading3"/>
        <w:rPr>
          <w:rFonts w:ascii="Arial" w:hAnsi="Arial" w:cs="Arial"/>
          <w:color w:val="365F91" w:themeColor="accent1" w:themeShade="BF"/>
          <w:sz w:val="24"/>
          <w:szCs w:val="24"/>
        </w:rPr>
      </w:pPr>
      <w:bookmarkStart w:id="28" w:name="_Toc512592241"/>
      <w:r w:rsidRPr="00DC7BFC">
        <w:rPr>
          <w:rFonts w:ascii="Arial" w:hAnsi="Arial" w:cs="Arial"/>
          <w:color w:val="365F91" w:themeColor="accent1" w:themeShade="BF"/>
          <w:sz w:val="24"/>
          <w:szCs w:val="24"/>
        </w:rPr>
        <w:t>6.1.1</w:t>
      </w:r>
      <w:r w:rsidRPr="00DC7BFC">
        <w:rPr>
          <w:rFonts w:ascii="Arial" w:hAnsi="Arial" w:cs="Arial"/>
          <w:color w:val="365F91" w:themeColor="accent1" w:themeShade="BF"/>
          <w:sz w:val="24"/>
          <w:szCs w:val="24"/>
        </w:rPr>
        <w:tab/>
      </w:r>
      <w:r w:rsidR="00FB5B44" w:rsidRPr="00DC7BFC">
        <w:rPr>
          <w:rFonts w:ascii="Arial" w:hAnsi="Arial" w:cs="Arial"/>
          <w:color w:val="365F91" w:themeColor="accent1" w:themeShade="BF"/>
          <w:sz w:val="24"/>
          <w:szCs w:val="24"/>
        </w:rPr>
        <w:t>Timely consultation and feedback from Hospital Eye Services</w:t>
      </w:r>
      <w:bookmarkEnd w:id="28"/>
    </w:p>
    <w:p w:rsidR="002516C1" w:rsidRPr="00610F58" w:rsidRDefault="002516C1" w:rsidP="00610F58">
      <w:pPr>
        <w:pStyle w:val="ListParagraph"/>
        <w:ind w:left="0"/>
        <w:rPr>
          <w:rFonts w:ascii="Arial" w:hAnsi="Arial" w:cs="Arial"/>
          <w:sz w:val="24"/>
          <w:szCs w:val="24"/>
        </w:rPr>
      </w:pPr>
      <w:r w:rsidRPr="00610F58">
        <w:rPr>
          <w:rFonts w:ascii="Arial" w:hAnsi="Arial" w:cs="Arial"/>
          <w:sz w:val="24"/>
          <w:szCs w:val="24"/>
        </w:rPr>
        <w:t xml:space="preserve">This is an acknowledged problem across the country and has resulted in a number of serious incidents declared locally and nationally. </w:t>
      </w:r>
      <w:r w:rsidR="002A3B60" w:rsidRPr="00610F58">
        <w:rPr>
          <w:rFonts w:ascii="Arial" w:hAnsi="Arial" w:cs="Arial"/>
          <w:sz w:val="24"/>
          <w:szCs w:val="24"/>
        </w:rPr>
        <w:t xml:space="preserve">Pressures in local hospital eye services are the main cause of this and the local CCGs are involved in discussions on how to address these issues. </w:t>
      </w:r>
      <w:r w:rsidRPr="00610F58">
        <w:rPr>
          <w:rFonts w:ascii="Arial" w:hAnsi="Arial" w:cs="Arial"/>
          <w:sz w:val="24"/>
          <w:szCs w:val="24"/>
        </w:rPr>
        <w:t>The local programme board has documented the effects of this problem on KPI3</w:t>
      </w:r>
      <w:r w:rsidR="008A7A13">
        <w:rPr>
          <w:rFonts w:ascii="Arial" w:hAnsi="Arial" w:cs="Arial"/>
          <w:sz w:val="24"/>
          <w:szCs w:val="24"/>
        </w:rPr>
        <w:t xml:space="preserve"> (timely consultation within hospital eye services for urgent cases referred)</w:t>
      </w:r>
      <w:r w:rsidRPr="00610F58">
        <w:rPr>
          <w:rFonts w:ascii="Arial" w:hAnsi="Arial" w:cs="Arial"/>
          <w:sz w:val="24"/>
          <w:szCs w:val="24"/>
        </w:rPr>
        <w:t>, where lack of timely feedback has resulted in the indicator not being met.</w:t>
      </w:r>
      <w:r w:rsidR="00BE7F09">
        <w:rPr>
          <w:rFonts w:ascii="Arial" w:hAnsi="Arial" w:cs="Arial"/>
          <w:sz w:val="24"/>
          <w:szCs w:val="24"/>
        </w:rPr>
        <w:t xml:space="preserve"> A memorandum of understanding (MOU) is in place between the DESP provider and each of the HESs involved.</w:t>
      </w:r>
    </w:p>
    <w:p w:rsidR="00610F58" w:rsidRPr="00DC7BFC" w:rsidRDefault="00610F58" w:rsidP="00692144">
      <w:pPr>
        <w:pStyle w:val="Heading3"/>
        <w:rPr>
          <w:rFonts w:ascii="Arial" w:hAnsi="Arial" w:cs="Arial"/>
          <w:color w:val="365F91" w:themeColor="accent1" w:themeShade="BF"/>
          <w:sz w:val="24"/>
          <w:szCs w:val="24"/>
        </w:rPr>
      </w:pPr>
      <w:bookmarkStart w:id="29" w:name="_Toc512592242"/>
      <w:r w:rsidRPr="00DC7BFC">
        <w:rPr>
          <w:rFonts w:ascii="Arial" w:hAnsi="Arial" w:cs="Arial"/>
          <w:color w:val="365F91" w:themeColor="accent1" w:themeShade="BF"/>
          <w:sz w:val="24"/>
          <w:szCs w:val="24"/>
        </w:rPr>
        <w:t>6.1.2</w:t>
      </w:r>
      <w:r w:rsidRPr="00DC7BFC">
        <w:rPr>
          <w:rFonts w:ascii="Arial" w:hAnsi="Arial" w:cs="Arial"/>
          <w:color w:val="365F91" w:themeColor="accent1" w:themeShade="BF"/>
          <w:sz w:val="24"/>
          <w:szCs w:val="24"/>
        </w:rPr>
        <w:tab/>
      </w:r>
      <w:r w:rsidR="00FB5B44" w:rsidRPr="00DC7BFC">
        <w:rPr>
          <w:rFonts w:ascii="Arial" w:hAnsi="Arial" w:cs="Arial"/>
          <w:color w:val="365F91" w:themeColor="accent1" w:themeShade="BF"/>
          <w:sz w:val="24"/>
          <w:szCs w:val="24"/>
        </w:rPr>
        <w:t>Full delivery of OCT</w:t>
      </w:r>
      <w:bookmarkEnd w:id="29"/>
    </w:p>
    <w:p w:rsidR="002A3B60" w:rsidRDefault="00DC7BFC" w:rsidP="00610F58">
      <w:pPr>
        <w:spacing w:after="0"/>
        <w:rPr>
          <w:rFonts w:ascii="Arial" w:hAnsi="Arial" w:cs="Arial"/>
          <w:sz w:val="24"/>
          <w:szCs w:val="24"/>
        </w:rPr>
      </w:pPr>
      <w:r>
        <w:rPr>
          <w:rFonts w:ascii="Arial" w:hAnsi="Arial" w:cs="Arial"/>
          <w:sz w:val="24"/>
          <w:szCs w:val="24"/>
        </w:rPr>
        <w:t xml:space="preserve">OCT has been included in the local DESP service </w:t>
      </w:r>
      <w:r w:rsidR="002A3B60" w:rsidRPr="00610F58">
        <w:rPr>
          <w:rFonts w:ascii="Arial" w:hAnsi="Arial" w:cs="Arial"/>
          <w:sz w:val="24"/>
          <w:szCs w:val="24"/>
        </w:rPr>
        <w:t xml:space="preserve">contract </w:t>
      </w:r>
      <w:r>
        <w:rPr>
          <w:rFonts w:ascii="Arial" w:hAnsi="Arial" w:cs="Arial"/>
          <w:sz w:val="24"/>
          <w:szCs w:val="24"/>
        </w:rPr>
        <w:t xml:space="preserve">since October 2014.  However, </w:t>
      </w:r>
      <w:r w:rsidR="002A3B60" w:rsidRPr="00610F58">
        <w:rPr>
          <w:rFonts w:ascii="Arial" w:hAnsi="Arial" w:cs="Arial"/>
          <w:sz w:val="24"/>
          <w:szCs w:val="24"/>
        </w:rPr>
        <w:t>full delivery of OCT has been hindered by other priorities in service delivery, including IT migration and identification of the eligible cohort from primary care. Rollout plans are ongoing to ensure all patients currently eligible for OCT under HESs and those suitable for OCT from screening are seen within the service in the future.</w:t>
      </w:r>
    </w:p>
    <w:p w:rsidR="00610F58" w:rsidRPr="00610F58" w:rsidRDefault="00610F58" w:rsidP="00610F58">
      <w:pPr>
        <w:spacing w:after="0"/>
        <w:rPr>
          <w:rFonts w:ascii="Arial" w:hAnsi="Arial" w:cs="Arial"/>
          <w:b/>
          <w:color w:val="365F91" w:themeColor="accent1" w:themeShade="BF"/>
          <w:sz w:val="24"/>
          <w:szCs w:val="24"/>
        </w:rPr>
      </w:pPr>
    </w:p>
    <w:p w:rsidR="007A3AB5" w:rsidRPr="00CB3774" w:rsidRDefault="00610F58" w:rsidP="00692144">
      <w:pPr>
        <w:pStyle w:val="Heading3"/>
        <w:rPr>
          <w:rFonts w:ascii="Arial" w:hAnsi="Arial" w:cs="Arial"/>
          <w:color w:val="365F91" w:themeColor="accent1" w:themeShade="BF"/>
          <w:sz w:val="24"/>
          <w:szCs w:val="24"/>
        </w:rPr>
      </w:pPr>
      <w:bookmarkStart w:id="30" w:name="_Toc512592243"/>
      <w:r w:rsidRPr="00CB3774">
        <w:rPr>
          <w:rFonts w:ascii="Arial" w:hAnsi="Arial" w:cs="Arial"/>
          <w:color w:val="365F91" w:themeColor="accent1" w:themeShade="BF"/>
          <w:sz w:val="24"/>
          <w:szCs w:val="24"/>
        </w:rPr>
        <w:t>6.1.3</w:t>
      </w:r>
      <w:r w:rsidRPr="00CB3774">
        <w:rPr>
          <w:rFonts w:ascii="Arial" w:hAnsi="Arial" w:cs="Arial"/>
          <w:color w:val="365F91" w:themeColor="accent1" w:themeShade="BF"/>
          <w:sz w:val="24"/>
          <w:szCs w:val="24"/>
        </w:rPr>
        <w:tab/>
      </w:r>
      <w:r w:rsidR="007A3AB5" w:rsidRPr="00CB3774">
        <w:rPr>
          <w:rFonts w:ascii="Arial" w:hAnsi="Arial" w:cs="Arial"/>
          <w:color w:val="365F91" w:themeColor="accent1" w:themeShade="BF"/>
          <w:sz w:val="24"/>
          <w:szCs w:val="24"/>
        </w:rPr>
        <w:t>Primary care coding</w:t>
      </w:r>
      <w:bookmarkEnd w:id="30"/>
    </w:p>
    <w:p w:rsidR="007A3AB5" w:rsidRPr="00610F58" w:rsidRDefault="007A3AB5" w:rsidP="00610F58">
      <w:pPr>
        <w:pStyle w:val="ListParagraph"/>
        <w:spacing w:after="0"/>
        <w:ind w:left="0"/>
        <w:rPr>
          <w:rFonts w:ascii="Arial" w:hAnsi="Arial" w:cs="Arial"/>
          <w:sz w:val="24"/>
          <w:szCs w:val="24"/>
        </w:rPr>
      </w:pPr>
      <w:r w:rsidRPr="00610F58">
        <w:rPr>
          <w:rFonts w:ascii="Arial" w:hAnsi="Arial" w:cs="Arial"/>
          <w:sz w:val="24"/>
          <w:szCs w:val="24"/>
        </w:rPr>
        <w:t xml:space="preserve">The programme continues to receive information on patients unknown to it via the usual referral routes, who are referred into the programme from secondary care services following assessment and/or treatment for diabetic retinal problems. A proportion of these patients are found not to have been coded with the appropriate diabetes diagnostic code to enable identification via GP2DRS. This could be an indication that there is still a </w:t>
      </w:r>
      <w:r w:rsidR="00E6357D">
        <w:rPr>
          <w:rFonts w:ascii="Arial" w:hAnsi="Arial" w:cs="Arial"/>
          <w:sz w:val="24"/>
          <w:szCs w:val="24"/>
        </w:rPr>
        <w:t>number</w:t>
      </w:r>
      <w:r w:rsidRPr="00610F58">
        <w:rPr>
          <w:rFonts w:ascii="Arial" w:hAnsi="Arial" w:cs="Arial"/>
          <w:sz w:val="24"/>
          <w:szCs w:val="24"/>
        </w:rPr>
        <w:t xml:space="preserve"> (albeit small) of GP-registered patients not coded on the relevant IT system.</w:t>
      </w:r>
    </w:p>
    <w:p w:rsidR="00CB3774" w:rsidRDefault="00CB3774" w:rsidP="00610F58">
      <w:pPr>
        <w:pStyle w:val="Heading2"/>
        <w:ind w:left="567" w:hanging="567"/>
        <w:rPr>
          <w:rFonts w:ascii="Arial" w:hAnsi="Arial" w:cs="Arial"/>
          <w:color w:val="365F91" w:themeColor="accent1" w:themeShade="BF"/>
          <w:sz w:val="28"/>
          <w:szCs w:val="28"/>
        </w:rPr>
      </w:pPr>
      <w:bookmarkStart w:id="31" w:name="_Toc512592244"/>
    </w:p>
    <w:p w:rsidR="007951FD" w:rsidRDefault="007951FD">
      <w:pPr>
        <w:rPr>
          <w:rFonts w:ascii="Arial" w:eastAsiaTheme="majorEastAsia" w:hAnsi="Arial" w:cs="Arial"/>
          <w:b/>
          <w:bCs/>
          <w:color w:val="365F91" w:themeColor="accent1" w:themeShade="BF"/>
          <w:sz w:val="28"/>
          <w:szCs w:val="28"/>
        </w:rPr>
      </w:pPr>
      <w:r>
        <w:rPr>
          <w:rFonts w:ascii="Arial" w:hAnsi="Arial" w:cs="Arial"/>
          <w:color w:val="365F91" w:themeColor="accent1" w:themeShade="BF"/>
          <w:sz w:val="28"/>
          <w:szCs w:val="28"/>
        </w:rPr>
        <w:br w:type="page"/>
      </w:r>
    </w:p>
    <w:p w:rsidR="002A3B60" w:rsidRPr="007951FD" w:rsidRDefault="00610F58" w:rsidP="007951FD">
      <w:pPr>
        <w:pStyle w:val="Heading2"/>
        <w:spacing w:before="0"/>
        <w:ind w:left="567" w:hanging="567"/>
        <w:rPr>
          <w:rFonts w:ascii="Arial" w:hAnsi="Arial" w:cs="Arial"/>
          <w:color w:val="365F91" w:themeColor="accent1" w:themeShade="BF"/>
          <w:sz w:val="28"/>
          <w:szCs w:val="28"/>
        </w:rPr>
      </w:pPr>
      <w:r w:rsidRPr="007951FD">
        <w:rPr>
          <w:rFonts w:ascii="Arial" w:hAnsi="Arial" w:cs="Arial"/>
          <w:color w:val="365F91" w:themeColor="accent1" w:themeShade="BF"/>
          <w:sz w:val="28"/>
          <w:szCs w:val="28"/>
        </w:rPr>
        <w:lastRenderedPageBreak/>
        <w:t>6.2</w:t>
      </w:r>
      <w:r w:rsidRPr="007951FD">
        <w:rPr>
          <w:rFonts w:ascii="Arial" w:hAnsi="Arial" w:cs="Arial"/>
          <w:color w:val="365F91" w:themeColor="accent1" w:themeShade="BF"/>
          <w:sz w:val="28"/>
          <w:szCs w:val="28"/>
        </w:rPr>
        <w:tab/>
      </w:r>
      <w:r w:rsidR="002A3B60" w:rsidRPr="007951FD">
        <w:rPr>
          <w:rFonts w:ascii="Arial" w:hAnsi="Arial" w:cs="Arial"/>
          <w:color w:val="365F91" w:themeColor="accent1" w:themeShade="BF"/>
          <w:sz w:val="28"/>
          <w:szCs w:val="28"/>
        </w:rPr>
        <w:t>Opportunities</w:t>
      </w:r>
      <w:bookmarkEnd w:id="31"/>
    </w:p>
    <w:p w:rsidR="00610F58" w:rsidRDefault="00610F58" w:rsidP="007951FD">
      <w:pPr>
        <w:spacing w:after="0"/>
        <w:rPr>
          <w:rFonts w:ascii="Arial" w:hAnsi="Arial" w:cs="Arial"/>
          <w:sz w:val="24"/>
          <w:szCs w:val="24"/>
        </w:rPr>
      </w:pPr>
    </w:p>
    <w:p w:rsidR="00EE11EA" w:rsidRPr="00692144" w:rsidRDefault="00610F58" w:rsidP="007951FD">
      <w:pPr>
        <w:pStyle w:val="Heading3"/>
        <w:spacing w:before="0"/>
        <w:rPr>
          <w:rFonts w:ascii="Arial" w:hAnsi="Arial" w:cs="Arial"/>
          <w:sz w:val="24"/>
          <w:szCs w:val="24"/>
        </w:rPr>
      </w:pPr>
      <w:bookmarkStart w:id="32" w:name="_Toc512592245"/>
      <w:r w:rsidRPr="007951FD">
        <w:rPr>
          <w:rFonts w:ascii="Arial" w:hAnsi="Arial" w:cs="Arial"/>
          <w:color w:val="365F91" w:themeColor="accent1" w:themeShade="BF"/>
          <w:sz w:val="24"/>
          <w:szCs w:val="24"/>
        </w:rPr>
        <w:t>6.2.1</w:t>
      </w:r>
      <w:r w:rsidRPr="007951FD">
        <w:rPr>
          <w:rFonts w:ascii="Arial" w:hAnsi="Arial" w:cs="Arial"/>
          <w:color w:val="365F91" w:themeColor="accent1" w:themeShade="BF"/>
          <w:sz w:val="24"/>
          <w:szCs w:val="24"/>
        </w:rPr>
        <w:tab/>
      </w:r>
      <w:r w:rsidR="00EE11EA" w:rsidRPr="007951FD">
        <w:rPr>
          <w:rFonts w:ascii="Arial" w:hAnsi="Arial" w:cs="Arial"/>
          <w:color w:val="365F91" w:themeColor="accent1" w:themeShade="BF"/>
          <w:sz w:val="24"/>
          <w:szCs w:val="24"/>
        </w:rPr>
        <w:t>Engagement in STP diabetes management and oversight</w:t>
      </w:r>
      <w:bookmarkEnd w:id="32"/>
    </w:p>
    <w:p w:rsidR="002A3B60" w:rsidRDefault="002A3B60" w:rsidP="007951FD">
      <w:pPr>
        <w:spacing w:after="0"/>
        <w:rPr>
          <w:rFonts w:ascii="Arial" w:hAnsi="Arial" w:cs="Arial"/>
          <w:sz w:val="24"/>
          <w:szCs w:val="24"/>
        </w:rPr>
      </w:pPr>
      <w:r w:rsidRPr="00610F58">
        <w:rPr>
          <w:rFonts w:ascii="Arial" w:hAnsi="Arial" w:cs="Arial"/>
          <w:sz w:val="24"/>
          <w:szCs w:val="24"/>
        </w:rPr>
        <w:t>With Sustainability Transformation Partnerships (STPs) now developing and diabetes prevention and management being a national priority, this presents an opportunity to embed the eye screening service in the local oversight systems.</w:t>
      </w:r>
      <w:r w:rsidR="00A36A74" w:rsidRPr="00610F58">
        <w:rPr>
          <w:rFonts w:ascii="Arial" w:hAnsi="Arial" w:cs="Arial"/>
          <w:sz w:val="24"/>
          <w:szCs w:val="24"/>
        </w:rPr>
        <w:t xml:space="preserve"> The local groups on diabetes include the Kent and Medway Diabetes Oversight Group, </w:t>
      </w:r>
      <w:r w:rsidR="00E07B44" w:rsidRPr="00610F58">
        <w:rPr>
          <w:rFonts w:ascii="Arial" w:hAnsi="Arial" w:cs="Arial"/>
          <w:sz w:val="24"/>
          <w:szCs w:val="24"/>
        </w:rPr>
        <w:t>the Integrated Diabetes Group in Medway, Ken</w:t>
      </w:r>
      <w:r w:rsidR="00FD6149">
        <w:rPr>
          <w:rFonts w:ascii="Arial" w:hAnsi="Arial" w:cs="Arial"/>
          <w:sz w:val="24"/>
          <w:szCs w:val="24"/>
        </w:rPr>
        <w:t>t and Medway Eye Health Network</w:t>
      </w:r>
      <w:r w:rsidR="00E07B44" w:rsidRPr="00610F58">
        <w:rPr>
          <w:rFonts w:ascii="Arial" w:hAnsi="Arial" w:cs="Arial"/>
          <w:sz w:val="24"/>
          <w:szCs w:val="24"/>
        </w:rPr>
        <w:t>.</w:t>
      </w:r>
    </w:p>
    <w:p w:rsidR="008A7A13" w:rsidRDefault="008A7A13" w:rsidP="007951FD">
      <w:pPr>
        <w:spacing w:after="0"/>
        <w:rPr>
          <w:rFonts w:ascii="Arial" w:hAnsi="Arial" w:cs="Arial"/>
          <w:sz w:val="24"/>
          <w:szCs w:val="24"/>
        </w:rPr>
      </w:pPr>
    </w:p>
    <w:p w:rsidR="008A7A13" w:rsidRPr="00FD6149" w:rsidRDefault="00E6357D" w:rsidP="007951FD">
      <w:pPr>
        <w:pStyle w:val="Heading3"/>
        <w:spacing w:before="0"/>
        <w:rPr>
          <w:rFonts w:ascii="Arial" w:hAnsi="Arial" w:cs="Arial"/>
          <w:color w:val="365F91" w:themeColor="accent1" w:themeShade="BF"/>
          <w:sz w:val="24"/>
          <w:szCs w:val="24"/>
        </w:rPr>
      </w:pPr>
      <w:bookmarkStart w:id="33" w:name="_Toc512592246"/>
      <w:r w:rsidRPr="00FD6149">
        <w:rPr>
          <w:rFonts w:ascii="Arial" w:hAnsi="Arial" w:cs="Arial"/>
          <w:color w:val="365F91" w:themeColor="accent1" w:themeShade="BF"/>
          <w:sz w:val="24"/>
          <w:szCs w:val="24"/>
        </w:rPr>
        <w:t>6.2.2</w:t>
      </w:r>
      <w:r w:rsidR="008A7A13" w:rsidRPr="00FD6149">
        <w:rPr>
          <w:rFonts w:ascii="Arial" w:hAnsi="Arial" w:cs="Arial"/>
          <w:color w:val="365F91" w:themeColor="accent1" w:themeShade="BF"/>
          <w:sz w:val="24"/>
          <w:szCs w:val="24"/>
        </w:rPr>
        <w:t xml:space="preserve"> National change to screening intervals for routine digital screening</w:t>
      </w:r>
      <w:bookmarkEnd w:id="33"/>
    </w:p>
    <w:p w:rsidR="008A7A13" w:rsidRDefault="008A7A13" w:rsidP="008A7A13">
      <w:pPr>
        <w:spacing w:after="0"/>
        <w:rPr>
          <w:rFonts w:ascii="Arial" w:hAnsi="Arial" w:cs="Arial"/>
          <w:sz w:val="24"/>
          <w:szCs w:val="24"/>
        </w:rPr>
      </w:pPr>
      <w:r w:rsidRPr="00F277F1">
        <w:rPr>
          <w:rFonts w:ascii="Arial" w:hAnsi="Arial" w:cs="Arial"/>
          <w:sz w:val="24"/>
          <w:szCs w:val="24"/>
        </w:rPr>
        <w:t>In</w:t>
      </w:r>
      <w:r>
        <w:rPr>
          <w:rFonts w:ascii="Arial" w:hAnsi="Arial" w:cs="Arial"/>
          <w:sz w:val="24"/>
          <w:szCs w:val="24"/>
        </w:rPr>
        <w:t xml:space="preserve"> January 2016 the UK National Screening Committee recommended that the intervals for routine screening in the national diabetic eye screening programme for low risk patients be increased from </w:t>
      </w:r>
      <w:r w:rsidR="00FD6149">
        <w:rPr>
          <w:rFonts w:ascii="Arial" w:hAnsi="Arial" w:cs="Arial"/>
          <w:sz w:val="24"/>
          <w:szCs w:val="24"/>
        </w:rPr>
        <w:t xml:space="preserve">one to two years (UKNSC, 2016).  </w:t>
      </w:r>
      <w:r>
        <w:rPr>
          <w:rFonts w:ascii="Arial" w:hAnsi="Arial" w:cs="Arial"/>
          <w:sz w:val="24"/>
          <w:szCs w:val="24"/>
        </w:rPr>
        <w:t>When implemented this would present an opportunity to utilise the provider resources to improve uptake and focus on the failsafe element of the programme.</w:t>
      </w:r>
    </w:p>
    <w:p w:rsidR="00E6357D" w:rsidRPr="00FD6149" w:rsidRDefault="00E6357D" w:rsidP="00692144">
      <w:pPr>
        <w:pStyle w:val="Heading3"/>
        <w:rPr>
          <w:rFonts w:ascii="Arial" w:hAnsi="Arial" w:cs="Arial"/>
          <w:color w:val="365F91" w:themeColor="accent1" w:themeShade="BF"/>
          <w:sz w:val="24"/>
          <w:szCs w:val="24"/>
        </w:rPr>
      </w:pPr>
      <w:bookmarkStart w:id="34" w:name="_Toc512592247"/>
      <w:r w:rsidRPr="00FD6149">
        <w:rPr>
          <w:rFonts w:ascii="Arial" w:hAnsi="Arial" w:cs="Arial"/>
          <w:color w:val="365F91" w:themeColor="accent1" w:themeShade="BF"/>
          <w:sz w:val="24"/>
          <w:szCs w:val="24"/>
        </w:rPr>
        <w:t>6.2.3 Improving uptake of the programme through primary care collaboration</w:t>
      </w:r>
      <w:bookmarkEnd w:id="34"/>
    </w:p>
    <w:p w:rsidR="00E6357D" w:rsidRDefault="00E6357D" w:rsidP="008A7A13">
      <w:pPr>
        <w:spacing w:after="0"/>
        <w:rPr>
          <w:rFonts w:ascii="Arial" w:hAnsi="Arial" w:cs="Arial"/>
          <w:sz w:val="24"/>
          <w:szCs w:val="24"/>
        </w:rPr>
      </w:pPr>
      <w:r>
        <w:rPr>
          <w:rFonts w:ascii="Arial" w:hAnsi="Arial" w:cs="Arial"/>
          <w:sz w:val="24"/>
          <w:szCs w:val="24"/>
        </w:rPr>
        <w:t xml:space="preserve">Local data collected by the provider shows that while some practices are achieving and exceeded the 80% target for uptake of RDS, there are still areas with low uptake where engagement with general practice staff could potentially lead to improvements in uptake. </w:t>
      </w:r>
    </w:p>
    <w:p w:rsidR="002C3235" w:rsidRPr="00FD6149" w:rsidRDefault="002C3235" w:rsidP="00F27386">
      <w:pPr>
        <w:pStyle w:val="Heading3"/>
        <w:rPr>
          <w:rFonts w:ascii="Arial" w:hAnsi="Arial" w:cs="Arial"/>
          <w:color w:val="365F91" w:themeColor="accent1" w:themeShade="BF"/>
          <w:sz w:val="24"/>
          <w:szCs w:val="24"/>
        </w:rPr>
      </w:pPr>
      <w:bookmarkStart w:id="35" w:name="_Toc512592248"/>
      <w:r w:rsidRPr="00FD6149">
        <w:rPr>
          <w:rFonts w:ascii="Arial" w:hAnsi="Arial" w:cs="Arial"/>
          <w:color w:val="365F91" w:themeColor="accent1" w:themeShade="BF"/>
          <w:sz w:val="24"/>
          <w:szCs w:val="24"/>
        </w:rPr>
        <w:t>6.2.4 Making Every Contact Count (MECC)</w:t>
      </w:r>
      <w:bookmarkEnd w:id="35"/>
    </w:p>
    <w:p w:rsidR="002C3235" w:rsidRPr="00F277F1" w:rsidRDefault="002C3235" w:rsidP="008A7A13">
      <w:pPr>
        <w:spacing w:after="0"/>
        <w:rPr>
          <w:rFonts w:ascii="Arial" w:hAnsi="Arial" w:cs="Arial"/>
          <w:sz w:val="24"/>
          <w:szCs w:val="24"/>
        </w:rPr>
      </w:pPr>
      <w:r>
        <w:rPr>
          <w:rFonts w:ascii="Arial" w:hAnsi="Arial" w:cs="Arial"/>
          <w:sz w:val="24"/>
          <w:szCs w:val="24"/>
        </w:rPr>
        <w:t>The eye screening provider is in the unique position to deliver targeted health messages on lifestyle and behaviour changes to improve the wellbeing of diabetic patients. The national resources on MECC can be utilised by the screeners, who interact with individual patients on attendance for screening.</w:t>
      </w:r>
    </w:p>
    <w:p w:rsidR="008A7A13" w:rsidRDefault="008A7A13" w:rsidP="00610F58">
      <w:pPr>
        <w:spacing w:after="0"/>
        <w:rPr>
          <w:rFonts w:ascii="Arial" w:hAnsi="Arial" w:cs="Arial"/>
          <w:sz w:val="24"/>
          <w:szCs w:val="24"/>
        </w:rPr>
      </w:pPr>
    </w:p>
    <w:p w:rsidR="007A3AB5" w:rsidRPr="00692144" w:rsidRDefault="00610F58" w:rsidP="00692144">
      <w:pPr>
        <w:pStyle w:val="Heading1"/>
        <w:rPr>
          <w:rFonts w:ascii="Arial" w:hAnsi="Arial" w:cs="Arial"/>
          <w:sz w:val="32"/>
          <w:szCs w:val="32"/>
        </w:rPr>
      </w:pPr>
      <w:bookmarkStart w:id="36" w:name="_Toc512592249"/>
      <w:r w:rsidRPr="00692144">
        <w:rPr>
          <w:rFonts w:ascii="Arial" w:hAnsi="Arial" w:cs="Arial"/>
          <w:sz w:val="32"/>
          <w:szCs w:val="32"/>
        </w:rPr>
        <w:t>7.</w:t>
      </w:r>
      <w:r w:rsidRPr="00692144">
        <w:rPr>
          <w:rFonts w:ascii="Arial" w:hAnsi="Arial" w:cs="Arial"/>
          <w:sz w:val="32"/>
          <w:szCs w:val="32"/>
        </w:rPr>
        <w:tab/>
      </w:r>
      <w:r w:rsidR="007A3AB5" w:rsidRPr="00692144">
        <w:rPr>
          <w:rFonts w:ascii="Arial" w:hAnsi="Arial" w:cs="Arial"/>
          <w:sz w:val="32"/>
          <w:szCs w:val="32"/>
        </w:rPr>
        <w:t>Recommendations</w:t>
      </w:r>
      <w:bookmarkEnd w:id="36"/>
    </w:p>
    <w:p w:rsidR="00610F58" w:rsidRDefault="00610F58" w:rsidP="00610F58">
      <w:pPr>
        <w:spacing w:after="0"/>
        <w:rPr>
          <w:rFonts w:ascii="Arial" w:hAnsi="Arial" w:cs="Arial"/>
          <w:sz w:val="24"/>
          <w:szCs w:val="24"/>
        </w:rPr>
      </w:pPr>
    </w:p>
    <w:p w:rsidR="00E55190" w:rsidRPr="00610F58" w:rsidRDefault="00551699" w:rsidP="00610F58">
      <w:pPr>
        <w:spacing w:after="0"/>
        <w:rPr>
          <w:rFonts w:ascii="Arial" w:hAnsi="Arial" w:cs="Arial"/>
          <w:sz w:val="24"/>
          <w:szCs w:val="24"/>
        </w:rPr>
      </w:pPr>
      <w:r>
        <w:rPr>
          <w:rFonts w:ascii="Arial" w:hAnsi="Arial" w:cs="Arial"/>
          <w:sz w:val="24"/>
          <w:szCs w:val="24"/>
        </w:rPr>
        <w:t>In addition to the opportunities listed above, t</w:t>
      </w:r>
      <w:r w:rsidR="00E55190" w:rsidRPr="00610F58">
        <w:rPr>
          <w:rFonts w:ascii="Arial" w:hAnsi="Arial" w:cs="Arial"/>
          <w:sz w:val="24"/>
          <w:szCs w:val="24"/>
        </w:rPr>
        <w:t xml:space="preserve">he main recommendations resulting from this </w:t>
      </w:r>
      <w:r w:rsidR="00E07B44" w:rsidRPr="00610F58">
        <w:rPr>
          <w:rFonts w:ascii="Arial" w:hAnsi="Arial" w:cs="Arial"/>
          <w:sz w:val="24"/>
          <w:szCs w:val="24"/>
        </w:rPr>
        <w:t xml:space="preserve">health </w:t>
      </w:r>
      <w:r w:rsidR="00E55190" w:rsidRPr="00610F58">
        <w:rPr>
          <w:rFonts w:ascii="Arial" w:hAnsi="Arial" w:cs="Arial"/>
          <w:sz w:val="24"/>
          <w:szCs w:val="24"/>
        </w:rPr>
        <w:t>needs assessment are to address the challenges and explore the opportunities listed above.</w:t>
      </w:r>
    </w:p>
    <w:p w:rsidR="00610F58" w:rsidRDefault="00610F58" w:rsidP="00610F58">
      <w:pPr>
        <w:spacing w:after="0"/>
        <w:rPr>
          <w:rFonts w:ascii="Arial" w:hAnsi="Arial" w:cs="Arial"/>
          <w:sz w:val="24"/>
          <w:szCs w:val="24"/>
        </w:rPr>
      </w:pPr>
    </w:p>
    <w:p w:rsidR="00F277F1" w:rsidRPr="00FD6149" w:rsidRDefault="00692144" w:rsidP="00692144">
      <w:pPr>
        <w:pStyle w:val="Heading2"/>
        <w:ind w:left="567" w:hanging="567"/>
        <w:rPr>
          <w:rFonts w:ascii="Arial" w:hAnsi="Arial" w:cs="Arial"/>
          <w:color w:val="365F91" w:themeColor="accent1" w:themeShade="BF"/>
          <w:sz w:val="28"/>
          <w:szCs w:val="28"/>
        </w:rPr>
      </w:pPr>
      <w:bookmarkStart w:id="37" w:name="_Toc512592250"/>
      <w:r w:rsidRPr="00FD6149">
        <w:rPr>
          <w:rFonts w:ascii="Arial" w:hAnsi="Arial" w:cs="Arial"/>
          <w:color w:val="365F91" w:themeColor="accent1" w:themeShade="BF"/>
          <w:sz w:val="28"/>
          <w:szCs w:val="28"/>
        </w:rPr>
        <w:t xml:space="preserve">7.1 </w:t>
      </w:r>
      <w:r w:rsidR="00E55190" w:rsidRPr="00FD6149">
        <w:rPr>
          <w:rFonts w:ascii="Arial" w:hAnsi="Arial" w:cs="Arial"/>
          <w:color w:val="365F91" w:themeColor="accent1" w:themeShade="BF"/>
          <w:sz w:val="28"/>
          <w:szCs w:val="28"/>
        </w:rPr>
        <w:t xml:space="preserve">Develop and maintain stronger ties with </w:t>
      </w:r>
      <w:r w:rsidRPr="00FD6149">
        <w:rPr>
          <w:rFonts w:ascii="Arial" w:hAnsi="Arial" w:cs="Arial"/>
          <w:color w:val="365F91" w:themeColor="accent1" w:themeShade="BF"/>
          <w:sz w:val="28"/>
          <w:szCs w:val="28"/>
        </w:rPr>
        <w:t>HES</w:t>
      </w:r>
      <w:r w:rsidR="00E55190" w:rsidRPr="00FD6149">
        <w:rPr>
          <w:rFonts w:ascii="Arial" w:hAnsi="Arial" w:cs="Arial"/>
          <w:color w:val="365F91" w:themeColor="accent1" w:themeShade="BF"/>
          <w:sz w:val="28"/>
          <w:szCs w:val="28"/>
        </w:rPr>
        <w:t xml:space="preserve"> providers</w:t>
      </w:r>
      <w:bookmarkEnd w:id="37"/>
    </w:p>
    <w:p w:rsidR="00BE7F09" w:rsidRDefault="00BE7F09" w:rsidP="00BE7F09">
      <w:pPr>
        <w:spacing w:after="0"/>
        <w:rPr>
          <w:rFonts w:ascii="Arial" w:hAnsi="Arial" w:cs="Arial"/>
          <w:sz w:val="24"/>
          <w:szCs w:val="24"/>
        </w:rPr>
      </w:pPr>
      <w:r w:rsidRPr="00BE7F09">
        <w:rPr>
          <w:rFonts w:ascii="Arial" w:hAnsi="Arial" w:cs="Arial"/>
          <w:sz w:val="24"/>
          <w:szCs w:val="24"/>
        </w:rPr>
        <w:t xml:space="preserve">As </w:t>
      </w:r>
      <w:r>
        <w:rPr>
          <w:rFonts w:ascii="Arial" w:hAnsi="Arial" w:cs="Arial"/>
          <w:sz w:val="24"/>
          <w:szCs w:val="24"/>
        </w:rPr>
        <w:t>described in section 6.1.1 the provider will be expected to develop and maintain a working relationship with the relevant hospital eye services to ensure timely consultation, treatment and communication on progress for all patients with diabetes referred following screening.</w:t>
      </w:r>
      <w:r w:rsidR="00026C9A">
        <w:rPr>
          <w:rFonts w:ascii="Arial" w:hAnsi="Arial" w:cs="Arial"/>
          <w:sz w:val="24"/>
          <w:szCs w:val="24"/>
        </w:rPr>
        <w:t xml:space="preserve"> This will also include ensuring capacity within the provider Failsafe team to track patients an</w:t>
      </w:r>
      <w:r w:rsidR="00F27386">
        <w:rPr>
          <w:rFonts w:ascii="Arial" w:hAnsi="Arial" w:cs="Arial"/>
          <w:sz w:val="24"/>
          <w:szCs w:val="24"/>
        </w:rPr>
        <w:t>d</w:t>
      </w:r>
      <w:r w:rsidR="00026C9A">
        <w:rPr>
          <w:rFonts w:ascii="Arial" w:hAnsi="Arial" w:cs="Arial"/>
          <w:sz w:val="24"/>
          <w:szCs w:val="24"/>
        </w:rPr>
        <w:t xml:space="preserve"> ensure appropriate recall to screening.</w:t>
      </w:r>
    </w:p>
    <w:p w:rsidR="00AF4DF4" w:rsidRDefault="00AF4DF4" w:rsidP="00BE7F09">
      <w:pPr>
        <w:spacing w:after="0"/>
        <w:rPr>
          <w:rFonts w:ascii="Arial" w:hAnsi="Arial" w:cs="Arial"/>
          <w:sz w:val="24"/>
          <w:szCs w:val="24"/>
        </w:rPr>
      </w:pPr>
    </w:p>
    <w:p w:rsidR="00AF4DF4" w:rsidRPr="00FD6149" w:rsidRDefault="00AF4DF4" w:rsidP="00F27386">
      <w:pPr>
        <w:pStyle w:val="Heading2"/>
        <w:rPr>
          <w:rFonts w:ascii="Arial" w:hAnsi="Arial" w:cs="Arial"/>
          <w:color w:val="365F91" w:themeColor="accent1" w:themeShade="BF"/>
          <w:sz w:val="28"/>
          <w:szCs w:val="28"/>
        </w:rPr>
      </w:pPr>
      <w:bookmarkStart w:id="38" w:name="_Toc512592251"/>
      <w:r w:rsidRPr="00FD6149">
        <w:rPr>
          <w:rFonts w:ascii="Arial" w:hAnsi="Arial" w:cs="Arial"/>
          <w:color w:val="365F91" w:themeColor="accent1" w:themeShade="BF"/>
          <w:sz w:val="28"/>
          <w:szCs w:val="28"/>
        </w:rPr>
        <w:lastRenderedPageBreak/>
        <w:t>7.2 Clinical Leadership and management of incidents</w:t>
      </w:r>
      <w:bookmarkEnd w:id="38"/>
    </w:p>
    <w:p w:rsidR="00AF4DF4" w:rsidRDefault="00AF4DF4" w:rsidP="00BE7F09">
      <w:pPr>
        <w:spacing w:after="0"/>
        <w:rPr>
          <w:rFonts w:ascii="Arial" w:hAnsi="Arial" w:cs="Arial"/>
          <w:sz w:val="24"/>
          <w:szCs w:val="24"/>
        </w:rPr>
      </w:pPr>
      <w:r>
        <w:rPr>
          <w:rFonts w:ascii="Arial" w:hAnsi="Arial" w:cs="Arial"/>
          <w:sz w:val="24"/>
          <w:szCs w:val="24"/>
        </w:rPr>
        <w:t>Strong clinical leadership in the running of the programme and management of incidents (and especially serious incidents) are essential components to ensure safety and efficiency within the programme. Structures and systems to ensure appropriate clinical leadership and expertise in leading on the management of incidents should be embedded in the provider organisation.</w:t>
      </w:r>
    </w:p>
    <w:p w:rsidR="00F277F1" w:rsidRPr="00FD6149" w:rsidRDefault="00692144" w:rsidP="00692144">
      <w:pPr>
        <w:pStyle w:val="Heading2"/>
        <w:rPr>
          <w:rFonts w:ascii="Arial" w:hAnsi="Arial" w:cs="Arial"/>
          <w:color w:val="365F91" w:themeColor="accent1" w:themeShade="BF"/>
          <w:sz w:val="28"/>
          <w:szCs w:val="28"/>
        </w:rPr>
      </w:pPr>
      <w:bookmarkStart w:id="39" w:name="_Toc512592252"/>
      <w:r w:rsidRPr="00FD6149">
        <w:rPr>
          <w:rFonts w:ascii="Arial" w:hAnsi="Arial" w:cs="Arial"/>
          <w:color w:val="365F91" w:themeColor="accent1" w:themeShade="BF"/>
          <w:sz w:val="28"/>
          <w:szCs w:val="28"/>
        </w:rPr>
        <w:t>7.</w:t>
      </w:r>
      <w:r w:rsidR="00026C9A" w:rsidRPr="00FD6149">
        <w:rPr>
          <w:rFonts w:ascii="Arial" w:hAnsi="Arial" w:cs="Arial"/>
          <w:color w:val="365F91" w:themeColor="accent1" w:themeShade="BF"/>
          <w:sz w:val="28"/>
          <w:szCs w:val="28"/>
        </w:rPr>
        <w:t>3</w:t>
      </w:r>
      <w:r w:rsidRPr="00FD6149">
        <w:rPr>
          <w:rFonts w:ascii="Arial" w:hAnsi="Arial" w:cs="Arial"/>
          <w:color w:val="365F91" w:themeColor="accent1" w:themeShade="BF"/>
          <w:sz w:val="28"/>
          <w:szCs w:val="28"/>
        </w:rPr>
        <w:t xml:space="preserve"> </w:t>
      </w:r>
      <w:r w:rsidR="00F277F1" w:rsidRPr="00FD6149">
        <w:rPr>
          <w:rFonts w:ascii="Arial" w:hAnsi="Arial" w:cs="Arial"/>
          <w:color w:val="365F91" w:themeColor="accent1" w:themeShade="BF"/>
          <w:sz w:val="28"/>
          <w:szCs w:val="28"/>
        </w:rPr>
        <w:t>Change to screening intervals for low risk patients</w:t>
      </w:r>
      <w:bookmarkEnd w:id="39"/>
    </w:p>
    <w:p w:rsidR="008A7A13" w:rsidRPr="008A7A13" w:rsidRDefault="008A7A13" w:rsidP="008A7A13">
      <w:pPr>
        <w:rPr>
          <w:rFonts w:ascii="Arial" w:hAnsi="Arial" w:cs="Arial"/>
          <w:sz w:val="24"/>
          <w:szCs w:val="24"/>
        </w:rPr>
      </w:pPr>
      <w:r>
        <w:rPr>
          <w:rFonts w:ascii="Arial" w:hAnsi="Arial" w:cs="Arial"/>
          <w:sz w:val="24"/>
          <w:szCs w:val="24"/>
        </w:rPr>
        <w:t>It is expected that local DES providers will be able to implement the two-yearly screening interval for routine digital screening from April 2019. The provider will be expected to consider the feasibility of implementing this with a view to releasing capacity and improving the efficiency of the whole programme.</w:t>
      </w:r>
    </w:p>
    <w:p w:rsidR="003D0BB1" w:rsidRPr="00FD6149" w:rsidRDefault="003D0BB1" w:rsidP="00692144">
      <w:pPr>
        <w:pStyle w:val="Heading2"/>
        <w:rPr>
          <w:rFonts w:ascii="Arial" w:hAnsi="Arial" w:cs="Arial"/>
          <w:color w:val="365F91" w:themeColor="accent1" w:themeShade="BF"/>
          <w:sz w:val="28"/>
          <w:szCs w:val="28"/>
        </w:rPr>
      </w:pPr>
      <w:bookmarkStart w:id="40" w:name="_Toc512592253"/>
      <w:r w:rsidRPr="00FD6149">
        <w:rPr>
          <w:rFonts w:ascii="Arial" w:hAnsi="Arial" w:cs="Arial"/>
          <w:color w:val="365F91" w:themeColor="accent1" w:themeShade="BF"/>
          <w:sz w:val="28"/>
          <w:szCs w:val="28"/>
        </w:rPr>
        <w:t>7.</w:t>
      </w:r>
      <w:r w:rsidR="00026C9A" w:rsidRPr="00FD6149">
        <w:rPr>
          <w:rFonts w:ascii="Arial" w:hAnsi="Arial" w:cs="Arial"/>
          <w:color w:val="365F91" w:themeColor="accent1" w:themeShade="BF"/>
          <w:sz w:val="28"/>
          <w:szCs w:val="28"/>
        </w:rPr>
        <w:t>4</w:t>
      </w:r>
      <w:r w:rsidRPr="00FD6149">
        <w:rPr>
          <w:rFonts w:ascii="Arial" w:hAnsi="Arial" w:cs="Arial"/>
          <w:color w:val="365F91" w:themeColor="accent1" w:themeShade="BF"/>
          <w:sz w:val="28"/>
          <w:szCs w:val="28"/>
        </w:rPr>
        <w:t xml:space="preserve"> </w:t>
      </w:r>
      <w:r w:rsidR="00551699" w:rsidRPr="00FD6149">
        <w:rPr>
          <w:rFonts w:ascii="Arial" w:hAnsi="Arial" w:cs="Arial"/>
          <w:color w:val="365F91" w:themeColor="accent1" w:themeShade="BF"/>
          <w:sz w:val="28"/>
          <w:szCs w:val="28"/>
        </w:rPr>
        <w:t>R</w:t>
      </w:r>
      <w:r w:rsidRPr="00FD6149">
        <w:rPr>
          <w:rFonts w:ascii="Arial" w:hAnsi="Arial" w:cs="Arial"/>
          <w:color w:val="365F91" w:themeColor="accent1" w:themeShade="BF"/>
          <w:sz w:val="28"/>
          <w:szCs w:val="28"/>
        </w:rPr>
        <w:t>ollout and embedding of OCT</w:t>
      </w:r>
      <w:bookmarkEnd w:id="40"/>
    </w:p>
    <w:p w:rsidR="003D0BB1" w:rsidRPr="00610F58" w:rsidRDefault="003D0BB1" w:rsidP="003D0BB1">
      <w:pPr>
        <w:spacing w:after="0"/>
        <w:rPr>
          <w:rFonts w:ascii="Arial" w:hAnsi="Arial" w:cs="Arial"/>
          <w:sz w:val="24"/>
          <w:szCs w:val="24"/>
        </w:rPr>
      </w:pPr>
      <w:r>
        <w:rPr>
          <w:rFonts w:ascii="Arial" w:hAnsi="Arial" w:cs="Arial"/>
          <w:sz w:val="24"/>
          <w:szCs w:val="24"/>
        </w:rPr>
        <w:t xml:space="preserve">As described in section 6.1.2 the provider will be expected to </w:t>
      </w:r>
      <w:r w:rsidR="00551699">
        <w:rPr>
          <w:rFonts w:ascii="Arial" w:hAnsi="Arial" w:cs="Arial"/>
          <w:sz w:val="24"/>
          <w:szCs w:val="24"/>
        </w:rPr>
        <w:t xml:space="preserve">be able to </w:t>
      </w:r>
      <w:r>
        <w:rPr>
          <w:rFonts w:ascii="Arial" w:hAnsi="Arial" w:cs="Arial"/>
          <w:sz w:val="24"/>
          <w:szCs w:val="24"/>
        </w:rPr>
        <w:t xml:space="preserve">fully rollout and embed the OCT component of the programme as soon as possible. </w:t>
      </w:r>
    </w:p>
    <w:p w:rsidR="00610F58" w:rsidRPr="00692144" w:rsidRDefault="00610F58" w:rsidP="00692144">
      <w:pPr>
        <w:pStyle w:val="Heading1"/>
        <w:rPr>
          <w:rFonts w:ascii="Arial" w:hAnsi="Arial" w:cs="Arial"/>
          <w:sz w:val="32"/>
          <w:szCs w:val="32"/>
        </w:rPr>
      </w:pPr>
      <w:bookmarkStart w:id="41" w:name="_Toc512592254"/>
      <w:r w:rsidRPr="00692144">
        <w:rPr>
          <w:rFonts w:ascii="Arial" w:hAnsi="Arial" w:cs="Arial"/>
          <w:sz w:val="32"/>
          <w:szCs w:val="32"/>
        </w:rPr>
        <w:t>8.</w:t>
      </w:r>
      <w:r w:rsidRPr="00692144">
        <w:rPr>
          <w:rFonts w:ascii="Arial" w:hAnsi="Arial" w:cs="Arial"/>
          <w:sz w:val="32"/>
          <w:szCs w:val="32"/>
        </w:rPr>
        <w:tab/>
        <w:t>References</w:t>
      </w:r>
      <w:bookmarkEnd w:id="41"/>
    </w:p>
    <w:p w:rsidR="006A615A" w:rsidRDefault="006A615A" w:rsidP="00FD6149">
      <w:pPr>
        <w:pStyle w:val="ListParagraph"/>
        <w:numPr>
          <w:ilvl w:val="0"/>
          <w:numId w:val="13"/>
        </w:numPr>
        <w:ind w:left="284" w:hanging="284"/>
        <w:rPr>
          <w:rFonts w:ascii="Arial" w:hAnsi="Arial" w:cs="Arial"/>
          <w:sz w:val="24"/>
          <w:szCs w:val="24"/>
        </w:rPr>
      </w:pPr>
      <w:r>
        <w:rPr>
          <w:rFonts w:ascii="Arial" w:hAnsi="Arial" w:cs="Arial"/>
          <w:sz w:val="24"/>
          <w:szCs w:val="24"/>
        </w:rPr>
        <w:t xml:space="preserve">Kent County Council (2017) </w:t>
      </w:r>
      <w:r w:rsidRPr="006A615A">
        <w:rPr>
          <w:rFonts w:ascii="Arial" w:hAnsi="Arial" w:cs="Arial"/>
          <w:sz w:val="24"/>
          <w:szCs w:val="24"/>
        </w:rPr>
        <w:t>2016 Mid-Year Population Estimates: Total population of Kent authorities</w:t>
      </w:r>
      <w:r>
        <w:rPr>
          <w:rFonts w:ascii="Arial" w:hAnsi="Arial" w:cs="Arial"/>
          <w:sz w:val="24"/>
          <w:szCs w:val="24"/>
        </w:rPr>
        <w:t>. Business Intelligence Statistical Bulletin; June 2017.</w:t>
      </w:r>
    </w:p>
    <w:p w:rsidR="00B90E90" w:rsidRPr="00AC7791" w:rsidRDefault="00B90E90" w:rsidP="00FD6149">
      <w:pPr>
        <w:pStyle w:val="ListParagraph"/>
        <w:numPr>
          <w:ilvl w:val="0"/>
          <w:numId w:val="13"/>
        </w:numPr>
        <w:ind w:left="284" w:hanging="284"/>
        <w:rPr>
          <w:rFonts w:ascii="Arial" w:hAnsi="Arial" w:cs="Arial"/>
          <w:sz w:val="24"/>
          <w:szCs w:val="24"/>
        </w:rPr>
      </w:pPr>
      <w:r w:rsidRPr="00AC7791">
        <w:rPr>
          <w:rFonts w:ascii="Arial" w:hAnsi="Arial" w:cs="Arial"/>
          <w:sz w:val="24"/>
          <w:szCs w:val="24"/>
        </w:rPr>
        <w:t xml:space="preserve">Kent County Council (2015) </w:t>
      </w:r>
      <w:r w:rsidR="00AC7791" w:rsidRPr="00AC7791">
        <w:rPr>
          <w:rFonts w:ascii="Arial" w:hAnsi="Arial" w:cs="Arial"/>
          <w:sz w:val="24"/>
          <w:szCs w:val="24"/>
        </w:rPr>
        <w:t>The English Index of Multiple Deprivation (IMD 2015): Headline</w:t>
      </w:r>
      <w:r w:rsidR="00AC7791">
        <w:rPr>
          <w:rFonts w:ascii="Arial" w:hAnsi="Arial" w:cs="Arial"/>
          <w:sz w:val="24"/>
          <w:szCs w:val="24"/>
        </w:rPr>
        <w:t xml:space="preserve"> </w:t>
      </w:r>
      <w:r w:rsidR="00AC7791" w:rsidRPr="00AC7791">
        <w:rPr>
          <w:rFonts w:ascii="Arial" w:hAnsi="Arial" w:cs="Arial"/>
          <w:sz w:val="24"/>
          <w:szCs w:val="24"/>
        </w:rPr>
        <w:t>findings for Kent</w:t>
      </w:r>
      <w:r w:rsidR="00AC7791">
        <w:rPr>
          <w:rFonts w:ascii="Arial" w:hAnsi="Arial" w:cs="Arial"/>
          <w:sz w:val="24"/>
          <w:szCs w:val="24"/>
        </w:rPr>
        <w:t>. Business Intelligence Statistical Bulletin; October 2015</w:t>
      </w:r>
    </w:p>
    <w:p w:rsidR="00FD2A0E" w:rsidRDefault="00FD2A0E" w:rsidP="00FD6149">
      <w:pPr>
        <w:pStyle w:val="ListParagraph"/>
        <w:numPr>
          <w:ilvl w:val="0"/>
          <w:numId w:val="13"/>
        </w:numPr>
        <w:ind w:left="284" w:hanging="284"/>
        <w:rPr>
          <w:rFonts w:ascii="Arial" w:hAnsi="Arial" w:cs="Arial"/>
          <w:sz w:val="24"/>
          <w:szCs w:val="24"/>
        </w:rPr>
      </w:pPr>
      <w:r>
        <w:rPr>
          <w:rFonts w:ascii="Arial" w:hAnsi="Arial" w:cs="Arial"/>
          <w:sz w:val="24"/>
          <w:szCs w:val="24"/>
        </w:rPr>
        <w:t>Kent County Council (2013) 2011 Census: Cultural Diversity in Kent. Business Intelligence Statistical Bulletin; January 2013</w:t>
      </w:r>
    </w:p>
    <w:p w:rsidR="00610F58" w:rsidRDefault="00610F58" w:rsidP="00FD6149">
      <w:pPr>
        <w:pStyle w:val="ListParagraph"/>
        <w:numPr>
          <w:ilvl w:val="0"/>
          <w:numId w:val="13"/>
        </w:numPr>
        <w:ind w:left="284" w:hanging="284"/>
        <w:rPr>
          <w:rFonts w:ascii="Arial" w:hAnsi="Arial" w:cs="Arial"/>
          <w:sz w:val="24"/>
          <w:szCs w:val="24"/>
        </w:rPr>
      </w:pPr>
      <w:r w:rsidRPr="006572C0">
        <w:rPr>
          <w:rFonts w:ascii="Arial" w:hAnsi="Arial" w:cs="Arial"/>
          <w:sz w:val="24"/>
          <w:szCs w:val="24"/>
        </w:rPr>
        <w:t>PHE Service specification for Diabetic Eye Screening Programme</w:t>
      </w:r>
      <w:r w:rsidR="00026C9A">
        <w:rPr>
          <w:rFonts w:ascii="Arial" w:hAnsi="Arial" w:cs="Arial"/>
          <w:sz w:val="24"/>
          <w:szCs w:val="24"/>
        </w:rPr>
        <w:t xml:space="preserve">. Accessed via </w:t>
      </w:r>
      <w:hyperlink r:id="rId15" w:history="1">
        <w:r w:rsidR="00026C9A" w:rsidRPr="00C56923">
          <w:rPr>
            <w:rStyle w:val="Hyperlink"/>
            <w:rFonts w:ascii="Arial" w:hAnsi="Arial" w:cs="Arial"/>
            <w:sz w:val="24"/>
            <w:szCs w:val="24"/>
          </w:rPr>
          <w:t>https://www.england.nhs.uk/publication/public-health-national-service-specifications/</w:t>
        </w:r>
      </w:hyperlink>
      <w:r w:rsidR="00026C9A">
        <w:rPr>
          <w:rFonts w:ascii="Arial" w:hAnsi="Arial" w:cs="Arial"/>
          <w:sz w:val="24"/>
          <w:szCs w:val="24"/>
        </w:rPr>
        <w:t xml:space="preserve"> </w:t>
      </w:r>
    </w:p>
    <w:p w:rsidR="00F277F1" w:rsidRDefault="00F277F1" w:rsidP="00FD6149">
      <w:pPr>
        <w:pStyle w:val="ListParagraph"/>
        <w:numPr>
          <w:ilvl w:val="0"/>
          <w:numId w:val="13"/>
        </w:numPr>
        <w:ind w:left="284" w:hanging="284"/>
        <w:rPr>
          <w:rFonts w:ascii="Arial" w:hAnsi="Arial" w:cs="Arial"/>
          <w:sz w:val="24"/>
          <w:szCs w:val="24"/>
        </w:rPr>
      </w:pPr>
      <w:r>
        <w:rPr>
          <w:rFonts w:ascii="Arial" w:hAnsi="Arial" w:cs="Arial"/>
          <w:sz w:val="24"/>
          <w:szCs w:val="24"/>
        </w:rPr>
        <w:t xml:space="preserve">UK National Screening Committee (NSC) (2016) Recommendation on Diabetic Retinal Screening in Adults </w:t>
      </w:r>
      <w:hyperlink r:id="rId16" w:history="1">
        <w:r w:rsidRPr="003F1664">
          <w:rPr>
            <w:rStyle w:val="Hyperlink"/>
            <w:rFonts w:ascii="Arial" w:hAnsi="Arial" w:cs="Arial"/>
            <w:sz w:val="24"/>
            <w:szCs w:val="24"/>
          </w:rPr>
          <w:t>https://legacyscreening.phe.org.uk/diabeticretinopathy</w:t>
        </w:r>
      </w:hyperlink>
      <w:r>
        <w:rPr>
          <w:rFonts w:ascii="Arial" w:hAnsi="Arial" w:cs="Arial"/>
          <w:sz w:val="24"/>
          <w:szCs w:val="24"/>
        </w:rPr>
        <w:t xml:space="preserve"> </w:t>
      </w:r>
    </w:p>
    <w:p w:rsidR="00F94F6E" w:rsidRDefault="00F94F6E" w:rsidP="00FD6149">
      <w:pPr>
        <w:pStyle w:val="ListParagraph"/>
        <w:numPr>
          <w:ilvl w:val="0"/>
          <w:numId w:val="13"/>
        </w:numPr>
        <w:ind w:left="284" w:hanging="284"/>
        <w:rPr>
          <w:rFonts w:ascii="Arial" w:hAnsi="Arial" w:cs="Arial"/>
          <w:sz w:val="24"/>
          <w:szCs w:val="24"/>
        </w:rPr>
      </w:pPr>
      <w:r>
        <w:rPr>
          <w:rFonts w:ascii="Arial" w:hAnsi="Arial" w:cs="Arial"/>
          <w:sz w:val="24"/>
          <w:szCs w:val="24"/>
        </w:rPr>
        <w:t xml:space="preserve">Kent Public Health Observatory (2017) Kent &amp; Medway STP case for change. Accessed via </w:t>
      </w:r>
      <w:hyperlink r:id="rId17" w:anchor="tab1" w:history="1">
        <w:r w:rsidRPr="0055712F">
          <w:rPr>
            <w:rStyle w:val="Hyperlink"/>
            <w:rFonts w:ascii="Arial" w:hAnsi="Arial" w:cs="Arial"/>
            <w:sz w:val="24"/>
            <w:szCs w:val="24"/>
          </w:rPr>
          <w:t>https://www.kpho.org.uk/joint-strategic-needs-assessment/jsna-overview-and-exception-reports#tab1</w:t>
        </w:r>
      </w:hyperlink>
      <w:r>
        <w:rPr>
          <w:rFonts w:ascii="Arial" w:hAnsi="Arial" w:cs="Arial"/>
          <w:sz w:val="24"/>
          <w:szCs w:val="24"/>
        </w:rPr>
        <w:t xml:space="preserve"> </w:t>
      </w:r>
    </w:p>
    <w:p w:rsidR="006B5AA8" w:rsidRDefault="006B5AA8" w:rsidP="00FD6149">
      <w:pPr>
        <w:pStyle w:val="ListParagraph"/>
        <w:numPr>
          <w:ilvl w:val="0"/>
          <w:numId w:val="13"/>
        </w:numPr>
        <w:ind w:left="284" w:hanging="284"/>
        <w:rPr>
          <w:rFonts w:ascii="Arial" w:hAnsi="Arial" w:cs="Arial"/>
          <w:sz w:val="24"/>
          <w:szCs w:val="24"/>
        </w:rPr>
      </w:pPr>
      <w:r>
        <w:rPr>
          <w:rFonts w:ascii="Arial" w:hAnsi="Arial" w:cs="Arial"/>
          <w:sz w:val="24"/>
          <w:szCs w:val="24"/>
        </w:rPr>
        <w:t xml:space="preserve">Kent Public Health Observatory (2016) Joint Strategic Needs Assessment. Accessed via </w:t>
      </w:r>
      <w:hyperlink r:id="rId18" w:anchor="tab1" w:history="1">
        <w:r w:rsidRPr="0055712F">
          <w:rPr>
            <w:rStyle w:val="Hyperlink"/>
            <w:rFonts w:ascii="Arial" w:hAnsi="Arial" w:cs="Arial"/>
            <w:sz w:val="24"/>
            <w:szCs w:val="24"/>
          </w:rPr>
          <w:t>https://www.kpho.org.uk/joint-strategic-needs-assessment/jsna-overview-and-exception-reports#tab1</w:t>
        </w:r>
      </w:hyperlink>
      <w:r>
        <w:rPr>
          <w:rFonts w:ascii="Arial" w:hAnsi="Arial" w:cs="Arial"/>
          <w:sz w:val="24"/>
          <w:szCs w:val="24"/>
        </w:rPr>
        <w:t xml:space="preserve"> </w:t>
      </w:r>
    </w:p>
    <w:p w:rsidR="006B5AA8" w:rsidRDefault="006B5AA8" w:rsidP="00FD6149">
      <w:pPr>
        <w:pStyle w:val="ListParagraph"/>
        <w:numPr>
          <w:ilvl w:val="0"/>
          <w:numId w:val="13"/>
        </w:numPr>
        <w:ind w:left="284" w:hanging="284"/>
        <w:rPr>
          <w:rFonts w:ascii="Arial" w:hAnsi="Arial" w:cs="Arial"/>
          <w:sz w:val="24"/>
          <w:szCs w:val="24"/>
        </w:rPr>
      </w:pPr>
      <w:r>
        <w:rPr>
          <w:rFonts w:ascii="Arial" w:hAnsi="Arial" w:cs="Arial"/>
          <w:sz w:val="24"/>
          <w:szCs w:val="24"/>
        </w:rPr>
        <w:t xml:space="preserve">Medway Council (2017) Joint Strategic Needs Assessment. Accessed via </w:t>
      </w:r>
      <w:hyperlink r:id="rId19" w:history="1">
        <w:r w:rsidRPr="0055712F">
          <w:rPr>
            <w:rStyle w:val="Hyperlink"/>
            <w:rFonts w:ascii="Arial" w:hAnsi="Arial" w:cs="Arial"/>
            <w:sz w:val="24"/>
            <w:szCs w:val="24"/>
          </w:rPr>
          <w:t>http://www.medwayjsna.info/jsna-summary.html</w:t>
        </w:r>
      </w:hyperlink>
      <w:r>
        <w:rPr>
          <w:rFonts w:ascii="Arial" w:hAnsi="Arial" w:cs="Arial"/>
          <w:sz w:val="24"/>
          <w:szCs w:val="24"/>
        </w:rPr>
        <w:t xml:space="preserve"> </w:t>
      </w:r>
    </w:p>
    <w:p w:rsidR="006E372E" w:rsidRDefault="006E372E" w:rsidP="00FD6149">
      <w:pPr>
        <w:pStyle w:val="ListParagraph"/>
        <w:numPr>
          <w:ilvl w:val="0"/>
          <w:numId w:val="13"/>
        </w:numPr>
        <w:ind w:left="284" w:hanging="284"/>
        <w:rPr>
          <w:rFonts w:ascii="Arial" w:hAnsi="Arial" w:cs="Arial"/>
          <w:sz w:val="24"/>
          <w:szCs w:val="24"/>
        </w:rPr>
      </w:pPr>
      <w:r>
        <w:rPr>
          <w:rFonts w:ascii="Arial" w:hAnsi="Arial" w:cs="Arial"/>
          <w:sz w:val="24"/>
          <w:szCs w:val="24"/>
        </w:rPr>
        <w:t xml:space="preserve">NHS Digital (2017) Quality and Outcomes Framework 2016-17. Published October 2017 and accessed via </w:t>
      </w:r>
      <w:hyperlink r:id="rId20" w:history="1">
        <w:r w:rsidRPr="0055712F">
          <w:rPr>
            <w:rStyle w:val="Hyperlink"/>
            <w:rFonts w:ascii="Arial" w:hAnsi="Arial" w:cs="Arial"/>
            <w:sz w:val="24"/>
            <w:szCs w:val="24"/>
          </w:rPr>
          <w:t>http://digital.nhs.uk/catalogue/PUB30124</w:t>
        </w:r>
      </w:hyperlink>
      <w:r>
        <w:rPr>
          <w:rFonts w:ascii="Arial" w:hAnsi="Arial" w:cs="Arial"/>
          <w:sz w:val="24"/>
          <w:szCs w:val="24"/>
        </w:rPr>
        <w:t xml:space="preserve"> </w:t>
      </w:r>
    </w:p>
    <w:p w:rsidR="00BE7F09" w:rsidRDefault="00BE7F09" w:rsidP="00FD6149">
      <w:pPr>
        <w:pStyle w:val="ListParagraph"/>
        <w:numPr>
          <w:ilvl w:val="0"/>
          <w:numId w:val="13"/>
        </w:numPr>
        <w:ind w:left="284" w:hanging="284"/>
        <w:rPr>
          <w:rFonts w:ascii="Arial" w:hAnsi="Arial" w:cs="Arial"/>
          <w:sz w:val="24"/>
          <w:szCs w:val="24"/>
        </w:rPr>
      </w:pPr>
      <w:r>
        <w:rPr>
          <w:rFonts w:ascii="Arial" w:hAnsi="Arial" w:cs="Arial"/>
          <w:sz w:val="24"/>
          <w:szCs w:val="24"/>
        </w:rPr>
        <w:t xml:space="preserve">PHE Screening (2017) NHS Screening Programmes: KPI reports and briefings 2016 to 2017. Accessed via </w:t>
      </w:r>
      <w:hyperlink r:id="rId21" w:history="1">
        <w:r w:rsidRPr="0055712F">
          <w:rPr>
            <w:rStyle w:val="Hyperlink"/>
            <w:rFonts w:ascii="Arial" w:hAnsi="Arial" w:cs="Arial"/>
            <w:sz w:val="24"/>
            <w:szCs w:val="24"/>
          </w:rPr>
          <w:t>https://www.gov.uk/government/publications/nhs-screening-programmes-kpi-reports-and-briefings-2016-to-2017</w:t>
        </w:r>
      </w:hyperlink>
      <w:r>
        <w:rPr>
          <w:rFonts w:ascii="Arial" w:hAnsi="Arial" w:cs="Arial"/>
          <w:sz w:val="24"/>
          <w:szCs w:val="24"/>
        </w:rPr>
        <w:t xml:space="preserve"> </w:t>
      </w:r>
    </w:p>
    <w:p w:rsidR="001E3A9B" w:rsidRPr="006572C0" w:rsidRDefault="001E3A9B" w:rsidP="00FD6149">
      <w:pPr>
        <w:pStyle w:val="ListParagraph"/>
        <w:numPr>
          <w:ilvl w:val="0"/>
          <w:numId w:val="13"/>
        </w:numPr>
        <w:ind w:left="284" w:hanging="284"/>
        <w:rPr>
          <w:rFonts w:ascii="Arial" w:hAnsi="Arial" w:cs="Arial"/>
          <w:sz w:val="24"/>
          <w:szCs w:val="24"/>
        </w:rPr>
      </w:pPr>
      <w:r>
        <w:rPr>
          <w:rFonts w:ascii="Arial" w:hAnsi="Arial" w:cs="Arial"/>
          <w:sz w:val="24"/>
          <w:szCs w:val="24"/>
        </w:rPr>
        <w:t xml:space="preserve">UK National Screening Committee (2014) Definitions for Diabetic Eye Screening. Accessed via </w:t>
      </w:r>
      <w:hyperlink r:id="rId22" w:history="1">
        <w:r w:rsidRPr="0055712F">
          <w:rPr>
            <w:rStyle w:val="Hyperlink"/>
            <w:rFonts w:ascii="Arial" w:hAnsi="Arial" w:cs="Arial"/>
            <w:sz w:val="24"/>
            <w:szCs w:val="24"/>
          </w:rPr>
          <w:t>https://www.gov.uk/government/publications/diabetic-eye-screening-definition-of-terms</w:t>
        </w:r>
      </w:hyperlink>
      <w:r>
        <w:rPr>
          <w:rFonts w:ascii="Arial" w:hAnsi="Arial" w:cs="Arial"/>
          <w:sz w:val="24"/>
          <w:szCs w:val="24"/>
        </w:rPr>
        <w:t xml:space="preserve"> </w:t>
      </w:r>
    </w:p>
    <w:p w:rsidR="005329AF" w:rsidRPr="00610F58" w:rsidRDefault="005329AF">
      <w:pPr>
        <w:rPr>
          <w:rFonts w:ascii="Arial" w:hAnsi="Arial" w:cs="Arial"/>
          <w:sz w:val="24"/>
          <w:szCs w:val="24"/>
        </w:rPr>
      </w:pPr>
    </w:p>
    <w:p w:rsidR="00EE11EA" w:rsidRPr="00610F58" w:rsidRDefault="00EE11EA" w:rsidP="00E55190">
      <w:pPr>
        <w:pStyle w:val="Heading4"/>
        <w:rPr>
          <w:rFonts w:ascii="Arial" w:hAnsi="Arial" w:cs="Arial"/>
          <w:i w:val="0"/>
          <w:color w:val="365F91" w:themeColor="accent1" w:themeShade="BF"/>
          <w:sz w:val="32"/>
          <w:szCs w:val="32"/>
        </w:rPr>
      </w:pPr>
      <w:r w:rsidRPr="00610F58">
        <w:rPr>
          <w:rFonts w:ascii="Arial" w:hAnsi="Arial" w:cs="Arial"/>
          <w:i w:val="0"/>
          <w:color w:val="365F91" w:themeColor="accent1" w:themeShade="BF"/>
          <w:sz w:val="32"/>
          <w:szCs w:val="32"/>
        </w:rPr>
        <w:t>Appendix 1: Screening pathway diagram</w:t>
      </w:r>
    </w:p>
    <w:p w:rsidR="00B15C94" w:rsidRPr="00610F58" w:rsidRDefault="00137793" w:rsidP="00B15C94">
      <w:pPr>
        <w:rPr>
          <w:rFonts w:ascii="Arial" w:hAnsi="Arial" w:cs="Arial"/>
          <w:sz w:val="24"/>
          <w:szCs w:val="24"/>
        </w:rPr>
      </w:pPr>
      <w:hyperlink r:id="rId23" w:history="1">
        <w:r w:rsidR="00B15C94" w:rsidRPr="00610F58">
          <w:rPr>
            <w:rStyle w:val="Hyperlink"/>
            <w:rFonts w:ascii="Arial" w:hAnsi="Arial" w:cs="Arial"/>
            <w:sz w:val="24"/>
            <w:szCs w:val="24"/>
          </w:rPr>
          <w:t>https://www.gov.uk/government/uploads/system/uploads/attachment_data/file/493991/DES_-_revision_2.pdf</w:t>
        </w:r>
      </w:hyperlink>
      <w:r w:rsidR="00B15C94" w:rsidRPr="00610F58">
        <w:rPr>
          <w:rFonts w:ascii="Arial" w:hAnsi="Arial" w:cs="Arial"/>
          <w:sz w:val="24"/>
          <w:szCs w:val="24"/>
        </w:rPr>
        <w:t xml:space="preserve">  </w:t>
      </w:r>
    </w:p>
    <w:p w:rsidR="00BB3ADF" w:rsidRDefault="00BB3ADF" w:rsidP="00E55190">
      <w:pPr>
        <w:pStyle w:val="Heading4"/>
        <w:rPr>
          <w:rFonts w:ascii="Arial" w:hAnsi="Arial" w:cs="Arial"/>
          <w:i w:val="0"/>
          <w:color w:val="365F91" w:themeColor="accent1" w:themeShade="BF"/>
          <w:sz w:val="32"/>
          <w:szCs w:val="32"/>
        </w:rPr>
      </w:pPr>
    </w:p>
    <w:p w:rsidR="00BB3ADF" w:rsidRDefault="00BB3ADF" w:rsidP="00E55190">
      <w:pPr>
        <w:pStyle w:val="Heading4"/>
        <w:rPr>
          <w:rFonts w:ascii="Arial" w:hAnsi="Arial" w:cs="Arial"/>
          <w:i w:val="0"/>
          <w:color w:val="365F91" w:themeColor="accent1" w:themeShade="BF"/>
          <w:sz w:val="32"/>
          <w:szCs w:val="32"/>
        </w:rPr>
      </w:pPr>
    </w:p>
    <w:p w:rsidR="00B15C94" w:rsidRPr="00610F58" w:rsidRDefault="00813B4B" w:rsidP="00E55190">
      <w:pPr>
        <w:pStyle w:val="Heading4"/>
        <w:rPr>
          <w:rFonts w:ascii="Arial" w:hAnsi="Arial" w:cs="Arial"/>
          <w:i w:val="0"/>
          <w:color w:val="365F91" w:themeColor="accent1" w:themeShade="BF"/>
          <w:sz w:val="32"/>
          <w:szCs w:val="32"/>
        </w:rPr>
      </w:pPr>
      <w:r w:rsidRPr="00610F58">
        <w:rPr>
          <w:rFonts w:ascii="Arial" w:hAnsi="Arial" w:cs="Arial"/>
          <w:i w:val="0"/>
          <w:color w:val="365F91" w:themeColor="accent1" w:themeShade="BF"/>
          <w:sz w:val="32"/>
          <w:szCs w:val="32"/>
        </w:rPr>
        <w:t xml:space="preserve">Appendix 2: </w:t>
      </w:r>
      <w:r w:rsidR="00137793">
        <w:rPr>
          <w:rFonts w:ascii="Arial" w:hAnsi="Arial" w:cs="Arial"/>
          <w:i w:val="0"/>
          <w:color w:val="365F91" w:themeColor="accent1" w:themeShade="BF"/>
          <w:sz w:val="32"/>
          <w:szCs w:val="32"/>
        </w:rPr>
        <w:t xml:space="preserve">Map of Current DESP Service </w:t>
      </w:r>
      <w:bookmarkStart w:id="42" w:name="_GoBack"/>
      <w:bookmarkEnd w:id="42"/>
    </w:p>
    <w:bookmarkStart w:id="43" w:name="_MON_1583507100"/>
    <w:bookmarkEnd w:id="43"/>
    <w:p w:rsidR="00813B4B" w:rsidRPr="00610F58" w:rsidRDefault="00813B4B" w:rsidP="002344D1">
      <w:pPr>
        <w:rPr>
          <w:rFonts w:ascii="Arial" w:hAnsi="Arial" w:cs="Arial"/>
          <w:sz w:val="24"/>
          <w:szCs w:val="24"/>
        </w:rPr>
      </w:pPr>
      <w:r w:rsidRPr="00610F58">
        <w:rPr>
          <w:rFonts w:ascii="Arial" w:hAnsi="Arial" w:cs="Arial"/>
          <w:sz w:val="24"/>
          <w:szCs w:val="24"/>
        </w:rPr>
        <w:object w:dxaOrig="155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25pt;height:49.45pt" o:ole="">
            <v:imagedata r:id="rId24" o:title=""/>
          </v:shape>
          <o:OLEObject Type="Embed" ProgID="Word.Document.12" ShapeID="_x0000_i1025" DrawAspect="Icon" ObjectID="_1586873589" r:id="rId25">
            <o:FieldCodes>\s</o:FieldCodes>
          </o:OLEObject>
        </w:object>
      </w:r>
    </w:p>
    <w:p w:rsidR="00610F58" w:rsidRDefault="00610F58" w:rsidP="00CF3A41">
      <w:pPr>
        <w:pStyle w:val="Heading2"/>
        <w:rPr>
          <w:rFonts w:ascii="Arial" w:hAnsi="Arial" w:cs="Arial"/>
          <w:sz w:val="24"/>
          <w:szCs w:val="24"/>
        </w:rPr>
      </w:pPr>
    </w:p>
    <w:p w:rsidR="00CF3A41" w:rsidRPr="00610F58" w:rsidRDefault="00CF3A41" w:rsidP="002344D1">
      <w:pPr>
        <w:rPr>
          <w:rFonts w:ascii="Arial" w:hAnsi="Arial" w:cs="Arial"/>
          <w:sz w:val="24"/>
          <w:szCs w:val="24"/>
        </w:rPr>
      </w:pPr>
    </w:p>
    <w:sectPr w:rsidR="00CF3A41" w:rsidRPr="00610F58" w:rsidSect="00F41C3C">
      <w:headerReference w:type="default" r:id="rId26"/>
      <w:footerReference w:type="default" r:id="rId27"/>
      <w:headerReference w:type="first" r:id="rId28"/>
      <w:pgSz w:w="11906" w:h="16838" w:code="9"/>
      <w:pgMar w:top="1361" w:right="1304" w:bottom="1077" w:left="1361"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A6A" w:rsidRDefault="00126A6A" w:rsidP="00D570B7">
      <w:pPr>
        <w:spacing w:after="0" w:line="240" w:lineRule="auto"/>
      </w:pPr>
      <w:r>
        <w:separator/>
      </w:r>
    </w:p>
  </w:endnote>
  <w:endnote w:type="continuationSeparator" w:id="0">
    <w:p w:rsidR="00126A6A" w:rsidRDefault="00126A6A" w:rsidP="00D5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GSMinchoE">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6A" w:rsidRDefault="00126A6A" w:rsidP="00D570B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37793" w:rsidRPr="00137793">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126A6A" w:rsidRDefault="00126A6A" w:rsidP="003223DC">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A6A" w:rsidRDefault="00126A6A" w:rsidP="00D570B7">
      <w:pPr>
        <w:spacing w:after="0" w:line="240" w:lineRule="auto"/>
      </w:pPr>
      <w:r>
        <w:separator/>
      </w:r>
    </w:p>
  </w:footnote>
  <w:footnote w:type="continuationSeparator" w:id="0">
    <w:p w:rsidR="00126A6A" w:rsidRDefault="00126A6A" w:rsidP="00D570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6A" w:rsidRDefault="00126A6A">
    <w:pPr>
      <w:pStyle w:val="Header"/>
    </w:pPr>
    <w:r>
      <w:tab/>
    </w:r>
    <w:r>
      <w:tab/>
    </w:r>
  </w:p>
  <w:p w:rsidR="00126A6A" w:rsidRDefault="00126A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6A" w:rsidRDefault="00126A6A">
    <w:pPr>
      <w:pStyle w:val="Header"/>
    </w:pPr>
    <w:r>
      <w:rPr>
        <w:noProof/>
        <w:lang w:eastAsia="en-GB"/>
      </w:rPr>
      <w:drawing>
        <wp:inline distT="0" distB="0" distL="0" distR="0" wp14:anchorId="74C1F9D5" wp14:editId="509A56D7">
          <wp:extent cx="1924050" cy="1182173"/>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090" cy="1184655"/>
                  </a:xfrm>
                  <a:prstGeom prst="rect">
                    <a:avLst/>
                  </a:prstGeom>
                  <a:noFill/>
                  <a:ln>
                    <a:noFill/>
                  </a:ln>
                </pic:spPr>
              </pic:pic>
            </a:graphicData>
          </a:graphic>
        </wp:inline>
      </w:drawing>
    </w:r>
    <w:r>
      <w:rPr>
        <w:noProof/>
        <w:lang w:eastAsia="en-GB"/>
      </w:rPr>
      <w:drawing>
        <wp:anchor distT="0" distB="0" distL="114300" distR="114300" simplePos="0" relativeHeight="251659264" behindDoc="0" locked="0" layoutInCell="1" allowOverlap="1" wp14:anchorId="4C0256B0" wp14:editId="10C47CF3">
          <wp:simplePos x="0" y="0"/>
          <wp:positionH relativeFrom="page">
            <wp:posOffset>5817235</wp:posOffset>
          </wp:positionH>
          <wp:positionV relativeFrom="page">
            <wp:posOffset>335280</wp:posOffset>
          </wp:positionV>
          <wp:extent cx="809625" cy="626110"/>
          <wp:effectExtent l="0" t="0" r="9525"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F32"/>
    <w:multiLevelType w:val="hybridMultilevel"/>
    <w:tmpl w:val="9E10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CA02EA"/>
    <w:multiLevelType w:val="hybridMultilevel"/>
    <w:tmpl w:val="DDCA2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3F4008"/>
    <w:multiLevelType w:val="hybridMultilevel"/>
    <w:tmpl w:val="812A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03179E"/>
    <w:multiLevelType w:val="hybridMultilevel"/>
    <w:tmpl w:val="6AAA55BA"/>
    <w:lvl w:ilvl="0" w:tplc="0809000B">
      <w:start w:val="1"/>
      <w:numFmt w:val="bullet"/>
      <w:lvlText w:val=""/>
      <w:lvlJc w:val="left"/>
      <w:pPr>
        <w:ind w:left="720" w:hanging="360"/>
      </w:pPr>
      <w:rPr>
        <w:rFonts w:ascii="Wingdings" w:hAnsi="Wingdings" w:hint="default"/>
      </w:rPr>
    </w:lvl>
    <w:lvl w:ilvl="1" w:tplc="373ED1E0">
      <w:numFmt w:val="bullet"/>
      <w:lvlText w:val="•"/>
      <w:lvlJc w:val="left"/>
      <w:pPr>
        <w:ind w:left="1440" w:hanging="360"/>
      </w:pPr>
      <w:rPr>
        <w:rFonts w:ascii="Calibri" w:eastAsiaTheme="minorHAns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BE6124"/>
    <w:multiLevelType w:val="multilevel"/>
    <w:tmpl w:val="E26ABB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88F62E5"/>
    <w:multiLevelType w:val="hybridMultilevel"/>
    <w:tmpl w:val="8BFCA6EE"/>
    <w:lvl w:ilvl="0" w:tplc="880E2220">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C1468C2"/>
    <w:multiLevelType w:val="multilevel"/>
    <w:tmpl w:val="4ABA18E6"/>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D6E47B8"/>
    <w:multiLevelType w:val="multilevel"/>
    <w:tmpl w:val="266C8A6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EE44DB1"/>
    <w:multiLevelType w:val="hybridMultilevel"/>
    <w:tmpl w:val="9A78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AC6A24"/>
    <w:multiLevelType w:val="multilevel"/>
    <w:tmpl w:val="7ACC73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4297649"/>
    <w:multiLevelType w:val="hybridMultilevel"/>
    <w:tmpl w:val="392E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4B54FB4"/>
    <w:multiLevelType w:val="multilevel"/>
    <w:tmpl w:val="DEB8CF44"/>
    <w:lvl w:ilvl="0">
      <w:start w:val="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B811028"/>
    <w:multiLevelType w:val="multilevel"/>
    <w:tmpl w:val="986C051C"/>
    <w:lvl w:ilvl="0">
      <w:start w:val="1"/>
      <w:numFmt w:val="bullet"/>
      <w:lvlText w:val=""/>
      <w:lvlJc w:val="left"/>
      <w:pPr>
        <w:ind w:left="720" w:hanging="360"/>
      </w:pPr>
      <w:rPr>
        <w:rFonts w:ascii="Symbol" w:hAnsi="Symbol" w:hint="default"/>
        <w:b/>
      </w:rPr>
    </w:lvl>
    <w:lvl w:ilvl="1">
      <w:start w:val="1"/>
      <w:numFmt w:val="decimal"/>
      <w:isLgl/>
      <w:lvlText w:val="%1.%2"/>
      <w:lvlJc w:val="left"/>
      <w:pPr>
        <w:ind w:left="765" w:hanging="405"/>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74082BDB"/>
    <w:multiLevelType w:val="hybridMultilevel"/>
    <w:tmpl w:val="3DB00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2"/>
  </w:num>
  <w:num w:numId="5">
    <w:abstractNumId w:val="1"/>
  </w:num>
  <w:num w:numId="6">
    <w:abstractNumId w:val="13"/>
  </w:num>
  <w:num w:numId="7">
    <w:abstractNumId w:val="10"/>
  </w:num>
  <w:num w:numId="8">
    <w:abstractNumId w:val="8"/>
  </w:num>
  <w:num w:numId="9">
    <w:abstractNumId w:val="11"/>
  </w:num>
  <w:num w:numId="10">
    <w:abstractNumId w:val="6"/>
  </w:num>
  <w:num w:numId="11">
    <w:abstractNumId w:val="9"/>
  </w:num>
  <w:num w:numId="12">
    <w:abstractNumId w:val="4"/>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469"/>
    <w:rsid w:val="0000474F"/>
    <w:rsid w:val="000078F1"/>
    <w:rsid w:val="00011351"/>
    <w:rsid w:val="00016A98"/>
    <w:rsid w:val="00026C9A"/>
    <w:rsid w:val="00034826"/>
    <w:rsid w:val="000361C2"/>
    <w:rsid w:val="00065E40"/>
    <w:rsid w:val="000A622A"/>
    <w:rsid w:val="00126A6A"/>
    <w:rsid w:val="001270A9"/>
    <w:rsid w:val="00137793"/>
    <w:rsid w:val="00160234"/>
    <w:rsid w:val="001961CE"/>
    <w:rsid w:val="001B14B9"/>
    <w:rsid w:val="001E3A9B"/>
    <w:rsid w:val="001F2D97"/>
    <w:rsid w:val="001F73F3"/>
    <w:rsid w:val="00202622"/>
    <w:rsid w:val="00216CEB"/>
    <w:rsid w:val="00222B45"/>
    <w:rsid w:val="002231A0"/>
    <w:rsid w:val="002344D1"/>
    <w:rsid w:val="002516C1"/>
    <w:rsid w:val="00282111"/>
    <w:rsid w:val="002A2E1B"/>
    <w:rsid w:val="002A3B60"/>
    <w:rsid w:val="002B01EE"/>
    <w:rsid w:val="002C3235"/>
    <w:rsid w:val="002D660F"/>
    <w:rsid w:val="002E3056"/>
    <w:rsid w:val="002E4863"/>
    <w:rsid w:val="002F5415"/>
    <w:rsid w:val="003223DC"/>
    <w:rsid w:val="00323A14"/>
    <w:rsid w:val="00340C28"/>
    <w:rsid w:val="00351B33"/>
    <w:rsid w:val="003A2ABE"/>
    <w:rsid w:val="003C627F"/>
    <w:rsid w:val="003D0BB1"/>
    <w:rsid w:val="003D3C2A"/>
    <w:rsid w:val="003D68DA"/>
    <w:rsid w:val="00401469"/>
    <w:rsid w:val="00417E0D"/>
    <w:rsid w:val="00432B15"/>
    <w:rsid w:val="004657B2"/>
    <w:rsid w:val="00480D67"/>
    <w:rsid w:val="004C514F"/>
    <w:rsid w:val="004D19F9"/>
    <w:rsid w:val="00516B96"/>
    <w:rsid w:val="005329AF"/>
    <w:rsid w:val="00535917"/>
    <w:rsid w:val="00551699"/>
    <w:rsid w:val="00597619"/>
    <w:rsid w:val="005D30F8"/>
    <w:rsid w:val="0060305C"/>
    <w:rsid w:val="00610F58"/>
    <w:rsid w:val="0061519F"/>
    <w:rsid w:val="006276F9"/>
    <w:rsid w:val="00654647"/>
    <w:rsid w:val="00654742"/>
    <w:rsid w:val="006572C0"/>
    <w:rsid w:val="00692144"/>
    <w:rsid w:val="00696BBF"/>
    <w:rsid w:val="006A0F7D"/>
    <w:rsid w:val="006A615A"/>
    <w:rsid w:val="006B5AA8"/>
    <w:rsid w:val="006C5852"/>
    <w:rsid w:val="006C69E6"/>
    <w:rsid w:val="006D496B"/>
    <w:rsid w:val="006E372E"/>
    <w:rsid w:val="006E497C"/>
    <w:rsid w:val="006F6619"/>
    <w:rsid w:val="007031D4"/>
    <w:rsid w:val="007124AE"/>
    <w:rsid w:val="00746249"/>
    <w:rsid w:val="00753520"/>
    <w:rsid w:val="00753B61"/>
    <w:rsid w:val="00757946"/>
    <w:rsid w:val="00762E48"/>
    <w:rsid w:val="007951FD"/>
    <w:rsid w:val="007A3AB5"/>
    <w:rsid w:val="007B7073"/>
    <w:rsid w:val="007C362B"/>
    <w:rsid w:val="007F44D8"/>
    <w:rsid w:val="007F6F7C"/>
    <w:rsid w:val="00813B4B"/>
    <w:rsid w:val="00820319"/>
    <w:rsid w:val="00830C74"/>
    <w:rsid w:val="00834DEB"/>
    <w:rsid w:val="00846EDF"/>
    <w:rsid w:val="008841DE"/>
    <w:rsid w:val="008A7A13"/>
    <w:rsid w:val="009033B8"/>
    <w:rsid w:val="00905415"/>
    <w:rsid w:val="00951B0F"/>
    <w:rsid w:val="009558F3"/>
    <w:rsid w:val="009606EA"/>
    <w:rsid w:val="009764B5"/>
    <w:rsid w:val="00987A1A"/>
    <w:rsid w:val="00995053"/>
    <w:rsid w:val="00A06065"/>
    <w:rsid w:val="00A15C8E"/>
    <w:rsid w:val="00A3550F"/>
    <w:rsid w:val="00A36A74"/>
    <w:rsid w:val="00A5061A"/>
    <w:rsid w:val="00A5174C"/>
    <w:rsid w:val="00A54EA0"/>
    <w:rsid w:val="00A734A7"/>
    <w:rsid w:val="00A73793"/>
    <w:rsid w:val="00AC1F6A"/>
    <w:rsid w:val="00AC4C57"/>
    <w:rsid w:val="00AC7791"/>
    <w:rsid w:val="00AD362A"/>
    <w:rsid w:val="00AF2760"/>
    <w:rsid w:val="00AF4DF4"/>
    <w:rsid w:val="00B0181D"/>
    <w:rsid w:val="00B10046"/>
    <w:rsid w:val="00B15C94"/>
    <w:rsid w:val="00B351EF"/>
    <w:rsid w:val="00B3774D"/>
    <w:rsid w:val="00B66EA1"/>
    <w:rsid w:val="00B90E90"/>
    <w:rsid w:val="00B91752"/>
    <w:rsid w:val="00B97092"/>
    <w:rsid w:val="00BB3ADF"/>
    <w:rsid w:val="00BC5A86"/>
    <w:rsid w:val="00BD11C6"/>
    <w:rsid w:val="00BD22B0"/>
    <w:rsid w:val="00BD341F"/>
    <w:rsid w:val="00BE7F09"/>
    <w:rsid w:val="00C33BE1"/>
    <w:rsid w:val="00C36307"/>
    <w:rsid w:val="00C423EC"/>
    <w:rsid w:val="00C9446A"/>
    <w:rsid w:val="00CA0C27"/>
    <w:rsid w:val="00CA3500"/>
    <w:rsid w:val="00CB34E8"/>
    <w:rsid w:val="00CB3774"/>
    <w:rsid w:val="00CC5E24"/>
    <w:rsid w:val="00CC7729"/>
    <w:rsid w:val="00CE310D"/>
    <w:rsid w:val="00CE3386"/>
    <w:rsid w:val="00CF3A41"/>
    <w:rsid w:val="00CF4AB1"/>
    <w:rsid w:val="00D05F57"/>
    <w:rsid w:val="00D31F21"/>
    <w:rsid w:val="00D570B7"/>
    <w:rsid w:val="00D81C91"/>
    <w:rsid w:val="00D93C51"/>
    <w:rsid w:val="00D9420F"/>
    <w:rsid w:val="00DA7D42"/>
    <w:rsid w:val="00DC7BFC"/>
    <w:rsid w:val="00DD20C2"/>
    <w:rsid w:val="00DE5705"/>
    <w:rsid w:val="00DF3A42"/>
    <w:rsid w:val="00E07B44"/>
    <w:rsid w:val="00E171B4"/>
    <w:rsid w:val="00E55190"/>
    <w:rsid w:val="00E6357D"/>
    <w:rsid w:val="00E63BEF"/>
    <w:rsid w:val="00E77233"/>
    <w:rsid w:val="00EB1416"/>
    <w:rsid w:val="00ED0A94"/>
    <w:rsid w:val="00EE11EA"/>
    <w:rsid w:val="00EE626E"/>
    <w:rsid w:val="00F27386"/>
    <w:rsid w:val="00F277F1"/>
    <w:rsid w:val="00F30D73"/>
    <w:rsid w:val="00F41C3C"/>
    <w:rsid w:val="00F560F4"/>
    <w:rsid w:val="00F90945"/>
    <w:rsid w:val="00F94F6E"/>
    <w:rsid w:val="00FB5B44"/>
    <w:rsid w:val="00FD2A0E"/>
    <w:rsid w:val="00FD503D"/>
    <w:rsid w:val="00FD6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0D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0D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27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517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A94"/>
    <w:pPr>
      <w:ind w:left="720"/>
      <w:contextualSpacing/>
    </w:pPr>
  </w:style>
  <w:style w:type="paragraph" w:styleId="Header">
    <w:name w:val="header"/>
    <w:basedOn w:val="Normal"/>
    <w:link w:val="HeaderChar"/>
    <w:uiPriority w:val="99"/>
    <w:unhideWhenUsed/>
    <w:rsid w:val="00D570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0B7"/>
  </w:style>
  <w:style w:type="paragraph" w:styleId="Footer">
    <w:name w:val="footer"/>
    <w:basedOn w:val="Normal"/>
    <w:link w:val="FooterChar"/>
    <w:uiPriority w:val="99"/>
    <w:unhideWhenUsed/>
    <w:rsid w:val="00D570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0B7"/>
  </w:style>
  <w:style w:type="paragraph" w:styleId="BalloonText">
    <w:name w:val="Balloon Text"/>
    <w:basedOn w:val="Normal"/>
    <w:link w:val="BalloonTextChar"/>
    <w:uiPriority w:val="99"/>
    <w:semiHidden/>
    <w:unhideWhenUsed/>
    <w:rsid w:val="00D5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0B7"/>
    <w:rPr>
      <w:rFonts w:ascii="Tahoma" w:hAnsi="Tahoma" w:cs="Tahoma"/>
      <w:sz w:val="16"/>
      <w:szCs w:val="16"/>
    </w:rPr>
  </w:style>
  <w:style w:type="paragraph" w:styleId="Title">
    <w:name w:val="Title"/>
    <w:basedOn w:val="Normal"/>
    <w:next w:val="Normal"/>
    <w:link w:val="TitleChar"/>
    <w:uiPriority w:val="10"/>
    <w:qFormat/>
    <w:rsid w:val="00480D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0D6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80D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80D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276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5174C"/>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5D30F8"/>
    <w:rPr>
      <w:sz w:val="16"/>
      <w:szCs w:val="16"/>
    </w:rPr>
  </w:style>
  <w:style w:type="paragraph" w:styleId="CommentText">
    <w:name w:val="annotation text"/>
    <w:basedOn w:val="Normal"/>
    <w:link w:val="CommentTextChar"/>
    <w:uiPriority w:val="99"/>
    <w:semiHidden/>
    <w:unhideWhenUsed/>
    <w:rsid w:val="005D30F8"/>
    <w:pPr>
      <w:spacing w:line="240" w:lineRule="auto"/>
    </w:pPr>
    <w:rPr>
      <w:sz w:val="20"/>
      <w:szCs w:val="20"/>
    </w:rPr>
  </w:style>
  <w:style w:type="character" w:customStyle="1" w:styleId="CommentTextChar">
    <w:name w:val="Comment Text Char"/>
    <w:basedOn w:val="DefaultParagraphFont"/>
    <w:link w:val="CommentText"/>
    <w:uiPriority w:val="99"/>
    <w:semiHidden/>
    <w:rsid w:val="005D30F8"/>
    <w:rPr>
      <w:sz w:val="20"/>
      <w:szCs w:val="20"/>
    </w:rPr>
  </w:style>
  <w:style w:type="paragraph" w:styleId="CommentSubject">
    <w:name w:val="annotation subject"/>
    <w:basedOn w:val="CommentText"/>
    <w:next w:val="CommentText"/>
    <w:link w:val="CommentSubjectChar"/>
    <w:uiPriority w:val="99"/>
    <w:semiHidden/>
    <w:unhideWhenUsed/>
    <w:rsid w:val="005D30F8"/>
    <w:rPr>
      <w:b/>
      <w:bCs/>
    </w:rPr>
  </w:style>
  <w:style w:type="character" w:customStyle="1" w:styleId="CommentSubjectChar">
    <w:name w:val="Comment Subject Char"/>
    <w:basedOn w:val="CommentTextChar"/>
    <w:link w:val="CommentSubject"/>
    <w:uiPriority w:val="99"/>
    <w:semiHidden/>
    <w:rsid w:val="005D30F8"/>
    <w:rPr>
      <w:b/>
      <w:bCs/>
      <w:sz w:val="20"/>
      <w:szCs w:val="20"/>
    </w:rPr>
  </w:style>
  <w:style w:type="paragraph" w:customStyle="1" w:styleId="Default">
    <w:name w:val="Default"/>
    <w:rsid w:val="00B15C9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15C94"/>
    <w:rPr>
      <w:color w:val="0000FF" w:themeColor="hyperlink"/>
      <w:u w:val="single"/>
    </w:rPr>
  </w:style>
  <w:style w:type="table" w:styleId="TableGrid">
    <w:name w:val="Table Grid"/>
    <w:basedOn w:val="TableNormal"/>
    <w:uiPriority w:val="59"/>
    <w:rsid w:val="001B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0305C"/>
    <w:pPr>
      <w:tabs>
        <w:tab w:val="right" w:leader="dot" w:pos="9054"/>
      </w:tabs>
      <w:spacing w:after="0" w:line="360" w:lineRule="auto"/>
    </w:pPr>
    <w:rPr>
      <w:rFonts w:ascii="Arial" w:eastAsia="Times New Roman" w:hAnsi="Arial" w:cs="Times New Roman"/>
      <w:bCs/>
      <w:sz w:val="24"/>
      <w:szCs w:val="26"/>
    </w:rPr>
  </w:style>
  <w:style w:type="paragraph" w:styleId="TOC3">
    <w:name w:val="toc 3"/>
    <w:basedOn w:val="Normal"/>
    <w:next w:val="Normal"/>
    <w:autoRedefine/>
    <w:uiPriority w:val="39"/>
    <w:unhideWhenUsed/>
    <w:rsid w:val="0060305C"/>
    <w:pPr>
      <w:spacing w:after="0" w:line="240" w:lineRule="auto"/>
      <w:ind w:left="480"/>
    </w:pPr>
    <w:rPr>
      <w:rFonts w:ascii="Arial" w:eastAsia="Times New Roman" w:hAnsi="Arial" w:cs="Times New Roman"/>
      <w:bCs/>
      <w:sz w:val="24"/>
      <w:szCs w:val="26"/>
    </w:rPr>
  </w:style>
  <w:style w:type="paragraph" w:styleId="TOC2">
    <w:name w:val="toc 2"/>
    <w:basedOn w:val="Normal"/>
    <w:next w:val="Normal"/>
    <w:autoRedefine/>
    <w:uiPriority w:val="39"/>
    <w:unhideWhenUsed/>
    <w:rsid w:val="0060305C"/>
    <w:pPr>
      <w:spacing w:after="0" w:line="240" w:lineRule="auto"/>
      <w:ind w:left="240"/>
    </w:pPr>
    <w:rPr>
      <w:rFonts w:ascii="Arial" w:eastAsia="Times New Roman" w:hAnsi="Arial" w:cs="Times New Roman"/>
      <w:bCs/>
      <w:sz w:val="24"/>
      <w:szCs w:val="26"/>
    </w:rPr>
  </w:style>
  <w:style w:type="character" w:styleId="FollowedHyperlink">
    <w:name w:val="FollowedHyperlink"/>
    <w:basedOn w:val="DefaultParagraphFont"/>
    <w:uiPriority w:val="99"/>
    <w:semiHidden/>
    <w:unhideWhenUsed/>
    <w:rsid w:val="00BD22B0"/>
    <w:rPr>
      <w:color w:val="800080" w:themeColor="followedHyperlink"/>
      <w:u w:val="single"/>
    </w:rPr>
  </w:style>
  <w:style w:type="table" w:styleId="LightGrid-Accent5">
    <w:name w:val="Light Grid Accent 5"/>
    <w:basedOn w:val="TableNormal"/>
    <w:uiPriority w:val="62"/>
    <w:rsid w:val="000A622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0D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0D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276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517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A94"/>
    <w:pPr>
      <w:ind w:left="720"/>
      <w:contextualSpacing/>
    </w:pPr>
  </w:style>
  <w:style w:type="paragraph" w:styleId="Header">
    <w:name w:val="header"/>
    <w:basedOn w:val="Normal"/>
    <w:link w:val="HeaderChar"/>
    <w:uiPriority w:val="99"/>
    <w:unhideWhenUsed/>
    <w:rsid w:val="00D570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0B7"/>
  </w:style>
  <w:style w:type="paragraph" w:styleId="Footer">
    <w:name w:val="footer"/>
    <w:basedOn w:val="Normal"/>
    <w:link w:val="FooterChar"/>
    <w:uiPriority w:val="99"/>
    <w:unhideWhenUsed/>
    <w:rsid w:val="00D570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0B7"/>
  </w:style>
  <w:style w:type="paragraph" w:styleId="BalloonText">
    <w:name w:val="Balloon Text"/>
    <w:basedOn w:val="Normal"/>
    <w:link w:val="BalloonTextChar"/>
    <w:uiPriority w:val="99"/>
    <w:semiHidden/>
    <w:unhideWhenUsed/>
    <w:rsid w:val="00D5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0B7"/>
    <w:rPr>
      <w:rFonts w:ascii="Tahoma" w:hAnsi="Tahoma" w:cs="Tahoma"/>
      <w:sz w:val="16"/>
      <w:szCs w:val="16"/>
    </w:rPr>
  </w:style>
  <w:style w:type="paragraph" w:styleId="Title">
    <w:name w:val="Title"/>
    <w:basedOn w:val="Normal"/>
    <w:next w:val="Normal"/>
    <w:link w:val="TitleChar"/>
    <w:uiPriority w:val="10"/>
    <w:qFormat/>
    <w:rsid w:val="00480D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0D6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80D6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80D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276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5174C"/>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5D30F8"/>
    <w:rPr>
      <w:sz w:val="16"/>
      <w:szCs w:val="16"/>
    </w:rPr>
  </w:style>
  <w:style w:type="paragraph" w:styleId="CommentText">
    <w:name w:val="annotation text"/>
    <w:basedOn w:val="Normal"/>
    <w:link w:val="CommentTextChar"/>
    <w:uiPriority w:val="99"/>
    <w:semiHidden/>
    <w:unhideWhenUsed/>
    <w:rsid w:val="005D30F8"/>
    <w:pPr>
      <w:spacing w:line="240" w:lineRule="auto"/>
    </w:pPr>
    <w:rPr>
      <w:sz w:val="20"/>
      <w:szCs w:val="20"/>
    </w:rPr>
  </w:style>
  <w:style w:type="character" w:customStyle="1" w:styleId="CommentTextChar">
    <w:name w:val="Comment Text Char"/>
    <w:basedOn w:val="DefaultParagraphFont"/>
    <w:link w:val="CommentText"/>
    <w:uiPriority w:val="99"/>
    <w:semiHidden/>
    <w:rsid w:val="005D30F8"/>
    <w:rPr>
      <w:sz w:val="20"/>
      <w:szCs w:val="20"/>
    </w:rPr>
  </w:style>
  <w:style w:type="paragraph" w:styleId="CommentSubject">
    <w:name w:val="annotation subject"/>
    <w:basedOn w:val="CommentText"/>
    <w:next w:val="CommentText"/>
    <w:link w:val="CommentSubjectChar"/>
    <w:uiPriority w:val="99"/>
    <w:semiHidden/>
    <w:unhideWhenUsed/>
    <w:rsid w:val="005D30F8"/>
    <w:rPr>
      <w:b/>
      <w:bCs/>
    </w:rPr>
  </w:style>
  <w:style w:type="character" w:customStyle="1" w:styleId="CommentSubjectChar">
    <w:name w:val="Comment Subject Char"/>
    <w:basedOn w:val="CommentTextChar"/>
    <w:link w:val="CommentSubject"/>
    <w:uiPriority w:val="99"/>
    <w:semiHidden/>
    <w:rsid w:val="005D30F8"/>
    <w:rPr>
      <w:b/>
      <w:bCs/>
      <w:sz w:val="20"/>
      <w:szCs w:val="20"/>
    </w:rPr>
  </w:style>
  <w:style w:type="paragraph" w:customStyle="1" w:styleId="Default">
    <w:name w:val="Default"/>
    <w:rsid w:val="00B15C9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15C94"/>
    <w:rPr>
      <w:color w:val="0000FF" w:themeColor="hyperlink"/>
      <w:u w:val="single"/>
    </w:rPr>
  </w:style>
  <w:style w:type="table" w:styleId="TableGrid">
    <w:name w:val="Table Grid"/>
    <w:basedOn w:val="TableNormal"/>
    <w:uiPriority w:val="59"/>
    <w:rsid w:val="001B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0305C"/>
    <w:pPr>
      <w:tabs>
        <w:tab w:val="right" w:leader="dot" w:pos="9054"/>
      </w:tabs>
      <w:spacing w:after="0" w:line="360" w:lineRule="auto"/>
    </w:pPr>
    <w:rPr>
      <w:rFonts w:ascii="Arial" w:eastAsia="Times New Roman" w:hAnsi="Arial" w:cs="Times New Roman"/>
      <w:bCs/>
      <w:sz w:val="24"/>
      <w:szCs w:val="26"/>
    </w:rPr>
  </w:style>
  <w:style w:type="paragraph" w:styleId="TOC3">
    <w:name w:val="toc 3"/>
    <w:basedOn w:val="Normal"/>
    <w:next w:val="Normal"/>
    <w:autoRedefine/>
    <w:uiPriority w:val="39"/>
    <w:unhideWhenUsed/>
    <w:rsid w:val="0060305C"/>
    <w:pPr>
      <w:spacing w:after="0" w:line="240" w:lineRule="auto"/>
      <w:ind w:left="480"/>
    </w:pPr>
    <w:rPr>
      <w:rFonts w:ascii="Arial" w:eastAsia="Times New Roman" w:hAnsi="Arial" w:cs="Times New Roman"/>
      <w:bCs/>
      <w:sz w:val="24"/>
      <w:szCs w:val="26"/>
    </w:rPr>
  </w:style>
  <w:style w:type="paragraph" w:styleId="TOC2">
    <w:name w:val="toc 2"/>
    <w:basedOn w:val="Normal"/>
    <w:next w:val="Normal"/>
    <w:autoRedefine/>
    <w:uiPriority w:val="39"/>
    <w:unhideWhenUsed/>
    <w:rsid w:val="0060305C"/>
    <w:pPr>
      <w:spacing w:after="0" w:line="240" w:lineRule="auto"/>
      <w:ind w:left="240"/>
    </w:pPr>
    <w:rPr>
      <w:rFonts w:ascii="Arial" w:eastAsia="Times New Roman" w:hAnsi="Arial" w:cs="Times New Roman"/>
      <w:bCs/>
      <w:sz w:val="24"/>
      <w:szCs w:val="26"/>
    </w:rPr>
  </w:style>
  <w:style w:type="character" w:styleId="FollowedHyperlink">
    <w:name w:val="FollowedHyperlink"/>
    <w:basedOn w:val="DefaultParagraphFont"/>
    <w:uiPriority w:val="99"/>
    <w:semiHidden/>
    <w:unhideWhenUsed/>
    <w:rsid w:val="00BD22B0"/>
    <w:rPr>
      <w:color w:val="800080" w:themeColor="followedHyperlink"/>
      <w:u w:val="single"/>
    </w:rPr>
  </w:style>
  <w:style w:type="table" w:styleId="LightGrid-Accent5">
    <w:name w:val="Light Grid Accent 5"/>
    <w:basedOn w:val="TableNormal"/>
    <w:uiPriority w:val="62"/>
    <w:rsid w:val="000A622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5081">
      <w:bodyDiv w:val="1"/>
      <w:marLeft w:val="0"/>
      <w:marRight w:val="0"/>
      <w:marTop w:val="0"/>
      <w:marBottom w:val="0"/>
      <w:divBdr>
        <w:top w:val="none" w:sz="0" w:space="0" w:color="auto"/>
        <w:left w:val="none" w:sz="0" w:space="0" w:color="auto"/>
        <w:bottom w:val="none" w:sz="0" w:space="0" w:color="auto"/>
        <w:right w:val="none" w:sz="0" w:space="0" w:color="auto"/>
      </w:divBdr>
    </w:div>
    <w:div w:id="278992404">
      <w:bodyDiv w:val="1"/>
      <w:marLeft w:val="0"/>
      <w:marRight w:val="0"/>
      <w:marTop w:val="0"/>
      <w:marBottom w:val="0"/>
      <w:divBdr>
        <w:top w:val="none" w:sz="0" w:space="0" w:color="auto"/>
        <w:left w:val="none" w:sz="0" w:space="0" w:color="auto"/>
        <w:bottom w:val="none" w:sz="0" w:space="0" w:color="auto"/>
        <w:right w:val="none" w:sz="0" w:space="0" w:color="auto"/>
      </w:divBdr>
    </w:div>
    <w:div w:id="426928221">
      <w:bodyDiv w:val="1"/>
      <w:marLeft w:val="0"/>
      <w:marRight w:val="0"/>
      <w:marTop w:val="0"/>
      <w:marBottom w:val="0"/>
      <w:divBdr>
        <w:top w:val="none" w:sz="0" w:space="0" w:color="auto"/>
        <w:left w:val="none" w:sz="0" w:space="0" w:color="auto"/>
        <w:bottom w:val="none" w:sz="0" w:space="0" w:color="auto"/>
        <w:right w:val="none" w:sz="0" w:space="0" w:color="auto"/>
      </w:divBdr>
    </w:div>
    <w:div w:id="487601022">
      <w:bodyDiv w:val="1"/>
      <w:marLeft w:val="0"/>
      <w:marRight w:val="0"/>
      <w:marTop w:val="0"/>
      <w:marBottom w:val="0"/>
      <w:divBdr>
        <w:top w:val="none" w:sz="0" w:space="0" w:color="auto"/>
        <w:left w:val="none" w:sz="0" w:space="0" w:color="auto"/>
        <w:bottom w:val="none" w:sz="0" w:space="0" w:color="auto"/>
        <w:right w:val="none" w:sz="0" w:space="0" w:color="auto"/>
      </w:divBdr>
    </w:div>
    <w:div w:id="497156780">
      <w:bodyDiv w:val="1"/>
      <w:marLeft w:val="0"/>
      <w:marRight w:val="0"/>
      <w:marTop w:val="0"/>
      <w:marBottom w:val="0"/>
      <w:divBdr>
        <w:top w:val="none" w:sz="0" w:space="0" w:color="auto"/>
        <w:left w:val="none" w:sz="0" w:space="0" w:color="auto"/>
        <w:bottom w:val="none" w:sz="0" w:space="0" w:color="auto"/>
        <w:right w:val="none" w:sz="0" w:space="0" w:color="auto"/>
      </w:divBdr>
    </w:div>
    <w:div w:id="729619672">
      <w:bodyDiv w:val="1"/>
      <w:marLeft w:val="0"/>
      <w:marRight w:val="0"/>
      <w:marTop w:val="0"/>
      <w:marBottom w:val="0"/>
      <w:divBdr>
        <w:top w:val="none" w:sz="0" w:space="0" w:color="auto"/>
        <w:left w:val="none" w:sz="0" w:space="0" w:color="auto"/>
        <w:bottom w:val="none" w:sz="0" w:space="0" w:color="auto"/>
        <w:right w:val="none" w:sz="0" w:space="0" w:color="auto"/>
      </w:divBdr>
    </w:div>
    <w:div w:id="1028143004">
      <w:bodyDiv w:val="1"/>
      <w:marLeft w:val="0"/>
      <w:marRight w:val="0"/>
      <w:marTop w:val="0"/>
      <w:marBottom w:val="0"/>
      <w:divBdr>
        <w:top w:val="none" w:sz="0" w:space="0" w:color="auto"/>
        <w:left w:val="none" w:sz="0" w:space="0" w:color="auto"/>
        <w:bottom w:val="none" w:sz="0" w:space="0" w:color="auto"/>
        <w:right w:val="none" w:sz="0" w:space="0" w:color="auto"/>
      </w:divBdr>
    </w:div>
    <w:div w:id="1437366399">
      <w:bodyDiv w:val="1"/>
      <w:marLeft w:val="0"/>
      <w:marRight w:val="0"/>
      <w:marTop w:val="0"/>
      <w:marBottom w:val="0"/>
      <w:divBdr>
        <w:top w:val="none" w:sz="0" w:space="0" w:color="auto"/>
        <w:left w:val="none" w:sz="0" w:space="0" w:color="auto"/>
        <w:bottom w:val="none" w:sz="0" w:space="0" w:color="auto"/>
        <w:right w:val="none" w:sz="0" w:space="0" w:color="auto"/>
      </w:divBdr>
    </w:div>
    <w:div w:id="1613441702">
      <w:bodyDiv w:val="1"/>
      <w:marLeft w:val="0"/>
      <w:marRight w:val="0"/>
      <w:marTop w:val="0"/>
      <w:marBottom w:val="0"/>
      <w:divBdr>
        <w:top w:val="none" w:sz="0" w:space="0" w:color="auto"/>
        <w:left w:val="none" w:sz="0" w:space="0" w:color="auto"/>
        <w:bottom w:val="none" w:sz="0" w:space="0" w:color="auto"/>
        <w:right w:val="none" w:sz="0" w:space="0" w:color="auto"/>
      </w:divBdr>
    </w:div>
    <w:div w:id="1868785627">
      <w:bodyDiv w:val="1"/>
      <w:marLeft w:val="0"/>
      <w:marRight w:val="0"/>
      <w:marTop w:val="0"/>
      <w:marBottom w:val="0"/>
      <w:divBdr>
        <w:top w:val="none" w:sz="0" w:space="0" w:color="auto"/>
        <w:left w:val="none" w:sz="0" w:space="0" w:color="auto"/>
        <w:bottom w:val="none" w:sz="0" w:space="0" w:color="auto"/>
        <w:right w:val="none" w:sz="0" w:space="0" w:color="auto"/>
      </w:divBdr>
    </w:div>
    <w:div w:id="1880043083">
      <w:bodyDiv w:val="1"/>
      <w:marLeft w:val="0"/>
      <w:marRight w:val="0"/>
      <w:marTop w:val="0"/>
      <w:marBottom w:val="0"/>
      <w:divBdr>
        <w:top w:val="none" w:sz="0" w:space="0" w:color="auto"/>
        <w:left w:val="none" w:sz="0" w:space="0" w:color="auto"/>
        <w:bottom w:val="none" w:sz="0" w:space="0" w:color="auto"/>
        <w:right w:val="none" w:sz="0" w:space="0" w:color="auto"/>
      </w:divBdr>
    </w:div>
    <w:div w:id="2002655081">
      <w:bodyDiv w:val="1"/>
      <w:marLeft w:val="0"/>
      <w:marRight w:val="0"/>
      <w:marTop w:val="0"/>
      <w:marBottom w:val="0"/>
      <w:divBdr>
        <w:top w:val="none" w:sz="0" w:space="0" w:color="auto"/>
        <w:left w:val="none" w:sz="0" w:space="0" w:color="auto"/>
        <w:bottom w:val="none" w:sz="0" w:space="0" w:color="auto"/>
        <w:right w:val="none" w:sz="0" w:space="0" w:color="auto"/>
      </w:divBdr>
    </w:div>
    <w:div w:id="2035034198">
      <w:bodyDiv w:val="1"/>
      <w:marLeft w:val="0"/>
      <w:marRight w:val="0"/>
      <w:marTop w:val="0"/>
      <w:marBottom w:val="0"/>
      <w:divBdr>
        <w:top w:val="none" w:sz="0" w:space="0" w:color="auto"/>
        <w:left w:val="none" w:sz="0" w:space="0" w:color="auto"/>
        <w:bottom w:val="none" w:sz="0" w:space="0" w:color="auto"/>
        <w:right w:val="none" w:sz="0" w:space="0" w:color="auto"/>
      </w:divBdr>
    </w:div>
    <w:div w:id="208964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diabetes-prevalence-estimates-for-local-populations" TargetMode="External"/><Relationship Id="rId18" Type="http://schemas.openxmlformats.org/officeDocument/2006/relationships/hyperlink" Target="https://www.kpho.org.uk/joint-strategic-needs-assessment/jsna-overview-and-exception-report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nhs-screening-programmes-kpi-reports-and-briefings-2016-to-2017"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s://www.kpho.org.uk/joint-strategic-needs-assessment/jsna-overview-and-exception-reports" TargetMode="External"/><Relationship Id="rId25" Type="http://schemas.openxmlformats.org/officeDocument/2006/relationships/package" Target="embeddings/Microsoft_Word_Document2.docx"/><Relationship Id="rId2" Type="http://schemas.openxmlformats.org/officeDocument/2006/relationships/numbering" Target="numbering.xml"/><Relationship Id="rId16" Type="http://schemas.openxmlformats.org/officeDocument/2006/relationships/hyperlink" Target="https://legacyscreening.phe.org.uk/diabeticretinopathy" TargetMode="External"/><Relationship Id="rId20" Type="http://schemas.openxmlformats.org/officeDocument/2006/relationships/hyperlink" Target="http://digital.nhs.uk/catalogue/PUB3012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www.england.nhs.uk/publication/public-health-national-service-specifications/" TargetMode="External"/><Relationship Id="rId23" Type="http://schemas.openxmlformats.org/officeDocument/2006/relationships/hyperlink" Target="https://www.gov.uk/government/uploads/system/uploads/attachment_data/file/493991/DES_-_revision_2.pdf" TargetMode="External"/><Relationship Id="rId28"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hyperlink" Target="http://www.medwayjsna.info/jsna-summary.html" TargetMode="External"/><Relationship Id="rId4" Type="http://schemas.microsoft.com/office/2007/relationships/stylesWithEffects" Target="stylesWithEffects.xml"/><Relationship Id="rId9" Type="http://schemas.openxmlformats.org/officeDocument/2006/relationships/hyperlink" Target="mailto:phst@nhs.net" TargetMode="External"/><Relationship Id="rId14" Type="http://schemas.openxmlformats.org/officeDocument/2006/relationships/hyperlink" Target="https://www.gov.uk/government/publications/diabetic-eye-screening-standards-and-performance-objectives" TargetMode="External"/><Relationship Id="rId22" Type="http://schemas.openxmlformats.org/officeDocument/2006/relationships/hyperlink" Target="https://www.gov.uk/government/publications/diabetic-eye-screening-definition-of-term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Sheet1!$A$4</c:f>
              <c:strCache>
                <c:ptCount val="1"/>
                <c:pt idx="0">
                  <c:v>Kent and Medway</c:v>
                </c:pt>
              </c:strCache>
            </c:strRef>
          </c:tx>
          <c:marker>
            <c:symbol val="none"/>
          </c:marker>
          <c:cat>
            <c:strRef>
              <c:f>Sheet1!$B$3:$E$3</c:f>
              <c:strCache>
                <c:ptCount val="4"/>
                <c:pt idx="0">
                  <c:v>2013/14</c:v>
                </c:pt>
                <c:pt idx="1">
                  <c:v>2014/15</c:v>
                </c:pt>
                <c:pt idx="2">
                  <c:v>2015/16</c:v>
                </c:pt>
                <c:pt idx="3">
                  <c:v>2016/17</c:v>
                </c:pt>
              </c:strCache>
            </c:strRef>
          </c:cat>
          <c:val>
            <c:numRef>
              <c:f>Sheet1!$B$4:$E$4</c:f>
              <c:numCache>
                <c:formatCode>General</c:formatCode>
                <c:ptCount val="4"/>
                <c:pt idx="0">
                  <c:v>6.26</c:v>
                </c:pt>
                <c:pt idx="1">
                  <c:v>6.32</c:v>
                </c:pt>
                <c:pt idx="2">
                  <c:v>6.48</c:v>
                </c:pt>
                <c:pt idx="3">
                  <c:v>6.65</c:v>
                </c:pt>
              </c:numCache>
            </c:numRef>
          </c:val>
          <c:smooth val="0"/>
        </c:ser>
        <c:ser>
          <c:idx val="1"/>
          <c:order val="1"/>
          <c:tx>
            <c:strRef>
              <c:f>Sheet1!$A$5</c:f>
              <c:strCache>
                <c:ptCount val="1"/>
                <c:pt idx="0">
                  <c:v>England</c:v>
                </c:pt>
              </c:strCache>
            </c:strRef>
          </c:tx>
          <c:marker>
            <c:symbol val="none"/>
          </c:marker>
          <c:cat>
            <c:strRef>
              <c:f>Sheet1!$B$3:$E$3</c:f>
              <c:strCache>
                <c:ptCount val="4"/>
                <c:pt idx="0">
                  <c:v>2013/14</c:v>
                </c:pt>
                <c:pt idx="1">
                  <c:v>2014/15</c:v>
                </c:pt>
                <c:pt idx="2">
                  <c:v>2015/16</c:v>
                </c:pt>
                <c:pt idx="3">
                  <c:v>2016/17</c:v>
                </c:pt>
              </c:strCache>
            </c:strRef>
          </c:cat>
          <c:val>
            <c:numRef>
              <c:f>Sheet1!$B$5:$E$5</c:f>
              <c:numCache>
                <c:formatCode>General</c:formatCode>
                <c:ptCount val="4"/>
                <c:pt idx="0">
                  <c:v>6.21</c:v>
                </c:pt>
                <c:pt idx="1">
                  <c:v>6.37</c:v>
                </c:pt>
                <c:pt idx="2">
                  <c:v>6.54</c:v>
                </c:pt>
                <c:pt idx="3">
                  <c:v>6.67</c:v>
                </c:pt>
              </c:numCache>
            </c:numRef>
          </c:val>
          <c:smooth val="0"/>
        </c:ser>
        <c:dLbls>
          <c:showLegendKey val="0"/>
          <c:showVal val="0"/>
          <c:showCatName val="0"/>
          <c:showSerName val="0"/>
          <c:showPercent val="0"/>
          <c:showBubbleSize val="0"/>
        </c:dLbls>
        <c:marker val="1"/>
        <c:smooth val="0"/>
        <c:axId val="47142784"/>
        <c:axId val="47144320"/>
      </c:lineChart>
      <c:catAx>
        <c:axId val="47142784"/>
        <c:scaling>
          <c:orientation val="minMax"/>
        </c:scaling>
        <c:delete val="0"/>
        <c:axPos val="b"/>
        <c:majorTickMark val="out"/>
        <c:minorTickMark val="none"/>
        <c:tickLblPos val="nextTo"/>
        <c:crossAx val="47144320"/>
        <c:crosses val="autoZero"/>
        <c:auto val="1"/>
        <c:lblAlgn val="ctr"/>
        <c:lblOffset val="100"/>
        <c:noMultiLvlLbl val="0"/>
      </c:catAx>
      <c:valAx>
        <c:axId val="47144320"/>
        <c:scaling>
          <c:orientation val="minMax"/>
          <c:max val="7"/>
          <c:min val="0"/>
        </c:scaling>
        <c:delete val="0"/>
        <c:axPos val="l"/>
        <c:majorGridlines/>
        <c:numFmt formatCode="General" sourceLinked="1"/>
        <c:majorTickMark val="out"/>
        <c:minorTickMark val="none"/>
        <c:tickLblPos val="nextTo"/>
        <c:crossAx val="47142784"/>
        <c:crosses val="autoZero"/>
        <c:crossBetween val="between"/>
        <c:majorUnit val="1"/>
        <c:minorUnit val="0.2"/>
      </c:valAx>
    </c:plotArea>
    <c:legend>
      <c:legendPos val="r"/>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0.76239</cdr:x>
      <cdr:y>0.08609</cdr:y>
    </cdr:from>
    <cdr:to>
      <cdr:x>0.9812</cdr:x>
      <cdr:y>0.37086</cdr:y>
    </cdr:to>
    <cdr:sp macro="" textlink="">
      <cdr:nvSpPr>
        <cdr:cNvPr id="2" name="TextBox 1"/>
        <cdr:cNvSpPr txBox="1"/>
      </cdr:nvSpPr>
      <cdr:spPr>
        <a:xfrm xmlns:a="http://schemas.openxmlformats.org/drawingml/2006/main">
          <a:off x="4248151" y="247650"/>
          <a:ext cx="1219200" cy="819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0.75214</cdr:x>
      <cdr:y>0.0596</cdr:y>
    </cdr:from>
    <cdr:to>
      <cdr:x>0.96581</cdr:x>
      <cdr:y>0.36755</cdr:y>
    </cdr:to>
    <cdr:sp macro="" textlink="">
      <cdr:nvSpPr>
        <cdr:cNvPr id="3" name="TextBox 2"/>
        <cdr:cNvSpPr txBox="1"/>
      </cdr:nvSpPr>
      <cdr:spPr>
        <a:xfrm xmlns:a="http://schemas.openxmlformats.org/drawingml/2006/main">
          <a:off x="4191001" y="171450"/>
          <a:ext cx="1190625" cy="8858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b="0" u="sng">
              <a:latin typeface="+mn-lt"/>
            </a:rPr>
            <a:t>% trends in  prevalence of diabetes amongst registered population 17yrs+</a:t>
          </a:r>
        </a:p>
      </cdr:txBody>
    </cdr:sp>
  </cdr:relSizeAnchor>
  <cdr:relSizeAnchor xmlns:cdr="http://schemas.openxmlformats.org/drawingml/2006/chartDrawing">
    <cdr:from>
      <cdr:x>0.75727</cdr:x>
      <cdr:y>0.84106</cdr:y>
    </cdr:from>
    <cdr:to>
      <cdr:x>1</cdr:x>
      <cdr:y>0.96026</cdr:y>
    </cdr:to>
    <cdr:sp macro="" textlink="">
      <cdr:nvSpPr>
        <cdr:cNvPr id="4" name="TextBox 3"/>
        <cdr:cNvSpPr txBox="1"/>
      </cdr:nvSpPr>
      <cdr:spPr>
        <a:xfrm xmlns:a="http://schemas.openxmlformats.org/drawingml/2006/main">
          <a:off x="4219576" y="2419350"/>
          <a:ext cx="1352549"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800"/>
            <a:t>Source: NHS Digital (2017)</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1ADEC-F9D8-410B-BCD0-F3405E85A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4536</Words>
  <Characters>25858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Njawe, Pamela</dc:creator>
  <cp:lastModifiedBy>Williams, Marie</cp:lastModifiedBy>
  <cp:revision>3</cp:revision>
  <cp:lastPrinted>2018-02-13T08:42:00Z</cp:lastPrinted>
  <dcterms:created xsi:type="dcterms:W3CDTF">2018-05-03T16:24:00Z</dcterms:created>
  <dcterms:modified xsi:type="dcterms:W3CDTF">2018-05-03T16:27:00Z</dcterms:modified>
</cp:coreProperties>
</file>