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DF" w:rsidRDefault="00316304" w:rsidP="003B49DF">
      <w:pPr>
        <w:rPr>
          <w:rFonts w:cs="Arial"/>
          <w:szCs w:val="24"/>
        </w:rPr>
      </w:pPr>
      <w:bookmarkStart w:id="0" w:name="_GoBack"/>
      <w:bookmarkEnd w:id="0"/>
      <w:r w:rsidRPr="00951B45">
        <w:rPr>
          <w:noProof/>
          <w:lang w:eastAsia="en-GB"/>
        </w:rPr>
        <w:drawing>
          <wp:anchor distT="0" distB="0" distL="114300" distR="114300" simplePos="0" relativeHeight="251664896" behindDoc="1" locked="0" layoutInCell="1" allowOverlap="1" wp14:anchorId="772A226E" wp14:editId="671BD844">
            <wp:simplePos x="0" y="0"/>
            <wp:positionH relativeFrom="margin">
              <wp:posOffset>1743075</wp:posOffset>
            </wp:positionH>
            <wp:positionV relativeFrom="paragraph">
              <wp:posOffset>13970</wp:posOffset>
            </wp:positionV>
            <wp:extent cx="2190750" cy="1285875"/>
            <wp:effectExtent l="0" t="0" r="0" b="9525"/>
            <wp:wrapTight wrapText="bothSides">
              <wp:wrapPolygon edited="0">
                <wp:start x="376" y="0"/>
                <wp:lineTo x="0" y="1920"/>
                <wp:lineTo x="0" y="10880"/>
                <wp:lineTo x="7325" y="15360"/>
                <wp:lineTo x="7325" y="21440"/>
                <wp:lineTo x="8264" y="21440"/>
                <wp:lineTo x="8264" y="15360"/>
                <wp:lineTo x="9579" y="15360"/>
                <wp:lineTo x="21037" y="10880"/>
                <wp:lineTo x="21412" y="6720"/>
                <wp:lineTo x="21412" y="1280"/>
                <wp:lineTo x="20285" y="0"/>
                <wp:lineTo x="376"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285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5F7E" w:rsidRPr="00951B45" w:rsidRDefault="00325F7E" w:rsidP="003B49DF">
      <w:pPr>
        <w:rPr>
          <w:rFonts w:cs="Arial"/>
          <w:szCs w:val="24"/>
        </w:rPr>
      </w:pPr>
    </w:p>
    <w:p w:rsidR="00D21394" w:rsidRDefault="00D21394" w:rsidP="003B49DF">
      <w:pPr>
        <w:pStyle w:val="Heading1"/>
      </w:pPr>
    </w:p>
    <w:p w:rsidR="00D21394" w:rsidRDefault="00D21394" w:rsidP="003B49DF">
      <w:pPr>
        <w:pStyle w:val="Heading1"/>
      </w:pPr>
    </w:p>
    <w:p w:rsidR="00951B45" w:rsidRPr="00951B45" w:rsidRDefault="00951B45" w:rsidP="003B49DF">
      <w:pPr>
        <w:pStyle w:val="Heading1"/>
      </w:pPr>
      <w:r w:rsidRPr="00951B45">
        <w:t>Soft Market Test</w:t>
      </w:r>
    </w:p>
    <w:p w:rsidR="00951B45" w:rsidRPr="00951B45" w:rsidRDefault="00951B45" w:rsidP="00207253">
      <w:pPr>
        <w:jc w:val="center"/>
        <w:rPr>
          <w:rFonts w:cs="Arial"/>
          <w:szCs w:val="24"/>
        </w:rPr>
      </w:pPr>
      <w:r w:rsidRPr="00951B45">
        <w:rPr>
          <w:rFonts w:cs="Arial"/>
          <w:szCs w:val="24"/>
        </w:rPr>
        <w:t>For</w:t>
      </w:r>
    </w:p>
    <w:p w:rsidR="00951B45" w:rsidRPr="00951B45" w:rsidRDefault="00574691" w:rsidP="00207253">
      <w:pPr>
        <w:jc w:val="center"/>
        <w:rPr>
          <w:rFonts w:cs="Arial"/>
          <w:color w:val="FF0000"/>
          <w:szCs w:val="24"/>
        </w:rPr>
      </w:pPr>
      <w:r>
        <w:rPr>
          <w:rFonts w:cs="Arial"/>
          <w:szCs w:val="24"/>
        </w:rPr>
        <w:t>Autism Support Service</w:t>
      </w:r>
    </w:p>
    <w:p w:rsidR="00951B45" w:rsidRPr="00574691" w:rsidRDefault="00951B45" w:rsidP="00574691">
      <w:pPr>
        <w:jc w:val="center"/>
        <w:rPr>
          <w:rFonts w:cs="Arial"/>
          <w:szCs w:val="24"/>
        </w:rPr>
      </w:pPr>
      <w:r w:rsidRPr="00574691">
        <w:rPr>
          <w:rFonts w:cs="Arial"/>
          <w:szCs w:val="24"/>
        </w:rPr>
        <w:t xml:space="preserve">Cambridgeshire County Council </w:t>
      </w:r>
    </w:p>
    <w:p w:rsidR="00951B45" w:rsidRPr="00574691" w:rsidRDefault="00951B45" w:rsidP="00207253">
      <w:pPr>
        <w:jc w:val="center"/>
        <w:rPr>
          <w:rFonts w:cs="Arial"/>
          <w:szCs w:val="24"/>
        </w:rPr>
      </w:pPr>
      <w:r w:rsidRPr="00574691">
        <w:rPr>
          <w:rFonts w:cs="Arial"/>
          <w:szCs w:val="24"/>
        </w:rPr>
        <w:t>Ref:</w:t>
      </w:r>
      <w:r w:rsidR="00574691" w:rsidRPr="00574691">
        <w:rPr>
          <w:rFonts w:cs="Arial"/>
          <w:szCs w:val="24"/>
        </w:rPr>
        <w:t>LM/ASM</w:t>
      </w:r>
    </w:p>
    <w:p w:rsidR="00AF4590" w:rsidRPr="00574691" w:rsidRDefault="00AF4590" w:rsidP="00AF4590">
      <w:pPr>
        <w:sectPr w:rsidR="00AF4590" w:rsidRPr="00574691">
          <w:pgSz w:w="11906" w:h="16838"/>
          <w:pgMar w:top="1440" w:right="1440" w:bottom="1440" w:left="1440" w:header="708" w:footer="708" w:gutter="0"/>
          <w:cols w:space="708"/>
          <w:docGrid w:linePitch="360"/>
        </w:sectPr>
      </w:pPr>
    </w:p>
    <w:p w:rsidR="00CC58BD" w:rsidRDefault="00CC58BD" w:rsidP="00AF4590">
      <w:pPr>
        <w:pStyle w:val="Heading1"/>
      </w:pPr>
      <w:r>
        <w:lastRenderedPageBreak/>
        <w:t>Section 1: Introduction</w:t>
      </w:r>
    </w:p>
    <w:p w:rsidR="00AF4590" w:rsidRDefault="00CC58BD" w:rsidP="008F632F">
      <w:pPr>
        <w:pStyle w:val="Heading2"/>
      </w:pPr>
      <w:r>
        <w:t xml:space="preserve">General </w:t>
      </w:r>
      <w:r w:rsidRPr="008F632F">
        <w:t>Requirements</w:t>
      </w:r>
    </w:p>
    <w:p w:rsidR="00AF4590" w:rsidRDefault="00AF4590" w:rsidP="008F632F">
      <w:pPr>
        <w:pStyle w:val="BodyNumbered"/>
      </w:pPr>
      <w:r>
        <w:t xml:space="preserve">The purpose of this document is to briefly explain to suppliers the business and technical requirements and the expected scope of </w:t>
      </w:r>
      <w:r w:rsidR="00574691">
        <w:t>the Autism Support Service</w:t>
      </w:r>
      <w:r>
        <w:t xml:space="preserve"> in order that suppliers can explain the relevance of products, services and their experience to the requirements.</w:t>
      </w:r>
    </w:p>
    <w:p w:rsidR="008F632F" w:rsidRDefault="008F632F" w:rsidP="008F632F">
      <w:pPr>
        <w:pStyle w:val="BodyNumbered"/>
        <w:numPr>
          <w:ilvl w:val="0"/>
          <w:numId w:val="0"/>
        </w:numPr>
        <w:ind w:left="792"/>
      </w:pPr>
    </w:p>
    <w:p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475768">
        <w:t>Cambridgeshire County Council</w:t>
      </w:r>
      <w:r>
        <w:t xml:space="preserve"> is issuing this request for </w:t>
      </w:r>
      <w:r w:rsidRPr="00AF4590">
        <w:rPr>
          <w:rStyle w:val="Strong"/>
        </w:rPr>
        <w:t>information only</w:t>
      </w:r>
      <w:r>
        <w:t xml:space="preserve">. Any supplier invited to present to </w:t>
      </w:r>
      <w:r w:rsidR="00475768">
        <w:t>Cambridgeshire County Council</w:t>
      </w:r>
      <w:r>
        <w:t xml:space="preserve"> is doing so to support market research only and to help make any potential procurement process more focused and efficient. No supplier selection or supplier preference is implied.</w:t>
      </w:r>
    </w:p>
    <w:p w:rsidR="00AF4590" w:rsidRDefault="00AF4590" w:rsidP="008F632F">
      <w:pPr>
        <w:pStyle w:val="Heading2"/>
      </w:pPr>
      <w:r>
        <w:t>Confidentiality</w:t>
      </w:r>
      <w:r w:rsidR="00207253">
        <w:t xml:space="preserve"> and Freedom of Information (FOI)</w:t>
      </w:r>
    </w:p>
    <w:p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rsidR="008F632F" w:rsidRDefault="008F632F" w:rsidP="008F632F">
      <w:pPr>
        <w:pStyle w:val="BodyNumbered"/>
        <w:numPr>
          <w:ilvl w:val="0"/>
          <w:numId w:val="0"/>
        </w:numPr>
        <w:ind w:left="792"/>
      </w:pPr>
    </w:p>
    <w:p w:rsidR="00475768" w:rsidRPr="00475768" w:rsidRDefault="00AF4590" w:rsidP="00475768">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CC58BD" w:rsidRDefault="00CC58BD" w:rsidP="008F632F">
      <w:pPr>
        <w:pStyle w:val="Heading2"/>
      </w:pPr>
      <w:r>
        <w:t>Soft Market Test Timetable</w:t>
      </w:r>
    </w:p>
    <w:p w:rsidR="00CC58BD" w:rsidRDefault="00CC58BD" w:rsidP="008F632F">
      <w:pPr>
        <w:pStyle w:val="BodyNumbered"/>
      </w:pPr>
      <w:r>
        <w:t xml:space="preserve">Please read this document and if you feel that your organisation is able to contribute to this exercise please complete the questionnaire at the end of this document and return, via email to </w:t>
      </w:r>
      <w:hyperlink r:id="rId9" w:history="1">
        <w:r w:rsidR="00D078CF" w:rsidRPr="00CD1953">
          <w:rPr>
            <w:rStyle w:val="Hyperlink"/>
          </w:rPr>
          <w:t>lee.mcmanus@cambridgeshire.gov.uk</w:t>
        </w:r>
      </w:hyperlink>
      <w:r w:rsidR="00D078CF">
        <w:t xml:space="preserve"> </w:t>
      </w:r>
      <w:r>
        <w:t xml:space="preserve">by </w:t>
      </w:r>
      <w:r w:rsidR="00A31286">
        <w:t>1</w:t>
      </w:r>
      <w:r w:rsidR="00236E07">
        <w:t>9</w:t>
      </w:r>
      <w:r w:rsidR="00A31286">
        <w:t>/3/2018</w:t>
      </w:r>
      <w:r>
        <w:t>.</w:t>
      </w:r>
    </w:p>
    <w:tbl>
      <w:tblPr>
        <w:tblStyle w:val="TableGrid"/>
        <w:tblW w:w="5000" w:type="pct"/>
        <w:tblLook w:val="04A0" w:firstRow="1" w:lastRow="0" w:firstColumn="1" w:lastColumn="0" w:noHBand="0" w:noVBand="1"/>
      </w:tblPr>
      <w:tblGrid>
        <w:gridCol w:w="7808"/>
        <w:gridCol w:w="1208"/>
      </w:tblGrid>
      <w:tr w:rsidR="00CC58BD" w:rsidTr="002B7C81">
        <w:tc>
          <w:tcPr>
            <w:tcW w:w="4330" w:type="pct"/>
          </w:tcPr>
          <w:p w:rsidR="00CC58BD" w:rsidRPr="00AF4590" w:rsidRDefault="00CC58BD" w:rsidP="008F632F">
            <w:pPr>
              <w:rPr>
                <w:rStyle w:val="Strong"/>
              </w:rPr>
            </w:pPr>
            <w:r w:rsidRPr="00AF4590">
              <w:rPr>
                <w:rStyle w:val="Strong"/>
              </w:rPr>
              <w:t>Stage</w:t>
            </w:r>
          </w:p>
        </w:tc>
        <w:tc>
          <w:tcPr>
            <w:tcW w:w="670" w:type="pct"/>
          </w:tcPr>
          <w:p w:rsidR="00CC58BD" w:rsidRPr="00AF4590" w:rsidRDefault="00CC58BD" w:rsidP="008F632F">
            <w:pPr>
              <w:rPr>
                <w:rStyle w:val="Strong"/>
              </w:rPr>
            </w:pPr>
            <w:r w:rsidRPr="00AF4590">
              <w:rPr>
                <w:rStyle w:val="Strong"/>
              </w:rPr>
              <w:t>Date</w:t>
            </w:r>
          </w:p>
        </w:tc>
      </w:tr>
      <w:tr w:rsidR="00CC58BD" w:rsidTr="002B7C81">
        <w:tc>
          <w:tcPr>
            <w:tcW w:w="4330" w:type="pct"/>
          </w:tcPr>
          <w:p w:rsidR="00CC58BD" w:rsidRDefault="00CC58BD" w:rsidP="008F632F">
            <w:r>
              <w:t>Deadline for receipt of responses to Soft Market Test</w:t>
            </w:r>
            <w:r w:rsidR="00207253">
              <w:t>.</w:t>
            </w:r>
          </w:p>
        </w:tc>
        <w:tc>
          <w:tcPr>
            <w:tcW w:w="670" w:type="pct"/>
          </w:tcPr>
          <w:p w:rsidR="00CC58BD" w:rsidRPr="00207253" w:rsidRDefault="00236E07" w:rsidP="00236E07">
            <w:pPr>
              <w:rPr>
                <w:color w:val="FF0000"/>
              </w:rPr>
            </w:pPr>
            <w:r>
              <w:t>19/3/28</w:t>
            </w:r>
          </w:p>
        </w:tc>
      </w:tr>
      <w:tr w:rsidR="00207253" w:rsidTr="002B7C81">
        <w:tc>
          <w:tcPr>
            <w:tcW w:w="4330" w:type="pct"/>
          </w:tcPr>
          <w:p w:rsidR="00207253" w:rsidRDefault="00207253" w:rsidP="008F632F">
            <w:r>
              <w:t>Decision on way forward.</w:t>
            </w:r>
          </w:p>
        </w:tc>
        <w:tc>
          <w:tcPr>
            <w:tcW w:w="670" w:type="pct"/>
          </w:tcPr>
          <w:p w:rsidR="00207253" w:rsidRPr="00207253" w:rsidRDefault="00236E07" w:rsidP="00236E07">
            <w:pPr>
              <w:rPr>
                <w:color w:val="FF0000"/>
              </w:rPr>
            </w:pPr>
            <w:r w:rsidRPr="00236E07">
              <w:t>26/3/18</w:t>
            </w:r>
          </w:p>
        </w:tc>
      </w:tr>
    </w:tbl>
    <w:p w:rsidR="008F632F" w:rsidRPr="008F632F" w:rsidRDefault="008F632F" w:rsidP="008F632F"/>
    <w:p w:rsidR="00CC58BD" w:rsidRDefault="00CC58BD" w:rsidP="008F632F">
      <w:pPr>
        <w:pStyle w:val="BodyNumbered"/>
      </w:pPr>
      <w:r w:rsidRPr="00AF4590">
        <w:t>Potential responders will not be prejudiced in any future procurement processes by either responding or not responding to this soft market test exercise.</w:t>
      </w:r>
    </w:p>
    <w:p w:rsidR="00CC58BD" w:rsidRDefault="00CC58BD">
      <w:pPr>
        <w:pStyle w:val="Heading1"/>
      </w:pPr>
      <w:r>
        <w:lastRenderedPageBreak/>
        <w:t>Section 2: Identification of Requirement</w:t>
      </w:r>
    </w:p>
    <w:p w:rsidR="00D56EA8" w:rsidRDefault="00D56EA8" w:rsidP="008F632F">
      <w:pPr>
        <w:pStyle w:val="Heading2"/>
      </w:pPr>
      <w:r>
        <w:t>Current Situation</w:t>
      </w:r>
    </w:p>
    <w:p w:rsidR="000352F9" w:rsidRDefault="001D4AE4" w:rsidP="008F632F">
      <w:pPr>
        <w:pStyle w:val="Optional"/>
      </w:pPr>
      <w:r>
        <w:rPr>
          <w:color w:val="auto"/>
        </w:rPr>
        <w:t xml:space="preserve">The Autism Support Service provides </w:t>
      </w:r>
      <w:r w:rsidR="0060461E">
        <w:rPr>
          <w:color w:val="auto"/>
        </w:rPr>
        <w:t xml:space="preserve">mainly outreach </w:t>
      </w:r>
      <w:r>
        <w:rPr>
          <w:color w:val="auto"/>
        </w:rPr>
        <w:t xml:space="preserve">support to people on the autistic spectrum </w:t>
      </w:r>
      <w:r w:rsidR="002A58A7">
        <w:rPr>
          <w:color w:val="auto"/>
        </w:rPr>
        <w:t xml:space="preserve">who do not have a learning disability and </w:t>
      </w:r>
      <w:r>
        <w:rPr>
          <w:color w:val="auto"/>
        </w:rPr>
        <w:t>who</w:t>
      </w:r>
      <w:r w:rsidR="0060461E">
        <w:rPr>
          <w:color w:val="auto"/>
        </w:rPr>
        <w:t xml:space="preserve"> live in the county of Cambridgeshire. It is funded </w:t>
      </w:r>
      <w:r w:rsidR="00AB0D30">
        <w:rPr>
          <w:color w:val="auto"/>
        </w:rPr>
        <w:t xml:space="preserve">through a contract with </w:t>
      </w:r>
      <w:r w:rsidR="0060461E">
        <w:rPr>
          <w:color w:val="auto"/>
        </w:rPr>
        <w:t xml:space="preserve">Cambridgeshire County Council </w:t>
      </w:r>
      <w:r w:rsidR="00FC607F">
        <w:rPr>
          <w:color w:val="auto"/>
        </w:rPr>
        <w:t xml:space="preserve">which pays </w:t>
      </w:r>
      <w:r w:rsidR="0060461E">
        <w:rPr>
          <w:color w:val="auto"/>
        </w:rPr>
        <w:t xml:space="preserve">£60,000 per year to cover the cost of running the service. This allows for the employment of two </w:t>
      </w:r>
      <w:r w:rsidR="00BB2A27">
        <w:rPr>
          <w:color w:val="auto"/>
        </w:rPr>
        <w:t xml:space="preserve">part time </w:t>
      </w:r>
      <w:r w:rsidR="0060461E">
        <w:rPr>
          <w:color w:val="auto"/>
        </w:rPr>
        <w:t xml:space="preserve">workers </w:t>
      </w:r>
      <w:r w:rsidR="00BB2A27">
        <w:rPr>
          <w:color w:val="auto"/>
        </w:rPr>
        <w:t>(28 hours per week each)</w:t>
      </w:r>
      <w:r w:rsidR="002A58A7">
        <w:rPr>
          <w:color w:val="auto"/>
        </w:rPr>
        <w:t xml:space="preserve">. </w:t>
      </w:r>
      <w:r w:rsidR="0060461E">
        <w:rPr>
          <w:color w:val="auto"/>
        </w:rPr>
        <w:t xml:space="preserve"> It is based at the diagnostic clinic in Fulbourn just outside Cambridge</w:t>
      </w:r>
      <w:r>
        <w:rPr>
          <w:color w:val="auto"/>
        </w:rPr>
        <w:t xml:space="preserve"> </w:t>
      </w:r>
      <w:r w:rsidR="002A58A7">
        <w:rPr>
          <w:color w:val="auto"/>
        </w:rPr>
        <w:t xml:space="preserve">although the service takes referrals from all over the county. The service </w:t>
      </w:r>
      <w:r>
        <w:rPr>
          <w:color w:val="auto"/>
        </w:rPr>
        <w:t xml:space="preserve">is currently provided by </w:t>
      </w:r>
      <w:r w:rsidR="0060461E">
        <w:rPr>
          <w:color w:val="auto"/>
        </w:rPr>
        <w:t>the National Autistic Society (NAS)</w:t>
      </w:r>
      <w:r w:rsidR="002A58A7">
        <w:rPr>
          <w:color w:val="auto"/>
        </w:rPr>
        <w:t xml:space="preserve"> who wish to discontinue providing the servce </w:t>
      </w:r>
      <w:r w:rsidR="0060461E">
        <w:rPr>
          <w:color w:val="auto"/>
        </w:rPr>
        <w:t>after May 31</w:t>
      </w:r>
      <w:r w:rsidR="0060461E" w:rsidRPr="0060461E">
        <w:rPr>
          <w:color w:val="auto"/>
          <w:vertAlign w:val="superscript"/>
        </w:rPr>
        <w:t>st</w:t>
      </w:r>
      <w:r w:rsidR="0060461E">
        <w:rPr>
          <w:color w:val="auto"/>
        </w:rPr>
        <w:t xml:space="preserve"> 2018</w:t>
      </w:r>
      <w:r w:rsidR="002A58A7">
        <w:rPr>
          <w:color w:val="auto"/>
        </w:rPr>
        <w:t xml:space="preserve">. The </w:t>
      </w:r>
      <w:r w:rsidR="00BB2A27">
        <w:rPr>
          <w:color w:val="auto"/>
        </w:rPr>
        <w:t xml:space="preserve">County Council is seeking another provider to </w:t>
      </w:r>
      <w:r w:rsidR="002A58A7">
        <w:rPr>
          <w:color w:val="auto"/>
        </w:rPr>
        <w:t xml:space="preserve">provide the service on a temporary basis until at least the end of May 2019. This will allow time for  re-tendering process to take place </w:t>
      </w:r>
      <w:r w:rsidR="006168CC">
        <w:rPr>
          <w:color w:val="auto"/>
        </w:rPr>
        <w:t xml:space="preserve">to </w:t>
      </w:r>
      <w:r w:rsidR="00D6413B">
        <w:rPr>
          <w:color w:val="auto"/>
        </w:rPr>
        <w:t xml:space="preserve">commission a </w:t>
      </w:r>
      <w:r w:rsidR="005F251A">
        <w:rPr>
          <w:color w:val="auto"/>
        </w:rPr>
        <w:t xml:space="preserve">more permanent </w:t>
      </w:r>
      <w:r w:rsidR="00D6413B">
        <w:rPr>
          <w:color w:val="auto"/>
        </w:rPr>
        <w:t>arrangement</w:t>
      </w:r>
      <w:r w:rsidR="005F251A">
        <w:rPr>
          <w:color w:val="auto"/>
        </w:rPr>
        <w:t xml:space="preserve">. </w:t>
      </w:r>
    </w:p>
    <w:p w:rsidR="00D56EA8" w:rsidRDefault="00D56EA8" w:rsidP="008F632F">
      <w:pPr>
        <w:pStyle w:val="Heading2"/>
      </w:pPr>
      <w:r>
        <w:t>Our Requirements</w:t>
      </w:r>
    </w:p>
    <w:p w:rsidR="000352F9" w:rsidRPr="000352F9" w:rsidRDefault="000601CC" w:rsidP="008F632F">
      <w:pPr>
        <w:pStyle w:val="Optional"/>
      </w:pPr>
      <w:r>
        <w:rPr>
          <w:color w:val="auto"/>
        </w:rPr>
        <w:t>The County Council is looking for a provider to take over this service from 1</w:t>
      </w:r>
      <w:r w:rsidRPr="000601CC">
        <w:rPr>
          <w:color w:val="auto"/>
          <w:vertAlign w:val="superscript"/>
        </w:rPr>
        <w:t>st</w:t>
      </w:r>
      <w:r>
        <w:rPr>
          <w:color w:val="auto"/>
        </w:rPr>
        <w:t xml:space="preserve"> June 2018, including employing existing staff and ensuring the service is maintained to  the current high standards. </w:t>
      </w:r>
    </w:p>
    <w:p w:rsidR="000352F9" w:rsidRDefault="000352F9" w:rsidP="008F632F">
      <w:pPr>
        <w:pStyle w:val="BodyNumbered"/>
      </w:pPr>
      <w:r>
        <w:t>We are looking for a solution that will:</w:t>
      </w:r>
    </w:p>
    <w:p w:rsidR="000352F9" w:rsidRPr="000352F9" w:rsidRDefault="00473B14" w:rsidP="000352F9">
      <w:pPr>
        <w:pStyle w:val="ListParagraph"/>
        <w:numPr>
          <w:ilvl w:val="0"/>
          <w:numId w:val="15"/>
        </w:numPr>
      </w:pPr>
      <w:r>
        <w:t xml:space="preserve">Enable the existing staff to be supported and managed and the service to be maintained. </w:t>
      </w:r>
    </w:p>
    <w:p w:rsidR="000352F9" w:rsidRDefault="00473B14" w:rsidP="000352F9">
      <w:pPr>
        <w:pStyle w:val="ListParagraph"/>
        <w:numPr>
          <w:ilvl w:val="0"/>
          <w:numId w:val="15"/>
        </w:numPr>
      </w:pPr>
      <w:r>
        <w:t xml:space="preserve">Ensure that existing links with the County Council and other stakeholders are maintained. </w:t>
      </w:r>
    </w:p>
    <w:p w:rsidR="00CC58BD" w:rsidRDefault="00CC58BD" w:rsidP="00CC58BD">
      <w:pPr>
        <w:pStyle w:val="Heading1"/>
      </w:pPr>
      <w:r>
        <w:t>Section 3: Supporting information</w:t>
      </w:r>
    </w:p>
    <w:p w:rsidR="000E295A" w:rsidRDefault="000E295A" w:rsidP="000E295A">
      <w:r>
        <w:t>Please note: you do not need to resize the table; it will automatically adjust to fit your response.</w:t>
      </w:r>
    </w:p>
    <w:p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rsidTr="002B7C81">
        <w:tc>
          <w:tcPr>
            <w:tcW w:w="4385" w:type="pct"/>
            <w:shd w:val="clear" w:color="auto" w:fill="D9D9D9" w:themeFill="background1" w:themeFillShade="D9"/>
          </w:tcPr>
          <w:p w:rsidR="000E295A" w:rsidRPr="000A60CE" w:rsidRDefault="000A60CE" w:rsidP="00CC58BD">
            <w:pPr>
              <w:rPr>
                <w:rStyle w:val="Strong"/>
              </w:rPr>
            </w:pPr>
            <w:r w:rsidRPr="000A60CE">
              <w:rPr>
                <w:rStyle w:val="Strong"/>
              </w:rPr>
              <w:t>Question</w:t>
            </w:r>
          </w:p>
        </w:tc>
        <w:tc>
          <w:tcPr>
            <w:tcW w:w="615" w:type="pct"/>
          </w:tcPr>
          <w:p w:rsidR="000E295A" w:rsidRPr="000A60CE" w:rsidRDefault="000A60CE" w:rsidP="00CC58BD">
            <w:pPr>
              <w:rPr>
                <w:rStyle w:val="Strong"/>
              </w:rPr>
            </w:pPr>
            <w:r w:rsidRPr="000A60CE">
              <w:rPr>
                <w:rStyle w:val="Strong"/>
              </w:rPr>
              <w:t>Response</w:t>
            </w:r>
          </w:p>
        </w:tc>
      </w:tr>
      <w:tr w:rsidR="000A60CE" w:rsidTr="002B7C81">
        <w:tc>
          <w:tcPr>
            <w:tcW w:w="4385" w:type="pct"/>
            <w:shd w:val="clear" w:color="auto" w:fill="D9D9D9" w:themeFill="background1" w:themeFillShade="D9"/>
          </w:tcPr>
          <w:p w:rsidR="000A60CE" w:rsidRDefault="000A60CE" w:rsidP="00CC58BD">
            <w:r>
              <w:t>Name of your organisation</w:t>
            </w:r>
          </w:p>
        </w:tc>
        <w:tc>
          <w:tcPr>
            <w:tcW w:w="615" w:type="pct"/>
          </w:tcPr>
          <w:p w:rsidR="000A60CE" w:rsidRDefault="000A60CE" w:rsidP="00CC58BD"/>
        </w:tc>
      </w:tr>
      <w:tr w:rsidR="00207253" w:rsidTr="002B7C81">
        <w:tc>
          <w:tcPr>
            <w:tcW w:w="4385" w:type="pct"/>
            <w:shd w:val="clear" w:color="auto" w:fill="D9D9D9" w:themeFill="background1" w:themeFillShade="D9"/>
          </w:tcPr>
          <w:p w:rsidR="000E295A" w:rsidRDefault="000E295A" w:rsidP="00CC58BD">
            <w:r>
              <w:t>Registered office (if applicable)</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0E295A" w:rsidP="00CC58BD">
            <w:r>
              <w:t>Trading address (if different from office)</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207253">
            <w:r>
              <w:t>What if any local connections do you have with the authority?</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Name of person whom an queries relating to this questionnaire should be addressed</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207253">
            <w:r>
              <w:t>Telephone Number(s)</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Email</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Address if different to above</w:t>
            </w:r>
          </w:p>
        </w:tc>
        <w:tc>
          <w:tcPr>
            <w:tcW w:w="615" w:type="pct"/>
          </w:tcPr>
          <w:p w:rsidR="000E295A" w:rsidRDefault="000E295A" w:rsidP="00CC58BD"/>
        </w:tc>
      </w:tr>
    </w:tbl>
    <w:p w:rsidR="00CC58BD" w:rsidRDefault="00207253" w:rsidP="008F632F">
      <w:pPr>
        <w:pStyle w:val="Heading2"/>
      </w:pPr>
      <w:r>
        <w:lastRenderedPageBreak/>
        <w:t>Section B</w:t>
      </w:r>
      <w:r w:rsidR="000A60CE">
        <w:t>:</w:t>
      </w:r>
      <w:r>
        <w:t xml:space="preserve"> Questions</w:t>
      </w:r>
    </w:p>
    <w:p w:rsidR="000A60CE" w:rsidRPr="00CB1113" w:rsidRDefault="000A60CE" w:rsidP="000A60CE">
      <w:r>
        <w:t xml:space="preserve">Please note: you do not need to resize the table; it will automatically adjust to fit your response. </w:t>
      </w:r>
      <w:r w:rsidRPr="00CB1113">
        <w:t>Please overwrite the example questions, add / delete rows as required.</w:t>
      </w:r>
    </w:p>
    <w:tbl>
      <w:tblPr>
        <w:tblStyle w:val="TableGrid"/>
        <w:tblW w:w="5000" w:type="pct"/>
        <w:tblLook w:val="04A0" w:firstRow="1" w:lastRow="0" w:firstColumn="1" w:lastColumn="0" w:noHBand="0" w:noVBand="1"/>
      </w:tblPr>
      <w:tblGrid>
        <w:gridCol w:w="7845"/>
        <w:gridCol w:w="1171"/>
      </w:tblGrid>
      <w:tr w:rsidR="000A60CE" w:rsidRPr="000A60CE" w:rsidTr="002B7C81">
        <w:tc>
          <w:tcPr>
            <w:tcW w:w="4409" w:type="pct"/>
            <w:shd w:val="clear" w:color="auto" w:fill="D9D9D9" w:themeFill="background1" w:themeFillShade="D9"/>
          </w:tcPr>
          <w:p w:rsidR="000A60CE" w:rsidRPr="000A60CE" w:rsidRDefault="000A60CE" w:rsidP="008F632F">
            <w:pPr>
              <w:rPr>
                <w:rStyle w:val="Strong"/>
              </w:rPr>
            </w:pPr>
            <w:r w:rsidRPr="000A60CE">
              <w:rPr>
                <w:rStyle w:val="Strong"/>
              </w:rPr>
              <w:t>Question</w:t>
            </w:r>
          </w:p>
        </w:tc>
        <w:tc>
          <w:tcPr>
            <w:tcW w:w="591" w:type="pct"/>
          </w:tcPr>
          <w:p w:rsidR="000A60CE" w:rsidRPr="000A60CE" w:rsidRDefault="000A60CE" w:rsidP="008F632F">
            <w:pPr>
              <w:rPr>
                <w:rStyle w:val="Strong"/>
              </w:rPr>
            </w:pPr>
            <w:r w:rsidRPr="000A60CE">
              <w:rPr>
                <w:rStyle w:val="Strong"/>
              </w:rPr>
              <w:t>Response</w:t>
            </w:r>
          </w:p>
        </w:tc>
      </w:tr>
      <w:tr w:rsidR="000A60CE" w:rsidTr="002B7C81">
        <w:tc>
          <w:tcPr>
            <w:tcW w:w="4409" w:type="pct"/>
            <w:shd w:val="clear" w:color="auto" w:fill="D9D9D9" w:themeFill="background1" w:themeFillShade="D9"/>
          </w:tcPr>
          <w:p w:rsidR="000A60CE" w:rsidRDefault="000A60CE" w:rsidP="008F632F">
            <w:r w:rsidRPr="00CB1113">
              <w:t>What is the name of the solution you propose?</w:t>
            </w:r>
          </w:p>
          <w:p w:rsidR="00CB1113" w:rsidRPr="00CB1113" w:rsidRDefault="00CB1113" w:rsidP="008F632F"/>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0A60CE" w:rsidP="00CB1113">
            <w:r w:rsidRPr="00CB1113">
              <w:t xml:space="preserve">How will your </w:t>
            </w:r>
            <w:r w:rsidR="00CB1113">
              <w:t>proposal maintain the existing service?</w:t>
            </w:r>
          </w:p>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0A60CE" w:rsidP="008F632F">
            <w:r w:rsidRPr="00CB1113">
              <w:t>How long would your proposal take to implement?</w:t>
            </w:r>
          </w:p>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0A60CE" w:rsidP="008F632F">
            <w:r w:rsidRPr="00CB1113">
              <w:t>If your proposal is already in use elsewhere: please give an example of your proposed solution in use and state how it has met the requirements of the customer.</w:t>
            </w:r>
          </w:p>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F90993" w:rsidP="008F632F">
            <w:r>
              <w:t xml:space="preserve">How will you manage the </w:t>
            </w:r>
            <w:r w:rsidR="00467303">
              <w:t xml:space="preserve">transfer of </w:t>
            </w:r>
            <w:r>
              <w:t>employment of existing staff</w:t>
            </w:r>
            <w:r w:rsidR="00467303">
              <w:t xml:space="preserve"> to your organisation</w:t>
            </w:r>
            <w:r w:rsidR="00B55D4B">
              <w:t>?</w:t>
            </w:r>
          </w:p>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B55D4B" w:rsidP="008F632F">
            <w:r>
              <w:t>How will you support the existing staff under the  new management arrangements?</w:t>
            </w:r>
          </w:p>
        </w:tc>
        <w:tc>
          <w:tcPr>
            <w:tcW w:w="591" w:type="pct"/>
          </w:tcPr>
          <w:p w:rsidR="000A60CE" w:rsidRDefault="000A60CE" w:rsidP="008F632F"/>
        </w:tc>
      </w:tr>
      <w:tr w:rsidR="000A60CE" w:rsidTr="002B7C81">
        <w:tc>
          <w:tcPr>
            <w:tcW w:w="4409" w:type="pct"/>
            <w:shd w:val="clear" w:color="auto" w:fill="D9D9D9" w:themeFill="background1" w:themeFillShade="D9"/>
          </w:tcPr>
          <w:p w:rsidR="000A60CE" w:rsidRPr="00CB1113" w:rsidRDefault="000A60CE" w:rsidP="008F632F"/>
        </w:tc>
        <w:tc>
          <w:tcPr>
            <w:tcW w:w="591" w:type="pct"/>
          </w:tcPr>
          <w:p w:rsidR="000A60CE" w:rsidRDefault="000A60CE" w:rsidP="008F632F"/>
        </w:tc>
      </w:tr>
    </w:tbl>
    <w:p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3FEE09CC"/>
    <w:lvl w:ilvl="0">
      <w:start w:val="1"/>
      <w:numFmt w:val="decimal"/>
      <w:pStyle w:val="Heading2"/>
      <w:lvlText w:val="%1."/>
      <w:lvlJc w:val="left"/>
      <w:pPr>
        <w:ind w:left="360" w:hanging="360"/>
      </w:pPr>
    </w:lvl>
    <w:lvl w:ilvl="1">
      <w:start w:val="1"/>
      <w:numFmt w:val="decimal"/>
      <w:pStyle w:val="BodyNumbered"/>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601CC"/>
    <w:rsid w:val="000A60CE"/>
    <w:rsid w:val="000B6B6B"/>
    <w:rsid w:val="000E295A"/>
    <w:rsid w:val="001C611F"/>
    <w:rsid w:val="001D4AE4"/>
    <w:rsid w:val="00207253"/>
    <w:rsid w:val="00236E07"/>
    <w:rsid w:val="002A58A7"/>
    <w:rsid w:val="002B7C81"/>
    <w:rsid w:val="002C394C"/>
    <w:rsid w:val="002C586F"/>
    <w:rsid w:val="00316304"/>
    <w:rsid w:val="00325F7E"/>
    <w:rsid w:val="003413D7"/>
    <w:rsid w:val="003B49DF"/>
    <w:rsid w:val="00415E0D"/>
    <w:rsid w:val="00467303"/>
    <w:rsid w:val="00473B14"/>
    <w:rsid w:val="00475768"/>
    <w:rsid w:val="004A3544"/>
    <w:rsid w:val="004B11BF"/>
    <w:rsid w:val="0055544B"/>
    <w:rsid w:val="00574691"/>
    <w:rsid w:val="005A4796"/>
    <w:rsid w:val="005A7F75"/>
    <w:rsid w:val="005B083C"/>
    <w:rsid w:val="005B24BC"/>
    <w:rsid w:val="005C5EDA"/>
    <w:rsid w:val="005E0BF1"/>
    <w:rsid w:val="005F251A"/>
    <w:rsid w:val="0060461E"/>
    <w:rsid w:val="006168CC"/>
    <w:rsid w:val="00697234"/>
    <w:rsid w:val="006B0354"/>
    <w:rsid w:val="006F18FA"/>
    <w:rsid w:val="00725B41"/>
    <w:rsid w:val="00731B1D"/>
    <w:rsid w:val="0077774B"/>
    <w:rsid w:val="007A5B87"/>
    <w:rsid w:val="00807E62"/>
    <w:rsid w:val="00817BAB"/>
    <w:rsid w:val="008D0B17"/>
    <w:rsid w:val="008E065E"/>
    <w:rsid w:val="008F632F"/>
    <w:rsid w:val="00951B45"/>
    <w:rsid w:val="00994551"/>
    <w:rsid w:val="00A31286"/>
    <w:rsid w:val="00AB0D30"/>
    <w:rsid w:val="00AF4590"/>
    <w:rsid w:val="00B417DC"/>
    <w:rsid w:val="00B450F2"/>
    <w:rsid w:val="00B55D4B"/>
    <w:rsid w:val="00BB2A27"/>
    <w:rsid w:val="00BB4D73"/>
    <w:rsid w:val="00C342E0"/>
    <w:rsid w:val="00C948C2"/>
    <w:rsid w:val="00CB1113"/>
    <w:rsid w:val="00CC58BD"/>
    <w:rsid w:val="00D078CF"/>
    <w:rsid w:val="00D21394"/>
    <w:rsid w:val="00D40A5D"/>
    <w:rsid w:val="00D56EA8"/>
    <w:rsid w:val="00D6413B"/>
    <w:rsid w:val="00DD1D6E"/>
    <w:rsid w:val="00DF05AF"/>
    <w:rsid w:val="00E76242"/>
    <w:rsid w:val="00EA3E22"/>
    <w:rsid w:val="00EB7D5A"/>
    <w:rsid w:val="00F1425B"/>
    <w:rsid w:val="00F90993"/>
    <w:rsid w:val="00F9170A"/>
    <w:rsid w:val="00FC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e.mcmanus@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31152866-e7c1-47fd-a36a-e9343371d102"/>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D37A008-28B1-493E-90A3-42F0899B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C02E2D38</Template>
  <TotalTime>0</TotalTime>
  <Pages>3</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HSchmidt</cp:lastModifiedBy>
  <cp:revision>2</cp:revision>
  <dcterms:created xsi:type="dcterms:W3CDTF">2018-03-02T10:31:00Z</dcterms:created>
  <dcterms:modified xsi:type="dcterms:W3CDTF">2018-03-02T10:31:00Z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