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EE2B5" w14:textId="77777777" w:rsidR="00D44F98" w:rsidRDefault="00EB70E0">
      <w:r>
        <w:rPr>
          <w:noProof/>
        </w:rPr>
        <w:drawing>
          <wp:anchor distT="0" distB="0" distL="114300" distR="114300" simplePos="0" relativeHeight="251658240" behindDoc="0" locked="0" layoutInCell="1" allowOverlap="1" wp14:anchorId="640D25C7" wp14:editId="676F1FE7">
            <wp:simplePos x="0" y="0"/>
            <wp:positionH relativeFrom="column">
              <wp:align>left</wp:align>
            </wp:positionH>
            <wp:positionV relativeFrom="paragraph">
              <wp:align>top</wp:align>
            </wp:positionV>
            <wp:extent cx="2476798" cy="2070000"/>
            <wp:effectExtent l="0" t="0" r="0" b="6450"/>
            <wp:wrapSquare wrapText="bothSides"/>
            <wp:docPr id="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76798" cy="2070000"/>
                    </a:xfrm>
                    <a:prstGeom prst="rect">
                      <a:avLst/>
                    </a:prstGeom>
                    <a:noFill/>
                    <a:ln>
                      <a:noFill/>
                      <a:prstDash/>
                    </a:ln>
                  </pic:spPr>
                </pic:pic>
              </a:graphicData>
            </a:graphic>
          </wp:anchor>
        </w:drawing>
      </w:r>
      <w:r>
        <w:br/>
      </w:r>
    </w:p>
    <w:p w14:paraId="226BEA76" w14:textId="77777777" w:rsidR="00D44F98" w:rsidRDefault="00D44F98">
      <w:pPr>
        <w:pStyle w:val="Heading1"/>
      </w:pPr>
      <w:bookmarkStart w:id="0" w:name="_Toc32303547"/>
    </w:p>
    <w:p w14:paraId="210E66E5" w14:textId="77777777" w:rsidR="00D44F98" w:rsidRDefault="00EB70E0">
      <w:pPr>
        <w:pStyle w:val="Heading1"/>
      </w:pPr>
      <w:bookmarkStart w:id="1" w:name="_Toc33176231"/>
      <w:r>
        <w:t>G-Cloud 12 Call-Off Contract</w:t>
      </w:r>
      <w:bookmarkEnd w:id="0"/>
      <w:bookmarkEnd w:id="1"/>
      <w:r>
        <w:t xml:space="preserve"> </w:t>
      </w:r>
    </w:p>
    <w:p w14:paraId="408E113E" w14:textId="77777777" w:rsidR="00D44F98" w:rsidRDefault="00D44F98">
      <w:pPr>
        <w:rPr>
          <w:sz w:val="28"/>
          <w:szCs w:val="28"/>
        </w:rPr>
      </w:pPr>
    </w:p>
    <w:p w14:paraId="25385E41" w14:textId="77777777" w:rsidR="00D44F98" w:rsidRDefault="00D44F98">
      <w:pPr>
        <w:rPr>
          <w:sz w:val="28"/>
          <w:szCs w:val="28"/>
        </w:rPr>
      </w:pPr>
    </w:p>
    <w:p w14:paraId="7E849836" w14:textId="77777777" w:rsidR="00D44F98" w:rsidRDefault="00EB70E0">
      <w:pPr>
        <w:rPr>
          <w:rFonts w:eastAsia="Times New Roman"/>
          <w:lang w:eastAsia="en-US"/>
        </w:rPr>
      </w:pPr>
      <w:r>
        <w:rPr>
          <w:rFonts w:eastAsia="Times New Roman"/>
          <w:lang w:eastAsia="en-US"/>
        </w:rPr>
        <w:t>This Call-Off Contract for the G-Cloud 12 Framework Agreement (RM1557.12) includes:</w:t>
      </w:r>
    </w:p>
    <w:p w14:paraId="3FD03D16" w14:textId="77777777" w:rsidR="00D44F98" w:rsidRDefault="00EB70E0">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14:paraId="32C45D5E" w14:textId="77777777" w:rsidR="00D44F98" w:rsidRDefault="00EB70E0">
      <w:pPr>
        <w:pStyle w:val="TOC2"/>
      </w:pPr>
      <w:r>
        <w:rPr>
          <w:rFonts w:ascii="Arial" w:hAnsi="Arial"/>
          <w:b w:val="0"/>
        </w:rPr>
        <w:t>Part A: Order Form</w:t>
      </w:r>
      <w:r>
        <w:rPr>
          <w:rFonts w:ascii="Arial" w:hAnsi="Arial"/>
          <w:b w:val="0"/>
        </w:rPr>
        <w:tab/>
        <w:t>2</w:t>
      </w:r>
    </w:p>
    <w:p w14:paraId="323EB9F6" w14:textId="77777777" w:rsidR="00D44F98" w:rsidRDefault="00EB70E0">
      <w:pPr>
        <w:pStyle w:val="TOC2"/>
      </w:pPr>
      <w:r>
        <w:rPr>
          <w:rFonts w:ascii="Arial" w:hAnsi="Arial"/>
          <w:b w:val="0"/>
        </w:rPr>
        <w:t>Schedule 1: Services</w:t>
      </w:r>
      <w:r>
        <w:rPr>
          <w:rFonts w:ascii="Arial" w:hAnsi="Arial"/>
          <w:b w:val="0"/>
        </w:rPr>
        <w:tab/>
        <w:t>12</w:t>
      </w:r>
    </w:p>
    <w:p w14:paraId="2B70F1E7" w14:textId="77777777" w:rsidR="00D44F98" w:rsidRDefault="00EB70E0">
      <w:pPr>
        <w:pStyle w:val="TOC2"/>
      </w:pPr>
      <w:r>
        <w:rPr>
          <w:rFonts w:ascii="Arial" w:hAnsi="Arial"/>
          <w:b w:val="0"/>
        </w:rPr>
        <w:t>Schedule 2: Call-Off Contract charges</w:t>
      </w:r>
      <w:r>
        <w:rPr>
          <w:rFonts w:ascii="Arial" w:hAnsi="Arial"/>
          <w:b w:val="0"/>
        </w:rPr>
        <w:tab/>
        <w:t>12</w:t>
      </w:r>
    </w:p>
    <w:p w14:paraId="26FCF519" w14:textId="77777777" w:rsidR="00D44F98" w:rsidRDefault="00EB70E0">
      <w:pPr>
        <w:pStyle w:val="TOC2"/>
      </w:pPr>
      <w:r>
        <w:rPr>
          <w:rFonts w:ascii="Arial" w:hAnsi="Arial"/>
          <w:b w:val="0"/>
        </w:rPr>
        <w:t>Part B: Terms and conditions</w:t>
      </w:r>
      <w:r>
        <w:rPr>
          <w:rFonts w:ascii="Arial" w:hAnsi="Arial"/>
          <w:b w:val="0"/>
        </w:rPr>
        <w:tab/>
        <w:t>13</w:t>
      </w:r>
    </w:p>
    <w:p w14:paraId="5153932D" w14:textId="77777777" w:rsidR="00D44F98" w:rsidRDefault="00EB70E0">
      <w:pPr>
        <w:pStyle w:val="TOC2"/>
      </w:pPr>
      <w:r>
        <w:rPr>
          <w:rFonts w:ascii="Arial" w:hAnsi="Arial"/>
          <w:b w:val="0"/>
        </w:rPr>
        <w:t>Schedule 3: Collaboration agreement</w:t>
      </w:r>
      <w:r>
        <w:rPr>
          <w:rFonts w:ascii="Arial" w:hAnsi="Arial"/>
          <w:b w:val="0"/>
        </w:rPr>
        <w:tab/>
        <w:t>32</w:t>
      </w:r>
    </w:p>
    <w:p w14:paraId="0E42100D" w14:textId="77777777" w:rsidR="00D44F98" w:rsidRDefault="00EB70E0">
      <w:pPr>
        <w:pStyle w:val="TOC2"/>
      </w:pPr>
      <w:r>
        <w:rPr>
          <w:rFonts w:ascii="Arial" w:hAnsi="Arial"/>
          <w:b w:val="0"/>
        </w:rPr>
        <w:t>Schedule 4: Alternative clauses</w:t>
      </w:r>
      <w:r>
        <w:rPr>
          <w:rFonts w:ascii="Arial" w:hAnsi="Arial"/>
          <w:b w:val="0"/>
        </w:rPr>
        <w:tab/>
        <w:t>44</w:t>
      </w:r>
    </w:p>
    <w:p w14:paraId="176E6904" w14:textId="77777777" w:rsidR="00D44F98" w:rsidRDefault="00EB70E0">
      <w:pPr>
        <w:pStyle w:val="TOC2"/>
      </w:pPr>
      <w:r>
        <w:rPr>
          <w:rFonts w:ascii="Arial" w:hAnsi="Arial"/>
          <w:b w:val="0"/>
        </w:rPr>
        <w:t>Schedule 5: Guarantee</w:t>
      </w:r>
      <w:r>
        <w:rPr>
          <w:rFonts w:ascii="Arial" w:hAnsi="Arial"/>
          <w:b w:val="0"/>
        </w:rPr>
        <w:tab/>
        <w:t>49</w:t>
      </w:r>
    </w:p>
    <w:p w14:paraId="01BF6AF7" w14:textId="77777777" w:rsidR="00D44F98" w:rsidRDefault="00EB70E0">
      <w:pPr>
        <w:pStyle w:val="TOC2"/>
      </w:pPr>
      <w:r>
        <w:rPr>
          <w:rFonts w:ascii="Arial" w:hAnsi="Arial"/>
          <w:b w:val="0"/>
        </w:rPr>
        <w:t>Schedule 6: Glossary and interpretations</w:t>
      </w:r>
      <w:r>
        <w:rPr>
          <w:rFonts w:ascii="Arial" w:hAnsi="Arial"/>
          <w:b w:val="0"/>
        </w:rPr>
        <w:tab/>
        <w:t>57</w:t>
      </w:r>
    </w:p>
    <w:p w14:paraId="27773529" w14:textId="77777777" w:rsidR="00D44F98" w:rsidRDefault="00EB70E0">
      <w:pPr>
        <w:pStyle w:val="TOC2"/>
      </w:pPr>
      <w:r>
        <w:rPr>
          <w:rFonts w:ascii="Arial" w:hAnsi="Arial"/>
          <w:b w:val="0"/>
        </w:rPr>
        <w:t>Schedule 7: GDPR Information</w:t>
      </w:r>
      <w:r>
        <w:rPr>
          <w:rFonts w:ascii="Arial" w:hAnsi="Arial"/>
          <w:b w:val="0"/>
        </w:rPr>
        <w:tab/>
        <w:t>68</w:t>
      </w:r>
    </w:p>
    <w:p w14:paraId="233F3EEA" w14:textId="77777777" w:rsidR="00D44F98" w:rsidRDefault="00EB70E0">
      <w:pPr>
        <w:pStyle w:val="Heading2"/>
      </w:pPr>
      <w:r>
        <w:rPr>
          <w:rFonts w:ascii="Cambria" w:hAnsi="Cambria"/>
          <w:b/>
          <w:bCs/>
        </w:rPr>
        <w:fldChar w:fldCharType="end"/>
      </w:r>
    </w:p>
    <w:p w14:paraId="4C5D5965" w14:textId="77777777" w:rsidR="00D44F98" w:rsidRDefault="00D44F98">
      <w:pPr>
        <w:pageBreakBefore/>
      </w:pPr>
    </w:p>
    <w:p w14:paraId="343B4EFC" w14:textId="77777777" w:rsidR="00D44F98" w:rsidRDefault="00EB70E0">
      <w:pPr>
        <w:pStyle w:val="Heading2"/>
      </w:pPr>
      <w:bookmarkStart w:id="2" w:name="_Toc33176232"/>
      <w:r>
        <w:t>Part A: Order Form</w:t>
      </w:r>
      <w:bookmarkEnd w:id="2"/>
    </w:p>
    <w:p w14:paraId="6251E479" w14:textId="77777777" w:rsidR="00D44F98" w:rsidRDefault="00EB70E0">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D44F98" w14:paraId="1D072CD6"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B6E85F" w14:textId="77777777" w:rsidR="00D44F98" w:rsidRDefault="00EB70E0">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FD6C5D" w14:textId="77777777" w:rsidR="00D44F98" w:rsidRDefault="00EB70E0">
            <w:pPr>
              <w:spacing w:before="240"/>
            </w:pPr>
            <w:r>
              <w:t>780885135640884</w:t>
            </w:r>
          </w:p>
          <w:p w14:paraId="7632FC55" w14:textId="77777777" w:rsidR="00D44F98" w:rsidRDefault="00EB70E0">
            <w:pPr>
              <w:spacing w:before="240"/>
            </w:pPr>
            <w:r>
              <w:rPr>
                <w:color w:val="0B0C0C"/>
                <w:shd w:val="clear" w:color="auto" w:fill="FFFFFF"/>
              </w:rPr>
              <w:t>333710484611412</w:t>
            </w:r>
          </w:p>
        </w:tc>
      </w:tr>
      <w:tr w:rsidR="00D44F98" w14:paraId="51E3C85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4FCD35" w14:textId="77777777" w:rsidR="00D44F98" w:rsidRDefault="00EB70E0">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B803E54" w14:textId="77777777" w:rsidR="00D44F98" w:rsidRDefault="00EB70E0">
            <w:pPr>
              <w:spacing w:before="240"/>
            </w:pPr>
            <w:r>
              <w:t>SR1088476830</w:t>
            </w:r>
          </w:p>
        </w:tc>
      </w:tr>
      <w:tr w:rsidR="00D44F98" w14:paraId="7010C6E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9E223" w14:textId="77777777" w:rsidR="00D44F98" w:rsidRDefault="00EB70E0">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6B53076" w14:textId="77777777" w:rsidR="00D44F98" w:rsidRDefault="00EB70E0">
            <w:pPr>
              <w:spacing w:before="240"/>
            </w:pPr>
            <w:r>
              <w:t>Data Quality (DPSC-1232 - Data Quality – RENEWAL)</w:t>
            </w:r>
          </w:p>
        </w:tc>
      </w:tr>
      <w:tr w:rsidR="00D44F98" w14:paraId="30C5082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AA7F6D" w14:textId="77777777" w:rsidR="00D44F98" w:rsidRDefault="00EB70E0">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DE762C5" w14:textId="77777777" w:rsidR="00D44F98" w:rsidRDefault="00EB70E0">
            <w:pPr>
              <w:spacing w:before="240"/>
            </w:pPr>
            <w:r>
              <w:t>Data Quality support for SR21, Data Quality Services (DQS), Protect Connect Programme (PCP) and Transactional Risking (</w:t>
            </w:r>
            <w:proofErr w:type="spellStart"/>
            <w:r>
              <w:t>TxR</w:t>
            </w:r>
            <w:proofErr w:type="spellEnd"/>
            <w:r>
              <w:t>)</w:t>
            </w:r>
          </w:p>
        </w:tc>
      </w:tr>
      <w:tr w:rsidR="00D44F98" w14:paraId="27511294"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D722FB" w14:textId="77777777" w:rsidR="00D44F98" w:rsidRDefault="00EB70E0">
            <w:pPr>
              <w:spacing w:before="240"/>
            </w:pPr>
            <w: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565A3FF" w14:textId="77777777" w:rsidR="00D44F98" w:rsidRDefault="00EB70E0">
            <w:pPr>
              <w:spacing w:before="240"/>
            </w:pPr>
            <w:r>
              <w:t>24/11/2022</w:t>
            </w:r>
          </w:p>
        </w:tc>
      </w:tr>
      <w:tr w:rsidR="00D44F98" w14:paraId="23B3C1E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42804B" w14:textId="77777777" w:rsidR="00D44F98" w:rsidRDefault="00EB70E0">
            <w:pPr>
              <w:spacing w:before="240"/>
            </w:pPr>
            <w: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E40B6DB" w14:textId="77777777" w:rsidR="00D44F98" w:rsidRDefault="00EB70E0">
            <w:pPr>
              <w:spacing w:before="240"/>
            </w:pPr>
            <w:r>
              <w:t>30/11/2023</w:t>
            </w:r>
          </w:p>
        </w:tc>
      </w:tr>
      <w:tr w:rsidR="00D44F98" w14:paraId="7B4A865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22ACA9" w14:textId="77777777" w:rsidR="00D44F98" w:rsidRDefault="00EB70E0">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7469EE5" w14:textId="77777777" w:rsidR="00D44F98" w:rsidRDefault="00EB70E0">
            <w:pPr>
              <w:spacing w:before="240"/>
            </w:pPr>
            <w:r>
              <w:t>£2,500,000</w:t>
            </w:r>
          </w:p>
        </w:tc>
      </w:tr>
      <w:tr w:rsidR="00D44F98" w14:paraId="11EA63B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0FA412" w14:textId="77777777" w:rsidR="00D44F98" w:rsidRDefault="00EB70E0">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4162DDD" w14:textId="77777777" w:rsidR="00D44F98" w:rsidRDefault="00EB70E0">
            <w:pPr>
              <w:spacing w:before="240"/>
            </w:pPr>
            <w:r>
              <w:rPr>
                <w:lang w:eastAsia="en-US"/>
              </w:rPr>
              <w:t>Actuals in arrears</w:t>
            </w:r>
          </w:p>
        </w:tc>
      </w:tr>
      <w:tr w:rsidR="00D44F98" w14:paraId="3CB5ED6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FFEA4C" w14:textId="77777777" w:rsidR="00D44F98" w:rsidRDefault="00EB70E0">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FCC53C1" w14:textId="77777777" w:rsidR="00D44F98" w:rsidRDefault="00EB70E0">
            <w:pPr>
              <w:spacing w:before="240"/>
            </w:pPr>
            <w:r>
              <w:t>TBA: The HMRC system generates the PO once the purchase requisition is submitted and approved.</w:t>
            </w:r>
          </w:p>
        </w:tc>
      </w:tr>
    </w:tbl>
    <w:p w14:paraId="2A615D8A" w14:textId="77777777" w:rsidR="00D44F98" w:rsidRDefault="00EB70E0">
      <w:pPr>
        <w:spacing w:before="240"/>
      </w:pPr>
      <w:r>
        <w:t xml:space="preserve"> </w:t>
      </w:r>
    </w:p>
    <w:p w14:paraId="744E37CB" w14:textId="77777777" w:rsidR="00D44F98" w:rsidRDefault="00EB70E0">
      <w:pPr>
        <w:spacing w:before="240" w:after="240"/>
      </w:pPr>
      <w:r>
        <w:t>This Order Form is issued under the G-Cloud 12 Framework Agreement (RM1557.12).</w:t>
      </w:r>
    </w:p>
    <w:p w14:paraId="77BF5D94" w14:textId="77777777" w:rsidR="00D44F98" w:rsidRDefault="00EB70E0">
      <w:pPr>
        <w:spacing w:before="240"/>
      </w:pPr>
      <w:r>
        <w:t>Buyers can use this Order Form to specify their G-Cloud service requirements when placing an Order.</w:t>
      </w:r>
    </w:p>
    <w:p w14:paraId="0375FA45" w14:textId="77777777" w:rsidR="00D44F98" w:rsidRDefault="00EB70E0">
      <w:pPr>
        <w:spacing w:before="240"/>
      </w:pPr>
      <w:r>
        <w:t>The Order Form cannot be used to alter existing terms or add any extra terms that materially change the Deliverables offered by the Supplier and defined in the Application.</w:t>
      </w:r>
    </w:p>
    <w:p w14:paraId="600ED426" w14:textId="77777777" w:rsidR="00D44F98" w:rsidRDefault="00EB70E0">
      <w:pPr>
        <w:spacing w:before="240"/>
      </w:pPr>
      <w:r>
        <w:lastRenderedPageBreak/>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D44F98" w14:paraId="02E1422A"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EDA0A7" w14:textId="77777777" w:rsidR="00D44F98" w:rsidRDefault="00EB70E0">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0AB970" w14:textId="77777777" w:rsidR="00D44F98" w:rsidRPr="00014F75" w:rsidRDefault="00014F75">
            <w:pPr>
              <w:spacing w:before="240"/>
              <w:rPr>
                <w:highlight w:val="black"/>
              </w:rPr>
            </w:pPr>
            <w:r w:rsidRPr="00014F75">
              <w:rPr>
                <w:highlight w:val="black"/>
              </w:rPr>
              <w:t>XXXXXXXXXX</w:t>
            </w:r>
          </w:p>
          <w:p w14:paraId="56A62DA9" w14:textId="77777777" w:rsidR="00014F75" w:rsidRPr="00014F75" w:rsidRDefault="00014F75">
            <w:pPr>
              <w:spacing w:before="240"/>
              <w:rPr>
                <w:highlight w:val="black"/>
              </w:rPr>
            </w:pPr>
            <w:r w:rsidRPr="00014F75">
              <w:rPr>
                <w:highlight w:val="black"/>
              </w:rPr>
              <w:t>XXXXXX</w:t>
            </w:r>
          </w:p>
          <w:p w14:paraId="143A8E49" w14:textId="77777777" w:rsidR="00014F75" w:rsidRPr="00014F75" w:rsidRDefault="00014F75">
            <w:pPr>
              <w:spacing w:before="240"/>
              <w:rPr>
                <w:highlight w:val="black"/>
              </w:rPr>
            </w:pPr>
            <w:r w:rsidRPr="00014F75">
              <w:rPr>
                <w:highlight w:val="black"/>
              </w:rPr>
              <w:t>XXXXXXX</w:t>
            </w:r>
          </w:p>
          <w:p w14:paraId="1F9A70AC" w14:textId="01469C52" w:rsidR="00014F75" w:rsidRDefault="00014F75">
            <w:pPr>
              <w:spacing w:before="240"/>
            </w:pPr>
            <w:r w:rsidRPr="00014F75">
              <w:rPr>
                <w:highlight w:val="black"/>
              </w:rPr>
              <w:t>XXXXXXXX</w:t>
            </w:r>
          </w:p>
        </w:tc>
      </w:tr>
      <w:tr w:rsidR="00D44F98" w14:paraId="198A9888"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B40A45" w14:textId="77777777" w:rsidR="00D44F98" w:rsidRDefault="00EB70E0">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13FAB7B6" w14:textId="77777777" w:rsidR="00D44F98" w:rsidRDefault="00EB70E0">
            <w:pPr>
              <w:spacing w:before="240"/>
            </w:pPr>
            <w:r>
              <w:t>Butterfly Projects Ltd</w:t>
            </w:r>
          </w:p>
          <w:p w14:paraId="146685E8" w14:textId="77777777" w:rsidR="00D44F98" w:rsidRDefault="00EB70E0">
            <w:pPr>
              <w:spacing w:before="240"/>
            </w:pPr>
            <w:r>
              <w:t xml:space="preserve">253 Cowbridge Road West </w:t>
            </w:r>
          </w:p>
          <w:p w14:paraId="3C2BBF04" w14:textId="77777777" w:rsidR="00D44F98" w:rsidRDefault="00EB70E0">
            <w:pPr>
              <w:spacing w:before="240"/>
            </w:pPr>
            <w:r>
              <w:t xml:space="preserve">Cardiff </w:t>
            </w:r>
          </w:p>
          <w:p w14:paraId="754BDCF5" w14:textId="77777777" w:rsidR="00D44F98" w:rsidRDefault="00EB70E0">
            <w:pPr>
              <w:spacing w:before="240"/>
            </w:pPr>
            <w:r>
              <w:t xml:space="preserve">Wales </w:t>
            </w:r>
          </w:p>
          <w:p w14:paraId="7A68A168" w14:textId="77777777" w:rsidR="00D44F98" w:rsidRDefault="00EB70E0">
            <w:pPr>
              <w:spacing w:before="240"/>
            </w:pPr>
            <w:r>
              <w:t xml:space="preserve">CF5 5TD </w:t>
            </w:r>
          </w:p>
          <w:p w14:paraId="1B04FD1B" w14:textId="77777777" w:rsidR="00D44F98" w:rsidRDefault="00EB70E0">
            <w:pPr>
              <w:spacing w:before="240"/>
            </w:pPr>
            <w:r>
              <w:t xml:space="preserve">Company no. 04952566 </w:t>
            </w:r>
          </w:p>
          <w:p w14:paraId="296EC50F" w14:textId="77777777" w:rsidR="00D44F98" w:rsidRDefault="00EB70E0">
            <w:pPr>
              <w:spacing w:before="240"/>
            </w:pPr>
            <w:r>
              <w:t>VAT No. GB850 9864 89</w:t>
            </w:r>
          </w:p>
        </w:tc>
      </w:tr>
      <w:tr w:rsidR="00D44F98" w14:paraId="2B72DAE4"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0A6934" w14:textId="77777777" w:rsidR="00D44F98" w:rsidRDefault="00EB70E0">
            <w:pPr>
              <w:spacing w:before="240" w:after="240"/>
              <w:rPr>
                <w:b/>
              </w:rPr>
            </w:pPr>
            <w:r>
              <w:rPr>
                <w:b/>
              </w:rPr>
              <w:t>Together the ‘Parties’</w:t>
            </w:r>
          </w:p>
        </w:tc>
      </w:tr>
    </w:tbl>
    <w:p w14:paraId="70441EFD" w14:textId="77777777" w:rsidR="00D44F98" w:rsidRDefault="00D44F98">
      <w:pPr>
        <w:spacing w:before="240" w:after="240"/>
        <w:rPr>
          <w:b/>
        </w:rPr>
      </w:pPr>
    </w:p>
    <w:p w14:paraId="0065B8AA" w14:textId="77777777" w:rsidR="00D44F98" w:rsidRDefault="00EB70E0">
      <w:pPr>
        <w:pStyle w:val="Heading3"/>
      </w:pPr>
      <w:r>
        <w:t>Principal contact details</w:t>
      </w:r>
    </w:p>
    <w:p w14:paraId="596A02D6" w14:textId="77777777" w:rsidR="00D44F98" w:rsidRDefault="00EB70E0">
      <w:pPr>
        <w:spacing w:before="240" w:after="120" w:line="480" w:lineRule="auto"/>
        <w:rPr>
          <w:b/>
        </w:rPr>
      </w:pPr>
      <w:r>
        <w:rPr>
          <w:b/>
        </w:rPr>
        <w:t>For the Buyer:</w:t>
      </w:r>
    </w:p>
    <w:p w14:paraId="663F13A5" w14:textId="77777777" w:rsidR="00014F75" w:rsidRPr="00014F75" w:rsidRDefault="00014F75" w:rsidP="00014F75">
      <w:pPr>
        <w:spacing w:before="240"/>
        <w:rPr>
          <w:highlight w:val="black"/>
        </w:rPr>
      </w:pPr>
      <w:r w:rsidRPr="00014F75">
        <w:rPr>
          <w:highlight w:val="black"/>
        </w:rPr>
        <w:t>XXXXXXXXXX</w:t>
      </w:r>
    </w:p>
    <w:p w14:paraId="1CE17CE2" w14:textId="77777777" w:rsidR="00014F75" w:rsidRPr="00014F75" w:rsidRDefault="00014F75" w:rsidP="00014F75">
      <w:pPr>
        <w:spacing w:before="240"/>
        <w:rPr>
          <w:highlight w:val="black"/>
        </w:rPr>
      </w:pPr>
      <w:r w:rsidRPr="00014F75">
        <w:rPr>
          <w:highlight w:val="black"/>
        </w:rPr>
        <w:t>XXXXXX</w:t>
      </w:r>
    </w:p>
    <w:p w14:paraId="118098B6" w14:textId="77777777" w:rsidR="00014F75" w:rsidRPr="00014F75" w:rsidRDefault="00014F75" w:rsidP="00014F75">
      <w:pPr>
        <w:spacing w:before="240"/>
        <w:rPr>
          <w:highlight w:val="black"/>
        </w:rPr>
      </w:pPr>
      <w:r w:rsidRPr="00014F75">
        <w:rPr>
          <w:highlight w:val="black"/>
        </w:rPr>
        <w:t>XXXXXXX</w:t>
      </w:r>
    </w:p>
    <w:p w14:paraId="3796A77A" w14:textId="77777777" w:rsidR="00D44F98" w:rsidRDefault="00EB70E0">
      <w:pPr>
        <w:spacing w:line="480" w:lineRule="auto"/>
        <w:rPr>
          <w:b/>
        </w:rPr>
      </w:pPr>
      <w:r>
        <w:rPr>
          <w:b/>
        </w:rPr>
        <w:lastRenderedPageBreak/>
        <w:t>For the Supplier:</w:t>
      </w:r>
    </w:p>
    <w:p w14:paraId="02E56F2C" w14:textId="77777777" w:rsidR="00014F75" w:rsidRPr="00014F75" w:rsidRDefault="00014F75" w:rsidP="00014F75">
      <w:pPr>
        <w:spacing w:before="240"/>
        <w:rPr>
          <w:highlight w:val="black"/>
        </w:rPr>
      </w:pPr>
      <w:r w:rsidRPr="00014F75">
        <w:rPr>
          <w:highlight w:val="black"/>
        </w:rPr>
        <w:t>XXXXXXXXXX</w:t>
      </w:r>
    </w:p>
    <w:p w14:paraId="36E69552" w14:textId="77777777" w:rsidR="00014F75" w:rsidRPr="00014F75" w:rsidRDefault="00014F75" w:rsidP="00014F75">
      <w:pPr>
        <w:spacing w:before="240"/>
        <w:rPr>
          <w:highlight w:val="black"/>
        </w:rPr>
      </w:pPr>
      <w:r w:rsidRPr="00014F75">
        <w:rPr>
          <w:highlight w:val="black"/>
        </w:rPr>
        <w:t>XXXXXX</w:t>
      </w:r>
    </w:p>
    <w:p w14:paraId="46FB3652" w14:textId="77777777" w:rsidR="00014F75" w:rsidRPr="00014F75" w:rsidRDefault="00014F75" w:rsidP="00014F75">
      <w:pPr>
        <w:spacing w:before="240"/>
        <w:rPr>
          <w:highlight w:val="black"/>
        </w:rPr>
      </w:pPr>
      <w:r w:rsidRPr="00014F75">
        <w:rPr>
          <w:highlight w:val="black"/>
        </w:rPr>
        <w:t>XXXXXXX</w:t>
      </w:r>
    </w:p>
    <w:p w14:paraId="0AF89D96" w14:textId="77777777" w:rsidR="00D44F98" w:rsidRDefault="00EB70E0">
      <w:pPr>
        <w:pStyle w:val="Heading3"/>
      </w:pPr>
      <w: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D44F98" w14:paraId="79F5264B"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C239E3" w14:textId="77777777" w:rsidR="00D44F98" w:rsidRDefault="00EB70E0">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33B4B8" w14:textId="77777777" w:rsidR="00D44F98" w:rsidRDefault="00EB70E0">
            <w:pPr>
              <w:spacing w:before="240"/>
            </w:pPr>
            <w:r>
              <w:t xml:space="preserve">This Call-Off Contract Starts on 24/11/2022 and is valid for </w:t>
            </w:r>
            <w:r>
              <w:rPr>
                <w:b/>
              </w:rPr>
              <w:t>12 Months</w:t>
            </w:r>
          </w:p>
          <w:p w14:paraId="66A8EF67" w14:textId="77777777" w:rsidR="00D44F98" w:rsidRDefault="00EB70E0">
            <w:pPr>
              <w:spacing w:before="240"/>
            </w:pPr>
            <w:r>
              <w:t>[The date and number of days or months is subject to clause 1.2 in Part B below.]</w:t>
            </w:r>
          </w:p>
        </w:tc>
      </w:tr>
      <w:tr w:rsidR="00D44F98" w14:paraId="213FAA07"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CB1051" w14:textId="77777777" w:rsidR="00D44F98" w:rsidRDefault="00EB70E0">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253DE40C" w14:textId="77777777" w:rsidR="00D44F98" w:rsidRDefault="00EB70E0">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5262540F" w14:textId="77777777" w:rsidR="00D44F98" w:rsidRDefault="00EB70E0">
            <w:pPr>
              <w:spacing w:before="240"/>
            </w:pPr>
            <w:r>
              <w:t xml:space="preserve">The notice period for the Buyer is a maximum of </w:t>
            </w:r>
            <w:r>
              <w:rPr>
                <w:b/>
              </w:rPr>
              <w:t>30</w:t>
            </w:r>
            <w:r>
              <w:t xml:space="preserve"> days from the date of written notice for Ending without cause (as per clause 18.1).</w:t>
            </w:r>
          </w:p>
        </w:tc>
      </w:tr>
      <w:tr w:rsidR="00D44F98" w14:paraId="22FD186D"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6A9B92" w14:textId="77777777" w:rsidR="00D44F98" w:rsidRDefault="00EB70E0">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6EDEFF63" w14:textId="77777777" w:rsidR="00D44F98" w:rsidRDefault="00EB70E0">
            <w:pPr>
              <w:spacing w:before="240"/>
            </w:pPr>
            <w:r>
              <w:t xml:space="preserve">This Call-off Contract can be extended by the Buyer for </w:t>
            </w:r>
            <w:r>
              <w:rPr>
                <w:b/>
              </w:rPr>
              <w:t xml:space="preserve">2 </w:t>
            </w:r>
            <w:r>
              <w:t xml:space="preserve">period(s) of up to </w:t>
            </w:r>
            <w:r>
              <w:rPr>
                <w:b/>
                <w:bCs/>
              </w:rPr>
              <w:t>12</w:t>
            </w:r>
            <w:r>
              <w:t xml:space="preserve"> months each, by giving the Supplier </w:t>
            </w:r>
            <w:r>
              <w:rPr>
                <w:b/>
              </w:rPr>
              <w:t>1 Months</w:t>
            </w:r>
            <w:r>
              <w:t xml:space="preserve"> written notice before its expiry. The extension periods are subject to clauses 1.3 and 1.4 in Part B below.</w:t>
            </w:r>
          </w:p>
          <w:p w14:paraId="7BF86083" w14:textId="77777777" w:rsidR="00D44F98" w:rsidRDefault="00EB70E0">
            <w:pPr>
              <w:spacing w:before="240"/>
            </w:pPr>
            <w:r>
              <w:t>Extensions which extend the Term beyond 24 months are only permitted if the Supplier complies with the additional exit plan requirements at clauses 21.3 to 21.8.</w:t>
            </w:r>
          </w:p>
          <w:p w14:paraId="029B82FF" w14:textId="77777777" w:rsidR="00D44F98" w:rsidRDefault="00D44F98">
            <w:pPr>
              <w:spacing w:before="240"/>
            </w:pPr>
          </w:p>
        </w:tc>
      </w:tr>
    </w:tbl>
    <w:p w14:paraId="629ED262" w14:textId="77777777" w:rsidR="00D44F98" w:rsidRDefault="00EB70E0">
      <w:pPr>
        <w:pStyle w:val="Heading3"/>
      </w:pPr>
      <w:r>
        <w:t>Buyer contractual details</w:t>
      </w:r>
    </w:p>
    <w:p w14:paraId="01F9E0B5" w14:textId="77777777" w:rsidR="00D44F98" w:rsidRDefault="00EB70E0">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599"/>
        <w:gridCol w:w="6256"/>
        <w:gridCol w:w="40"/>
      </w:tblGrid>
      <w:tr w:rsidR="00D44F98" w14:paraId="18A3C590" w14:textId="77777777">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2E30D4" w14:textId="77777777" w:rsidR="00D44F98" w:rsidRDefault="00EB70E0">
            <w:pPr>
              <w:spacing w:before="240"/>
              <w:rPr>
                <w:b/>
              </w:rPr>
            </w:pPr>
            <w:r>
              <w:rPr>
                <w:b/>
              </w:rPr>
              <w:lastRenderedPageBreak/>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143440" w14:textId="77777777" w:rsidR="00D44F98" w:rsidRDefault="00EB70E0">
            <w:pPr>
              <w:spacing w:before="240"/>
            </w:pPr>
            <w:r>
              <w:t>This Call-Off Contract is for the provision of Services under:</w:t>
            </w:r>
          </w:p>
          <w:p w14:paraId="67252FB3" w14:textId="77777777" w:rsidR="00D44F98" w:rsidRDefault="00EB70E0">
            <w:pPr>
              <w:pStyle w:val="ListParagraph"/>
              <w:numPr>
                <w:ilvl w:val="0"/>
                <w:numId w:val="1"/>
              </w:numPr>
              <w:spacing w:before="240"/>
            </w:pPr>
            <w:r>
              <w:t xml:space="preserve">Lot 3: Cloud support </w:t>
            </w:r>
          </w:p>
        </w:tc>
      </w:tr>
      <w:tr w:rsidR="00D44F98" w14:paraId="2D3BC2C6" w14:textId="77777777">
        <w:trPr>
          <w:trHeight w:val="3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DEEF7D" w14:textId="77777777" w:rsidR="00D44F98" w:rsidRDefault="00EB70E0">
            <w:pPr>
              <w:spacing w:before="240"/>
              <w:rPr>
                <w:b/>
              </w:rPr>
            </w:pPr>
            <w:r>
              <w:rPr>
                <w:b/>
              </w:rPr>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C9687DE" w14:textId="77777777" w:rsidR="00D44F98" w:rsidRDefault="00EB70E0">
            <w:pPr>
              <w:spacing w:before="240"/>
            </w:pPr>
            <w:r>
              <w:t>The Services to be provided by the Supplier under the above Lot are listed in Framework Section 2 and outlined below:</w:t>
            </w:r>
          </w:p>
          <w:p w14:paraId="45E73A59" w14:textId="77777777" w:rsidR="00D44F98" w:rsidRDefault="00EB70E0">
            <w:pPr>
              <w:numPr>
                <w:ilvl w:val="0"/>
                <w:numId w:val="2"/>
              </w:numPr>
              <w:suppressAutoHyphens w:val="0"/>
              <w:spacing w:before="100" w:after="100" w:line="240" w:lineRule="auto"/>
              <w:textAlignment w:val="auto"/>
            </w:pPr>
            <w:r>
              <w:t xml:space="preserve">Support the establishment of </w:t>
            </w:r>
            <w:r>
              <w:rPr>
                <w:u w:val="single"/>
              </w:rPr>
              <w:t>DP</w:t>
            </w:r>
            <w:r>
              <w:rPr>
                <w:b/>
                <w:bCs/>
                <w:u w:val="single"/>
              </w:rPr>
              <w:t>S</w:t>
            </w:r>
            <w:r>
              <w:t xml:space="preserve"> Data Quality Assessment capability</w:t>
            </w:r>
          </w:p>
          <w:p w14:paraId="52B634FC" w14:textId="77777777" w:rsidR="00D44F98" w:rsidRDefault="00EB70E0">
            <w:pPr>
              <w:numPr>
                <w:ilvl w:val="0"/>
                <w:numId w:val="2"/>
              </w:numPr>
              <w:suppressAutoHyphens w:val="0"/>
              <w:spacing w:before="100" w:after="100" w:line="240" w:lineRule="auto"/>
              <w:textAlignment w:val="auto"/>
            </w:pPr>
            <w:r>
              <w:t xml:space="preserve">Support and Maintenance of the </w:t>
            </w:r>
            <w:r>
              <w:rPr>
                <w:u w:val="single"/>
              </w:rPr>
              <w:t>DLS</w:t>
            </w:r>
            <w:r>
              <w:t xml:space="preserve"> Data Quality Service </w:t>
            </w:r>
          </w:p>
          <w:p w14:paraId="20952612" w14:textId="49DA769C" w:rsidR="00A3102B" w:rsidRPr="00A3102B" w:rsidRDefault="00A3102B" w:rsidP="00A3102B">
            <w:pPr>
              <w:suppressAutoHyphens w:val="0"/>
              <w:spacing w:before="100" w:after="100" w:line="240" w:lineRule="auto"/>
              <w:textAlignment w:val="auto"/>
              <w:rPr>
                <w:highlight w:val="black"/>
              </w:rPr>
            </w:pPr>
            <w:r w:rsidRPr="00A3102B">
              <w:rPr>
                <w:highlight w:val="black"/>
              </w:rPr>
              <w:t xml:space="preserve">XXXXXXXXXXXXXXXXXXXXXXXXXXXXXXXXXXXXXXXXXXXXXXXXXXXXXXXXXXXXXX </w:t>
            </w:r>
            <w:proofErr w:type="spellStart"/>
            <w:r w:rsidRPr="00A3102B">
              <w:rPr>
                <w:highlight w:val="black"/>
              </w:rPr>
              <w:t>XXXXXXXXXXXXXXXXXXXXXXXXXXXXXXXXXXXXXXXXXXXXXXXXXXXXXXXXXXXXXX</w:t>
            </w:r>
            <w:proofErr w:type="spellEnd"/>
          </w:p>
          <w:p w14:paraId="5D051A3C" w14:textId="77777777" w:rsidR="00A3102B" w:rsidRPr="00A3102B" w:rsidRDefault="00A3102B" w:rsidP="00A3102B">
            <w:pPr>
              <w:suppressAutoHyphens w:val="0"/>
              <w:spacing w:before="100" w:after="100" w:line="240" w:lineRule="auto"/>
              <w:textAlignment w:val="auto"/>
              <w:rPr>
                <w:highlight w:val="black"/>
              </w:rPr>
            </w:pPr>
            <w:r w:rsidRPr="00A3102B">
              <w:rPr>
                <w:highlight w:val="black"/>
              </w:rPr>
              <w:t>XXXXXXXXXXXXXXXXXXXXXXXXXXXXXXXXXXXXXXXXXXXXXXXXXXXXXXXXXXXXXX</w:t>
            </w:r>
          </w:p>
          <w:p w14:paraId="27CC484A" w14:textId="77777777" w:rsidR="00A3102B" w:rsidRPr="00A3102B" w:rsidRDefault="00A3102B" w:rsidP="00A3102B">
            <w:pPr>
              <w:suppressAutoHyphens w:val="0"/>
              <w:spacing w:before="100" w:after="100" w:line="240" w:lineRule="auto"/>
              <w:textAlignment w:val="auto"/>
              <w:rPr>
                <w:highlight w:val="black"/>
              </w:rPr>
            </w:pPr>
            <w:r w:rsidRPr="00A3102B">
              <w:rPr>
                <w:highlight w:val="black"/>
              </w:rPr>
              <w:t>XXXXXXXXXXXXXXXXXXXXXXXXXXXXXXXXXXXXXXXXXXXXXXXXXXXXXXXXXXXXXX</w:t>
            </w:r>
          </w:p>
          <w:p w14:paraId="62FE0636" w14:textId="77777777" w:rsidR="00A3102B" w:rsidRPr="00A3102B" w:rsidRDefault="00A3102B" w:rsidP="00A3102B">
            <w:pPr>
              <w:suppressAutoHyphens w:val="0"/>
              <w:spacing w:before="100" w:after="100" w:line="240" w:lineRule="auto"/>
              <w:textAlignment w:val="auto"/>
              <w:rPr>
                <w:highlight w:val="black"/>
              </w:rPr>
            </w:pPr>
            <w:r w:rsidRPr="00A3102B">
              <w:rPr>
                <w:highlight w:val="black"/>
              </w:rPr>
              <w:t>XXXXXXXXXXXXXXXXXXXXXXXXXXXXXXXXXXXXXXXXXXXXXXXXXXXXXXXXXXXXXX</w:t>
            </w:r>
          </w:p>
          <w:p w14:paraId="464142D3" w14:textId="77777777" w:rsidR="00A3102B" w:rsidRPr="00A3102B" w:rsidRDefault="00A3102B" w:rsidP="00A3102B">
            <w:pPr>
              <w:suppressAutoHyphens w:val="0"/>
              <w:spacing w:before="100" w:after="100" w:line="240" w:lineRule="auto"/>
              <w:textAlignment w:val="auto"/>
              <w:rPr>
                <w:highlight w:val="black"/>
              </w:rPr>
            </w:pPr>
            <w:r w:rsidRPr="00A3102B">
              <w:rPr>
                <w:highlight w:val="black"/>
              </w:rPr>
              <w:t>XXXXXXXXXXXXXXXXXXXXXXXXXXXXXXXXXXXXXXXXXXXXXXXXXXXXXXXXXXXXXX</w:t>
            </w:r>
          </w:p>
          <w:p w14:paraId="50AD6022" w14:textId="77777777" w:rsidR="00A3102B" w:rsidRPr="00A3102B" w:rsidRDefault="00A3102B" w:rsidP="00A3102B">
            <w:pPr>
              <w:suppressAutoHyphens w:val="0"/>
              <w:spacing w:before="100" w:after="100" w:line="240" w:lineRule="auto"/>
              <w:textAlignment w:val="auto"/>
              <w:rPr>
                <w:highlight w:val="black"/>
              </w:rPr>
            </w:pPr>
            <w:r w:rsidRPr="00A3102B">
              <w:rPr>
                <w:highlight w:val="black"/>
              </w:rPr>
              <w:t>XXXXXXXXXXXXXXXXXXXXXXXXXXXXXXXXXXXXXXXXXXXXXXXXXXXXXXXXXXXXXX</w:t>
            </w:r>
          </w:p>
          <w:p w14:paraId="264DDD22" w14:textId="77777777" w:rsidR="00A3102B" w:rsidRDefault="00A3102B" w:rsidP="00A3102B">
            <w:pPr>
              <w:suppressAutoHyphens w:val="0"/>
              <w:spacing w:before="100" w:after="100" w:line="240" w:lineRule="auto"/>
              <w:textAlignment w:val="auto"/>
            </w:pPr>
            <w:r w:rsidRPr="00A3102B">
              <w:rPr>
                <w:highlight w:val="black"/>
              </w:rPr>
              <w:t>XXXXXXXXXXXXXXXXXXXXXXXXXXXXXXXXXXXXXXXXXXXXXXXXXXXXXXXXXXXXXX</w:t>
            </w:r>
          </w:p>
          <w:p w14:paraId="331B7A6B" w14:textId="14E254C3" w:rsidR="00D44F98" w:rsidRDefault="00D44F98">
            <w:pPr>
              <w:suppressAutoHyphens w:val="0"/>
              <w:spacing w:before="100" w:after="100" w:line="240" w:lineRule="auto"/>
              <w:textAlignment w:val="auto"/>
            </w:pPr>
          </w:p>
          <w:p w14:paraId="403430AA" w14:textId="247D1723" w:rsidR="00D44F98" w:rsidRDefault="00D44F98">
            <w:pPr>
              <w:spacing w:before="240"/>
            </w:pPr>
          </w:p>
        </w:tc>
      </w:tr>
      <w:tr w:rsidR="00D44F98" w14:paraId="27FB235C" w14:textId="77777777">
        <w:trPr>
          <w:trHeight w:val="1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ABF7AD" w14:textId="77777777" w:rsidR="00D44F98" w:rsidRDefault="00EB70E0">
            <w:pPr>
              <w:spacing w:before="240"/>
              <w:rPr>
                <w:b/>
              </w:rPr>
            </w:pPr>
            <w:r>
              <w:rPr>
                <w:b/>
              </w:rPr>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8498835" w14:textId="77777777" w:rsidR="00D44F98" w:rsidRDefault="00EB70E0">
            <w:pPr>
              <w:spacing w:before="240"/>
            </w:pPr>
            <w:r>
              <w:rPr>
                <w:b/>
              </w:rPr>
              <w:t>N/A</w:t>
            </w:r>
          </w:p>
        </w:tc>
      </w:tr>
      <w:tr w:rsidR="00D44F98" w14:paraId="150701CE" w14:textId="77777777">
        <w:trPr>
          <w:trHeight w:val="26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884C8C" w14:textId="77777777" w:rsidR="00D44F98" w:rsidRDefault="00EB70E0">
            <w:pPr>
              <w:spacing w:before="240"/>
              <w:rPr>
                <w:b/>
              </w:rPr>
            </w:pPr>
            <w:r>
              <w:rPr>
                <w:b/>
              </w:rPr>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FED85AD" w14:textId="77777777" w:rsidR="00D44F98" w:rsidRDefault="00EB70E0">
            <w:pPr>
              <w:spacing w:before="240"/>
            </w:pPr>
            <w:r>
              <w:t>The Services will be delivered to various HMRC locations.</w:t>
            </w:r>
          </w:p>
          <w:p w14:paraId="662E307C" w14:textId="77777777" w:rsidR="00D44F98" w:rsidRDefault="00D44F98">
            <w:pPr>
              <w:spacing w:before="240"/>
            </w:pPr>
          </w:p>
        </w:tc>
      </w:tr>
      <w:tr w:rsidR="00D44F98" w14:paraId="1C8BFE6E" w14:textId="77777777">
        <w:trPr>
          <w:trHeight w:val="7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DCFFDF" w14:textId="77777777" w:rsidR="00D44F98" w:rsidRDefault="00EB70E0">
            <w:pPr>
              <w:spacing w:before="240"/>
              <w:rPr>
                <w:b/>
              </w:rPr>
            </w:pPr>
            <w:r>
              <w:rPr>
                <w:b/>
              </w:rPr>
              <w:lastRenderedPageBreak/>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6150E527" w14:textId="77777777" w:rsidR="00D44F98" w:rsidRDefault="00EB70E0">
            <w:pPr>
              <w:autoSpaceDE w:val="0"/>
              <w:spacing w:line="240" w:lineRule="auto"/>
            </w:pPr>
            <w:r>
              <w:t>The quality standards required for this Call-Off Contract are</w:t>
            </w:r>
          </w:p>
          <w:p w14:paraId="7773EC85" w14:textId="77777777" w:rsidR="00D44F98" w:rsidRDefault="00EB70E0">
            <w:pPr>
              <w:autoSpaceDE w:val="0"/>
              <w:spacing w:line="240" w:lineRule="auto"/>
            </w:pPr>
            <w:r>
              <w:t>as per the G Cloud framework standards.</w:t>
            </w:r>
          </w:p>
          <w:p w14:paraId="3545A4FA" w14:textId="77777777" w:rsidR="00D44F98" w:rsidRDefault="00EB70E0">
            <w:pPr>
              <w:autoSpaceDE w:val="0"/>
              <w:spacing w:line="240" w:lineRule="auto"/>
            </w:pPr>
            <w:r>
              <w:t>The quality standards required for this Call-Off Contract can</w:t>
            </w:r>
          </w:p>
          <w:p w14:paraId="4BD6CBA2" w14:textId="77777777" w:rsidR="00D44F98" w:rsidRDefault="00EB70E0">
            <w:pPr>
              <w:spacing w:before="240"/>
              <w:rPr>
                <w:rFonts w:ascii="ArialMT" w:hAnsi="ArialMT" w:cs="ArialMT"/>
              </w:rPr>
            </w:pPr>
            <w:r>
              <w:rPr>
                <w:rFonts w:ascii="ArialMT" w:hAnsi="ArialMT" w:cs="ArialMT"/>
              </w:rPr>
              <w:t>be found in the Supplier’s service offering here:</w:t>
            </w:r>
          </w:p>
          <w:p w14:paraId="0A4EE444" w14:textId="77777777" w:rsidR="00D44F98" w:rsidRDefault="00A3102B">
            <w:pPr>
              <w:spacing w:before="240"/>
            </w:pPr>
            <w:hyperlink r:id="rId8" w:history="1">
              <w:r w:rsidR="00EB70E0">
                <w:rPr>
                  <w:rStyle w:val="Hyperlink"/>
                </w:rPr>
                <w:t>https://www.digitalmarketplace.service.gov.uk/g-cloud/services/780885135640884</w:t>
              </w:r>
            </w:hyperlink>
          </w:p>
          <w:p w14:paraId="0F97B316" w14:textId="77777777" w:rsidR="00D44F98" w:rsidRDefault="00A3102B">
            <w:pPr>
              <w:spacing w:before="240"/>
            </w:pPr>
            <w:hyperlink r:id="rId9" w:history="1">
              <w:r w:rsidR="00EB70E0">
                <w:rPr>
                  <w:rStyle w:val="Hyperlink"/>
                  <w:rFonts w:eastAsia="Times New Roman"/>
                </w:rPr>
                <w:t>https://www.digitalmarketplace.service.gov.uk/g-cloud/services/333710484611412</w:t>
              </w:r>
            </w:hyperlink>
          </w:p>
        </w:tc>
        <w:tc>
          <w:tcPr>
            <w:tcW w:w="40" w:type="dxa"/>
            <w:shd w:val="clear" w:color="auto" w:fill="auto"/>
            <w:tcMar>
              <w:top w:w="0" w:type="dxa"/>
              <w:left w:w="10" w:type="dxa"/>
              <w:bottom w:w="0" w:type="dxa"/>
              <w:right w:w="10" w:type="dxa"/>
            </w:tcMar>
          </w:tcPr>
          <w:p w14:paraId="49BE172D" w14:textId="77777777" w:rsidR="00D44F98" w:rsidRDefault="00D44F98">
            <w:pPr>
              <w:spacing w:before="240"/>
            </w:pPr>
          </w:p>
        </w:tc>
      </w:tr>
      <w:tr w:rsidR="00D44F98" w14:paraId="1960BB29" w14:textId="77777777">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AC76B6" w14:textId="77777777" w:rsidR="00D44F98" w:rsidRDefault="00EB70E0">
            <w:pPr>
              <w:spacing w:before="240"/>
              <w:rPr>
                <w:b/>
              </w:rPr>
            </w:pPr>
            <w:r>
              <w:rPr>
                <w:b/>
              </w:rPr>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52F92A" w14:textId="77777777" w:rsidR="00D44F98" w:rsidRDefault="00EB70E0">
            <w:pPr>
              <w:autoSpaceDE w:val="0"/>
              <w:spacing w:line="240" w:lineRule="auto"/>
            </w:pPr>
            <w:r>
              <w:t>The technical standards used as a requirement for this Call-</w:t>
            </w:r>
          </w:p>
          <w:p w14:paraId="5A2D79F4" w14:textId="77777777" w:rsidR="00D44F98" w:rsidRDefault="00EB70E0">
            <w:pPr>
              <w:autoSpaceDE w:val="0"/>
              <w:spacing w:line="240" w:lineRule="auto"/>
            </w:pPr>
            <w:r>
              <w:rPr>
                <w:rFonts w:ascii="ArialMT" w:hAnsi="ArialMT" w:cs="ArialMT"/>
              </w:rPr>
              <w:t xml:space="preserve">Off Contract can be found in the Supplier’s service offering </w:t>
            </w:r>
            <w:r>
              <w:t>below:</w:t>
            </w:r>
          </w:p>
          <w:p w14:paraId="1DAC5A3D" w14:textId="77777777" w:rsidR="00D44F98" w:rsidRDefault="00A3102B">
            <w:pPr>
              <w:spacing w:before="240"/>
            </w:pPr>
            <w:hyperlink r:id="rId10" w:history="1">
              <w:r w:rsidR="00EB70E0">
                <w:rPr>
                  <w:rStyle w:val="Hyperlink"/>
                </w:rPr>
                <w:t>https://www.digitalmarketplace.service.gov.uk/g-cloud/services/780885135640884</w:t>
              </w:r>
            </w:hyperlink>
            <w:r w:rsidR="00EB70E0">
              <w:t xml:space="preserve"> </w:t>
            </w:r>
          </w:p>
          <w:p w14:paraId="780E8C68" w14:textId="77777777" w:rsidR="00D44F98" w:rsidRDefault="00A3102B">
            <w:pPr>
              <w:spacing w:before="240"/>
            </w:pPr>
            <w:hyperlink r:id="rId11" w:history="1">
              <w:r w:rsidR="00EB70E0">
                <w:rPr>
                  <w:rStyle w:val="Hyperlink"/>
                  <w:rFonts w:eastAsia="Times New Roman"/>
                </w:rPr>
                <w:t>https://www.digitalmarketplace.service.gov.uk/g-cloud/services/333710484611412</w:t>
              </w:r>
            </w:hyperlink>
          </w:p>
          <w:p w14:paraId="612D5F1A" w14:textId="77777777" w:rsidR="00D44F98" w:rsidRDefault="00EB70E0">
            <w:pPr>
              <w:spacing w:before="240"/>
            </w:pPr>
            <w:r>
              <w:t xml:space="preserve">The technical standards used as a requirement for this Call Off Contract are as agreed in </w:t>
            </w:r>
            <w:hyperlink r:id="rId12" w:history="1">
              <w:r>
                <w:rPr>
                  <w:rStyle w:val="Hyperlink"/>
                </w:rPr>
                <w:t>Government Technology Code of Practice</w:t>
              </w:r>
            </w:hyperlink>
            <w:r>
              <w:t xml:space="preserve"> (wherever applicable), adopting </w:t>
            </w:r>
            <w:hyperlink r:id="rId13" w:history="1">
              <w:r>
                <w:rPr>
                  <w:rStyle w:val="Hyperlink"/>
                </w:rPr>
                <w:t>SAS Data Quality</w:t>
              </w:r>
            </w:hyperlink>
            <w:r>
              <w:t xml:space="preserve"> best practice (whenever possible)</w:t>
            </w:r>
          </w:p>
        </w:tc>
        <w:tc>
          <w:tcPr>
            <w:tcW w:w="40" w:type="dxa"/>
            <w:shd w:val="clear" w:color="auto" w:fill="auto"/>
            <w:tcMar>
              <w:top w:w="0" w:type="dxa"/>
              <w:left w:w="10" w:type="dxa"/>
              <w:bottom w:w="0" w:type="dxa"/>
              <w:right w:w="10" w:type="dxa"/>
            </w:tcMar>
          </w:tcPr>
          <w:p w14:paraId="24A642E3" w14:textId="77777777" w:rsidR="00D44F98" w:rsidRDefault="00D44F98">
            <w:pPr>
              <w:spacing w:before="240"/>
            </w:pPr>
          </w:p>
        </w:tc>
      </w:tr>
      <w:tr w:rsidR="00D44F98" w14:paraId="445D0E80" w14:textId="77777777">
        <w:trPr>
          <w:trHeight w:val="302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F8CC51" w14:textId="77777777" w:rsidR="00D44F98" w:rsidRDefault="00EB70E0">
            <w:pPr>
              <w:spacing w:before="240"/>
              <w:rPr>
                <w:b/>
              </w:rPr>
            </w:pPr>
            <w:r>
              <w:rPr>
                <w:b/>
              </w:rPr>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9C310A7" w14:textId="77777777" w:rsidR="00D44F98" w:rsidRDefault="00EB70E0">
            <w:pPr>
              <w:spacing w:before="240"/>
            </w:pPr>
            <w:r>
              <w:t>The service level and availability criteria required for this Call-Off Contract are as proposed within the “Proposal HMRC DQ 2022.pdf” alongside within:</w:t>
            </w:r>
          </w:p>
          <w:p w14:paraId="6B62863F" w14:textId="77777777" w:rsidR="00D44F98" w:rsidRDefault="00EB70E0">
            <w:pPr>
              <w:pStyle w:val="ListParagraph"/>
              <w:numPr>
                <w:ilvl w:val="0"/>
                <w:numId w:val="3"/>
              </w:numPr>
            </w:pPr>
            <w:r>
              <w:t>in the Supplier’s Service Definition</w:t>
            </w:r>
          </w:p>
          <w:p w14:paraId="3DC505D7" w14:textId="77777777" w:rsidR="00D44F98" w:rsidRDefault="00EB70E0">
            <w:pPr>
              <w:pStyle w:val="ListParagraph"/>
              <w:numPr>
                <w:ilvl w:val="0"/>
                <w:numId w:val="3"/>
              </w:numPr>
            </w:pPr>
            <w:r>
              <w:t>in the Service Description</w:t>
            </w:r>
          </w:p>
          <w:p w14:paraId="4A7DD2C2" w14:textId="77777777" w:rsidR="00D44F98" w:rsidRDefault="00EB70E0">
            <w:r>
              <w:t>as found https://www.digitalmarketplace.service.gov.uk/g-cloud/services/780885135640884</w:t>
            </w:r>
          </w:p>
        </w:tc>
        <w:tc>
          <w:tcPr>
            <w:tcW w:w="40" w:type="dxa"/>
            <w:shd w:val="clear" w:color="auto" w:fill="auto"/>
            <w:tcMar>
              <w:top w:w="0" w:type="dxa"/>
              <w:left w:w="10" w:type="dxa"/>
              <w:bottom w:w="0" w:type="dxa"/>
              <w:right w:w="10" w:type="dxa"/>
            </w:tcMar>
          </w:tcPr>
          <w:p w14:paraId="580B4B85" w14:textId="77777777" w:rsidR="00D44F98" w:rsidRDefault="00D44F98">
            <w:pPr>
              <w:pStyle w:val="ListParagraph"/>
            </w:pPr>
          </w:p>
        </w:tc>
      </w:tr>
      <w:tr w:rsidR="00D44F98" w14:paraId="20BAB085" w14:textId="77777777">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020E88" w14:textId="77777777" w:rsidR="00D44F98" w:rsidRDefault="00EB70E0">
            <w:pPr>
              <w:spacing w:before="240"/>
              <w:rPr>
                <w:b/>
              </w:rPr>
            </w:pPr>
            <w:r>
              <w:rPr>
                <w:b/>
              </w:rPr>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6F43C92" w14:textId="77777777" w:rsidR="00D44F98" w:rsidRDefault="00EB70E0">
            <w:pPr>
              <w:spacing w:before="240"/>
            </w:pPr>
            <w:r>
              <w:t xml:space="preserve">The onboarding plan for this Call-Off Contract is </w:t>
            </w:r>
            <w:r>
              <w:rPr>
                <w:b/>
              </w:rPr>
              <w:t>N/A</w:t>
            </w:r>
          </w:p>
        </w:tc>
        <w:tc>
          <w:tcPr>
            <w:tcW w:w="40" w:type="dxa"/>
            <w:shd w:val="clear" w:color="auto" w:fill="auto"/>
            <w:tcMar>
              <w:top w:w="0" w:type="dxa"/>
              <w:left w:w="10" w:type="dxa"/>
              <w:bottom w:w="0" w:type="dxa"/>
              <w:right w:w="10" w:type="dxa"/>
            </w:tcMar>
          </w:tcPr>
          <w:p w14:paraId="62C45340" w14:textId="77777777" w:rsidR="00D44F98" w:rsidRDefault="00D44F98">
            <w:pPr>
              <w:pStyle w:val="ListParagraph"/>
            </w:pPr>
          </w:p>
        </w:tc>
      </w:tr>
      <w:tr w:rsidR="00D44F98" w14:paraId="130DFCC5" w14:textId="77777777">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291DE" w14:textId="77777777" w:rsidR="00D44F98" w:rsidRDefault="00EB70E0">
            <w:pPr>
              <w:spacing w:before="240"/>
              <w:rPr>
                <w:b/>
              </w:rPr>
            </w:pPr>
            <w:r>
              <w:rPr>
                <w:b/>
              </w:rPr>
              <w:lastRenderedPageBreak/>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2472CA4A" w14:textId="77777777" w:rsidR="00D44F98" w:rsidRDefault="00EB70E0">
            <w:r>
              <w:t>N/A</w:t>
            </w:r>
          </w:p>
        </w:tc>
        <w:tc>
          <w:tcPr>
            <w:tcW w:w="40" w:type="dxa"/>
            <w:shd w:val="clear" w:color="auto" w:fill="auto"/>
            <w:tcMar>
              <w:top w:w="0" w:type="dxa"/>
              <w:left w:w="10" w:type="dxa"/>
              <w:bottom w:w="0" w:type="dxa"/>
              <w:right w:w="10" w:type="dxa"/>
            </w:tcMar>
          </w:tcPr>
          <w:p w14:paraId="62C74E26" w14:textId="77777777" w:rsidR="00D44F98" w:rsidRDefault="00D44F98">
            <w:pPr>
              <w:pStyle w:val="ListParagraph"/>
            </w:pPr>
          </w:p>
        </w:tc>
      </w:tr>
      <w:tr w:rsidR="00D44F98" w14:paraId="230374FC" w14:textId="77777777">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A6D9CD" w14:textId="77777777" w:rsidR="00D44F98" w:rsidRDefault="00EB70E0">
            <w:pPr>
              <w:spacing w:before="240"/>
              <w:rPr>
                <w:b/>
              </w:rPr>
            </w:pPr>
            <w:r>
              <w:rPr>
                <w:b/>
              </w:rPr>
              <w:t>Collaboration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DFE44D9" w14:textId="77777777" w:rsidR="00D44F98" w:rsidRDefault="00EB70E0">
            <w:pPr>
              <w:spacing w:before="240"/>
            </w:pPr>
            <w:r>
              <w:t>To be mutually agree if/when required</w:t>
            </w:r>
          </w:p>
        </w:tc>
        <w:tc>
          <w:tcPr>
            <w:tcW w:w="40" w:type="dxa"/>
            <w:shd w:val="clear" w:color="auto" w:fill="auto"/>
            <w:tcMar>
              <w:top w:w="0" w:type="dxa"/>
              <w:left w:w="10" w:type="dxa"/>
              <w:bottom w:w="0" w:type="dxa"/>
              <w:right w:w="10" w:type="dxa"/>
            </w:tcMar>
          </w:tcPr>
          <w:p w14:paraId="6EA3F539" w14:textId="77777777" w:rsidR="00D44F98" w:rsidRDefault="00D44F98">
            <w:pPr>
              <w:spacing w:before="240"/>
            </w:pPr>
          </w:p>
        </w:tc>
      </w:tr>
      <w:tr w:rsidR="00D44F98" w14:paraId="7E7E95A3" w14:textId="77777777">
        <w:trPr>
          <w:trHeight w:val="54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ABA2F7" w14:textId="77777777" w:rsidR="00D44F98" w:rsidRDefault="00EB70E0">
            <w:pPr>
              <w:spacing w:before="240"/>
              <w:rPr>
                <w:b/>
              </w:rPr>
            </w:pPr>
            <w:r>
              <w:rPr>
                <w:b/>
              </w:rPr>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97B925" w14:textId="77777777" w:rsidR="00D44F98" w:rsidRDefault="00EB70E0">
            <w:pPr>
              <w:spacing w:before="240"/>
            </w:pPr>
            <w:r>
              <w:t xml:space="preserve">The annual total liability of either Party for all Property defaults will not exceed the charges paid by the Buyer to the supplier during the Call-Off Contract Term. </w:t>
            </w:r>
          </w:p>
          <w:p w14:paraId="04A68B00" w14:textId="77777777" w:rsidR="00D44F98" w:rsidRDefault="00EB70E0">
            <w:pPr>
              <w:spacing w:before="240"/>
            </w:pPr>
            <w:r>
              <w:t xml:space="preserve">The annual total liability for Buyer Data Defaults will not exceed the Charges paid by the Buyer to the Supplier during the Call-Off Contract Term. </w:t>
            </w:r>
          </w:p>
          <w:p w14:paraId="042F2837" w14:textId="77777777" w:rsidR="00D44F98" w:rsidRDefault="00EB70E0">
            <w:pPr>
              <w:spacing w:before="240"/>
            </w:pPr>
            <w:r>
              <w:t>The annual total liability for all other Defaults will not exceed 125% of the Charges payable by the Buyer to the Supplier during the Call-Off Contract Term.</w:t>
            </w:r>
          </w:p>
        </w:tc>
        <w:tc>
          <w:tcPr>
            <w:tcW w:w="40" w:type="dxa"/>
            <w:shd w:val="clear" w:color="auto" w:fill="auto"/>
            <w:tcMar>
              <w:top w:w="0" w:type="dxa"/>
              <w:left w:w="10" w:type="dxa"/>
              <w:bottom w:w="0" w:type="dxa"/>
              <w:right w:w="10" w:type="dxa"/>
            </w:tcMar>
          </w:tcPr>
          <w:p w14:paraId="202675B6" w14:textId="77777777" w:rsidR="00D44F98" w:rsidRDefault="00D44F98">
            <w:pPr>
              <w:spacing w:before="240"/>
            </w:pPr>
          </w:p>
        </w:tc>
      </w:tr>
      <w:tr w:rsidR="00D44F98" w14:paraId="7C882A2F" w14:textId="77777777">
        <w:trPr>
          <w:trHeight w:val="5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3F9C34" w14:textId="77777777" w:rsidR="00D44F98" w:rsidRDefault="00EB70E0">
            <w:pPr>
              <w:spacing w:before="240"/>
              <w:rPr>
                <w:b/>
              </w:rPr>
            </w:pPr>
            <w:r>
              <w:rPr>
                <w:b/>
              </w:rPr>
              <w:lastRenderedPageBreak/>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85858D2" w14:textId="77777777" w:rsidR="00D44F98" w:rsidRDefault="00EB70E0">
            <w:pPr>
              <w:spacing w:before="240"/>
            </w:pPr>
            <w:r>
              <w:t>The insurance(s) required will be:</w:t>
            </w:r>
          </w:p>
          <w:p w14:paraId="705459A3" w14:textId="77777777" w:rsidR="00D44F98" w:rsidRDefault="00EB70E0">
            <w:pPr>
              <w:spacing w:before="240"/>
            </w:pPr>
            <w:r>
              <w:t>● A minimum insurance period of 6 years following the expiration or Ending of this Call-Off Contract</w:t>
            </w:r>
          </w:p>
          <w:p w14:paraId="6EFFAB09" w14:textId="77777777" w:rsidR="00D44F98" w:rsidRDefault="00EB70E0">
            <w:pPr>
              <w:spacing w:before="240"/>
            </w:pPr>
            <w:r>
              <w:t>● 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61517CF7" w14:textId="77777777" w:rsidR="00D44F98" w:rsidRDefault="00EB70E0">
            <w:pPr>
              <w:spacing w:before="240"/>
            </w:pPr>
            <w:r>
              <w:t>● Employers' liability insurance with a minimum limit of £5,000,000 or any higher minimum limit required by Law</w:t>
            </w:r>
          </w:p>
        </w:tc>
        <w:tc>
          <w:tcPr>
            <w:tcW w:w="40" w:type="dxa"/>
            <w:shd w:val="clear" w:color="auto" w:fill="auto"/>
            <w:tcMar>
              <w:top w:w="0" w:type="dxa"/>
              <w:left w:w="10" w:type="dxa"/>
              <w:bottom w:w="0" w:type="dxa"/>
              <w:right w:w="10" w:type="dxa"/>
            </w:tcMar>
          </w:tcPr>
          <w:p w14:paraId="0E3403F3" w14:textId="77777777" w:rsidR="00D44F98" w:rsidRDefault="00D44F98">
            <w:pPr>
              <w:spacing w:before="240"/>
            </w:pPr>
          </w:p>
        </w:tc>
      </w:tr>
      <w:tr w:rsidR="00D44F98" w14:paraId="7110D220" w14:textId="77777777">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C75406" w14:textId="77777777" w:rsidR="00D44F98" w:rsidRDefault="00EB70E0">
            <w:pPr>
              <w:spacing w:before="240"/>
              <w:rPr>
                <w:b/>
              </w:rPr>
            </w:pPr>
            <w:r>
              <w:rPr>
                <w:b/>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EF22E7" w14:textId="77777777" w:rsidR="00D44F98" w:rsidRDefault="00EB70E0">
            <w:pPr>
              <w:spacing w:before="240"/>
            </w:pPr>
            <w:r>
              <w:t xml:space="preserve">A Party may End this Call-Off Contract if the Other Party is affected by a Force Majeure Event that lasts for more than </w:t>
            </w:r>
            <w:r>
              <w:rPr>
                <w:b/>
                <w:bCs/>
              </w:rPr>
              <w:t>60</w:t>
            </w:r>
            <w:r>
              <w:t xml:space="preserve"> consecutive days.</w:t>
            </w:r>
          </w:p>
        </w:tc>
        <w:tc>
          <w:tcPr>
            <w:tcW w:w="40" w:type="dxa"/>
            <w:shd w:val="clear" w:color="auto" w:fill="auto"/>
            <w:tcMar>
              <w:top w:w="0" w:type="dxa"/>
              <w:left w:w="10" w:type="dxa"/>
              <w:bottom w:w="0" w:type="dxa"/>
              <w:right w:w="10" w:type="dxa"/>
            </w:tcMar>
          </w:tcPr>
          <w:p w14:paraId="641ABEA6" w14:textId="77777777" w:rsidR="00D44F98" w:rsidRDefault="00D44F98">
            <w:pPr>
              <w:spacing w:before="240"/>
            </w:pPr>
          </w:p>
        </w:tc>
      </w:tr>
      <w:tr w:rsidR="00D44F98" w14:paraId="63BB5AB0" w14:textId="77777777">
        <w:trPr>
          <w:trHeight w:val="200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59FE14" w14:textId="77777777" w:rsidR="00D44F98" w:rsidRDefault="00EB70E0">
            <w:pPr>
              <w:spacing w:before="240"/>
              <w:rPr>
                <w:b/>
              </w:rPr>
            </w:pPr>
            <w:r>
              <w:rPr>
                <w:b/>
              </w:rPr>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07500D5" w14:textId="77777777" w:rsidR="00D44F98" w:rsidRDefault="00EB70E0">
            <w:pPr>
              <w:spacing w:before="240"/>
            </w:pPr>
            <w:r>
              <w:t>The following Framework Agreement audit provisions will be incorporated under clause 2.1 of this Call-Off Contract to enable the Buyer to carry out audits:</w:t>
            </w:r>
          </w:p>
          <w:p w14:paraId="53ADD4BA" w14:textId="77777777" w:rsidR="00D44F98" w:rsidRDefault="00EB70E0">
            <w:pPr>
              <w:pStyle w:val="ListParagraph"/>
              <w:numPr>
                <w:ilvl w:val="0"/>
                <w:numId w:val="4"/>
              </w:numPr>
              <w:spacing w:before="240"/>
            </w:pPr>
            <w:r>
              <w:t>Audit provisions from clauses 7.4 to 7.13 of the Framework Agreement.</w:t>
            </w:r>
          </w:p>
          <w:p w14:paraId="4EC6CC65" w14:textId="77777777" w:rsidR="00D44F98" w:rsidRDefault="00D44F98">
            <w:pPr>
              <w:pStyle w:val="ListParagraph"/>
              <w:spacing w:before="240"/>
            </w:pPr>
          </w:p>
          <w:p w14:paraId="3B9C1CF4" w14:textId="77777777" w:rsidR="00D44F98" w:rsidRDefault="00EB70E0">
            <w:pPr>
              <w:autoSpaceDE w:val="0"/>
              <w:spacing w:line="240" w:lineRule="auto"/>
            </w:pPr>
            <w:r>
              <w:t>7.4 The Supplier will maintain full and accurate records and</w:t>
            </w:r>
          </w:p>
          <w:p w14:paraId="6F0F8372" w14:textId="77777777" w:rsidR="00D44F98" w:rsidRDefault="00EB70E0">
            <w:pPr>
              <w:autoSpaceDE w:val="0"/>
              <w:spacing w:line="240" w:lineRule="auto"/>
            </w:pPr>
            <w:r>
              <w:t>accounts, using Good Industry Practice and generally</w:t>
            </w:r>
          </w:p>
          <w:p w14:paraId="41329F34" w14:textId="77777777" w:rsidR="00D44F98" w:rsidRDefault="00EB70E0">
            <w:pPr>
              <w:autoSpaceDE w:val="0"/>
              <w:spacing w:line="240" w:lineRule="auto"/>
            </w:pPr>
            <w:r>
              <w:t>accepted accounting principles, of the:</w:t>
            </w:r>
          </w:p>
          <w:p w14:paraId="4E127238" w14:textId="77777777" w:rsidR="00D44F98" w:rsidRDefault="00EB70E0">
            <w:pPr>
              <w:pStyle w:val="ListParagraph"/>
              <w:numPr>
                <w:ilvl w:val="0"/>
                <w:numId w:val="4"/>
              </w:numPr>
              <w:autoSpaceDE w:val="0"/>
              <w:spacing w:line="240" w:lineRule="auto"/>
            </w:pPr>
            <w:r>
              <w:t>operation of the Framework Agreement and the Call-</w:t>
            </w:r>
          </w:p>
          <w:p w14:paraId="34B4B080" w14:textId="77777777" w:rsidR="00D44F98" w:rsidRDefault="00EB70E0">
            <w:pPr>
              <w:autoSpaceDE w:val="0"/>
              <w:spacing w:line="240" w:lineRule="auto"/>
            </w:pPr>
            <w:r>
              <w:t xml:space="preserve">Off Contracts </w:t>
            </w:r>
            <w:proofErr w:type="gramStart"/>
            <w:r>
              <w:t>entered into</w:t>
            </w:r>
            <w:proofErr w:type="gramEnd"/>
            <w:r>
              <w:t xml:space="preserve"> with Buyers</w:t>
            </w:r>
          </w:p>
          <w:p w14:paraId="12E3F665" w14:textId="77777777" w:rsidR="00D44F98" w:rsidRDefault="00EB70E0">
            <w:pPr>
              <w:pStyle w:val="ListParagraph"/>
              <w:numPr>
                <w:ilvl w:val="0"/>
                <w:numId w:val="4"/>
              </w:numPr>
              <w:autoSpaceDE w:val="0"/>
              <w:spacing w:line="240" w:lineRule="auto"/>
            </w:pPr>
            <w:r>
              <w:t>Services provided under any Call-Off Contracts</w:t>
            </w:r>
          </w:p>
          <w:p w14:paraId="4E7036A4" w14:textId="77777777" w:rsidR="00D44F98" w:rsidRDefault="00EB70E0">
            <w:pPr>
              <w:autoSpaceDE w:val="0"/>
              <w:spacing w:line="240" w:lineRule="auto"/>
            </w:pPr>
            <w:r>
              <w:t>(</w:t>
            </w:r>
            <w:proofErr w:type="gramStart"/>
            <w:r>
              <w:t>including</w:t>
            </w:r>
            <w:proofErr w:type="gramEnd"/>
            <w:r>
              <w:t xml:space="preserve"> any Subcontracts)</w:t>
            </w:r>
          </w:p>
          <w:p w14:paraId="41ED0306" w14:textId="77777777" w:rsidR="00D44F98" w:rsidRDefault="00EB70E0">
            <w:pPr>
              <w:pStyle w:val="ListParagraph"/>
              <w:numPr>
                <w:ilvl w:val="0"/>
                <w:numId w:val="4"/>
              </w:numPr>
              <w:autoSpaceDE w:val="0"/>
              <w:spacing w:line="240" w:lineRule="auto"/>
            </w:pPr>
            <w:r>
              <w:t>amounts paid by each Buyer under the Call-Off</w:t>
            </w:r>
          </w:p>
          <w:p w14:paraId="3C99E807" w14:textId="77777777" w:rsidR="00D44F98" w:rsidRDefault="00EB70E0">
            <w:pPr>
              <w:autoSpaceDE w:val="0"/>
              <w:spacing w:line="240" w:lineRule="auto"/>
            </w:pPr>
            <w:r>
              <w:t>Contracts</w:t>
            </w:r>
          </w:p>
          <w:p w14:paraId="77672F21" w14:textId="77777777" w:rsidR="00D44F98" w:rsidRDefault="00D44F98">
            <w:pPr>
              <w:autoSpaceDE w:val="0"/>
              <w:spacing w:line="240" w:lineRule="auto"/>
            </w:pPr>
          </w:p>
          <w:p w14:paraId="4C87F5FB" w14:textId="77777777" w:rsidR="00D44F98" w:rsidRDefault="00EB70E0">
            <w:pPr>
              <w:autoSpaceDE w:val="0"/>
              <w:spacing w:line="240" w:lineRule="auto"/>
              <w:rPr>
                <w:rFonts w:ascii="ArialMT" w:hAnsi="ArialMT" w:cs="ArialMT"/>
              </w:rPr>
            </w:pPr>
            <w:r>
              <w:rPr>
                <w:rFonts w:ascii="ArialMT" w:hAnsi="ArialMT" w:cs="ArialMT"/>
              </w:rPr>
              <w:t>7.6 The Supplier’s records and accounts will be kept until the</w:t>
            </w:r>
          </w:p>
          <w:p w14:paraId="16F474BB" w14:textId="77777777" w:rsidR="00D44F98" w:rsidRDefault="00EB70E0">
            <w:pPr>
              <w:autoSpaceDE w:val="0"/>
              <w:spacing w:line="240" w:lineRule="auto"/>
            </w:pPr>
            <w:r>
              <w:t>latest of the following dates:</w:t>
            </w:r>
          </w:p>
          <w:p w14:paraId="3B2ED58B" w14:textId="77777777" w:rsidR="00D44F98" w:rsidRDefault="00EB70E0">
            <w:pPr>
              <w:pStyle w:val="ListParagraph"/>
              <w:numPr>
                <w:ilvl w:val="0"/>
                <w:numId w:val="4"/>
              </w:numPr>
              <w:autoSpaceDE w:val="0"/>
              <w:spacing w:line="240" w:lineRule="auto"/>
            </w:pPr>
            <w:r>
              <w:t>7 years after the date of Ending or expiry of this</w:t>
            </w:r>
          </w:p>
          <w:p w14:paraId="0EC30466" w14:textId="77777777" w:rsidR="00D44F98" w:rsidRDefault="00EB70E0">
            <w:pPr>
              <w:autoSpaceDE w:val="0"/>
              <w:spacing w:line="240" w:lineRule="auto"/>
            </w:pPr>
            <w:r>
              <w:t>Framework Agreement</w:t>
            </w:r>
          </w:p>
          <w:p w14:paraId="6A8C7ACB" w14:textId="77777777" w:rsidR="00D44F98" w:rsidRDefault="00EB70E0">
            <w:pPr>
              <w:pStyle w:val="ListParagraph"/>
              <w:numPr>
                <w:ilvl w:val="0"/>
                <w:numId w:val="4"/>
              </w:numPr>
              <w:autoSpaceDE w:val="0"/>
              <w:spacing w:line="240" w:lineRule="auto"/>
            </w:pPr>
            <w:r>
              <w:t>7 years after the date of Ending or expiry of the last</w:t>
            </w:r>
          </w:p>
          <w:p w14:paraId="2A4FB15D" w14:textId="77777777" w:rsidR="00D44F98" w:rsidRDefault="00EB70E0">
            <w:pPr>
              <w:autoSpaceDE w:val="0"/>
              <w:spacing w:line="240" w:lineRule="auto"/>
            </w:pPr>
            <w:r>
              <w:t xml:space="preserve">Call-Off Contract to expire or </w:t>
            </w:r>
            <w:proofErr w:type="gramStart"/>
            <w:r>
              <w:t>End</w:t>
            </w:r>
            <w:proofErr w:type="gramEnd"/>
            <w:r>
              <w:t xml:space="preserve"> another date agreed between the Parties</w:t>
            </w:r>
          </w:p>
          <w:p w14:paraId="4E53FAAD" w14:textId="77777777" w:rsidR="00D44F98" w:rsidRDefault="00D44F98">
            <w:pPr>
              <w:autoSpaceDE w:val="0"/>
              <w:spacing w:line="240" w:lineRule="auto"/>
              <w:rPr>
                <w:rFonts w:ascii="ArialMT" w:hAnsi="ArialMT" w:cs="ArialMT"/>
                <w:sz w:val="16"/>
                <w:szCs w:val="16"/>
              </w:rPr>
            </w:pPr>
          </w:p>
          <w:p w14:paraId="06C49A0A" w14:textId="77777777" w:rsidR="00D44F98" w:rsidRDefault="00EB70E0">
            <w:pPr>
              <w:autoSpaceDE w:val="0"/>
              <w:spacing w:line="240" w:lineRule="auto"/>
            </w:pPr>
            <w:r>
              <w:lastRenderedPageBreak/>
              <w:t>7.13 Each Party is responsible for covering all their own</w:t>
            </w:r>
          </w:p>
          <w:p w14:paraId="3F562748" w14:textId="77777777" w:rsidR="00D44F98" w:rsidRDefault="00EB70E0">
            <w:pPr>
              <w:spacing w:before="240"/>
            </w:pPr>
            <w:r>
              <w:t>other costs incurred from their compliance with the Audit obligations.</w:t>
            </w:r>
          </w:p>
        </w:tc>
        <w:tc>
          <w:tcPr>
            <w:tcW w:w="40" w:type="dxa"/>
            <w:shd w:val="clear" w:color="auto" w:fill="auto"/>
            <w:tcMar>
              <w:top w:w="0" w:type="dxa"/>
              <w:left w:w="10" w:type="dxa"/>
              <w:bottom w:w="0" w:type="dxa"/>
              <w:right w:w="10" w:type="dxa"/>
            </w:tcMar>
          </w:tcPr>
          <w:p w14:paraId="672DD117" w14:textId="77777777" w:rsidR="00D44F98" w:rsidRDefault="00D44F98">
            <w:pPr>
              <w:spacing w:before="240"/>
            </w:pPr>
          </w:p>
        </w:tc>
      </w:tr>
      <w:tr w:rsidR="00D44F98" w14:paraId="62492C75" w14:textId="77777777">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92EB07" w14:textId="77777777" w:rsidR="00D44F98" w:rsidRDefault="00EB70E0">
            <w:pPr>
              <w:spacing w:before="240"/>
              <w:rPr>
                <w:b/>
              </w:rPr>
            </w:pPr>
            <w:r>
              <w:rPr>
                <w:b/>
              </w:rPr>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04F4443" w14:textId="77777777" w:rsidR="00D44F98" w:rsidRDefault="00EB70E0">
            <w:pPr>
              <w:spacing w:before="240"/>
            </w:pPr>
            <w:r>
              <w:t xml:space="preserve">The Buyer is responsible for </w:t>
            </w:r>
            <w:r>
              <w:rPr>
                <w:b/>
              </w:rPr>
              <w:t>N/A</w:t>
            </w:r>
          </w:p>
        </w:tc>
        <w:tc>
          <w:tcPr>
            <w:tcW w:w="40" w:type="dxa"/>
            <w:shd w:val="clear" w:color="auto" w:fill="auto"/>
            <w:tcMar>
              <w:top w:w="0" w:type="dxa"/>
              <w:left w:w="10" w:type="dxa"/>
              <w:bottom w:w="0" w:type="dxa"/>
              <w:right w:w="10" w:type="dxa"/>
            </w:tcMar>
          </w:tcPr>
          <w:p w14:paraId="4BFA7436" w14:textId="77777777" w:rsidR="00D44F98" w:rsidRDefault="00D44F98">
            <w:pPr>
              <w:spacing w:before="240"/>
            </w:pPr>
          </w:p>
        </w:tc>
      </w:tr>
      <w:tr w:rsidR="00D44F98" w14:paraId="23F1DA8C" w14:textId="77777777">
        <w:trPr>
          <w:trHeight w:val="326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3B7379" w14:textId="77777777" w:rsidR="00D44F98" w:rsidRDefault="00EB70E0">
            <w:pPr>
              <w:spacing w:before="240"/>
              <w:rPr>
                <w:b/>
              </w:rPr>
            </w:pPr>
            <w:r>
              <w:rPr>
                <w:b/>
              </w:rPr>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FC9C32B" w14:textId="4DD15C29" w:rsidR="00D44F98" w:rsidRDefault="00EB70E0">
            <w:pPr>
              <w:spacing w:before="240"/>
            </w:pPr>
            <w:r>
              <w:t>The Buyer’s equipment to be used with this Call-Off Contract includes</w:t>
            </w:r>
            <w:r>
              <w:rPr>
                <w:b/>
              </w:rPr>
              <w:t xml:space="preserve"> </w:t>
            </w:r>
            <w:r w:rsidR="00A3102B" w:rsidRPr="00A3102B">
              <w:rPr>
                <w:highlight w:val="black"/>
              </w:rPr>
              <w:t>XXXXXXXXXXXXXXXXXXXXXXXXXXXXXXXXXXXXXXXXXXXXXXXXXXXXXXXXXXX</w:t>
            </w:r>
          </w:p>
          <w:p w14:paraId="7A513D22" w14:textId="77777777" w:rsidR="00D44F98" w:rsidRDefault="00D44F98">
            <w:pPr>
              <w:spacing w:before="240"/>
            </w:pPr>
          </w:p>
        </w:tc>
        <w:tc>
          <w:tcPr>
            <w:tcW w:w="40" w:type="dxa"/>
            <w:shd w:val="clear" w:color="auto" w:fill="auto"/>
            <w:tcMar>
              <w:top w:w="0" w:type="dxa"/>
              <w:left w:w="10" w:type="dxa"/>
              <w:bottom w:w="0" w:type="dxa"/>
              <w:right w:w="10" w:type="dxa"/>
            </w:tcMar>
          </w:tcPr>
          <w:p w14:paraId="19A32C94" w14:textId="77777777" w:rsidR="00D44F98" w:rsidRDefault="00D44F98">
            <w:pPr>
              <w:spacing w:before="240"/>
            </w:pPr>
          </w:p>
        </w:tc>
      </w:tr>
    </w:tbl>
    <w:p w14:paraId="1059E9DB" w14:textId="77777777" w:rsidR="00D44F98" w:rsidRDefault="00D44F98">
      <w:pPr>
        <w:spacing w:before="240" w:after="120"/>
      </w:pPr>
    </w:p>
    <w:p w14:paraId="646D247D" w14:textId="77777777" w:rsidR="00D44F98" w:rsidRDefault="00EB70E0">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D44F98" w14:paraId="3281E6C6"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1DB683" w14:textId="77777777" w:rsidR="00D44F98" w:rsidRDefault="00EB70E0">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EF9707" w14:textId="77777777" w:rsidR="00D44F98" w:rsidRDefault="00EB70E0">
            <w:pPr>
              <w:spacing w:before="240"/>
            </w:pPr>
            <w:r>
              <w:t xml:space="preserve">The following is a list of the Supplier’s Subcontractors or Partners </w:t>
            </w:r>
            <w:r>
              <w:rPr>
                <w:b/>
              </w:rPr>
              <w:t>N/A</w:t>
            </w:r>
          </w:p>
        </w:tc>
      </w:tr>
    </w:tbl>
    <w:p w14:paraId="3C7EFDE4" w14:textId="77777777" w:rsidR="00D44F98" w:rsidRDefault="00D44F98">
      <w:pPr>
        <w:spacing w:before="240" w:after="120"/>
      </w:pPr>
    </w:p>
    <w:p w14:paraId="6EDEE400" w14:textId="77777777" w:rsidR="00D44F98" w:rsidRDefault="00EB70E0">
      <w:pPr>
        <w:pStyle w:val="Heading3"/>
      </w:pPr>
      <w:r>
        <w:t>Call-Off Contract charges and payment</w:t>
      </w:r>
    </w:p>
    <w:p w14:paraId="77DDBB79" w14:textId="77777777" w:rsidR="00D44F98" w:rsidRDefault="00EB70E0">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D44F98" w14:paraId="0010E778"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6E0B51" w14:textId="77777777" w:rsidR="00D44F98" w:rsidRDefault="00EB70E0">
            <w:pPr>
              <w:spacing w:before="240"/>
              <w:rPr>
                <w:b/>
              </w:rPr>
            </w:pPr>
            <w:r>
              <w:rPr>
                <w:b/>
              </w:rPr>
              <w:lastRenderedPageBreak/>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B4EDBA" w14:textId="77777777" w:rsidR="00D44F98" w:rsidRDefault="00EB70E0">
            <w:pPr>
              <w:spacing w:before="240"/>
            </w:pPr>
            <w:r>
              <w:t>The payment method for this Call-Off Contract is Actuals in arrears</w:t>
            </w:r>
          </w:p>
        </w:tc>
      </w:tr>
      <w:tr w:rsidR="00D44F98" w14:paraId="14EFE493"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8C937A" w14:textId="77777777" w:rsidR="00D44F98" w:rsidRDefault="00EB70E0">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028197" w14:textId="77777777" w:rsidR="00D44F98" w:rsidRDefault="00EB70E0">
            <w:pPr>
              <w:spacing w:before="240"/>
            </w:pPr>
            <w:r>
              <w:t>The payment profile for this Call-Off Contract is annual invoice in advance.</w:t>
            </w:r>
          </w:p>
          <w:p w14:paraId="72327643" w14:textId="1263B0B6" w:rsidR="00D44F98" w:rsidRDefault="00A3102B">
            <w:pPr>
              <w:spacing w:before="240"/>
            </w:pPr>
            <w:r w:rsidRPr="00A3102B">
              <w:rPr>
                <w:highlight w:val="black"/>
              </w:rPr>
              <w:t>XXXXXXXXXXXXXXXXXXXXXXXXXXXXXXXXXXXXXXXXXXXXXXXXXXXXXXXXXXX</w:t>
            </w:r>
          </w:p>
        </w:tc>
      </w:tr>
      <w:tr w:rsidR="00D44F98" w14:paraId="08DA975A"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20952C" w14:textId="77777777" w:rsidR="00D44F98" w:rsidRDefault="00EB70E0">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07948C" w14:textId="77777777" w:rsidR="00D44F98" w:rsidRDefault="00EB70E0">
            <w:pPr>
              <w:spacing w:before="240"/>
            </w:pPr>
            <w:r>
              <w:t xml:space="preserve">The Supplier will issue electronic invoices annually in advance. The Buyer will pay the Supplier within </w:t>
            </w:r>
            <w:r>
              <w:rPr>
                <w:b/>
              </w:rPr>
              <w:t xml:space="preserve">30 </w:t>
            </w:r>
            <w:r>
              <w:t>days of receipt of a valid invoice.</w:t>
            </w:r>
          </w:p>
        </w:tc>
      </w:tr>
      <w:tr w:rsidR="00D44F98" w14:paraId="4DE96B72"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ED1F07" w14:textId="77777777" w:rsidR="00D44F98" w:rsidRDefault="00EB70E0">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CC2662" w14:textId="77777777" w:rsidR="00D44F98" w:rsidRDefault="00EB70E0">
            <w:pPr>
              <w:spacing w:before="240"/>
            </w:pPr>
            <w:r>
              <w:t>Invoices will be sent to HMRC via Ariba Network</w:t>
            </w:r>
          </w:p>
        </w:tc>
      </w:tr>
      <w:tr w:rsidR="00D44F98" w14:paraId="14A0E44F"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CBD932" w14:textId="77777777" w:rsidR="00D44F98" w:rsidRDefault="00EB70E0">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581267" w14:textId="77777777" w:rsidR="00D44F98" w:rsidRDefault="00EB70E0">
            <w:r>
              <w:t xml:space="preserve">All invoices must include: </w:t>
            </w:r>
          </w:p>
          <w:p w14:paraId="76C6DEF1" w14:textId="77777777" w:rsidR="00D44F98" w:rsidRDefault="00EB70E0">
            <w:pPr>
              <w:pStyle w:val="ListParagraph"/>
              <w:numPr>
                <w:ilvl w:val="0"/>
                <w:numId w:val="5"/>
              </w:numPr>
              <w:suppressAutoHyphens w:val="0"/>
              <w:spacing w:line="240" w:lineRule="auto"/>
              <w:contextualSpacing/>
              <w:textAlignment w:val="auto"/>
            </w:pPr>
            <w:r>
              <w:t xml:space="preserve">the Purchase Order </w:t>
            </w:r>
            <w:proofErr w:type="gramStart"/>
            <w:r>
              <w:t>number;</w:t>
            </w:r>
            <w:proofErr w:type="gramEnd"/>
            <w:r>
              <w:t xml:space="preserve"> </w:t>
            </w:r>
          </w:p>
          <w:p w14:paraId="4663C879" w14:textId="77777777" w:rsidR="00D44F98" w:rsidRDefault="00EB70E0">
            <w:pPr>
              <w:pStyle w:val="ListParagraph"/>
              <w:numPr>
                <w:ilvl w:val="0"/>
                <w:numId w:val="5"/>
              </w:numPr>
              <w:suppressAutoHyphens w:val="0"/>
              <w:spacing w:line="240" w:lineRule="auto"/>
              <w:contextualSpacing/>
              <w:textAlignment w:val="auto"/>
            </w:pPr>
            <w:r>
              <w:t>total value excluding Value Added Tax (VAT</w:t>
            </w:r>
            <w:proofErr w:type="gramStart"/>
            <w:r>
              <w:t>);</w:t>
            </w:r>
            <w:proofErr w:type="gramEnd"/>
            <w:r>
              <w:t xml:space="preserve"> </w:t>
            </w:r>
          </w:p>
          <w:p w14:paraId="7D0EACC9" w14:textId="77777777" w:rsidR="00D44F98" w:rsidRDefault="00EB70E0">
            <w:pPr>
              <w:pStyle w:val="ListParagraph"/>
              <w:numPr>
                <w:ilvl w:val="0"/>
                <w:numId w:val="5"/>
              </w:numPr>
              <w:suppressAutoHyphens w:val="0"/>
              <w:spacing w:line="240" w:lineRule="auto"/>
              <w:contextualSpacing/>
              <w:textAlignment w:val="auto"/>
            </w:pPr>
            <w:r>
              <w:t xml:space="preserve">the VAT </w:t>
            </w:r>
            <w:proofErr w:type="gramStart"/>
            <w:r>
              <w:t>percentage;</w:t>
            </w:r>
            <w:proofErr w:type="gramEnd"/>
            <w:r>
              <w:t xml:space="preserve"> </w:t>
            </w:r>
          </w:p>
          <w:p w14:paraId="37078B43" w14:textId="77777777" w:rsidR="00D44F98" w:rsidRDefault="00EB70E0">
            <w:pPr>
              <w:pStyle w:val="ListParagraph"/>
              <w:numPr>
                <w:ilvl w:val="0"/>
                <w:numId w:val="5"/>
              </w:numPr>
              <w:suppressAutoHyphens w:val="0"/>
              <w:spacing w:line="240" w:lineRule="auto"/>
              <w:contextualSpacing/>
              <w:textAlignment w:val="auto"/>
            </w:pPr>
            <w:r>
              <w:t xml:space="preserve">the total value including </w:t>
            </w:r>
            <w:proofErr w:type="gramStart"/>
            <w:r>
              <w:t>VAT;</w:t>
            </w:r>
            <w:proofErr w:type="gramEnd"/>
            <w:r>
              <w:t xml:space="preserve"> </w:t>
            </w:r>
          </w:p>
          <w:p w14:paraId="37766713" w14:textId="77777777" w:rsidR="00D44F98" w:rsidRDefault="00EB70E0">
            <w:pPr>
              <w:pStyle w:val="ListParagraph"/>
              <w:numPr>
                <w:ilvl w:val="0"/>
                <w:numId w:val="5"/>
              </w:numPr>
              <w:suppressAutoHyphens w:val="0"/>
              <w:spacing w:line="240" w:lineRule="auto"/>
              <w:contextualSpacing/>
              <w:textAlignment w:val="auto"/>
            </w:pPr>
            <w:r>
              <w:t xml:space="preserve">a contact name and telephone number of an appropriate individual in the Supplier's finance department in the event of administrative queries; and </w:t>
            </w:r>
          </w:p>
          <w:p w14:paraId="545D26A8" w14:textId="77777777" w:rsidR="00D44F98" w:rsidRDefault="00EB70E0">
            <w:pPr>
              <w:spacing w:before="240"/>
            </w:pPr>
            <w:r>
              <w:t>The banking details for payment to the Supplier via electronic transfer of funds (name and address of bank, sort code, account name and number).</w:t>
            </w:r>
          </w:p>
        </w:tc>
      </w:tr>
      <w:tr w:rsidR="00D44F98" w14:paraId="7617FFA3"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63660A" w14:textId="77777777" w:rsidR="00D44F98" w:rsidRDefault="00EB70E0">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E8871" w14:textId="77777777" w:rsidR="00D44F98" w:rsidRDefault="00EB70E0">
            <w:pPr>
              <w:spacing w:before="240"/>
            </w:pPr>
            <w:r>
              <w:t>Invoice will be sent to the Buyer Annually</w:t>
            </w:r>
          </w:p>
          <w:p w14:paraId="72D525CC" w14:textId="42A02933" w:rsidR="00D44F98" w:rsidRDefault="00A3102B">
            <w:pPr>
              <w:spacing w:before="240"/>
            </w:pPr>
            <w:r w:rsidRPr="00A3102B">
              <w:rPr>
                <w:highlight w:val="black"/>
              </w:rPr>
              <w:t>XXXXXXXXXXXXXXXXXXXXXXXXXXXXXXXXXXXXXXXXXXXXXXXXXXXXXXXXXXX</w:t>
            </w:r>
          </w:p>
        </w:tc>
      </w:tr>
      <w:tr w:rsidR="00D44F98" w14:paraId="1D2025E2"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B70C39" w14:textId="77777777" w:rsidR="00D44F98" w:rsidRDefault="00EB70E0">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CB1DC" w14:textId="77777777" w:rsidR="00D44F98" w:rsidRDefault="00EB70E0">
            <w:pPr>
              <w:spacing w:before="240"/>
            </w:pPr>
            <w:r>
              <w:t>The total value of this Call-Off Contract is £2,500,000</w:t>
            </w:r>
          </w:p>
        </w:tc>
      </w:tr>
      <w:tr w:rsidR="00D44F98" w14:paraId="37E0F0AC"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5A0439" w14:textId="77777777" w:rsidR="00D44F98" w:rsidRDefault="00EB70E0">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60F698" w14:textId="77777777" w:rsidR="00D44F98" w:rsidRDefault="00EB70E0">
            <w:pPr>
              <w:spacing w:before="240"/>
            </w:pPr>
            <w:r>
              <w:t xml:space="preserve">The breakdown of the Charges is shown in </w:t>
            </w:r>
            <w:r>
              <w:rPr>
                <w:b/>
                <w:bCs/>
              </w:rPr>
              <w:t>Schedule 2</w:t>
            </w:r>
          </w:p>
        </w:tc>
      </w:tr>
    </w:tbl>
    <w:p w14:paraId="4B7DCCF4" w14:textId="77777777" w:rsidR="00D44F98" w:rsidRDefault="00D44F98"/>
    <w:p w14:paraId="342C77A5" w14:textId="77777777" w:rsidR="00D44F98" w:rsidRDefault="00EB70E0">
      <w:pPr>
        <w:pStyle w:val="Heading3"/>
      </w:pPr>
      <w:r>
        <w:lastRenderedPageBreak/>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D44F98" w14:paraId="1743030F"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F6C7F7" w14:textId="77777777" w:rsidR="00D44F98" w:rsidRDefault="00EB70E0">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620C19" w14:textId="77777777" w:rsidR="00D44F98" w:rsidRDefault="00EB70E0">
            <w:pPr>
              <w:spacing w:before="240"/>
            </w:pPr>
            <w:r>
              <w:t>This Call-Off Contract will include the following Implementation Plan, exit and offboarding plans and milestones:</w:t>
            </w:r>
          </w:p>
          <w:p w14:paraId="3276EBDB" w14:textId="77777777" w:rsidR="00D44F98" w:rsidRDefault="00EB70E0">
            <w:pPr>
              <w:spacing w:before="240"/>
            </w:pPr>
            <w:r>
              <w:t>Data quality systems currently in use.</w:t>
            </w:r>
          </w:p>
        </w:tc>
      </w:tr>
      <w:tr w:rsidR="00D44F98" w14:paraId="41776BB9"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D90968" w14:textId="77777777" w:rsidR="00D44F98" w:rsidRDefault="00EB70E0">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4A7BAD" w14:textId="77777777" w:rsidR="00D44F98" w:rsidRDefault="00EB70E0">
            <w:pPr>
              <w:spacing w:before="240"/>
            </w:pPr>
            <w:r>
              <w:t>N/A</w:t>
            </w:r>
          </w:p>
        </w:tc>
      </w:tr>
      <w:tr w:rsidR="00D44F98" w14:paraId="1A184B39"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6C6F50" w14:textId="77777777" w:rsidR="00D44F98" w:rsidRDefault="00EB70E0">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F71CCA" w14:textId="77777777" w:rsidR="00D44F98" w:rsidRDefault="00EB70E0">
            <w:pPr>
              <w:spacing w:before="240"/>
            </w:pPr>
            <w:r>
              <w:t>N/A</w:t>
            </w:r>
          </w:p>
        </w:tc>
      </w:tr>
      <w:tr w:rsidR="00D44F98" w14:paraId="7F663BB6"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0A9B61" w14:textId="77777777" w:rsidR="00D44F98" w:rsidRDefault="00EB70E0">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F7B1A0" w14:textId="77777777" w:rsidR="00D44F98" w:rsidRDefault="00EB70E0">
            <w:pPr>
              <w:spacing w:before="240"/>
            </w:pPr>
            <w:r>
              <w:t>N/A</w:t>
            </w:r>
          </w:p>
        </w:tc>
      </w:tr>
      <w:tr w:rsidR="00D44F98" w14:paraId="75F090AE"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0DA73C" w14:textId="77777777" w:rsidR="00D44F98" w:rsidRDefault="00EB70E0">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D574D9" w14:textId="77777777" w:rsidR="00D44F98" w:rsidRDefault="00EB70E0">
            <w:pPr>
              <w:spacing w:before="240"/>
            </w:pPr>
            <w:r>
              <w:t>HMRC Mandatory Clauses in appendix 1</w:t>
            </w:r>
          </w:p>
        </w:tc>
      </w:tr>
      <w:tr w:rsidR="00D44F98" w14:paraId="13087288"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EB5A20" w14:textId="77777777" w:rsidR="00D44F98" w:rsidRDefault="00EB70E0">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ED3B4A" w14:textId="77777777" w:rsidR="00D44F98" w:rsidRDefault="00EB70E0">
            <w:pPr>
              <w:spacing w:before="240"/>
            </w:pPr>
            <w:r>
              <w:t>Within the scope of the Call-Off Contract, the supplier has agreed to adhere to HMRC Mandatory Clauses in appendix 1</w:t>
            </w:r>
          </w:p>
        </w:tc>
      </w:tr>
      <w:tr w:rsidR="00D44F98" w14:paraId="0D6D451C"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1E8D6B" w14:textId="77777777" w:rsidR="00D44F98" w:rsidRDefault="00EB70E0">
            <w:pPr>
              <w:spacing w:before="240"/>
              <w:rPr>
                <w:b/>
              </w:rPr>
            </w:pPr>
            <w:r>
              <w:rPr>
                <w:b/>
              </w:rPr>
              <w:lastRenderedPageBreak/>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241CB0" w14:textId="77777777" w:rsidR="00D44F98" w:rsidRDefault="00EB70E0">
            <w:pPr>
              <w:spacing w:before="240"/>
            </w:pPr>
            <w:r>
              <w:t>The PSN Network is not used.</w:t>
            </w:r>
          </w:p>
        </w:tc>
      </w:tr>
      <w:tr w:rsidR="00D44F98" w14:paraId="29E01815"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010D5A" w14:textId="77777777" w:rsidR="00D44F98" w:rsidRDefault="00EB70E0">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6A08CB" w14:textId="77777777" w:rsidR="00D44F98" w:rsidRDefault="00EB70E0">
            <w:pPr>
              <w:spacing w:before="240"/>
            </w:pPr>
            <w:r>
              <w:t>Confirm whether Annex 1 (and Annex 2, if applicable) of Schedule 7 is being used: Annex 1</w:t>
            </w:r>
          </w:p>
        </w:tc>
      </w:tr>
    </w:tbl>
    <w:p w14:paraId="1508AA49" w14:textId="77777777" w:rsidR="00D44F98" w:rsidRDefault="00EB70E0">
      <w:pPr>
        <w:spacing w:before="240" w:after="240"/>
      </w:pPr>
      <w:r>
        <w:t xml:space="preserve"> </w:t>
      </w:r>
    </w:p>
    <w:p w14:paraId="08795F08" w14:textId="77777777" w:rsidR="00D44F98" w:rsidRDefault="00EB70E0">
      <w:pPr>
        <w:pStyle w:val="Heading3"/>
      </w:pPr>
      <w:r>
        <w:t xml:space="preserve">1. </w:t>
      </w:r>
      <w:r>
        <w:tab/>
        <w:t>Formation of contract</w:t>
      </w:r>
    </w:p>
    <w:p w14:paraId="333F6556" w14:textId="77777777" w:rsidR="00D44F98" w:rsidRDefault="00EB70E0">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221F6D42" w14:textId="77777777" w:rsidR="00D44F98" w:rsidRDefault="00D44F98">
      <w:pPr>
        <w:ind w:firstLine="720"/>
      </w:pPr>
    </w:p>
    <w:p w14:paraId="2AAF4EBA" w14:textId="77777777" w:rsidR="00D44F98" w:rsidRDefault="00EB70E0">
      <w:pPr>
        <w:ind w:left="720" w:hanging="720"/>
      </w:pPr>
      <w:r>
        <w:t>1.2</w:t>
      </w:r>
      <w:r>
        <w:tab/>
        <w:t>The Parties agree that they have read the Order Form (Part A) and the Call-Off Contract terms and by signing below agree to be bound by this Call-Off Contract.</w:t>
      </w:r>
    </w:p>
    <w:p w14:paraId="226BEF91" w14:textId="77777777" w:rsidR="00D44F98" w:rsidRDefault="00D44F98">
      <w:pPr>
        <w:ind w:firstLine="720"/>
      </w:pPr>
    </w:p>
    <w:p w14:paraId="21D257C8" w14:textId="77777777" w:rsidR="00D44F98" w:rsidRDefault="00EB70E0">
      <w:pPr>
        <w:ind w:left="720" w:hanging="720"/>
      </w:pPr>
      <w:r>
        <w:t>1.3</w:t>
      </w:r>
      <w:r>
        <w:tab/>
        <w:t>This Call-Off Contract will be formed when the Buyer acknowledges receipt of the signed copy of the Order Form from the Supplier.</w:t>
      </w:r>
    </w:p>
    <w:p w14:paraId="1D7E5FC9" w14:textId="77777777" w:rsidR="00D44F98" w:rsidRDefault="00D44F98">
      <w:pPr>
        <w:ind w:firstLine="720"/>
      </w:pPr>
    </w:p>
    <w:p w14:paraId="142D6A7A" w14:textId="77777777" w:rsidR="00D44F98" w:rsidRDefault="00EB70E0">
      <w:pPr>
        <w:ind w:left="720" w:hanging="720"/>
      </w:pPr>
      <w:r>
        <w:t>1.4</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2D5A9699" w14:textId="77777777" w:rsidR="00D44F98" w:rsidRDefault="00D44F98"/>
    <w:p w14:paraId="075041FA" w14:textId="77777777" w:rsidR="00D44F98" w:rsidRDefault="00EB70E0">
      <w:pPr>
        <w:pStyle w:val="Heading3"/>
      </w:pPr>
      <w:r>
        <w:t xml:space="preserve">2. </w:t>
      </w:r>
      <w:r>
        <w:tab/>
        <w:t>Background to the agreement</w:t>
      </w:r>
    </w:p>
    <w:p w14:paraId="2CFFD7DB" w14:textId="77777777" w:rsidR="00D44F98" w:rsidRDefault="00EB70E0">
      <w:pPr>
        <w:ind w:left="720" w:hanging="720"/>
      </w:pPr>
      <w:r>
        <w:t>2.1</w:t>
      </w:r>
      <w:r>
        <w:tab/>
        <w:t>The Supplier is a provider of G-Cloud Services and agreed to provide the Services under the terms of Framework Agreement number RM1557.12.</w:t>
      </w:r>
    </w:p>
    <w:p w14:paraId="6E08C3B3" w14:textId="77777777" w:rsidR="00D44F98" w:rsidRDefault="00D44F98">
      <w:pPr>
        <w:ind w:left="720"/>
      </w:pPr>
    </w:p>
    <w:p w14:paraId="61488D61" w14:textId="77777777" w:rsidR="00D44F98" w:rsidRDefault="00EB70E0">
      <w:r>
        <w:t>2.2</w:t>
      </w:r>
      <w:r>
        <w:tab/>
        <w:t>The Buyer provided an Order Form for Services to the Supplier.</w:t>
      </w:r>
    </w:p>
    <w:p w14:paraId="3764BD0C" w14:textId="77777777" w:rsidR="00D44F98" w:rsidRDefault="00D44F98"/>
    <w:p w14:paraId="2EB54409" w14:textId="77777777" w:rsidR="00D44F98" w:rsidRDefault="00D44F98">
      <w:pPr>
        <w:pageBreakBefore/>
      </w:pPr>
    </w:p>
    <w:p w14:paraId="7AFFDC77" w14:textId="77777777" w:rsidR="00D44F98" w:rsidRDefault="00D44F98"/>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D44F98" w14:paraId="6584CA28"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B9C135" w14:textId="77777777" w:rsidR="00D44F98" w:rsidRDefault="00EB70E0">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35F163" w14:textId="77777777" w:rsidR="00D44F98" w:rsidRDefault="00EB70E0">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7A225B" w14:textId="77777777" w:rsidR="00D44F98" w:rsidRDefault="00EB70E0">
            <w:pPr>
              <w:spacing w:before="240"/>
            </w:pPr>
            <w:r>
              <w:t>Buyer</w:t>
            </w:r>
          </w:p>
        </w:tc>
      </w:tr>
      <w:tr w:rsidR="00D44F98" w14:paraId="6D2F45BD"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4C5D37" w14:textId="77777777" w:rsidR="00D44F98" w:rsidRDefault="00EB70E0">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A0C40C" w14:textId="77777777" w:rsidR="00D44F98" w:rsidRDefault="00D44F98">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8DDB9F" w14:textId="77777777" w:rsidR="00D44F98" w:rsidRDefault="00D44F98">
            <w:pPr>
              <w:spacing w:before="240"/>
            </w:pPr>
          </w:p>
        </w:tc>
      </w:tr>
      <w:tr w:rsidR="00D44F98" w14:paraId="3E2D6171"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9361D7" w14:textId="77777777" w:rsidR="00D44F98" w:rsidRDefault="00EB70E0">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1D4A73" w14:textId="77777777" w:rsidR="00D44F98" w:rsidRDefault="00D44F98">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BDF359" w14:textId="77777777" w:rsidR="00D44F98" w:rsidRDefault="00D44F98">
            <w:pPr>
              <w:spacing w:before="240"/>
            </w:pPr>
          </w:p>
        </w:tc>
      </w:tr>
      <w:tr w:rsidR="00D44F98" w14:paraId="47B4347B"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000A29" w14:textId="77777777" w:rsidR="00D44F98" w:rsidRDefault="00EB70E0">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92A622" w14:textId="77777777" w:rsidR="00D44F98" w:rsidRDefault="00D44F98"/>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FC14BC" w14:textId="77777777" w:rsidR="00D44F98" w:rsidRDefault="00D44F98">
            <w:pPr>
              <w:widowControl w:val="0"/>
              <w:pBdr>
                <w:top w:val="single" w:sz="2" w:space="31" w:color="FFFFFF" w:shadow="1"/>
                <w:left w:val="single" w:sz="2" w:space="31" w:color="FFFFFF" w:shadow="1"/>
                <w:bottom w:val="single" w:sz="2" w:space="31" w:color="FFFFFF" w:shadow="1"/>
                <w:right w:val="single" w:sz="2" w:space="31" w:color="FFFFFF" w:shadow="1"/>
              </w:pBdr>
            </w:pPr>
          </w:p>
        </w:tc>
      </w:tr>
      <w:tr w:rsidR="00D44F98" w14:paraId="56A5C8A2"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4E37C3" w14:textId="77777777" w:rsidR="00D44F98" w:rsidRDefault="00EB70E0">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BE0EF4" w14:textId="77777777" w:rsidR="00D44F98" w:rsidRDefault="00D44F98">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507BB0" w14:textId="77777777" w:rsidR="00D44F98" w:rsidRDefault="00D44F98">
            <w:pPr>
              <w:spacing w:before="240"/>
            </w:pPr>
          </w:p>
        </w:tc>
      </w:tr>
    </w:tbl>
    <w:p w14:paraId="310EC372" w14:textId="77777777" w:rsidR="00D44F98" w:rsidRDefault="00EB70E0">
      <w:pPr>
        <w:spacing w:before="240"/>
        <w:rPr>
          <w:b/>
        </w:rPr>
      </w:pPr>
      <w:r>
        <w:rPr>
          <w:b/>
        </w:rPr>
        <w:t xml:space="preserve"> </w:t>
      </w:r>
    </w:p>
    <w:p w14:paraId="1E6CC907" w14:textId="77777777" w:rsidR="00D44F98" w:rsidRDefault="00EB70E0">
      <w:pPr>
        <w:pStyle w:val="Heading2"/>
      </w:pPr>
      <w:bookmarkStart w:id="3" w:name="_Toc33176233"/>
      <w:r>
        <w:t>Schedule 1: Services</w:t>
      </w:r>
      <w:bookmarkEnd w:id="3"/>
    </w:p>
    <w:p w14:paraId="4E68D880" w14:textId="15595BBA" w:rsidR="00D44F98" w:rsidRDefault="00EB70E0">
      <w:pPr>
        <w:spacing w:before="240"/>
      </w:pPr>
      <w:r>
        <w:rPr>
          <w:b/>
        </w:rPr>
        <w:t xml:space="preserve"> </w:t>
      </w:r>
    </w:p>
    <w:p w14:paraId="56CA7A5F" w14:textId="2CA46394" w:rsidR="00D44F98" w:rsidRDefault="00A3102B">
      <w:pPr>
        <w:spacing w:before="240"/>
      </w:pPr>
      <w:r w:rsidRPr="00A3102B">
        <w:rPr>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0C5716B" w14:textId="77777777" w:rsidR="00D44F98" w:rsidRDefault="00EB70E0">
      <w:pPr>
        <w:pStyle w:val="Heading2"/>
      </w:pPr>
      <w:bookmarkStart w:id="4" w:name="_Toc33176234"/>
      <w:r>
        <w:t>Schedule 2: Call-Off Contract charges</w:t>
      </w:r>
      <w:bookmarkEnd w:id="4"/>
    </w:p>
    <w:p w14:paraId="219CE6B9" w14:textId="77777777" w:rsidR="00D44F98" w:rsidRDefault="00EB70E0">
      <w:pPr>
        <w:spacing w:before="240"/>
      </w:pPr>
      <w:r>
        <w:t>For each individual Service, the applicable Call-Off Contract Charges (in accordance with the Supplier’s Digital Marketplace pricing document) can’t be amended during the term of the Call-Off Contract (SFIA Day Rates). The detailed Charges breakdown for the provision of Services during the Term will include:</w:t>
      </w:r>
    </w:p>
    <w:p w14:paraId="1B4BFA50" w14:textId="398CE248" w:rsidR="00D44F98" w:rsidRDefault="00EB70E0">
      <w:pPr>
        <w:spacing w:before="240"/>
      </w:pPr>
      <w:r>
        <w:rPr>
          <w:b/>
        </w:rPr>
        <w:t xml:space="preserve"> </w:t>
      </w:r>
    </w:p>
    <w:p w14:paraId="4CCE7DE4" w14:textId="6CD1C2DD" w:rsidR="00D44F98" w:rsidRDefault="00D44F98"/>
    <w:p w14:paraId="28C081D3" w14:textId="77777777" w:rsidR="00D44F98" w:rsidRDefault="00D44F98">
      <w:pPr>
        <w:rPr>
          <w:sz w:val="32"/>
          <w:szCs w:val="32"/>
        </w:rPr>
      </w:pPr>
    </w:p>
    <w:p w14:paraId="7C414800" w14:textId="462D88E7" w:rsidR="00D44F98" w:rsidRDefault="00D44F98"/>
    <w:p w14:paraId="6F742BB9" w14:textId="77777777" w:rsidR="00D44F98" w:rsidRDefault="00D44F98">
      <w:pPr>
        <w:rPr>
          <w:sz w:val="32"/>
          <w:szCs w:val="32"/>
        </w:rPr>
      </w:pPr>
    </w:p>
    <w:p w14:paraId="364566A2" w14:textId="0282CD46" w:rsidR="00A3102B" w:rsidRDefault="00A3102B">
      <w:r w:rsidRPr="00A3102B">
        <w:rPr>
          <w:highlight w:val="black"/>
        </w:rPr>
        <w:lastRenderedPageBreak/>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AA56B33" w14:textId="77777777" w:rsidR="00A3102B" w:rsidRDefault="00A3102B"/>
    <w:p w14:paraId="56BE3EA2" w14:textId="1F7F1DC2" w:rsidR="00D44F98" w:rsidRDefault="00EB70E0">
      <w:r>
        <w:t>This call-off contract has scope for further work to be called off from the terms of this contract, submitted through a SOW (Statement of works). The total value of services called off from this agreement is capped at a value of £2,500,000.</w:t>
      </w:r>
    </w:p>
    <w:p w14:paraId="5B75B261" w14:textId="77777777" w:rsidR="00D44F98" w:rsidRDefault="00D44F98"/>
    <w:p w14:paraId="4D4911CC" w14:textId="77777777" w:rsidR="00D44F98" w:rsidRDefault="00EB70E0">
      <w:pPr>
        <w:rPr>
          <w:sz w:val="32"/>
          <w:szCs w:val="32"/>
        </w:rPr>
      </w:pPr>
      <w:r>
        <w:rPr>
          <w:sz w:val="32"/>
          <w:szCs w:val="32"/>
        </w:rPr>
        <w:t>Customer Benefits</w:t>
      </w:r>
    </w:p>
    <w:p w14:paraId="073CA1CB" w14:textId="77777777" w:rsidR="00D44F98" w:rsidRDefault="00D44F98">
      <w:pPr>
        <w:rPr>
          <w:sz w:val="32"/>
          <w:szCs w:val="32"/>
        </w:rPr>
      </w:pPr>
    </w:p>
    <w:p w14:paraId="3C17A4B0" w14:textId="77777777" w:rsidR="00D44F98" w:rsidRDefault="00EB70E0">
      <w:bookmarkStart w:id="5" w:name="_Toc33176235"/>
      <w:r>
        <w:t xml:space="preserve">For each Call-Off Contract please complete a customer benefits record, by following this </w:t>
      </w:r>
      <w:proofErr w:type="gramStart"/>
      <w:r>
        <w:t>link;</w:t>
      </w:r>
      <w:proofErr w:type="gramEnd"/>
    </w:p>
    <w:p w14:paraId="7215D9C3" w14:textId="77777777" w:rsidR="00D44F98" w:rsidRDefault="00D44F98"/>
    <w:p w14:paraId="4B500846" w14:textId="77777777" w:rsidR="00D44F98" w:rsidRDefault="00A3102B">
      <w:hyperlink r:id="rId14" w:history="1">
        <w:r w:rsidR="00EB70E0">
          <w:rPr>
            <w:rStyle w:val="Hyperlink"/>
          </w:rPr>
          <w:t>G-Cloud 12 Customer Benefits Record</w:t>
        </w:r>
      </w:hyperlink>
      <w:r w:rsidR="00EB70E0">
        <w:t xml:space="preserve"> </w:t>
      </w:r>
    </w:p>
    <w:p w14:paraId="585A37C6" w14:textId="77777777" w:rsidR="00D44F98" w:rsidRDefault="00EB70E0">
      <w:pPr>
        <w:pStyle w:val="Heading2"/>
        <w:pageBreakBefore/>
      </w:pPr>
      <w:r>
        <w:lastRenderedPageBreak/>
        <w:t>Part B: Terms and conditions</w:t>
      </w:r>
      <w:bookmarkEnd w:id="5"/>
    </w:p>
    <w:p w14:paraId="181A98AC" w14:textId="77777777" w:rsidR="00D44F98" w:rsidRDefault="00EB70E0">
      <w:pPr>
        <w:pStyle w:val="Heading3"/>
        <w:spacing w:after="100"/>
      </w:pPr>
      <w:r>
        <w:t>1.</w:t>
      </w:r>
      <w:r>
        <w:tab/>
        <w:t>Call-Off Contract Start date and length</w:t>
      </w:r>
    </w:p>
    <w:p w14:paraId="4F5FCDFC" w14:textId="77777777" w:rsidR="00D44F98" w:rsidRDefault="00EB70E0">
      <w:r>
        <w:t>1.1</w:t>
      </w:r>
      <w:r>
        <w:tab/>
        <w:t>The Supplier must start providing the Services on the date specified in the Order Form.</w:t>
      </w:r>
    </w:p>
    <w:p w14:paraId="296E0BAC" w14:textId="77777777" w:rsidR="00D44F98" w:rsidRDefault="00D44F98">
      <w:pPr>
        <w:ind w:firstLine="720"/>
      </w:pPr>
    </w:p>
    <w:p w14:paraId="7DC29820" w14:textId="77777777" w:rsidR="00D44F98" w:rsidRDefault="00EB70E0">
      <w:pPr>
        <w:ind w:left="720" w:hanging="720"/>
      </w:pPr>
      <w:r>
        <w:t>1.2</w:t>
      </w:r>
      <w:r>
        <w:tab/>
        <w:t xml:space="preserve">This Call-Off Contract will expire on the Expiry Date in the Order Form. It will be for up to 24 months from the Start date unless </w:t>
      </w:r>
      <w:proofErr w:type="gramStart"/>
      <w:r>
        <w:t>Ended</w:t>
      </w:r>
      <w:proofErr w:type="gramEnd"/>
      <w:r>
        <w:t xml:space="preserve"> earlier under clause 18 or extended by the Buyer under clause 1.3.</w:t>
      </w:r>
    </w:p>
    <w:p w14:paraId="2D53113E" w14:textId="77777777" w:rsidR="00D44F98" w:rsidRDefault="00D44F98">
      <w:pPr>
        <w:ind w:left="720"/>
      </w:pPr>
    </w:p>
    <w:p w14:paraId="66C936B0" w14:textId="77777777" w:rsidR="00D44F98" w:rsidRDefault="00EB70E0">
      <w:pPr>
        <w:ind w:left="720" w:hanging="720"/>
      </w:pPr>
      <w:r>
        <w:t>1.3</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2 periods of up to 12 months each.</w:t>
      </w:r>
    </w:p>
    <w:p w14:paraId="5043DC7F" w14:textId="77777777" w:rsidR="00D44F98" w:rsidRDefault="00D44F98">
      <w:pPr>
        <w:ind w:left="720"/>
      </w:pPr>
    </w:p>
    <w:p w14:paraId="566ED6D1" w14:textId="77777777" w:rsidR="00D44F98" w:rsidRDefault="00EB70E0">
      <w:pPr>
        <w:ind w:left="720" w:hanging="720"/>
      </w:pPr>
      <w:r>
        <w:t>1.4</w:t>
      </w:r>
      <w:r>
        <w:tab/>
        <w:t>The Parties must comply with the requirements under clauses 21.3 to 21.8 if the Buyer reserves the right in the Order Form to extend the contract beyond 24 months.</w:t>
      </w:r>
    </w:p>
    <w:p w14:paraId="7533F23B" w14:textId="77777777" w:rsidR="00D44F98" w:rsidRDefault="00D44F98">
      <w:pPr>
        <w:spacing w:before="240" w:after="240"/>
      </w:pPr>
    </w:p>
    <w:p w14:paraId="64E0A742" w14:textId="77777777" w:rsidR="00D44F98" w:rsidRDefault="00EB70E0">
      <w:pPr>
        <w:pStyle w:val="Heading3"/>
        <w:spacing w:after="100"/>
      </w:pPr>
      <w:r>
        <w:t>2.</w:t>
      </w:r>
      <w:r>
        <w:tab/>
        <w:t>Incorporation of terms</w:t>
      </w:r>
    </w:p>
    <w:p w14:paraId="197D897D" w14:textId="77777777" w:rsidR="00D44F98" w:rsidRDefault="00EB70E0">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00103337" w14:textId="77777777" w:rsidR="00D44F98" w:rsidRDefault="00EB70E0">
      <w:pPr>
        <w:pStyle w:val="ListParagraph"/>
        <w:numPr>
          <w:ilvl w:val="0"/>
          <w:numId w:val="6"/>
        </w:numPr>
      </w:pPr>
      <w:r>
        <w:rPr>
          <w:sz w:val="14"/>
          <w:szCs w:val="14"/>
        </w:rPr>
        <w:t xml:space="preserve"> </w:t>
      </w:r>
      <w:r>
        <w:t>4.1 (Warranties and representations)</w:t>
      </w:r>
    </w:p>
    <w:p w14:paraId="08897E4E" w14:textId="77777777" w:rsidR="00D44F98" w:rsidRDefault="00EB70E0">
      <w:pPr>
        <w:pStyle w:val="ListParagraph"/>
        <w:numPr>
          <w:ilvl w:val="0"/>
          <w:numId w:val="6"/>
        </w:numPr>
      </w:pPr>
      <w:r>
        <w:t>4.2 to 4.7 (Liability)</w:t>
      </w:r>
    </w:p>
    <w:p w14:paraId="1DBF2818" w14:textId="77777777" w:rsidR="00D44F98" w:rsidRDefault="00EB70E0">
      <w:pPr>
        <w:pStyle w:val="ListParagraph"/>
        <w:numPr>
          <w:ilvl w:val="0"/>
          <w:numId w:val="6"/>
        </w:numPr>
      </w:pPr>
      <w:r>
        <w:t>4.11 to 4.12 (IR35)</w:t>
      </w:r>
    </w:p>
    <w:p w14:paraId="4971D2DD" w14:textId="77777777" w:rsidR="00D44F98" w:rsidRDefault="00EB70E0">
      <w:pPr>
        <w:pStyle w:val="ListParagraph"/>
        <w:numPr>
          <w:ilvl w:val="0"/>
          <w:numId w:val="6"/>
        </w:numPr>
      </w:pPr>
      <w:r>
        <w:t>5.4 to 5.5 (Force majeure)</w:t>
      </w:r>
    </w:p>
    <w:p w14:paraId="2EB34E1D" w14:textId="77777777" w:rsidR="00D44F98" w:rsidRDefault="00EB70E0">
      <w:pPr>
        <w:pStyle w:val="ListParagraph"/>
        <w:numPr>
          <w:ilvl w:val="0"/>
          <w:numId w:val="6"/>
        </w:numPr>
      </w:pPr>
      <w:r>
        <w:t>5.8 (Continuing rights)</w:t>
      </w:r>
    </w:p>
    <w:p w14:paraId="2FC8829B" w14:textId="77777777" w:rsidR="00D44F98" w:rsidRDefault="00EB70E0">
      <w:pPr>
        <w:pStyle w:val="ListParagraph"/>
        <w:numPr>
          <w:ilvl w:val="0"/>
          <w:numId w:val="6"/>
        </w:numPr>
      </w:pPr>
      <w:r>
        <w:t>5.9 to 5.11 (Change of control)</w:t>
      </w:r>
    </w:p>
    <w:p w14:paraId="3A474681" w14:textId="77777777" w:rsidR="00D44F98" w:rsidRDefault="00EB70E0">
      <w:pPr>
        <w:pStyle w:val="ListParagraph"/>
        <w:numPr>
          <w:ilvl w:val="0"/>
          <w:numId w:val="6"/>
        </w:numPr>
      </w:pPr>
      <w:r>
        <w:t>5.12 (Fraud)</w:t>
      </w:r>
    </w:p>
    <w:p w14:paraId="5B68A6AB" w14:textId="77777777" w:rsidR="00D44F98" w:rsidRDefault="00EB70E0">
      <w:pPr>
        <w:pStyle w:val="ListParagraph"/>
        <w:numPr>
          <w:ilvl w:val="0"/>
          <w:numId w:val="6"/>
        </w:numPr>
      </w:pPr>
      <w:r>
        <w:t>5.13 (Notice of fraud)</w:t>
      </w:r>
    </w:p>
    <w:p w14:paraId="58CEC5DC" w14:textId="77777777" w:rsidR="00D44F98" w:rsidRDefault="00EB70E0">
      <w:pPr>
        <w:pStyle w:val="ListParagraph"/>
        <w:numPr>
          <w:ilvl w:val="0"/>
          <w:numId w:val="6"/>
        </w:numPr>
      </w:pPr>
      <w:r>
        <w:t>7.1 to 7.2 (Transparency)</w:t>
      </w:r>
    </w:p>
    <w:p w14:paraId="0F897DAA" w14:textId="77777777" w:rsidR="00D44F98" w:rsidRDefault="00EB70E0">
      <w:pPr>
        <w:pStyle w:val="ListParagraph"/>
        <w:numPr>
          <w:ilvl w:val="0"/>
          <w:numId w:val="6"/>
        </w:numPr>
      </w:pPr>
      <w:r>
        <w:t>8.3 (Order of precedence)</w:t>
      </w:r>
    </w:p>
    <w:p w14:paraId="28A69616" w14:textId="77777777" w:rsidR="00D44F98" w:rsidRDefault="00EB70E0">
      <w:pPr>
        <w:pStyle w:val="ListParagraph"/>
        <w:numPr>
          <w:ilvl w:val="0"/>
          <w:numId w:val="6"/>
        </w:numPr>
      </w:pPr>
      <w:r>
        <w:t>8.6 (Relationship)</w:t>
      </w:r>
    </w:p>
    <w:p w14:paraId="19D88DBB" w14:textId="77777777" w:rsidR="00D44F98" w:rsidRDefault="00EB70E0">
      <w:pPr>
        <w:pStyle w:val="ListParagraph"/>
        <w:numPr>
          <w:ilvl w:val="0"/>
          <w:numId w:val="6"/>
        </w:numPr>
      </w:pPr>
      <w:r>
        <w:t>8.9 to 8.11 (Entire agreement)</w:t>
      </w:r>
    </w:p>
    <w:p w14:paraId="23C1FA34" w14:textId="77777777" w:rsidR="00D44F98" w:rsidRDefault="00EB70E0">
      <w:pPr>
        <w:pStyle w:val="ListParagraph"/>
        <w:numPr>
          <w:ilvl w:val="0"/>
          <w:numId w:val="6"/>
        </w:numPr>
      </w:pPr>
      <w:r>
        <w:t>8.12 (Law and jurisdiction)</w:t>
      </w:r>
    </w:p>
    <w:p w14:paraId="63A86A5D" w14:textId="77777777" w:rsidR="00D44F98" w:rsidRDefault="00EB70E0">
      <w:pPr>
        <w:pStyle w:val="ListParagraph"/>
        <w:numPr>
          <w:ilvl w:val="0"/>
          <w:numId w:val="6"/>
        </w:numPr>
      </w:pPr>
      <w:r>
        <w:t>8.13 to 8.14 (Legislative change)</w:t>
      </w:r>
    </w:p>
    <w:p w14:paraId="4F056AF2" w14:textId="77777777" w:rsidR="00D44F98" w:rsidRDefault="00EB70E0">
      <w:pPr>
        <w:pStyle w:val="ListParagraph"/>
        <w:numPr>
          <w:ilvl w:val="0"/>
          <w:numId w:val="6"/>
        </w:numPr>
      </w:pPr>
      <w:r>
        <w:t>8.15 to 8.19 (Bribery and corruption)</w:t>
      </w:r>
    </w:p>
    <w:p w14:paraId="1DE494BE" w14:textId="77777777" w:rsidR="00D44F98" w:rsidRDefault="00EB70E0">
      <w:pPr>
        <w:pStyle w:val="ListParagraph"/>
        <w:numPr>
          <w:ilvl w:val="0"/>
          <w:numId w:val="6"/>
        </w:numPr>
      </w:pPr>
      <w:r>
        <w:t>8.20 to 8.29 (Freedom of Information Act)</w:t>
      </w:r>
    </w:p>
    <w:p w14:paraId="652AF3CB" w14:textId="77777777" w:rsidR="00D44F98" w:rsidRDefault="00EB70E0">
      <w:pPr>
        <w:pStyle w:val="ListParagraph"/>
        <w:numPr>
          <w:ilvl w:val="0"/>
          <w:numId w:val="6"/>
        </w:numPr>
      </w:pPr>
      <w:r>
        <w:t>8.30 to 8.31 (Promoting tax compliance)</w:t>
      </w:r>
    </w:p>
    <w:p w14:paraId="3BD7AA7B" w14:textId="77777777" w:rsidR="00D44F98" w:rsidRDefault="00EB70E0">
      <w:pPr>
        <w:pStyle w:val="ListParagraph"/>
        <w:numPr>
          <w:ilvl w:val="0"/>
          <w:numId w:val="6"/>
        </w:numPr>
      </w:pPr>
      <w:r>
        <w:t>8.32 to 8.33 (Official Secrets Act)</w:t>
      </w:r>
    </w:p>
    <w:p w14:paraId="5BB41490" w14:textId="77777777" w:rsidR="00D44F98" w:rsidRDefault="00EB70E0">
      <w:pPr>
        <w:pStyle w:val="ListParagraph"/>
        <w:numPr>
          <w:ilvl w:val="0"/>
          <w:numId w:val="6"/>
        </w:numPr>
      </w:pPr>
      <w:r>
        <w:t>8.34 to 8.37 (Transfer and subcontracting)</w:t>
      </w:r>
    </w:p>
    <w:p w14:paraId="2685B706" w14:textId="77777777" w:rsidR="00D44F98" w:rsidRDefault="00EB70E0">
      <w:pPr>
        <w:pStyle w:val="ListParagraph"/>
        <w:numPr>
          <w:ilvl w:val="0"/>
          <w:numId w:val="6"/>
        </w:numPr>
      </w:pPr>
      <w:r>
        <w:t>8.40 to 8.43 (Complaints handling and resolution)</w:t>
      </w:r>
    </w:p>
    <w:p w14:paraId="72CB2B6E" w14:textId="77777777" w:rsidR="00D44F98" w:rsidRDefault="00EB70E0">
      <w:pPr>
        <w:pStyle w:val="ListParagraph"/>
        <w:numPr>
          <w:ilvl w:val="0"/>
          <w:numId w:val="6"/>
        </w:numPr>
      </w:pPr>
      <w:r>
        <w:t>8.44 to 8.50 (Conflicts of interest and ethical walls)</w:t>
      </w:r>
    </w:p>
    <w:p w14:paraId="774E1B63" w14:textId="77777777" w:rsidR="00D44F98" w:rsidRDefault="00EB70E0">
      <w:pPr>
        <w:pStyle w:val="ListParagraph"/>
        <w:numPr>
          <w:ilvl w:val="0"/>
          <w:numId w:val="6"/>
        </w:numPr>
      </w:pPr>
      <w:r>
        <w:t>8.51 to 8.53 (Publicity and branding)</w:t>
      </w:r>
    </w:p>
    <w:p w14:paraId="0A7D8BB2" w14:textId="77777777" w:rsidR="00D44F98" w:rsidRDefault="00EB70E0">
      <w:pPr>
        <w:pStyle w:val="ListParagraph"/>
        <w:numPr>
          <w:ilvl w:val="0"/>
          <w:numId w:val="6"/>
        </w:numPr>
      </w:pPr>
      <w:r>
        <w:t>8.54 to 8.56 (Equality and diversity)</w:t>
      </w:r>
    </w:p>
    <w:p w14:paraId="0D64E058" w14:textId="77777777" w:rsidR="00D44F98" w:rsidRDefault="00EB70E0">
      <w:pPr>
        <w:pStyle w:val="ListParagraph"/>
        <w:numPr>
          <w:ilvl w:val="0"/>
          <w:numId w:val="6"/>
        </w:numPr>
      </w:pPr>
      <w:r>
        <w:t>8.59 to 8.60 (Data protection</w:t>
      </w:r>
    </w:p>
    <w:p w14:paraId="71FF37AE" w14:textId="77777777" w:rsidR="00D44F98" w:rsidRDefault="00EB70E0">
      <w:pPr>
        <w:pStyle w:val="ListParagraph"/>
        <w:numPr>
          <w:ilvl w:val="0"/>
          <w:numId w:val="6"/>
        </w:numPr>
      </w:pPr>
      <w:r>
        <w:lastRenderedPageBreak/>
        <w:t>8.64 to 8.65 (Severability)</w:t>
      </w:r>
    </w:p>
    <w:p w14:paraId="6707F263" w14:textId="77777777" w:rsidR="00D44F98" w:rsidRDefault="00EB70E0">
      <w:pPr>
        <w:pStyle w:val="ListParagraph"/>
        <w:numPr>
          <w:ilvl w:val="0"/>
          <w:numId w:val="6"/>
        </w:numPr>
      </w:pPr>
      <w:r>
        <w:t>8.66 to 8.69 (Managing disputes and Mediation)</w:t>
      </w:r>
    </w:p>
    <w:p w14:paraId="36EABAA0" w14:textId="77777777" w:rsidR="00D44F98" w:rsidRDefault="00EB70E0">
      <w:pPr>
        <w:pStyle w:val="ListParagraph"/>
        <w:numPr>
          <w:ilvl w:val="0"/>
          <w:numId w:val="6"/>
        </w:numPr>
      </w:pPr>
      <w:r>
        <w:t>8.80 to 8.88 (Confidentiality)</w:t>
      </w:r>
    </w:p>
    <w:p w14:paraId="66064CDC" w14:textId="77777777" w:rsidR="00D44F98" w:rsidRDefault="00EB70E0">
      <w:pPr>
        <w:pStyle w:val="ListParagraph"/>
        <w:numPr>
          <w:ilvl w:val="0"/>
          <w:numId w:val="6"/>
        </w:numPr>
      </w:pPr>
      <w:r>
        <w:t>8.89 to 8.90 (Waiver and cumulative remedies)</w:t>
      </w:r>
    </w:p>
    <w:p w14:paraId="1ABF91BB" w14:textId="77777777" w:rsidR="00D44F98" w:rsidRDefault="00EB70E0">
      <w:pPr>
        <w:pStyle w:val="ListParagraph"/>
        <w:numPr>
          <w:ilvl w:val="0"/>
          <w:numId w:val="6"/>
        </w:numPr>
      </w:pPr>
      <w:r>
        <w:t>8.91 to 8.101 (Corporate Social Responsibility)</w:t>
      </w:r>
    </w:p>
    <w:p w14:paraId="4246656F" w14:textId="77777777" w:rsidR="00D44F98" w:rsidRDefault="00EB70E0">
      <w:pPr>
        <w:pStyle w:val="ListParagraph"/>
        <w:numPr>
          <w:ilvl w:val="0"/>
          <w:numId w:val="6"/>
        </w:numPr>
      </w:pPr>
      <w:r>
        <w:t>paragraphs 1 to 10 of the Framework Agreement glossary and interpretation</w:t>
      </w:r>
    </w:p>
    <w:p w14:paraId="21AE3D80" w14:textId="77777777" w:rsidR="00D44F98" w:rsidRDefault="00EB70E0">
      <w:pPr>
        <w:pStyle w:val="ListParagraph"/>
        <w:numPr>
          <w:ilvl w:val="0"/>
          <w:numId w:val="7"/>
        </w:numPr>
      </w:pPr>
      <w:r>
        <w:t>any audit provisions from the Framework Agreement set out by the Buyer in the Order Form</w:t>
      </w:r>
    </w:p>
    <w:p w14:paraId="347A19BD" w14:textId="77777777" w:rsidR="00D44F98" w:rsidRDefault="00EB70E0">
      <w:pPr>
        <w:ind w:left="720"/>
      </w:pPr>
      <w:r>
        <w:t xml:space="preserve"> </w:t>
      </w:r>
    </w:p>
    <w:p w14:paraId="4B3A3104" w14:textId="77777777" w:rsidR="00D44F98" w:rsidRDefault="00EB70E0">
      <w:pPr>
        <w:spacing w:after="240"/>
      </w:pPr>
      <w:r>
        <w:t>2.2</w:t>
      </w:r>
      <w:r>
        <w:tab/>
        <w:t xml:space="preserve">The Framework Agreement provisions in clause 2.1 will be modified as follows: </w:t>
      </w:r>
    </w:p>
    <w:p w14:paraId="127739A0" w14:textId="77777777" w:rsidR="00D44F98" w:rsidRDefault="00EB70E0">
      <w:pPr>
        <w:ind w:left="1440" w:hanging="720"/>
      </w:pPr>
      <w:r>
        <w:t>2.2.1</w:t>
      </w:r>
      <w:r>
        <w:tab/>
        <w:t>a reference to the ‘Framework Agreement’ will be a reference to the ‘Call-Off Contract’</w:t>
      </w:r>
    </w:p>
    <w:p w14:paraId="02EA7A6F" w14:textId="77777777" w:rsidR="00D44F98" w:rsidRDefault="00EB70E0">
      <w:pPr>
        <w:ind w:firstLine="720"/>
      </w:pPr>
      <w:r>
        <w:t>2.2.2</w:t>
      </w:r>
      <w:r>
        <w:tab/>
        <w:t>a reference to ‘CCS’ will be a reference to ‘the Buyer’</w:t>
      </w:r>
    </w:p>
    <w:p w14:paraId="7867967D" w14:textId="77777777" w:rsidR="00D44F98" w:rsidRDefault="00EB70E0">
      <w:pPr>
        <w:ind w:left="1440" w:hanging="720"/>
      </w:pPr>
      <w:r>
        <w:t>2.2.3</w:t>
      </w:r>
      <w:r>
        <w:tab/>
        <w:t>a reference to the ‘Parties’ and a ‘Party’ will be a reference to the Buyer and Supplier as Parties under this Call-Off Contract</w:t>
      </w:r>
    </w:p>
    <w:p w14:paraId="39053306" w14:textId="77777777" w:rsidR="00D44F98" w:rsidRDefault="00D44F98"/>
    <w:p w14:paraId="17833018" w14:textId="77777777" w:rsidR="00D44F98" w:rsidRDefault="00EB70E0">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1ED8C410" w14:textId="77777777" w:rsidR="00D44F98" w:rsidRDefault="00D44F98">
      <w:pPr>
        <w:ind w:left="720"/>
      </w:pPr>
    </w:p>
    <w:p w14:paraId="7CE66E41" w14:textId="77777777" w:rsidR="00D44F98" w:rsidRDefault="00EB70E0">
      <w:pPr>
        <w:ind w:left="720" w:hanging="720"/>
      </w:pPr>
      <w:r>
        <w:t>2.4</w:t>
      </w:r>
      <w:r>
        <w:tab/>
        <w:t>The Framework Agreement incorporated clauses will be referred to as incorporated Framework clause ‘XX’, where ‘XX’ is the Framework Agreement clause number.</w:t>
      </w:r>
    </w:p>
    <w:p w14:paraId="2F20A8A7" w14:textId="77777777" w:rsidR="00D44F98" w:rsidRDefault="00D44F98">
      <w:pPr>
        <w:ind w:firstLine="720"/>
      </w:pPr>
    </w:p>
    <w:p w14:paraId="12F2DE05" w14:textId="77777777" w:rsidR="00D44F98" w:rsidRDefault="00EB70E0">
      <w:pPr>
        <w:ind w:left="720" w:hanging="720"/>
      </w:pPr>
      <w:r>
        <w:t>2.5</w:t>
      </w:r>
      <w:r>
        <w:tab/>
        <w:t>When an Order Form is signed, the terms and conditions agreed in it will be incorporated into this Call-Off Contract.</w:t>
      </w:r>
    </w:p>
    <w:p w14:paraId="0A3C2702" w14:textId="77777777" w:rsidR="00D44F98" w:rsidRDefault="00D44F98"/>
    <w:p w14:paraId="40B12C40" w14:textId="77777777" w:rsidR="00D44F98" w:rsidRDefault="00EB70E0">
      <w:pPr>
        <w:pStyle w:val="Heading3"/>
        <w:spacing w:after="100"/>
      </w:pPr>
      <w:r>
        <w:t>3.</w:t>
      </w:r>
      <w:r>
        <w:tab/>
        <w:t>Supply of services</w:t>
      </w:r>
    </w:p>
    <w:p w14:paraId="67FB79C0" w14:textId="77777777" w:rsidR="00D44F98" w:rsidRDefault="00EB70E0">
      <w:pPr>
        <w:spacing w:before="240" w:after="240"/>
        <w:ind w:left="720" w:hanging="720"/>
      </w:pPr>
      <w:r>
        <w:t>3.1</w:t>
      </w:r>
      <w:r>
        <w:tab/>
        <w:t>The Supplier agrees to supply the G-Cloud Services and any Additional Services under the terms of the Call-Off Contract and the Supplier’s Application.</w:t>
      </w:r>
    </w:p>
    <w:p w14:paraId="357AA72C" w14:textId="77777777" w:rsidR="00D44F98" w:rsidRDefault="00EB70E0">
      <w:pPr>
        <w:ind w:left="720" w:hanging="720"/>
      </w:pPr>
      <w:r>
        <w:t>3.2</w:t>
      </w:r>
      <w:r>
        <w:tab/>
        <w:t>The Supplier undertakes that each G-Cloud Service will meet the Buyer’s acceptance criteria, as defined in the Order Form.</w:t>
      </w:r>
    </w:p>
    <w:p w14:paraId="3D6C1674" w14:textId="77777777" w:rsidR="00D44F98" w:rsidRDefault="00D44F98"/>
    <w:p w14:paraId="76A64750" w14:textId="77777777" w:rsidR="00D44F98" w:rsidRDefault="00EB70E0">
      <w:pPr>
        <w:pStyle w:val="Heading3"/>
        <w:spacing w:after="100"/>
      </w:pPr>
      <w:r>
        <w:t>4.</w:t>
      </w:r>
      <w:r>
        <w:tab/>
        <w:t>Supplier staff</w:t>
      </w:r>
    </w:p>
    <w:p w14:paraId="640ACCD5" w14:textId="77777777" w:rsidR="00D44F98" w:rsidRDefault="00EB70E0">
      <w:pPr>
        <w:spacing w:before="240" w:after="240"/>
      </w:pPr>
      <w:r>
        <w:t>4.1</w:t>
      </w:r>
      <w:r>
        <w:tab/>
        <w:t xml:space="preserve">The Supplier Staff must: </w:t>
      </w:r>
    </w:p>
    <w:p w14:paraId="0D61027D" w14:textId="77777777" w:rsidR="00D44F98" w:rsidRDefault="00EB70E0">
      <w:pPr>
        <w:ind w:firstLine="720"/>
      </w:pPr>
      <w:r>
        <w:t>4.1.1</w:t>
      </w:r>
      <w:r>
        <w:tab/>
        <w:t xml:space="preserve">be appropriately experienced, </w:t>
      </w:r>
      <w:proofErr w:type="gramStart"/>
      <w:r>
        <w:t>qualified</w:t>
      </w:r>
      <w:proofErr w:type="gramEnd"/>
      <w:r>
        <w:t xml:space="preserve"> and trained to supply the Services</w:t>
      </w:r>
    </w:p>
    <w:p w14:paraId="5DA93998" w14:textId="77777777" w:rsidR="00D44F98" w:rsidRDefault="00D44F98"/>
    <w:p w14:paraId="4013614C" w14:textId="77777777" w:rsidR="00D44F98" w:rsidRDefault="00EB70E0">
      <w:pPr>
        <w:ind w:firstLine="720"/>
      </w:pPr>
      <w:r>
        <w:t>4.1.2</w:t>
      </w:r>
      <w:r>
        <w:tab/>
        <w:t xml:space="preserve">apply all due skill, </w:t>
      </w:r>
      <w:proofErr w:type="gramStart"/>
      <w:r>
        <w:t>care</w:t>
      </w:r>
      <w:proofErr w:type="gramEnd"/>
      <w:r>
        <w:t xml:space="preserve"> and diligence in faithfully performing those duties</w:t>
      </w:r>
    </w:p>
    <w:p w14:paraId="42887BB9" w14:textId="77777777" w:rsidR="00D44F98" w:rsidRDefault="00D44F98"/>
    <w:p w14:paraId="08FF3D41" w14:textId="77777777" w:rsidR="00D44F98" w:rsidRDefault="00EB70E0">
      <w:pPr>
        <w:ind w:left="720"/>
      </w:pPr>
      <w:r>
        <w:t>4.1.3</w:t>
      </w:r>
      <w:r>
        <w:tab/>
        <w:t>obey all lawful instructions and reasonable directions of the Buyer and provide the Services to the reasonable satisfaction of the Buyer</w:t>
      </w:r>
    </w:p>
    <w:p w14:paraId="42DDA04F" w14:textId="77777777" w:rsidR="00D44F98" w:rsidRDefault="00D44F98"/>
    <w:p w14:paraId="4B5BCB4B" w14:textId="77777777" w:rsidR="00D44F98" w:rsidRDefault="00EB70E0">
      <w:pPr>
        <w:ind w:firstLine="720"/>
      </w:pPr>
      <w:r>
        <w:lastRenderedPageBreak/>
        <w:t>4.1.4</w:t>
      </w:r>
      <w:r>
        <w:tab/>
        <w:t>respond to any enquiries about the Services as soon as reasonably possible</w:t>
      </w:r>
    </w:p>
    <w:p w14:paraId="1B92D8DC" w14:textId="77777777" w:rsidR="00D44F98" w:rsidRDefault="00D44F98"/>
    <w:p w14:paraId="6B9636E0" w14:textId="77777777" w:rsidR="00D44F98" w:rsidRDefault="00EB70E0">
      <w:pPr>
        <w:ind w:firstLine="720"/>
      </w:pPr>
      <w:r>
        <w:t>4.1.5</w:t>
      </w:r>
      <w:r>
        <w:tab/>
        <w:t>complete any necessary Supplier Staff vetting as specified by the Buyer</w:t>
      </w:r>
    </w:p>
    <w:p w14:paraId="7CC43019" w14:textId="77777777" w:rsidR="00D44F98" w:rsidRDefault="00D44F98"/>
    <w:p w14:paraId="0D7631AF" w14:textId="77777777" w:rsidR="00D44F98" w:rsidRDefault="00EB70E0">
      <w:pPr>
        <w:ind w:left="720" w:hanging="720"/>
      </w:pPr>
      <w:r>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0A5CD122" w14:textId="77777777" w:rsidR="00D44F98" w:rsidRDefault="00D44F98">
      <w:pPr>
        <w:ind w:firstLine="720"/>
      </w:pPr>
    </w:p>
    <w:p w14:paraId="25CFAE90" w14:textId="77777777" w:rsidR="00D44F98" w:rsidRDefault="00EB70E0">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2B68A068" w14:textId="77777777" w:rsidR="00D44F98" w:rsidRDefault="00D44F98">
      <w:pPr>
        <w:ind w:firstLine="720"/>
      </w:pPr>
    </w:p>
    <w:p w14:paraId="67DE844E" w14:textId="77777777" w:rsidR="00D44F98" w:rsidRDefault="00EB70E0">
      <w:pPr>
        <w:ind w:left="720" w:hanging="720"/>
      </w:pPr>
      <w:r>
        <w:t>4.4</w:t>
      </w:r>
      <w:r>
        <w:tab/>
        <w:t>The Buyer may conduct IR35 Assessments using the ESI tool to assess whether the Supplier’s engagement under the Call-Off Contract is Inside or Outside IR35.</w:t>
      </w:r>
    </w:p>
    <w:p w14:paraId="5E868BF6" w14:textId="77777777" w:rsidR="00D44F98" w:rsidRDefault="00D44F98">
      <w:pPr>
        <w:ind w:firstLine="720"/>
      </w:pPr>
    </w:p>
    <w:p w14:paraId="6AB43E39" w14:textId="77777777" w:rsidR="00D44F98" w:rsidRDefault="00EB70E0">
      <w:pPr>
        <w:ind w:left="720" w:hanging="720"/>
      </w:pPr>
      <w:r>
        <w:t>4.5</w:t>
      </w:r>
      <w:r>
        <w:tab/>
        <w:t>The Buyer may End this Call-Off Contract for Material Breach as per clause 18.5 hereunder if the Supplier is delivering the Services Inside IR35.</w:t>
      </w:r>
    </w:p>
    <w:p w14:paraId="1FC3F317" w14:textId="77777777" w:rsidR="00D44F98" w:rsidRDefault="00D44F98">
      <w:pPr>
        <w:ind w:firstLine="720"/>
      </w:pPr>
    </w:p>
    <w:p w14:paraId="3B517FCA" w14:textId="77777777" w:rsidR="00D44F98" w:rsidRDefault="00EB70E0">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0A03855" w14:textId="77777777" w:rsidR="00D44F98" w:rsidRDefault="00D44F98">
      <w:pPr>
        <w:ind w:left="720"/>
      </w:pPr>
    </w:p>
    <w:p w14:paraId="5D9DE773" w14:textId="77777777" w:rsidR="00D44F98" w:rsidRDefault="00EB70E0">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0DC50710" w14:textId="77777777" w:rsidR="00D44F98" w:rsidRDefault="00D44F98">
      <w:pPr>
        <w:ind w:left="720"/>
      </w:pPr>
    </w:p>
    <w:p w14:paraId="5AACB3F2" w14:textId="77777777" w:rsidR="00D44F98" w:rsidRDefault="00EB70E0">
      <w:pPr>
        <w:ind w:left="720" w:hanging="720"/>
      </w:pPr>
      <w:r>
        <w:t>4.8</w:t>
      </w:r>
      <w:r>
        <w:tab/>
        <w:t>If it is determined by the Buyer that the Supplier is Outside IR35, the Buyer will provide the ESI reference number and a copy of the PDF to the Supplier.</w:t>
      </w:r>
    </w:p>
    <w:p w14:paraId="2E804187" w14:textId="77777777" w:rsidR="00D44F98" w:rsidRDefault="00D44F98">
      <w:pPr>
        <w:spacing w:before="240" w:after="240"/>
        <w:ind w:left="720"/>
      </w:pPr>
    </w:p>
    <w:p w14:paraId="095EA021" w14:textId="77777777" w:rsidR="00D44F98" w:rsidRDefault="00EB70E0">
      <w:pPr>
        <w:pStyle w:val="Heading3"/>
        <w:spacing w:after="100"/>
      </w:pPr>
      <w:r>
        <w:t>5.</w:t>
      </w:r>
      <w:r>
        <w:tab/>
        <w:t>Due diligence</w:t>
      </w:r>
    </w:p>
    <w:p w14:paraId="0E31BB6D" w14:textId="77777777" w:rsidR="00D44F98" w:rsidRDefault="00EB70E0">
      <w:pPr>
        <w:spacing w:before="240" w:after="120"/>
      </w:pPr>
      <w:r>
        <w:t xml:space="preserve"> 5.1</w:t>
      </w:r>
      <w:r>
        <w:tab/>
        <w:t xml:space="preserve">Both Parties agree that when </w:t>
      </w:r>
      <w:proofErr w:type="gramStart"/>
      <w:r>
        <w:t>entering into</w:t>
      </w:r>
      <w:proofErr w:type="gramEnd"/>
      <w:r>
        <w:t xml:space="preserve"> a Call-Off Contract they:</w:t>
      </w:r>
    </w:p>
    <w:p w14:paraId="24F0093C" w14:textId="77777777" w:rsidR="00D44F98" w:rsidRDefault="00EB70E0">
      <w:pPr>
        <w:spacing w:after="120"/>
        <w:ind w:left="1440" w:hanging="720"/>
      </w:pPr>
      <w:r>
        <w:t>5.1.1</w:t>
      </w:r>
      <w:r>
        <w:tab/>
        <w:t>have made their own enquiries and are satisfied by the accuracy of any information supplied by the other Party</w:t>
      </w:r>
    </w:p>
    <w:p w14:paraId="279F04F6" w14:textId="77777777" w:rsidR="00D44F98" w:rsidRDefault="00EB70E0">
      <w:pPr>
        <w:spacing w:after="120"/>
        <w:ind w:left="1440" w:hanging="720"/>
      </w:pPr>
      <w:r>
        <w:t>5.1.2</w:t>
      </w:r>
      <w:r>
        <w:tab/>
        <w:t>are confident that they can fulfil their obligations according to the Call-Off Contract terms</w:t>
      </w:r>
    </w:p>
    <w:p w14:paraId="1A8E13C2" w14:textId="77777777" w:rsidR="00D44F98" w:rsidRDefault="00EB70E0">
      <w:pPr>
        <w:spacing w:after="120"/>
        <w:ind w:firstLine="720"/>
      </w:pPr>
      <w:r>
        <w:t>5.1.3</w:t>
      </w:r>
      <w:r>
        <w:tab/>
        <w:t>have raised all due diligence questions before signing the Call-Off Contract</w:t>
      </w:r>
    </w:p>
    <w:p w14:paraId="5798AA67" w14:textId="77777777" w:rsidR="00D44F98" w:rsidRDefault="00EB70E0">
      <w:pPr>
        <w:ind w:firstLine="720"/>
      </w:pPr>
      <w:r>
        <w:t>5.1.4</w:t>
      </w:r>
      <w:r>
        <w:tab/>
        <w:t xml:space="preserve">have </w:t>
      </w:r>
      <w:proofErr w:type="gramStart"/>
      <w:r>
        <w:t>entered into</w:t>
      </w:r>
      <w:proofErr w:type="gramEnd"/>
      <w:r>
        <w:t xml:space="preserve"> the Call-Off Contract relying on its own due diligence</w:t>
      </w:r>
    </w:p>
    <w:p w14:paraId="16CE22B6" w14:textId="77777777" w:rsidR="00D44F98" w:rsidRDefault="00D44F98">
      <w:pPr>
        <w:spacing w:before="240"/>
      </w:pPr>
    </w:p>
    <w:p w14:paraId="7D166C2A" w14:textId="77777777" w:rsidR="00D44F98" w:rsidRDefault="00EB70E0">
      <w:pPr>
        <w:pStyle w:val="Heading3"/>
        <w:spacing w:after="100"/>
      </w:pPr>
      <w:r>
        <w:t xml:space="preserve">6. </w:t>
      </w:r>
      <w:r>
        <w:tab/>
        <w:t>Business continuity and disaster recovery</w:t>
      </w:r>
    </w:p>
    <w:p w14:paraId="60409578" w14:textId="77777777" w:rsidR="00D44F98" w:rsidRDefault="00EB70E0">
      <w:pPr>
        <w:ind w:left="720" w:hanging="720"/>
      </w:pPr>
      <w:r>
        <w:t>6.1</w:t>
      </w:r>
      <w:r>
        <w:tab/>
        <w:t>The Supplier will have a clear business continuity and disaster recovery plan in their service descriptions.</w:t>
      </w:r>
    </w:p>
    <w:p w14:paraId="28B31382" w14:textId="77777777" w:rsidR="00D44F98" w:rsidRDefault="00D44F98"/>
    <w:p w14:paraId="79001FD1" w14:textId="77777777" w:rsidR="00D44F98" w:rsidRDefault="00EB70E0">
      <w:pPr>
        <w:ind w:left="720" w:hanging="720"/>
      </w:pPr>
      <w:r>
        <w:t>6.2</w:t>
      </w:r>
      <w:r>
        <w:tab/>
        <w:t>The Supplier’s business continuity and disaster recovery services are part of the Services and will be performed by the Supplier when required.</w:t>
      </w:r>
    </w:p>
    <w:p w14:paraId="14D17A9B" w14:textId="77777777" w:rsidR="00D44F98" w:rsidRDefault="00EB70E0">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43595284" w14:textId="77777777" w:rsidR="00D44F98" w:rsidRDefault="00D44F98"/>
    <w:p w14:paraId="54BF735C" w14:textId="77777777" w:rsidR="00D44F98" w:rsidRDefault="00EB70E0">
      <w:pPr>
        <w:pStyle w:val="Heading3"/>
        <w:spacing w:after="100"/>
      </w:pPr>
      <w:r>
        <w:t>7.</w:t>
      </w:r>
      <w:r>
        <w:tab/>
        <w:t>Payment, VAT and Call-Off Contract charges</w:t>
      </w:r>
    </w:p>
    <w:p w14:paraId="4FB96F5B" w14:textId="77777777" w:rsidR="00D44F98" w:rsidRDefault="00EB70E0">
      <w:pPr>
        <w:spacing w:after="120"/>
        <w:ind w:left="720" w:hanging="720"/>
      </w:pPr>
      <w:r>
        <w:t>7.1</w:t>
      </w:r>
      <w:r>
        <w:tab/>
        <w:t>The Buyer must pay the Charges following clauses 7.2 to 7.11 for the Supplier’s delivery of the Services.</w:t>
      </w:r>
    </w:p>
    <w:p w14:paraId="17F1D538" w14:textId="77777777" w:rsidR="00D44F98" w:rsidRDefault="00EB70E0">
      <w:pPr>
        <w:ind w:left="720" w:hanging="720"/>
      </w:pPr>
      <w:r>
        <w:t>7.2</w:t>
      </w:r>
      <w:r>
        <w:tab/>
        <w:t>The Buyer will pay the Supplier within the number of days specified in the Order Form on receipt of a valid invoice.</w:t>
      </w:r>
    </w:p>
    <w:p w14:paraId="338D930C" w14:textId="77777777" w:rsidR="00D44F98" w:rsidRDefault="00EB70E0">
      <w:pPr>
        <w:spacing w:after="120"/>
        <w:ind w:left="720" w:hanging="720"/>
      </w:pPr>
      <w:r>
        <w:t>7.3</w:t>
      </w:r>
      <w:r>
        <w:tab/>
        <w:t>The Call-Off Contract Charges include all Charges for payment Processing. All invoices submitted to the Buyer for the Services will be exclusive of any Management Charge.</w:t>
      </w:r>
    </w:p>
    <w:p w14:paraId="594EF4B2" w14:textId="77777777" w:rsidR="00D44F98" w:rsidRDefault="00EB70E0">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450E397D" w14:textId="77777777" w:rsidR="00D44F98" w:rsidRDefault="00EB70E0">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4DC04EAB" w14:textId="77777777" w:rsidR="00D44F98" w:rsidRDefault="00EB70E0">
      <w:pPr>
        <w:spacing w:after="120"/>
        <w:ind w:left="720" w:hanging="720"/>
      </w:pPr>
      <w:r>
        <w:t>7.6</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6596E34A" w14:textId="77777777" w:rsidR="00D44F98" w:rsidRDefault="00EB70E0">
      <w:pPr>
        <w:spacing w:after="120"/>
      </w:pPr>
      <w:r>
        <w:t>7.7</w:t>
      </w:r>
      <w:r>
        <w:tab/>
        <w:t>All Charges payable by the Buyer to the Supplier will include VAT at the appropriate Rate.</w:t>
      </w:r>
    </w:p>
    <w:p w14:paraId="689A80AC" w14:textId="77777777" w:rsidR="00D44F98" w:rsidRDefault="00EB70E0">
      <w:pPr>
        <w:spacing w:after="120"/>
        <w:ind w:left="720" w:hanging="720"/>
      </w:pPr>
      <w:r>
        <w:t>7.8</w:t>
      </w:r>
      <w:r>
        <w:tab/>
        <w:t>The Supplier must add VAT to the Charges at the appropriate rate with visibility of the amount as a separate line item.</w:t>
      </w:r>
    </w:p>
    <w:p w14:paraId="0A472AD1" w14:textId="77777777" w:rsidR="00D44F98" w:rsidRDefault="00EB70E0">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7424FB7" w14:textId="77777777" w:rsidR="00D44F98" w:rsidRDefault="00EB70E0">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75F91DBB" w14:textId="77777777" w:rsidR="00D44F98" w:rsidRDefault="00EB70E0">
      <w:pPr>
        <w:spacing w:after="120"/>
        <w:ind w:left="720" w:hanging="720"/>
      </w:pPr>
      <w:r>
        <w:t>7.11</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w:t>
      </w:r>
    </w:p>
    <w:p w14:paraId="70F6919B" w14:textId="77777777" w:rsidR="00D44F98" w:rsidRDefault="00EB70E0">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E3CDF1F" w14:textId="77777777" w:rsidR="00D44F98" w:rsidRDefault="00D44F98">
      <w:pPr>
        <w:ind w:left="720"/>
      </w:pPr>
    </w:p>
    <w:p w14:paraId="40486CD2" w14:textId="77777777" w:rsidR="00D44F98" w:rsidRDefault="00EB70E0">
      <w:pPr>
        <w:pStyle w:val="Heading3"/>
      </w:pPr>
      <w:r>
        <w:t>8.</w:t>
      </w:r>
      <w:r>
        <w:tab/>
        <w:t>Recovery of sums due and right of set-off</w:t>
      </w:r>
    </w:p>
    <w:p w14:paraId="358395D9" w14:textId="77777777" w:rsidR="00D44F98" w:rsidRDefault="00EB70E0">
      <w:pPr>
        <w:spacing w:before="240" w:after="240"/>
        <w:ind w:left="720" w:hanging="720"/>
      </w:pPr>
      <w:r>
        <w:t>8.1</w:t>
      </w:r>
      <w:r>
        <w:tab/>
        <w:t>If a Supplier owes money to the Buyer, the Buyer may deduct that sum from the Call-Off Contract Charges.</w:t>
      </w:r>
    </w:p>
    <w:p w14:paraId="14186C58" w14:textId="77777777" w:rsidR="00D44F98" w:rsidRDefault="00D44F98">
      <w:pPr>
        <w:spacing w:before="240" w:after="240"/>
        <w:ind w:left="720" w:hanging="720"/>
      </w:pPr>
    </w:p>
    <w:p w14:paraId="08011C87" w14:textId="77777777" w:rsidR="00D44F98" w:rsidRDefault="00EB70E0">
      <w:pPr>
        <w:pStyle w:val="Heading3"/>
      </w:pPr>
      <w:r>
        <w:t>9.</w:t>
      </w:r>
      <w:r>
        <w:tab/>
        <w:t>Insurance</w:t>
      </w:r>
    </w:p>
    <w:p w14:paraId="2DB00F22" w14:textId="77777777" w:rsidR="00D44F98" w:rsidRDefault="00EB70E0">
      <w:pPr>
        <w:spacing w:before="240" w:after="240"/>
        <w:ind w:left="660" w:hanging="660"/>
      </w:pPr>
      <w:r>
        <w:t>9.1</w:t>
      </w:r>
      <w:r>
        <w:tab/>
        <w:t>The Supplier will maintain the insurances required by the Buyer including those in this clause.</w:t>
      </w:r>
    </w:p>
    <w:p w14:paraId="564145A5" w14:textId="77777777" w:rsidR="00D44F98" w:rsidRDefault="00EB70E0">
      <w:r>
        <w:t>9.2</w:t>
      </w:r>
      <w:r>
        <w:tab/>
        <w:t>The Supplier will ensure that:</w:t>
      </w:r>
    </w:p>
    <w:p w14:paraId="2119B0EC" w14:textId="77777777" w:rsidR="00D44F98" w:rsidRDefault="00D44F98"/>
    <w:p w14:paraId="71A50960" w14:textId="77777777" w:rsidR="00D44F98" w:rsidRDefault="00EB70E0">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63659831" w14:textId="77777777" w:rsidR="00D44F98" w:rsidRDefault="00D44F98">
      <w:pPr>
        <w:ind w:firstLine="720"/>
      </w:pPr>
    </w:p>
    <w:p w14:paraId="4B8C746E" w14:textId="77777777" w:rsidR="00D44F98" w:rsidRDefault="00EB70E0">
      <w:pPr>
        <w:ind w:left="1440" w:hanging="720"/>
      </w:pPr>
      <w:r>
        <w:t>9.2.2</w:t>
      </w:r>
      <w:r>
        <w:tab/>
        <w:t>the third-party public and products liability insurance contains an ‘indemnity to principals’ clause for the Buyer’s benefit</w:t>
      </w:r>
    </w:p>
    <w:p w14:paraId="665B77A0" w14:textId="77777777" w:rsidR="00D44F98" w:rsidRDefault="00D44F98">
      <w:pPr>
        <w:ind w:firstLine="720"/>
      </w:pPr>
    </w:p>
    <w:p w14:paraId="5E0922E5" w14:textId="77777777" w:rsidR="00D44F98" w:rsidRDefault="00EB70E0">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1F8C8901" w14:textId="77777777" w:rsidR="00D44F98" w:rsidRDefault="00D44F98">
      <w:pPr>
        <w:ind w:firstLine="720"/>
      </w:pPr>
    </w:p>
    <w:p w14:paraId="6D70AEB9" w14:textId="77777777" w:rsidR="00D44F98" w:rsidRDefault="00EB70E0">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16EBD45D" w14:textId="77777777" w:rsidR="00D44F98" w:rsidRDefault="00D44F98">
      <w:pPr>
        <w:ind w:left="720"/>
      </w:pPr>
    </w:p>
    <w:p w14:paraId="703EAFA6" w14:textId="77777777" w:rsidR="00D44F98" w:rsidRDefault="00EB70E0">
      <w:pPr>
        <w:ind w:left="720" w:hanging="720"/>
      </w:pPr>
      <w:r>
        <w:t>9.3</w:t>
      </w:r>
      <w:r>
        <w:tab/>
        <w:t>If requested by the Buyer, the Supplier will obtain additional insurance policies, or extend existing policies bought under the Framework Agreement.</w:t>
      </w:r>
    </w:p>
    <w:p w14:paraId="2FE57887" w14:textId="77777777" w:rsidR="00D44F98" w:rsidRDefault="00D44F98">
      <w:pPr>
        <w:ind w:left="720" w:firstLine="720"/>
      </w:pPr>
    </w:p>
    <w:p w14:paraId="114DAB63" w14:textId="77777777" w:rsidR="00D44F98" w:rsidRDefault="00EB70E0">
      <w:pPr>
        <w:ind w:left="720" w:hanging="720"/>
      </w:pPr>
      <w:r>
        <w:t>9.4</w:t>
      </w:r>
      <w:r>
        <w:tab/>
        <w:t>If requested by the Buyer, the Supplier will provide the following to show compliance with this clause:</w:t>
      </w:r>
    </w:p>
    <w:p w14:paraId="6BB4AE5C" w14:textId="77777777" w:rsidR="00D44F98" w:rsidRDefault="00D44F98">
      <w:pPr>
        <w:ind w:firstLine="720"/>
      </w:pPr>
    </w:p>
    <w:p w14:paraId="0D91DE82" w14:textId="77777777" w:rsidR="00D44F98" w:rsidRDefault="00EB70E0">
      <w:pPr>
        <w:ind w:firstLine="720"/>
      </w:pPr>
      <w:r>
        <w:t>9.4.1</w:t>
      </w:r>
      <w:r>
        <w:tab/>
        <w:t>a broker's verification of insurance</w:t>
      </w:r>
    </w:p>
    <w:p w14:paraId="3011E809" w14:textId="77777777" w:rsidR="00D44F98" w:rsidRDefault="00D44F98">
      <w:pPr>
        <w:ind w:firstLine="720"/>
      </w:pPr>
    </w:p>
    <w:p w14:paraId="39FF6DB2" w14:textId="77777777" w:rsidR="00D44F98" w:rsidRDefault="00EB70E0">
      <w:pPr>
        <w:ind w:firstLine="720"/>
      </w:pPr>
      <w:r>
        <w:t>9.4.2</w:t>
      </w:r>
      <w:r>
        <w:tab/>
        <w:t>receipts for the insurance premium</w:t>
      </w:r>
    </w:p>
    <w:p w14:paraId="172029FF" w14:textId="77777777" w:rsidR="00D44F98" w:rsidRDefault="00D44F98">
      <w:pPr>
        <w:ind w:firstLine="720"/>
      </w:pPr>
    </w:p>
    <w:p w14:paraId="47F7D76E" w14:textId="77777777" w:rsidR="00D44F98" w:rsidRDefault="00EB70E0">
      <w:pPr>
        <w:ind w:firstLine="720"/>
      </w:pPr>
      <w:r>
        <w:t>9.4.3</w:t>
      </w:r>
      <w:r>
        <w:tab/>
        <w:t>evidence of payment of the latest premiums due</w:t>
      </w:r>
    </w:p>
    <w:p w14:paraId="0A106EDB" w14:textId="77777777" w:rsidR="00D44F98" w:rsidRDefault="00D44F98">
      <w:pPr>
        <w:ind w:firstLine="720"/>
      </w:pPr>
    </w:p>
    <w:p w14:paraId="33797D82" w14:textId="77777777" w:rsidR="00D44F98" w:rsidRDefault="00EB70E0">
      <w:pPr>
        <w:ind w:left="720" w:hanging="720"/>
      </w:pPr>
      <w:r>
        <w:t>9.5</w:t>
      </w:r>
      <w:r>
        <w:tab/>
        <w:t xml:space="preserve">Insurance will not relieve the Supplier of any liabilities under the Framework </w:t>
      </w:r>
      <w:proofErr w:type="gramStart"/>
      <w:r>
        <w:t>Agreement</w:t>
      </w:r>
      <w:proofErr w:type="gramEnd"/>
      <w:r>
        <w:t xml:space="preserve"> or this Call-Off Contract and the Supplier will:</w:t>
      </w:r>
    </w:p>
    <w:p w14:paraId="56D0B5AC" w14:textId="77777777" w:rsidR="00D44F98" w:rsidRDefault="00D44F98">
      <w:pPr>
        <w:ind w:firstLine="720"/>
      </w:pPr>
    </w:p>
    <w:p w14:paraId="1FD67256" w14:textId="77777777" w:rsidR="00D44F98" w:rsidRDefault="00EB70E0">
      <w:pPr>
        <w:ind w:left="1440" w:hanging="720"/>
      </w:pPr>
      <w:r>
        <w:lastRenderedPageBreak/>
        <w:t>9.5.1</w:t>
      </w:r>
      <w:r>
        <w:tab/>
        <w:t>take all risk control measures using Good Industry Practice, including the investigation and reports of claims to insurers</w:t>
      </w:r>
    </w:p>
    <w:p w14:paraId="00ED0179" w14:textId="77777777" w:rsidR="00D44F98" w:rsidRDefault="00D44F98">
      <w:pPr>
        <w:ind w:left="720" w:firstLine="720"/>
      </w:pPr>
    </w:p>
    <w:p w14:paraId="1F5E233A" w14:textId="77777777" w:rsidR="00D44F98" w:rsidRDefault="00EB70E0">
      <w:pPr>
        <w:ind w:left="1440" w:hanging="720"/>
      </w:pPr>
      <w:r>
        <w:t>9.5.2</w:t>
      </w:r>
      <w:r>
        <w:tab/>
        <w:t>promptly notify the insurers in writing of any relevant material fact under any Insurances</w:t>
      </w:r>
    </w:p>
    <w:p w14:paraId="797A183F" w14:textId="77777777" w:rsidR="00D44F98" w:rsidRDefault="00D44F98">
      <w:pPr>
        <w:ind w:firstLine="720"/>
      </w:pPr>
    </w:p>
    <w:p w14:paraId="5C012CB9" w14:textId="77777777" w:rsidR="00D44F98" w:rsidRDefault="00EB70E0">
      <w:pPr>
        <w:ind w:left="1440" w:hanging="720"/>
      </w:pPr>
      <w:r>
        <w:t>9.5.3</w:t>
      </w:r>
      <w:r>
        <w:tab/>
        <w:t>hold all insurance policies and require any broker arranging the insurance to hold any insurance slips and other evidence of insurance</w:t>
      </w:r>
    </w:p>
    <w:p w14:paraId="341D92CB" w14:textId="77777777" w:rsidR="00D44F98" w:rsidRDefault="00EB70E0">
      <w:r>
        <w:t xml:space="preserve"> </w:t>
      </w:r>
    </w:p>
    <w:p w14:paraId="6D954A90" w14:textId="77777777" w:rsidR="00D44F98" w:rsidRDefault="00EB70E0">
      <w:pPr>
        <w:ind w:left="720" w:hanging="720"/>
      </w:pPr>
      <w:r>
        <w:t>9.6</w:t>
      </w:r>
      <w:r>
        <w:tab/>
        <w:t>The Supplier will not do or omit to do anything, which would destroy or impair the legal validity of the insurance.</w:t>
      </w:r>
    </w:p>
    <w:p w14:paraId="135A67D5" w14:textId="77777777" w:rsidR="00D44F98" w:rsidRDefault="00D44F98">
      <w:pPr>
        <w:ind w:firstLine="720"/>
      </w:pPr>
    </w:p>
    <w:p w14:paraId="0E4E110D" w14:textId="77777777" w:rsidR="00D44F98" w:rsidRDefault="00EB70E0">
      <w:pPr>
        <w:ind w:left="720" w:hanging="720"/>
      </w:pPr>
      <w:r>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63F0DBD0" w14:textId="77777777" w:rsidR="00D44F98" w:rsidRDefault="00D44F98">
      <w:pPr>
        <w:ind w:firstLine="720"/>
      </w:pPr>
    </w:p>
    <w:p w14:paraId="2A2DAE54" w14:textId="77777777" w:rsidR="00D44F98" w:rsidRDefault="00EB70E0">
      <w:r>
        <w:t>9.8</w:t>
      </w:r>
      <w:r>
        <w:tab/>
        <w:t>The Supplier will be liable for the payment of any:</w:t>
      </w:r>
    </w:p>
    <w:p w14:paraId="35859858" w14:textId="77777777" w:rsidR="00D44F98" w:rsidRDefault="00D44F98"/>
    <w:p w14:paraId="61323AEA" w14:textId="77777777" w:rsidR="00D44F98" w:rsidRDefault="00EB70E0">
      <w:pPr>
        <w:ind w:firstLine="720"/>
      </w:pPr>
      <w:r>
        <w:t>9.8.1</w:t>
      </w:r>
      <w:r>
        <w:tab/>
        <w:t>premiums, which it will pay promptly</w:t>
      </w:r>
    </w:p>
    <w:p w14:paraId="5F0AFFC4" w14:textId="77777777" w:rsidR="00D44F98" w:rsidRDefault="00EB70E0">
      <w:pPr>
        <w:ind w:firstLine="720"/>
      </w:pPr>
      <w:r>
        <w:t>9.8.2</w:t>
      </w:r>
      <w:r>
        <w:tab/>
        <w:t>excess or deductibles and will not be entitled to recover this from the Buyer</w:t>
      </w:r>
    </w:p>
    <w:p w14:paraId="4402FD76" w14:textId="77777777" w:rsidR="00D44F98" w:rsidRDefault="00D44F98">
      <w:pPr>
        <w:ind w:firstLine="720"/>
      </w:pPr>
    </w:p>
    <w:p w14:paraId="41C269FD" w14:textId="77777777" w:rsidR="00D44F98" w:rsidRDefault="00EB70E0">
      <w:pPr>
        <w:pStyle w:val="Heading3"/>
        <w:spacing w:after="100"/>
      </w:pPr>
      <w:r>
        <w:t>10.</w:t>
      </w:r>
      <w:r>
        <w:tab/>
        <w:t>Confidentiality</w:t>
      </w:r>
    </w:p>
    <w:p w14:paraId="5A68EBBF" w14:textId="77777777" w:rsidR="00D44F98" w:rsidRDefault="00EB70E0">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0628DA41" w14:textId="77777777" w:rsidR="00D44F98" w:rsidRDefault="00D44F98">
      <w:pPr>
        <w:ind w:left="720" w:hanging="720"/>
      </w:pPr>
    </w:p>
    <w:p w14:paraId="68499740" w14:textId="77777777" w:rsidR="00D44F98" w:rsidRDefault="00EB70E0">
      <w:pPr>
        <w:pStyle w:val="Heading3"/>
        <w:spacing w:after="100"/>
      </w:pPr>
      <w:r>
        <w:t>11.</w:t>
      </w:r>
      <w:r>
        <w:tab/>
        <w:t>Intellectual Property Rights</w:t>
      </w:r>
    </w:p>
    <w:p w14:paraId="6A3C4F75" w14:textId="77777777" w:rsidR="00D44F98" w:rsidRDefault="00EB70E0">
      <w:pPr>
        <w:ind w:left="720" w:hanging="720"/>
      </w:pPr>
      <w:r>
        <w:t>11.1</w:t>
      </w:r>
      <w:r>
        <w:tab/>
        <w:t xml:space="preserve">Unless otherwise specified in this Call-Off Contract, a Party will not acquire any right, </w:t>
      </w:r>
      <w:proofErr w:type="gramStart"/>
      <w:r>
        <w:t>title</w:t>
      </w:r>
      <w:proofErr w:type="gramEnd"/>
      <w:r>
        <w:t xml:space="preserve"> or interest in or to the Intellectual Property Rights (IPRs) of the other Party or its Licensors.</w:t>
      </w:r>
    </w:p>
    <w:p w14:paraId="26C13A36" w14:textId="77777777" w:rsidR="00D44F98" w:rsidRDefault="00D44F98">
      <w:pPr>
        <w:ind w:left="720"/>
      </w:pPr>
    </w:p>
    <w:p w14:paraId="5DE2E303" w14:textId="77777777" w:rsidR="00D44F98" w:rsidRDefault="00EB70E0">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642BC92C" w14:textId="77777777" w:rsidR="00D44F98" w:rsidRDefault="00D44F98">
      <w:pPr>
        <w:ind w:left="720"/>
      </w:pPr>
    </w:p>
    <w:p w14:paraId="7ED18A14" w14:textId="77777777" w:rsidR="00D44F98" w:rsidRDefault="00EB70E0">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47AB0D16" w14:textId="77777777" w:rsidR="00D44F98" w:rsidRDefault="00D44F98">
      <w:pPr>
        <w:ind w:left="720"/>
      </w:pPr>
    </w:p>
    <w:p w14:paraId="0821ED85" w14:textId="77777777" w:rsidR="00D44F98" w:rsidRDefault="00EB70E0">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18A1C9B5" w14:textId="77777777" w:rsidR="00D44F98" w:rsidRDefault="00D44F98">
      <w:pPr>
        <w:ind w:left="720"/>
      </w:pPr>
    </w:p>
    <w:p w14:paraId="11C3D5AF" w14:textId="77777777" w:rsidR="00D44F98" w:rsidRDefault="00EB70E0">
      <w:pPr>
        <w:ind w:left="720" w:hanging="720"/>
      </w:pPr>
      <w:r>
        <w:lastRenderedPageBreak/>
        <w:t>11.5</w:t>
      </w:r>
      <w:r>
        <w:tab/>
        <w:t>The Supplier will, on written demand, fully indemnify the Buyer and the Crown for all Losses which it may incur at any time from any claim of infringement or alleged infringement of a third party’s IPRs because of the:</w:t>
      </w:r>
    </w:p>
    <w:p w14:paraId="20E96581" w14:textId="77777777" w:rsidR="00D44F98" w:rsidRDefault="00D44F98">
      <w:pPr>
        <w:ind w:firstLine="720"/>
      </w:pPr>
    </w:p>
    <w:p w14:paraId="34E7D1EB" w14:textId="77777777" w:rsidR="00D44F98" w:rsidRDefault="00EB70E0">
      <w:pPr>
        <w:ind w:firstLine="720"/>
      </w:pPr>
      <w:r>
        <w:t>11.5.1</w:t>
      </w:r>
      <w:r>
        <w:tab/>
        <w:t>rights granted to the Buyer under this Call-Off Contract</w:t>
      </w:r>
    </w:p>
    <w:p w14:paraId="3C6CE5DC" w14:textId="77777777" w:rsidR="00D44F98" w:rsidRDefault="00D44F98"/>
    <w:p w14:paraId="38BAF952" w14:textId="77777777" w:rsidR="00D44F98" w:rsidRDefault="00EB70E0">
      <w:pPr>
        <w:ind w:firstLine="720"/>
      </w:pPr>
      <w:r>
        <w:t>11.5.2</w:t>
      </w:r>
      <w:r>
        <w:tab/>
        <w:t>Supplier’s performance of the Services</w:t>
      </w:r>
    </w:p>
    <w:p w14:paraId="77FB94CE" w14:textId="77777777" w:rsidR="00D44F98" w:rsidRDefault="00D44F98">
      <w:pPr>
        <w:ind w:firstLine="720"/>
      </w:pPr>
    </w:p>
    <w:p w14:paraId="098890C2" w14:textId="77777777" w:rsidR="00D44F98" w:rsidRDefault="00EB70E0">
      <w:pPr>
        <w:ind w:firstLine="720"/>
      </w:pPr>
      <w:r>
        <w:t>11.5.3</w:t>
      </w:r>
      <w:r>
        <w:tab/>
        <w:t>use by the Buyer of the Services</w:t>
      </w:r>
    </w:p>
    <w:p w14:paraId="572627EF" w14:textId="77777777" w:rsidR="00D44F98" w:rsidRDefault="00D44F98">
      <w:pPr>
        <w:ind w:firstLine="720"/>
      </w:pPr>
    </w:p>
    <w:p w14:paraId="6DD6E446" w14:textId="77777777" w:rsidR="00D44F98" w:rsidRDefault="00EB70E0">
      <w:pPr>
        <w:ind w:left="720" w:hanging="720"/>
      </w:pPr>
      <w:r>
        <w:t>11.6</w:t>
      </w:r>
      <w:r>
        <w:tab/>
        <w:t>If an IPR Claim is made, or is likely to be made, the Supplier will immediately notify the Buyer in writing and must at its own expense after written approval from the Buyer, either:</w:t>
      </w:r>
    </w:p>
    <w:p w14:paraId="68003336" w14:textId="77777777" w:rsidR="00D44F98" w:rsidRDefault="00D44F98">
      <w:pPr>
        <w:ind w:firstLine="720"/>
      </w:pPr>
    </w:p>
    <w:p w14:paraId="6AB97A1A" w14:textId="77777777" w:rsidR="00D44F98" w:rsidRDefault="00EB70E0">
      <w:pPr>
        <w:ind w:left="1440" w:hanging="720"/>
      </w:pPr>
      <w:r>
        <w:t>11.6.1</w:t>
      </w:r>
      <w:r>
        <w:tab/>
        <w:t>modify the relevant part of the Services without reducing its functionality or performance</w:t>
      </w:r>
    </w:p>
    <w:p w14:paraId="688E2F54" w14:textId="77777777" w:rsidR="00D44F98" w:rsidRDefault="00D44F98">
      <w:pPr>
        <w:ind w:left="720" w:firstLine="720"/>
      </w:pPr>
    </w:p>
    <w:p w14:paraId="31BA9B55" w14:textId="77777777" w:rsidR="00D44F98" w:rsidRDefault="00EB70E0">
      <w:pPr>
        <w:ind w:left="1440" w:hanging="720"/>
      </w:pPr>
      <w:r>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5EE5E258" w14:textId="77777777" w:rsidR="00D44F98" w:rsidRDefault="00D44F98">
      <w:pPr>
        <w:ind w:left="1440"/>
      </w:pPr>
    </w:p>
    <w:p w14:paraId="34293B56" w14:textId="77777777" w:rsidR="00D44F98" w:rsidRDefault="00EB70E0">
      <w:pPr>
        <w:ind w:left="1440" w:hanging="720"/>
      </w:pPr>
      <w:r>
        <w:t>11.6.3</w:t>
      </w:r>
      <w:r>
        <w:tab/>
        <w:t>buy a licence to use and supply the Services which are the subject of the alleged infringement, on terms acceptable to the Buyer</w:t>
      </w:r>
    </w:p>
    <w:p w14:paraId="2CD62544" w14:textId="77777777" w:rsidR="00D44F98" w:rsidRDefault="00D44F98">
      <w:pPr>
        <w:ind w:left="720" w:firstLine="720"/>
      </w:pPr>
    </w:p>
    <w:p w14:paraId="2E605F12" w14:textId="77777777" w:rsidR="00D44F98" w:rsidRDefault="00EB70E0">
      <w:r>
        <w:t>11.7</w:t>
      </w:r>
      <w:r>
        <w:tab/>
        <w:t>Clause 11.5 will not apply if the IPR Claim is from:</w:t>
      </w:r>
    </w:p>
    <w:p w14:paraId="422C0650" w14:textId="77777777" w:rsidR="00D44F98" w:rsidRDefault="00D44F98"/>
    <w:p w14:paraId="2DFAFD8F" w14:textId="77777777" w:rsidR="00D44F98" w:rsidRDefault="00EB70E0">
      <w:pPr>
        <w:ind w:left="1440" w:hanging="720"/>
      </w:pPr>
      <w:r>
        <w:t>11.7.2</w:t>
      </w:r>
      <w:r>
        <w:tab/>
        <w:t>the use of data supplied by the Buyer which the Supplier isn’t required to verify under this Call-Off Contract</w:t>
      </w:r>
    </w:p>
    <w:p w14:paraId="10DE3044" w14:textId="77777777" w:rsidR="00D44F98" w:rsidRDefault="00D44F98">
      <w:pPr>
        <w:ind w:left="720" w:firstLine="720"/>
      </w:pPr>
    </w:p>
    <w:p w14:paraId="36EE67F6" w14:textId="77777777" w:rsidR="00D44F98" w:rsidRDefault="00EB70E0">
      <w:pPr>
        <w:ind w:firstLine="720"/>
      </w:pPr>
      <w:r>
        <w:t>11.7.3</w:t>
      </w:r>
      <w:r>
        <w:tab/>
        <w:t>other material provided by the Buyer necessary for the Services</w:t>
      </w:r>
    </w:p>
    <w:p w14:paraId="7317183D" w14:textId="77777777" w:rsidR="00D44F98" w:rsidRDefault="00D44F98">
      <w:pPr>
        <w:ind w:firstLine="720"/>
      </w:pPr>
    </w:p>
    <w:p w14:paraId="5809CE20" w14:textId="77777777" w:rsidR="00D44F98" w:rsidRDefault="00EB70E0">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0B35861B" w14:textId="77777777" w:rsidR="00D44F98" w:rsidRDefault="00D44F98">
      <w:pPr>
        <w:ind w:left="720" w:hanging="720"/>
      </w:pPr>
    </w:p>
    <w:p w14:paraId="1F66838A" w14:textId="77777777" w:rsidR="00D44F98" w:rsidRDefault="00EB70E0">
      <w:pPr>
        <w:pStyle w:val="Heading3"/>
      </w:pPr>
      <w:r>
        <w:t>12.</w:t>
      </w:r>
      <w:r>
        <w:tab/>
        <w:t>Protection of information</w:t>
      </w:r>
    </w:p>
    <w:p w14:paraId="3AD114C8" w14:textId="77777777" w:rsidR="00D44F98" w:rsidRDefault="00EB70E0">
      <w:pPr>
        <w:spacing w:before="240" w:after="240"/>
      </w:pPr>
      <w:r>
        <w:t>12.1</w:t>
      </w:r>
      <w:r>
        <w:tab/>
        <w:t>The Supplier must:</w:t>
      </w:r>
    </w:p>
    <w:p w14:paraId="021719B9" w14:textId="77777777" w:rsidR="00D44F98" w:rsidRDefault="00EB70E0">
      <w:pPr>
        <w:ind w:left="1440" w:hanging="720"/>
      </w:pPr>
      <w:r>
        <w:t>12.1.1</w:t>
      </w:r>
      <w:r>
        <w:tab/>
        <w:t>comply with the Buyer’s written instructions and this Call-Off Contract when Processing Buyer Personal Data</w:t>
      </w:r>
    </w:p>
    <w:p w14:paraId="4B42723F" w14:textId="77777777" w:rsidR="00D44F98" w:rsidRDefault="00D44F98">
      <w:pPr>
        <w:ind w:left="720" w:firstLine="720"/>
      </w:pPr>
    </w:p>
    <w:p w14:paraId="4F25C2E4" w14:textId="77777777" w:rsidR="00D44F98" w:rsidRDefault="00EB70E0">
      <w:pPr>
        <w:ind w:left="1440" w:hanging="720"/>
      </w:pPr>
      <w:r>
        <w:t>12.1.2</w:t>
      </w:r>
      <w:r>
        <w:tab/>
        <w:t>only Process the Buyer Personal Data as necessary for the provision of the G-Cloud Services or as required by Law or any Regulatory Body</w:t>
      </w:r>
    </w:p>
    <w:p w14:paraId="76B273CD" w14:textId="77777777" w:rsidR="00D44F98" w:rsidRDefault="00D44F98">
      <w:pPr>
        <w:ind w:left="720" w:firstLine="720"/>
      </w:pPr>
    </w:p>
    <w:p w14:paraId="37116A8C" w14:textId="77777777" w:rsidR="00D44F98" w:rsidRDefault="00EB70E0">
      <w:pPr>
        <w:ind w:left="1440" w:hanging="720"/>
      </w:pPr>
      <w:r>
        <w:t>12.1.3</w:t>
      </w:r>
      <w:r>
        <w:tab/>
        <w:t>take reasonable steps to ensure that any Supplier Staff who have access to Buyer Personal Data act in compliance with Supplier's security processes</w:t>
      </w:r>
    </w:p>
    <w:p w14:paraId="32314611" w14:textId="77777777" w:rsidR="00D44F98" w:rsidRDefault="00D44F98">
      <w:pPr>
        <w:ind w:left="720" w:firstLine="720"/>
      </w:pPr>
    </w:p>
    <w:p w14:paraId="2759BF69" w14:textId="77777777" w:rsidR="00D44F98" w:rsidRDefault="00EB70E0">
      <w:pPr>
        <w:ind w:left="720" w:hanging="720"/>
      </w:pPr>
      <w:r>
        <w:lastRenderedPageBreak/>
        <w:t>12.2</w:t>
      </w:r>
      <w:r>
        <w:tab/>
        <w:t>The Supplier must fully assist with any complaint or request for Buyer Personal Data including by:</w:t>
      </w:r>
    </w:p>
    <w:p w14:paraId="3910F2B1" w14:textId="77777777" w:rsidR="00D44F98" w:rsidRDefault="00D44F98">
      <w:pPr>
        <w:ind w:firstLine="720"/>
      </w:pPr>
    </w:p>
    <w:p w14:paraId="5A3B3815" w14:textId="77777777" w:rsidR="00D44F98" w:rsidRDefault="00EB70E0">
      <w:pPr>
        <w:ind w:firstLine="720"/>
      </w:pPr>
      <w:r>
        <w:t>12.2.1</w:t>
      </w:r>
      <w:r>
        <w:tab/>
        <w:t>providing the Buyer with full details of the complaint or request</w:t>
      </w:r>
    </w:p>
    <w:p w14:paraId="2CE357EB" w14:textId="77777777" w:rsidR="00D44F98" w:rsidRDefault="00D44F98">
      <w:pPr>
        <w:ind w:firstLine="720"/>
      </w:pPr>
    </w:p>
    <w:p w14:paraId="28B0A77E" w14:textId="77777777" w:rsidR="00D44F98" w:rsidRDefault="00EB70E0">
      <w:pPr>
        <w:ind w:left="1440" w:hanging="720"/>
      </w:pPr>
      <w:r>
        <w:t>12.2.2</w:t>
      </w:r>
      <w:r>
        <w:tab/>
        <w:t>complying with a data access request within the timescales in the Data Protection Legislation and following the Buyer’s instructions</w:t>
      </w:r>
    </w:p>
    <w:p w14:paraId="1C164D70" w14:textId="77777777" w:rsidR="00D44F98" w:rsidRDefault="00D44F98"/>
    <w:p w14:paraId="1EA5922A" w14:textId="77777777" w:rsidR="00D44F98" w:rsidRDefault="00EB70E0">
      <w:pPr>
        <w:ind w:left="1440" w:hanging="720"/>
      </w:pPr>
      <w:r>
        <w:t>12.2.3</w:t>
      </w:r>
      <w:r>
        <w:tab/>
        <w:t>providing the Buyer with any Buyer Personal Data it holds about a Data Subject (within the timescales required by the Buyer)</w:t>
      </w:r>
    </w:p>
    <w:p w14:paraId="50E50BE1" w14:textId="77777777" w:rsidR="00D44F98" w:rsidRDefault="00D44F98">
      <w:pPr>
        <w:ind w:left="720" w:firstLine="720"/>
      </w:pPr>
    </w:p>
    <w:p w14:paraId="7E05A089" w14:textId="77777777" w:rsidR="00D44F98" w:rsidRDefault="00EB70E0">
      <w:pPr>
        <w:ind w:firstLine="720"/>
      </w:pPr>
      <w:r>
        <w:t>12.2.4</w:t>
      </w:r>
      <w:r>
        <w:tab/>
        <w:t>providing the Buyer with any information requested by the Data Subject</w:t>
      </w:r>
    </w:p>
    <w:p w14:paraId="38EC93E4" w14:textId="77777777" w:rsidR="00D44F98" w:rsidRDefault="00D44F98">
      <w:pPr>
        <w:ind w:firstLine="720"/>
      </w:pPr>
    </w:p>
    <w:p w14:paraId="66F26FDC" w14:textId="77777777" w:rsidR="00D44F98" w:rsidRDefault="00EB70E0">
      <w:pPr>
        <w:ind w:left="720" w:hanging="720"/>
      </w:pPr>
      <w:r>
        <w:t>12.3</w:t>
      </w:r>
      <w:r>
        <w:tab/>
        <w:t>The Supplier must get prior written consent from the Buyer to transfer Buyer Personal Data to any other person (including any Subcontractors) for the provision of the G-Cloud Services.</w:t>
      </w:r>
    </w:p>
    <w:p w14:paraId="7DBA498C" w14:textId="77777777" w:rsidR="00D44F98" w:rsidRDefault="00D44F98">
      <w:pPr>
        <w:ind w:left="720" w:hanging="720"/>
      </w:pPr>
    </w:p>
    <w:p w14:paraId="6EA47F03" w14:textId="77777777" w:rsidR="00D44F98" w:rsidRDefault="00EB70E0">
      <w:pPr>
        <w:pStyle w:val="Heading3"/>
      </w:pPr>
      <w:r>
        <w:t>13.</w:t>
      </w:r>
      <w:r>
        <w:tab/>
        <w:t>Buyer data</w:t>
      </w:r>
    </w:p>
    <w:p w14:paraId="37A9795F" w14:textId="77777777" w:rsidR="00D44F98" w:rsidRDefault="00EB70E0">
      <w:pPr>
        <w:spacing w:before="240" w:after="240"/>
      </w:pPr>
      <w:r>
        <w:t>13.1</w:t>
      </w:r>
      <w:r>
        <w:tab/>
        <w:t>The Supplier must not remove any proprietary notices in the Buyer Data.</w:t>
      </w:r>
    </w:p>
    <w:p w14:paraId="7BA1FEE9" w14:textId="77777777" w:rsidR="00D44F98" w:rsidRDefault="00EB70E0">
      <w:r>
        <w:t>13.2</w:t>
      </w:r>
      <w:r>
        <w:tab/>
        <w:t xml:space="preserve">The Supplier will not store or use Buyer Data except if necessary to fulfil its </w:t>
      </w:r>
    </w:p>
    <w:p w14:paraId="10BD22D7" w14:textId="77777777" w:rsidR="00D44F98" w:rsidRDefault="00EB70E0">
      <w:pPr>
        <w:ind w:firstLine="720"/>
      </w:pPr>
      <w:r>
        <w:t>obligations.</w:t>
      </w:r>
    </w:p>
    <w:p w14:paraId="42EE3EB0" w14:textId="77777777" w:rsidR="00D44F98" w:rsidRDefault="00D44F98"/>
    <w:p w14:paraId="48E7C2B3" w14:textId="77777777" w:rsidR="00D44F98" w:rsidRDefault="00EB70E0">
      <w:pPr>
        <w:ind w:left="720" w:hanging="720"/>
      </w:pPr>
      <w:r>
        <w:t>13.3</w:t>
      </w:r>
      <w:r>
        <w:tab/>
        <w:t>If Buyer Data is processed by the Supplier, the Supplier will supply the data to the Buyer as requested.</w:t>
      </w:r>
    </w:p>
    <w:p w14:paraId="7E2521EB" w14:textId="77777777" w:rsidR="00D44F98" w:rsidRDefault="00D44F98"/>
    <w:p w14:paraId="71932CDA" w14:textId="77777777" w:rsidR="00D44F98" w:rsidRDefault="00EB70E0">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362CAA65" w14:textId="77777777" w:rsidR="00D44F98" w:rsidRDefault="00D44F98">
      <w:pPr>
        <w:ind w:left="720"/>
      </w:pPr>
    </w:p>
    <w:p w14:paraId="6A91C0A0" w14:textId="77777777" w:rsidR="00D44F98" w:rsidRDefault="00EB70E0">
      <w:pPr>
        <w:ind w:left="720" w:hanging="720"/>
      </w:pPr>
      <w:r>
        <w:t>13.5</w:t>
      </w:r>
      <w:r>
        <w:tab/>
        <w:t>The Supplier will preserve the integrity of Buyer Data processed by the Supplier and prevent its corruption and loss.</w:t>
      </w:r>
    </w:p>
    <w:p w14:paraId="7497B574" w14:textId="77777777" w:rsidR="00D44F98" w:rsidRDefault="00D44F98">
      <w:pPr>
        <w:ind w:firstLine="720"/>
      </w:pPr>
    </w:p>
    <w:p w14:paraId="7B192297" w14:textId="77777777" w:rsidR="00D44F98" w:rsidRDefault="00EB70E0">
      <w:pPr>
        <w:ind w:left="720" w:hanging="720"/>
      </w:pPr>
      <w:r>
        <w:t>13.6</w:t>
      </w:r>
      <w:r>
        <w:tab/>
        <w:t>The Supplier will ensure that any Supplier system which holds any protectively marked Buyer Data or other government data will comply with:</w:t>
      </w:r>
    </w:p>
    <w:p w14:paraId="0E50FA03" w14:textId="77777777" w:rsidR="00D44F98" w:rsidRDefault="00D44F98">
      <w:pPr>
        <w:ind w:firstLine="720"/>
      </w:pPr>
    </w:p>
    <w:p w14:paraId="53940201" w14:textId="77777777" w:rsidR="00D44F98" w:rsidRDefault="00EB70E0">
      <w:pPr>
        <w:ind w:firstLine="720"/>
      </w:pPr>
      <w:r>
        <w:t>13.6.1</w:t>
      </w:r>
      <w:r>
        <w:tab/>
        <w:t>the principles in the Security Policy Framework:</w:t>
      </w:r>
      <w:hyperlink r:id="rId15" w:history="1">
        <w:r>
          <w:rPr>
            <w:color w:val="1155CC"/>
            <w:u w:val="single"/>
          </w:rPr>
          <w:t xml:space="preserve"> </w:t>
        </w:r>
      </w:hyperlink>
    </w:p>
    <w:p w14:paraId="701DD40D" w14:textId="77777777" w:rsidR="00D44F98" w:rsidRDefault="00A3102B">
      <w:pPr>
        <w:ind w:left="1440"/>
      </w:pPr>
      <w:hyperlink r:id="rId16" w:history="1">
        <w:r w:rsidR="00EB70E0">
          <w:rPr>
            <w:rStyle w:val="Hyperlink"/>
          </w:rPr>
          <w:t>https://www.gov.uk/government/publications/security-policy-framework</w:t>
        </w:r>
      </w:hyperlink>
      <w:r w:rsidR="00EB70E0">
        <w:rPr>
          <w:rStyle w:val="Hyperlink"/>
        </w:rPr>
        <w:t xml:space="preserve"> and</w:t>
      </w:r>
    </w:p>
    <w:p w14:paraId="435CE1F2" w14:textId="77777777" w:rsidR="00D44F98" w:rsidRDefault="00EB70E0">
      <w:pPr>
        <w:ind w:left="1440"/>
      </w:pPr>
      <w:r>
        <w:t>the Government Security Classification policy</w:t>
      </w:r>
      <w:r>
        <w:rPr>
          <w:color w:val="1155CC"/>
          <w:u w:val="single"/>
        </w:rPr>
        <w:t>: https:/www.gov.uk/government/publications/government-security-classifications</w:t>
      </w:r>
    </w:p>
    <w:p w14:paraId="5D54D80E" w14:textId="77777777" w:rsidR="00D44F98" w:rsidRDefault="00D44F98">
      <w:pPr>
        <w:ind w:left="1440"/>
      </w:pPr>
    </w:p>
    <w:p w14:paraId="1AF17472" w14:textId="77777777" w:rsidR="00D44F98" w:rsidRDefault="00EB70E0">
      <w:pPr>
        <w:ind w:firstLine="720"/>
      </w:pPr>
      <w:r>
        <w:t>13.6.2</w:t>
      </w:r>
      <w:r>
        <w:tab/>
        <w:t xml:space="preserve">guidance issued by the Centre for Protection of National Infrastructure on </w:t>
      </w:r>
    </w:p>
    <w:p w14:paraId="3C0CE758" w14:textId="77777777" w:rsidR="00D44F98" w:rsidRDefault="00EB70E0">
      <w:pPr>
        <w:ind w:left="720" w:firstLine="720"/>
      </w:pPr>
      <w:r>
        <w:t>Risk Management</w:t>
      </w:r>
      <w:hyperlink r:id="rId17" w:history="1">
        <w:r>
          <w:rPr>
            <w:color w:val="1155CC"/>
            <w:u w:val="single"/>
          </w:rPr>
          <w:t>:</w:t>
        </w:r>
      </w:hyperlink>
    </w:p>
    <w:p w14:paraId="56140212" w14:textId="77777777" w:rsidR="00D44F98" w:rsidRDefault="00A3102B">
      <w:pPr>
        <w:ind w:left="720" w:firstLine="720"/>
      </w:pPr>
      <w:hyperlink r:id="rId18" w:history="1">
        <w:r w:rsidR="00EB70E0">
          <w:rPr>
            <w:color w:val="1155CC"/>
            <w:u w:val="single"/>
          </w:rPr>
          <w:t>https://www.cpni.gov.uk/content/adopt-risk-management-approach</w:t>
        </w:r>
      </w:hyperlink>
      <w:r w:rsidR="00EB70E0">
        <w:t xml:space="preserve"> and</w:t>
      </w:r>
    </w:p>
    <w:p w14:paraId="58A043FB" w14:textId="77777777" w:rsidR="00D44F98" w:rsidRDefault="00EB70E0">
      <w:pPr>
        <w:ind w:left="720" w:firstLine="720"/>
      </w:pPr>
      <w:r>
        <w:t>Protection of Sensitive Information and Assets:</w:t>
      </w:r>
      <w:hyperlink r:id="rId19" w:history="1">
        <w:r>
          <w:rPr>
            <w:color w:val="1155CC"/>
            <w:u w:val="single"/>
          </w:rPr>
          <w:t xml:space="preserve"> </w:t>
        </w:r>
      </w:hyperlink>
    </w:p>
    <w:p w14:paraId="175CCD0D" w14:textId="77777777" w:rsidR="00D44F98" w:rsidRDefault="00A3102B">
      <w:pPr>
        <w:ind w:left="720" w:firstLine="720"/>
      </w:pPr>
      <w:hyperlink r:id="rId20" w:history="1">
        <w:r w:rsidR="00EB70E0">
          <w:rPr>
            <w:color w:val="1155CC"/>
            <w:u w:val="single"/>
          </w:rPr>
          <w:t>https://www.cpni.gov.uk/protection-sensitive-information-and-assets</w:t>
        </w:r>
      </w:hyperlink>
    </w:p>
    <w:p w14:paraId="5E332F88" w14:textId="77777777" w:rsidR="00D44F98" w:rsidRDefault="00D44F98">
      <w:pPr>
        <w:ind w:left="720" w:firstLine="720"/>
      </w:pPr>
    </w:p>
    <w:p w14:paraId="6CB35D01" w14:textId="77777777" w:rsidR="00D44F98" w:rsidRDefault="00EB70E0">
      <w:pPr>
        <w:ind w:left="1440" w:hanging="720"/>
      </w:pPr>
      <w:r>
        <w:lastRenderedPageBreak/>
        <w:t>13.6.3</w:t>
      </w:r>
      <w:r>
        <w:tab/>
        <w:t>the National Cyber Security Centre’s (NCSC) information risk management guidance:</w:t>
      </w:r>
    </w:p>
    <w:p w14:paraId="3803DF15" w14:textId="77777777" w:rsidR="00D44F98" w:rsidRDefault="00A3102B">
      <w:pPr>
        <w:ind w:left="720" w:firstLine="720"/>
      </w:pPr>
      <w:hyperlink r:id="rId21" w:history="1">
        <w:r w:rsidR="00EB70E0">
          <w:rPr>
            <w:color w:val="1155CC"/>
            <w:u w:val="single"/>
          </w:rPr>
          <w:t>https://www.ncsc.gov.uk/collection/risk-management-collection</w:t>
        </w:r>
      </w:hyperlink>
    </w:p>
    <w:p w14:paraId="0791FBE1" w14:textId="77777777" w:rsidR="00D44F98" w:rsidRDefault="00D44F98"/>
    <w:p w14:paraId="067892A6" w14:textId="77777777" w:rsidR="00D44F98" w:rsidRDefault="00EB70E0">
      <w:pPr>
        <w:ind w:left="1440" w:hanging="720"/>
      </w:pPr>
      <w:r>
        <w:t>13.6.4</w:t>
      </w:r>
      <w:r>
        <w:tab/>
        <w:t>government best practice in the design and implementation of system components, including network principles, security design principles for digital services and the secure email blueprint:</w:t>
      </w:r>
    </w:p>
    <w:p w14:paraId="5A9EAEB7" w14:textId="77777777" w:rsidR="00D44F98" w:rsidRDefault="00A3102B">
      <w:pPr>
        <w:ind w:left="1440"/>
      </w:pPr>
      <w:hyperlink r:id="rId22" w:history="1">
        <w:r w:rsidR="00EB70E0">
          <w:rPr>
            <w:rStyle w:val="Hyperlink"/>
          </w:rPr>
          <w:t>https://www.gov.uk/government/publications/technology-code-of-practice/technology-code-of-practice</w:t>
        </w:r>
      </w:hyperlink>
    </w:p>
    <w:p w14:paraId="14A1761A" w14:textId="77777777" w:rsidR="00D44F98" w:rsidRDefault="00D44F98">
      <w:pPr>
        <w:ind w:left="1440"/>
      </w:pPr>
    </w:p>
    <w:p w14:paraId="113C9233" w14:textId="77777777" w:rsidR="00D44F98" w:rsidRDefault="00EB70E0">
      <w:pPr>
        <w:ind w:left="1440" w:hanging="720"/>
      </w:pPr>
      <w:r>
        <w:t>13.6.5</w:t>
      </w:r>
      <w:r>
        <w:tab/>
        <w:t>the security requirements of cloud services using the NCSC Cloud Security Principles and accompanying guidance:</w:t>
      </w:r>
      <w:hyperlink r:id="rId23" w:history="1">
        <w:r>
          <w:rPr>
            <w:color w:val="1155CC"/>
            <w:u w:val="single"/>
          </w:rPr>
          <w:t xml:space="preserve"> </w:t>
        </w:r>
      </w:hyperlink>
    </w:p>
    <w:p w14:paraId="5BC15E55" w14:textId="77777777" w:rsidR="00D44F98" w:rsidRDefault="00A3102B">
      <w:pPr>
        <w:ind w:left="720" w:firstLine="720"/>
      </w:pPr>
      <w:hyperlink r:id="rId24" w:history="1">
        <w:r w:rsidR="00EB70E0">
          <w:rPr>
            <w:rStyle w:val="Hyperlink"/>
          </w:rPr>
          <w:t>https://www.ncsc.gov.uk/guidance/implementing-cloud-security-principles</w:t>
        </w:r>
      </w:hyperlink>
    </w:p>
    <w:p w14:paraId="244CB860" w14:textId="77777777" w:rsidR="00D44F98" w:rsidRDefault="00D44F98"/>
    <w:p w14:paraId="2E49F805" w14:textId="77777777" w:rsidR="00D44F98" w:rsidRDefault="00EB70E0">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66BC93AF" w14:textId="77777777" w:rsidR="00D44F98" w:rsidRDefault="00D44F98"/>
    <w:p w14:paraId="6B7A7F6E" w14:textId="77777777" w:rsidR="00D44F98" w:rsidRDefault="00EB70E0">
      <w:r>
        <w:t>13.7</w:t>
      </w:r>
      <w:r>
        <w:tab/>
        <w:t>The Buyer will specify any security requirements for this project in the Order Form.</w:t>
      </w:r>
    </w:p>
    <w:p w14:paraId="55779D84" w14:textId="77777777" w:rsidR="00D44F98" w:rsidRDefault="00D44F98"/>
    <w:p w14:paraId="68E2A2D9" w14:textId="77777777" w:rsidR="00D44F98" w:rsidRDefault="00EB70E0">
      <w:pPr>
        <w:ind w:left="720" w:hanging="720"/>
      </w:pPr>
      <w:r>
        <w:t>13.8</w:t>
      </w:r>
      <w:r>
        <w:tab/>
        <w:t xml:space="preserve">If the Supplier suspects that the Buyer Data has or may become corrupted, lost, </w:t>
      </w:r>
      <w:proofErr w:type="gramStart"/>
      <w:r>
        <w:t>breached</w:t>
      </w:r>
      <w:proofErr w:type="gramEnd"/>
      <w:r>
        <w:t xml:space="preserve">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98E4D20" w14:textId="77777777" w:rsidR="00D44F98" w:rsidRDefault="00D44F98">
      <w:pPr>
        <w:ind w:left="720"/>
      </w:pPr>
    </w:p>
    <w:p w14:paraId="4331ACDA" w14:textId="77777777" w:rsidR="00D44F98" w:rsidRDefault="00EB70E0">
      <w:pPr>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63C0F412" w14:textId="77777777" w:rsidR="00D44F98" w:rsidRDefault="00D44F98">
      <w:pPr>
        <w:ind w:left="720"/>
      </w:pPr>
    </w:p>
    <w:p w14:paraId="7C603E50" w14:textId="77777777" w:rsidR="00D44F98" w:rsidRDefault="00EB70E0">
      <w:pPr>
        <w:ind w:left="720" w:hanging="720"/>
      </w:pPr>
      <w:r>
        <w:t>13.10</w:t>
      </w:r>
      <w:r>
        <w:tab/>
        <w:t>The provisions of this clause 13 will apply during the term of this Call-Off Contract and for as long as the Supplier holds the Buyer’s Data.</w:t>
      </w:r>
    </w:p>
    <w:p w14:paraId="134372DC" w14:textId="77777777" w:rsidR="00D44F98" w:rsidRDefault="00D44F98">
      <w:pPr>
        <w:spacing w:before="240" w:after="240"/>
      </w:pPr>
    </w:p>
    <w:p w14:paraId="1D9A15B3" w14:textId="77777777" w:rsidR="00D44F98" w:rsidRDefault="00EB70E0">
      <w:pPr>
        <w:pStyle w:val="Heading3"/>
      </w:pPr>
      <w:r>
        <w:t>14.</w:t>
      </w:r>
      <w:r>
        <w:tab/>
        <w:t>Standards and quality</w:t>
      </w:r>
    </w:p>
    <w:p w14:paraId="3B3F3B36" w14:textId="77777777" w:rsidR="00D44F98" w:rsidRDefault="00EB70E0">
      <w:pPr>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03CF4F87" w14:textId="77777777" w:rsidR="00D44F98" w:rsidRDefault="00D44F98">
      <w:pPr>
        <w:ind w:firstLine="720"/>
      </w:pPr>
    </w:p>
    <w:p w14:paraId="432A9767" w14:textId="77777777" w:rsidR="00D44F98" w:rsidRDefault="00EB70E0">
      <w:pPr>
        <w:ind w:left="720" w:hanging="720"/>
      </w:pPr>
      <w:r>
        <w:t>14.2</w:t>
      </w:r>
      <w:r>
        <w:tab/>
        <w:t>The Supplier will deliver the Services in a way that enables the Buyer to comply with its obligations under the Technology Code of Practice, which is at:</w:t>
      </w:r>
      <w:hyperlink r:id="rId25" w:history="1">
        <w:r>
          <w:rPr>
            <w:color w:val="1155CC"/>
            <w:u w:val="single"/>
          </w:rPr>
          <w:t xml:space="preserve"> </w:t>
        </w:r>
      </w:hyperlink>
    </w:p>
    <w:p w14:paraId="53FF2E72" w14:textId="77777777" w:rsidR="00D44F98" w:rsidRDefault="00A3102B">
      <w:pPr>
        <w:ind w:left="720"/>
      </w:pPr>
      <w:hyperlink r:id="rId26" w:history="1">
        <w:r w:rsidR="00EB70E0">
          <w:rPr>
            <w:color w:val="1155CC"/>
            <w:u w:val="single"/>
          </w:rPr>
          <w:t>https://www.gov.uk/government/publications/technology-code-of-practice/technology-code-of-practice</w:t>
        </w:r>
      </w:hyperlink>
    </w:p>
    <w:p w14:paraId="7FA5B80E" w14:textId="77777777" w:rsidR="00D44F98" w:rsidRDefault="00D44F98">
      <w:pPr>
        <w:ind w:left="720" w:hanging="720"/>
      </w:pPr>
    </w:p>
    <w:p w14:paraId="1392FFD4" w14:textId="77777777" w:rsidR="00D44F98" w:rsidRDefault="00EB70E0">
      <w:pPr>
        <w:ind w:left="720" w:hanging="720"/>
      </w:pPr>
      <w:r>
        <w:t>14.3</w:t>
      </w:r>
      <w:r>
        <w:tab/>
        <w:t>If requested by the Buyer, the Supplier must, at its own cost, ensure that the G-Cloud Services comply with the requirements in the PSN Code of Practice.</w:t>
      </w:r>
    </w:p>
    <w:p w14:paraId="096D1C8B" w14:textId="77777777" w:rsidR="00D44F98" w:rsidRDefault="00D44F98">
      <w:pPr>
        <w:ind w:firstLine="720"/>
      </w:pPr>
    </w:p>
    <w:p w14:paraId="39ECC0A3" w14:textId="77777777" w:rsidR="00D44F98" w:rsidRDefault="00EB70E0">
      <w:pPr>
        <w:ind w:left="720" w:hanging="720"/>
      </w:pPr>
      <w:r>
        <w:t>14.4</w:t>
      </w:r>
      <w:r>
        <w:tab/>
        <w:t>If any PSN Services are Subcontracted by the Supplier, the Supplier must ensure that the services have the relevant PSN compliance certification.</w:t>
      </w:r>
    </w:p>
    <w:p w14:paraId="4AA6F346" w14:textId="77777777" w:rsidR="00D44F98" w:rsidRDefault="00D44F98">
      <w:pPr>
        <w:ind w:firstLine="720"/>
      </w:pPr>
    </w:p>
    <w:p w14:paraId="01CF97E7" w14:textId="77777777" w:rsidR="00D44F98" w:rsidRDefault="00EB70E0">
      <w:pPr>
        <w:ind w:left="720" w:hanging="720"/>
      </w:pPr>
      <w:r>
        <w:lastRenderedPageBreak/>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7" w:history="1">
        <w:r>
          <w:rPr>
            <w:color w:val="1155CC"/>
            <w:u w:val="single"/>
          </w:rPr>
          <w:t>.</w:t>
        </w:r>
      </w:hyperlink>
    </w:p>
    <w:p w14:paraId="140339BC" w14:textId="77777777" w:rsidR="00D44F98" w:rsidRDefault="00EB70E0">
      <w:r>
        <w:t xml:space="preserve"> </w:t>
      </w:r>
    </w:p>
    <w:p w14:paraId="5ACA9958" w14:textId="77777777" w:rsidR="00D44F98" w:rsidRDefault="00EB70E0">
      <w:pPr>
        <w:pStyle w:val="Heading3"/>
      </w:pPr>
      <w:r>
        <w:t>15.</w:t>
      </w:r>
      <w:r>
        <w:tab/>
        <w:t>Open source</w:t>
      </w:r>
    </w:p>
    <w:p w14:paraId="2969B0B8" w14:textId="77777777" w:rsidR="00D44F98" w:rsidRDefault="00EB70E0">
      <w:pPr>
        <w:ind w:left="720" w:hanging="720"/>
      </w:pPr>
      <w:r>
        <w:t>15.1</w:t>
      </w:r>
      <w:r>
        <w:tab/>
        <w:t>All software created for the Buyer must be suitable for publication as open source, unless otherwise agreed by the Buyer.</w:t>
      </w:r>
    </w:p>
    <w:p w14:paraId="56AD3DF6" w14:textId="77777777" w:rsidR="00D44F98" w:rsidRDefault="00D44F98">
      <w:pPr>
        <w:ind w:firstLine="720"/>
      </w:pPr>
    </w:p>
    <w:p w14:paraId="4F2EEC45" w14:textId="77777777" w:rsidR="00D44F98" w:rsidRDefault="00EB70E0">
      <w:pPr>
        <w:ind w:left="720" w:hanging="720"/>
      </w:pPr>
      <w:r>
        <w:t>15.2</w:t>
      </w:r>
      <w:r>
        <w:tab/>
        <w:t>If software needs to be converted before publication as open source, the Supplier must also provide the converted format unless otherwise agreed by the Buyer.</w:t>
      </w:r>
    </w:p>
    <w:p w14:paraId="562AEE1A" w14:textId="77777777" w:rsidR="00D44F98" w:rsidRDefault="00EB70E0">
      <w:pPr>
        <w:spacing w:before="240" w:after="240"/>
        <w:ind w:left="720"/>
      </w:pPr>
      <w:r>
        <w:t xml:space="preserve"> </w:t>
      </w:r>
    </w:p>
    <w:p w14:paraId="47FD4FE2" w14:textId="77777777" w:rsidR="00D44F98" w:rsidRDefault="00EB70E0">
      <w:pPr>
        <w:pStyle w:val="Heading3"/>
      </w:pPr>
      <w:r>
        <w:t>16.</w:t>
      </w:r>
      <w:r>
        <w:tab/>
        <w:t>Security</w:t>
      </w:r>
    </w:p>
    <w:p w14:paraId="5BEE7548" w14:textId="77777777" w:rsidR="00D44F98" w:rsidRDefault="00EB70E0">
      <w:pPr>
        <w:ind w:left="720" w:hanging="720"/>
      </w:pPr>
      <w:r>
        <w:t>16.1</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6161F60" w14:textId="77777777" w:rsidR="00D44F98" w:rsidRDefault="00D44F98">
      <w:pPr>
        <w:ind w:left="720"/>
      </w:pPr>
    </w:p>
    <w:p w14:paraId="79BE8601" w14:textId="77777777" w:rsidR="00D44F98" w:rsidRDefault="00EB70E0">
      <w:pPr>
        <w:ind w:left="720" w:hanging="720"/>
      </w:pPr>
      <w:r>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1D27D64B" w14:textId="77777777" w:rsidR="00D44F98" w:rsidRDefault="00D44F98">
      <w:pPr>
        <w:ind w:left="720"/>
      </w:pPr>
    </w:p>
    <w:p w14:paraId="1C54AD87" w14:textId="77777777" w:rsidR="00D44F98" w:rsidRDefault="00EB70E0">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791C2F2" w14:textId="77777777" w:rsidR="00D44F98" w:rsidRDefault="00D44F98">
      <w:pPr>
        <w:ind w:firstLine="720"/>
      </w:pPr>
    </w:p>
    <w:p w14:paraId="2DF0B2E1" w14:textId="77777777" w:rsidR="00D44F98" w:rsidRDefault="00EB70E0">
      <w:r>
        <w:t>16.4</w:t>
      </w:r>
      <w:r>
        <w:tab/>
        <w:t>Responsibility for costs will be at the:</w:t>
      </w:r>
    </w:p>
    <w:p w14:paraId="060B2A0C" w14:textId="77777777" w:rsidR="00D44F98" w:rsidRDefault="00EB70E0">
      <w:r>
        <w:tab/>
      </w:r>
    </w:p>
    <w:p w14:paraId="7558CCB2" w14:textId="77777777" w:rsidR="00D44F98" w:rsidRDefault="00EB70E0">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AB1CDA9" w14:textId="77777777" w:rsidR="00D44F98" w:rsidRDefault="00D44F98">
      <w:pPr>
        <w:ind w:left="1440"/>
      </w:pPr>
    </w:p>
    <w:p w14:paraId="422BB61E" w14:textId="77777777" w:rsidR="00D44F98" w:rsidRDefault="00EB70E0">
      <w:pPr>
        <w:ind w:left="1440" w:hanging="720"/>
      </w:pPr>
      <w:r>
        <w:t>16.4.2</w:t>
      </w:r>
      <w:r>
        <w:tab/>
        <w:t>Buyer’s expense if the Malicious Software originates from the Buyer software or the Service Data, while the Service Data was under the Buyer’s control</w:t>
      </w:r>
    </w:p>
    <w:p w14:paraId="21F6820E" w14:textId="77777777" w:rsidR="00D44F98" w:rsidRDefault="00D44F98">
      <w:pPr>
        <w:ind w:left="720" w:firstLine="720"/>
      </w:pPr>
    </w:p>
    <w:p w14:paraId="08E80ECF" w14:textId="77777777" w:rsidR="00D44F98" w:rsidRDefault="00EB70E0">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498CC5C2" w14:textId="77777777" w:rsidR="00D44F98" w:rsidRDefault="00D44F98">
      <w:pPr>
        <w:ind w:left="720"/>
      </w:pPr>
    </w:p>
    <w:p w14:paraId="388B83E9" w14:textId="77777777" w:rsidR="00D44F98" w:rsidRDefault="00EB70E0">
      <w:pPr>
        <w:ind w:left="720" w:hanging="720"/>
      </w:pPr>
      <w:r>
        <w:lastRenderedPageBreak/>
        <w:t>16.6</w:t>
      </w:r>
      <w:r>
        <w:tab/>
        <w:t>Any system development by the Supplier should also comply with the government’s ‘10 Steps to Cyber Security’ guidance:</w:t>
      </w:r>
      <w:hyperlink r:id="rId28" w:history="1">
        <w:r>
          <w:rPr>
            <w:color w:val="1155CC"/>
            <w:u w:val="single"/>
          </w:rPr>
          <w:t xml:space="preserve"> </w:t>
        </w:r>
      </w:hyperlink>
    </w:p>
    <w:p w14:paraId="5B5052B7" w14:textId="77777777" w:rsidR="00D44F98" w:rsidRDefault="00A3102B">
      <w:pPr>
        <w:ind w:left="720"/>
      </w:pPr>
      <w:hyperlink r:id="rId29" w:history="1">
        <w:r w:rsidR="00EB70E0">
          <w:rPr>
            <w:color w:val="1155CC"/>
            <w:u w:val="single"/>
          </w:rPr>
          <w:t>https://www.ncsc.gov.uk/guidance/10-steps-cyber-security</w:t>
        </w:r>
      </w:hyperlink>
    </w:p>
    <w:p w14:paraId="338224DA" w14:textId="77777777" w:rsidR="00D44F98" w:rsidRDefault="00D44F98">
      <w:pPr>
        <w:ind w:left="720"/>
      </w:pPr>
    </w:p>
    <w:p w14:paraId="22CC8807" w14:textId="77777777" w:rsidR="00D44F98" w:rsidRDefault="00EB70E0">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1B8B3D4D" w14:textId="77777777" w:rsidR="00D44F98" w:rsidRDefault="00EB70E0">
      <w:r>
        <w:t xml:space="preserve"> </w:t>
      </w:r>
    </w:p>
    <w:p w14:paraId="47BB74C2" w14:textId="77777777" w:rsidR="00D44F98" w:rsidRDefault="00EB70E0">
      <w:pPr>
        <w:pStyle w:val="Heading3"/>
      </w:pPr>
      <w:r>
        <w:t>17.</w:t>
      </w:r>
      <w:r>
        <w:tab/>
        <w:t>Guarantee</w:t>
      </w:r>
    </w:p>
    <w:p w14:paraId="7D7B22BF" w14:textId="77777777" w:rsidR="00D44F98" w:rsidRDefault="00EB70E0">
      <w:pPr>
        <w:ind w:left="720" w:hanging="720"/>
      </w:pPr>
      <w:r>
        <w:t>17.1</w:t>
      </w:r>
      <w:r>
        <w:tab/>
        <w:t>If this Call-Off Contract is conditional on receipt of a Guarantee that is acceptable to the Buyer, the Supplier must give the Buyer on or before the Start date:</w:t>
      </w:r>
    </w:p>
    <w:p w14:paraId="77F0E548" w14:textId="77777777" w:rsidR="00D44F98" w:rsidRDefault="00D44F98">
      <w:pPr>
        <w:ind w:firstLine="720"/>
      </w:pPr>
    </w:p>
    <w:p w14:paraId="6F98EA92" w14:textId="77777777" w:rsidR="00D44F98" w:rsidRDefault="00EB70E0">
      <w:pPr>
        <w:ind w:firstLine="720"/>
      </w:pPr>
      <w:r>
        <w:t>17.1.1</w:t>
      </w:r>
      <w:r>
        <w:tab/>
        <w:t>an executed Guarantee in the form at Schedule 5</w:t>
      </w:r>
    </w:p>
    <w:p w14:paraId="586BE723" w14:textId="77777777" w:rsidR="00D44F98" w:rsidRDefault="00D44F98"/>
    <w:p w14:paraId="3E8F0C8C" w14:textId="77777777" w:rsidR="00D44F98" w:rsidRDefault="00EB70E0">
      <w:pPr>
        <w:ind w:left="1440" w:hanging="720"/>
      </w:pPr>
      <w:r>
        <w:t>17.1.2</w:t>
      </w:r>
      <w:r>
        <w:tab/>
        <w:t>a certified copy of the passed resolution or board minutes of the guarantor approving the execution of the Guarantee</w:t>
      </w:r>
    </w:p>
    <w:p w14:paraId="10E120BE" w14:textId="77777777" w:rsidR="00D44F98" w:rsidRDefault="00D44F98">
      <w:pPr>
        <w:ind w:left="720" w:firstLine="720"/>
      </w:pPr>
    </w:p>
    <w:p w14:paraId="27B1D03F" w14:textId="77777777" w:rsidR="00D44F98" w:rsidRDefault="00EB70E0">
      <w:pPr>
        <w:pStyle w:val="Heading3"/>
      </w:pPr>
      <w:r>
        <w:t>18.</w:t>
      </w:r>
      <w:r>
        <w:tab/>
        <w:t>Ending the Call-Off Contract</w:t>
      </w:r>
    </w:p>
    <w:p w14:paraId="6B8ED5B4" w14:textId="77777777" w:rsidR="00D44F98" w:rsidRDefault="00EB70E0">
      <w:pPr>
        <w:ind w:left="720" w:hanging="720"/>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61A94BE8" w14:textId="77777777" w:rsidR="00D44F98" w:rsidRDefault="00D44F98">
      <w:pPr>
        <w:ind w:left="720"/>
      </w:pPr>
    </w:p>
    <w:p w14:paraId="36D1E450" w14:textId="77777777" w:rsidR="00D44F98" w:rsidRDefault="00EB70E0">
      <w:r>
        <w:t>18.2</w:t>
      </w:r>
      <w:r>
        <w:tab/>
        <w:t>The Parties agree that the:</w:t>
      </w:r>
    </w:p>
    <w:p w14:paraId="2D30B385" w14:textId="77777777" w:rsidR="00D44F98" w:rsidRDefault="00D44F98"/>
    <w:p w14:paraId="4063C2B8" w14:textId="77777777" w:rsidR="00D44F98" w:rsidRDefault="00EB70E0">
      <w:pPr>
        <w:ind w:left="1440" w:hanging="720"/>
      </w:pPr>
      <w:r>
        <w:t>18.2.1</w:t>
      </w:r>
      <w:r>
        <w:tab/>
        <w:t>Buyer’s right to End the Call-Off Contract under clause 18.1 is reasonable considering the type of cloud Service being provided</w:t>
      </w:r>
    </w:p>
    <w:p w14:paraId="4E31D8AC" w14:textId="77777777" w:rsidR="00D44F98" w:rsidRDefault="00D44F98">
      <w:pPr>
        <w:ind w:left="720"/>
      </w:pPr>
    </w:p>
    <w:p w14:paraId="6952116E" w14:textId="77777777" w:rsidR="00D44F98" w:rsidRDefault="00EB70E0">
      <w:pPr>
        <w:ind w:left="1440" w:hanging="720"/>
      </w:pPr>
      <w:r>
        <w:t>18.2.2</w:t>
      </w:r>
      <w:r>
        <w:tab/>
        <w:t>Call-Off Contract Charges paid during the notice period is reasonable compensation and covers all the Supplier’s avoidable costs or Losses</w:t>
      </w:r>
    </w:p>
    <w:p w14:paraId="0C7385BA" w14:textId="77777777" w:rsidR="00D44F98" w:rsidRDefault="00D44F98">
      <w:pPr>
        <w:ind w:left="720" w:firstLine="720"/>
      </w:pPr>
    </w:p>
    <w:p w14:paraId="46DDDF1A" w14:textId="77777777" w:rsidR="00D44F98" w:rsidRDefault="00EB70E0">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8C4BA91" w14:textId="77777777" w:rsidR="00D44F98" w:rsidRDefault="00D44F98">
      <w:pPr>
        <w:ind w:left="720"/>
      </w:pPr>
    </w:p>
    <w:p w14:paraId="3E362983" w14:textId="77777777" w:rsidR="00D44F98" w:rsidRDefault="00EB70E0">
      <w:pPr>
        <w:ind w:left="720" w:hanging="720"/>
      </w:pPr>
      <w:r>
        <w:t>18.4</w:t>
      </w:r>
      <w:r>
        <w:tab/>
        <w:t>The Buyer will have the right to End this Call-Off Contract at any time with immediate effect by written notice to the Supplier if either the Supplier commits:</w:t>
      </w:r>
    </w:p>
    <w:p w14:paraId="3EE36274" w14:textId="77777777" w:rsidR="00D44F98" w:rsidRDefault="00D44F98">
      <w:pPr>
        <w:ind w:firstLine="720"/>
      </w:pPr>
    </w:p>
    <w:p w14:paraId="3444CA24" w14:textId="77777777" w:rsidR="00D44F98" w:rsidRDefault="00EB70E0">
      <w:pPr>
        <w:ind w:left="1440" w:hanging="720"/>
      </w:pPr>
      <w:r>
        <w:t>18.4.1</w:t>
      </w:r>
      <w:r>
        <w:tab/>
        <w:t>a Supplier Default and if the Supplier Default cannot, in the reasonable opinion of the Buyer, be remedied</w:t>
      </w:r>
    </w:p>
    <w:p w14:paraId="4E0BA44A" w14:textId="77777777" w:rsidR="00D44F98" w:rsidRDefault="00D44F98">
      <w:pPr>
        <w:ind w:left="720" w:firstLine="720"/>
      </w:pPr>
    </w:p>
    <w:p w14:paraId="2FAA8339" w14:textId="77777777" w:rsidR="00D44F98" w:rsidRDefault="00EB70E0">
      <w:pPr>
        <w:ind w:firstLine="720"/>
      </w:pPr>
      <w:r>
        <w:t>18.4.2</w:t>
      </w:r>
      <w:r>
        <w:tab/>
        <w:t>any fraud</w:t>
      </w:r>
    </w:p>
    <w:p w14:paraId="3B790177" w14:textId="77777777" w:rsidR="00D44F98" w:rsidRDefault="00D44F98">
      <w:pPr>
        <w:ind w:firstLine="720"/>
      </w:pPr>
    </w:p>
    <w:p w14:paraId="2C3A1151" w14:textId="77777777" w:rsidR="00D44F98" w:rsidRDefault="00EB70E0">
      <w:r>
        <w:t>18.5</w:t>
      </w:r>
      <w:r>
        <w:tab/>
        <w:t>A Party can End this Call-Off Contract at any time with immediate effect by written notice if:</w:t>
      </w:r>
    </w:p>
    <w:p w14:paraId="4AB71728" w14:textId="77777777" w:rsidR="00D44F98" w:rsidRDefault="00D44F98">
      <w:pPr>
        <w:ind w:firstLine="720"/>
      </w:pPr>
    </w:p>
    <w:p w14:paraId="6D00455A" w14:textId="77777777" w:rsidR="00D44F98" w:rsidRDefault="00EB70E0">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3E717625" w14:textId="77777777" w:rsidR="00D44F98" w:rsidRDefault="00D44F98">
      <w:pPr>
        <w:ind w:left="1440"/>
      </w:pPr>
    </w:p>
    <w:p w14:paraId="21CE4B60" w14:textId="77777777" w:rsidR="00D44F98" w:rsidRDefault="00EB70E0">
      <w:pPr>
        <w:ind w:firstLine="720"/>
      </w:pPr>
      <w:r>
        <w:t>18.5.2</w:t>
      </w:r>
      <w:r>
        <w:tab/>
        <w:t>an Insolvency Event of the other Party happens</w:t>
      </w:r>
    </w:p>
    <w:p w14:paraId="022E64DD" w14:textId="77777777" w:rsidR="00D44F98" w:rsidRDefault="00D44F98">
      <w:pPr>
        <w:ind w:firstLine="720"/>
      </w:pPr>
    </w:p>
    <w:p w14:paraId="48E03499" w14:textId="77777777" w:rsidR="00D44F98" w:rsidRDefault="00EB70E0">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5C4EA1E8" w14:textId="77777777" w:rsidR="00D44F98" w:rsidRDefault="00D44F98">
      <w:pPr>
        <w:ind w:left="720" w:firstLine="720"/>
      </w:pPr>
    </w:p>
    <w:p w14:paraId="4FA62755" w14:textId="77777777" w:rsidR="00D44F98" w:rsidRDefault="00EB70E0">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343FD0DB" w14:textId="77777777" w:rsidR="00D44F98" w:rsidRDefault="00D44F98">
      <w:pPr>
        <w:ind w:left="720"/>
      </w:pPr>
    </w:p>
    <w:p w14:paraId="0F3C2765" w14:textId="77777777" w:rsidR="00D44F98" w:rsidRDefault="00EB70E0">
      <w:pPr>
        <w:ind w:left="720" w:hanging="720"/>
      </w:pPr>
      <w:r>
        <w:t>18.7</w:t>
      </w:r>
      <w:r>
        <w:tab/>
        <w:t>A Party who isn’t relying on a Force Majeure event will have the right to End this Call-Off Contract if clause 23.1 applies.</w:t>
      </w:r>
    </w:p>
    <w:p w14:paraId="11C00C42" w14:textId="77777777" w:rsidR="00D44F98" w:rsidRDefault="00EB70E0">
      <w:pPr>
        <w:ind w:left="720" w:hanging="720"/>
      </w:pPr>
      <w:r>
        <w:t xml:space="preserve"> </w:t>
      </w:r>
    </w:p>
    <w:p w14:paraId="0FA30D28" w14:textId="77777777" w:rsidR="00D44F98" w:rsidRDefault="00EB70E0">
      <w:pPr>
        <w:pStyle w:val="Heading3"/>
      </w:pPr>
      <w:r>
        <w:t>19.</w:t>
      </w:r>
      <w:r>
        <w:tab/>
        <w:t>Consequences of suspension, ending and expiry</w:t>
      </w:r>
    </w:p>
    <w:p w14:paraId="7D3C6E73" w14:textId="77777777" w:rsidR="00D44F98" w:rsidRDefault="00EB70E0">
      <w:pPr>
        <w:ind w:left="720" w:hanging="720"/>
      </w:pPr>
      <w:r>
        <w:t>19.1</w:t>
      </w:r>
      <w:r>
        <w:tab/>
        <w:t>If a Buyer has the right to End a Call-Off Contract, it may elect to suspend this Call-Off Contract or any part of it.</w:t>
      </w:r>
    </w:p>
    <w:p w14:paraId="12663774" w14:textId="77777777" w:rsidR="00D44F98" w:rsidRDefault="00D44F98"/>
    <w:p w14:paraId="766A1269" w14:textId="77777777" w:rsidR="00D44F98" w:rsidRDefault="00EB70E0">
      <w:pPr>
        <w:ind w:left="720" w:hanging="720"/>
      </w:pPr>
      <w:r>
        <w:t>19.2</w:t>
      </w:r>
      <w:r>
        <w:tab/>
        <w:t>Even if a notice has been served to End this Call-Off Contract or any part of it, the Supplier must continue to provide the Ordered G-Cloud Services until the dates set out in the notice.</w:t>
      </w:r>
    </w:p>
    <w:p w14:paraId="5E514BF7" w14:textId="77777777" w:rsidR="00D44F98" w:rsidRDefault="00D44F98">
      <w:pPr>
        <w:ind w:left="720" w:hanging="720"/>
      </w:pPr>
    </w:p>
    <w:p w14:paraId="6FDC2C74" w14:textId="77777777" w:rsidR="00D44F98" w:rsidRDefault="00EB70E0">
      <w:pPr>
        <w:ind w:left="720" w:hanging="720"/>
      </w:pPr>
      <w:r>
        <w:t>19.3</w:t>
      </w:r>
      <w:r>
        <w:tab/>
        <w:t>The rights and obligations of the Parties will cease on the Expiry Date or End Date whichever applies) of this Call-Off Contract, except those continuing provisions described in clause 19.4.</w:t>
      </w:r>
    </w:p>
    <w:p w14:paraId="6CA2434B" w14:textId="77777777" w:rsidR="00D44F98" w:rsidRDefault="00D44F98"/>
    <w:p w14:paraId="27FC767B" w14:textId="77777777" w:rsidR="00D44F98" w:rsidRDefault="00EB70E0">
      <w:r>
        <w:t>19.4</w:t>
      </w:r>
      <w:r>
        <w:tab/>
        <w:t>Ending or expiry of this Call-Off Contract will not affect:</w:t>
      </w:r>
    </w:p>
    <w:p w14:paraId="1B5A0542" w14:textId="77777777" w:rsidR="00D44F98" w:rsidRDefault="00D44F98"/>
    <w:p w14:paraId="67886DC5" w14:textId="77777777" w:rsidR="00D44F98" w:rsidRDefault="00EB70E0">
      <w:pPr>
        <w:ind w:firstLine="720"/>
      </w:pPr>
      <w:r>
        <w:t>19.4.1</w:t>
      </w:r>
      <w:r>
        <w:tab/>
        <w:t>any rights, remedies or obligations accrued before its Ending or expiration</w:t>
      </w:r>
    </w:p>
    <w:p w14:paraId="77E812A1" w14:textId="77777777" w:rsidR="00D44F98" w:rsidRDefault="00D44F98"/>
    <w:p w14:paraId="1D1F9231" w14:textId="77777777" w:rsidR="00D44F98" w:rsidRDefault="00EB70E0">
      <w:pPr>
        <w:ind w:left="1440" w:hanging="720"/>
      </w:pPr>
      <w:r>
        <w:t>19.4.2</w:t>
      </w:r>
      <w:r>
        <w:tab/>
        <w:t>the right of either Party to recover any amount outstanding at the time of Ending or expiry</w:t>
      </w:r>
    </w:p>
    <w:p w14:paraId="5F382443" w14:textId="77777777" w:rsidR="00D44F98" w:rsidRDefault="00D44F98"/>
    <w:p w14:paraId="07D3FC9A" w14:textId="77777777" w:rsidR="00D44F98" w:rsidRDefault="00EB70E0">
      <w:pPr>
        <w:ind w:left="1440" w:hanging="720"/>
      </w:pPr>
      <w:r>
        <w:t>19.4.3</w:t>
      </w:r>
      <w:r>
        <w:tab/>
        <w:t>the continuing rights, remedies or obligations of the Buyer or the Supplier under clauses</w:t>
      </w:r>
    </w:p>
    <w:p w14:paraId="6A8E66C0" w14:textId="77777777" w:rsidR="00D44F98" w:rsidRDefault="00EB70E0">
      <w:pPr>
        <w:pStyle w:val="ListParagraph"/>
        <w:numPr>
          <w:ilvl w:val="1"/>
          <w:numId w:val="7"/>
        </w:numPr>
      </w:pPr>
      <w:r>
        <w:t>7 (Payment, VAT and Call-Off Contract charges)</w:t>
      </w:r>
    </w:p>
    <w:p w14:paraId="7408C68A" w14:textId="77777777" w:rsidR="00D44F98" w:rsidRDefault="00EB70E0">
      <w:pPr>
        <w:pStyle w:val="ListParagraph"/>
        <w:numPr>
          <w:ilvl w:val="1"/>
          <w:numId w:val="7"/>
        </w:numPr>
      </w:pPr>
      <w:r>
        <w:t>8 (Recovery of sums due and right of set-off)</w:t>
      </w:r>
    </w:p>
    <w:p w14:paraId="0FB58077" w14:textId="77777777" w:rsidR="00D44F98" w:rsidRDefault="00EB70E0">
      <w:pPr>
        <w:pStyle w:val="ListParagraph"/>
        <w:numPr>
          <w:ilvl w:val="1"/>
          <w:numId w:val="7"/>
        </w:numPr>
      </w:pPr>
      <w:r>
        <w:t>9 (Insurance)</w:t>
      </w:r>
    </w:p>
    <w:p w14:paraId="410E1119" w14:textId="77777777" w:rsidR="00D44F98" w:rsidRDefault="00EB70E0">
      <w:pPr>
        <w:pStyle w:val="ListParagraph"/>
        <w:numPr>
          <w:ilvl w:val="1"/>
          <w:numId w:val="7"/>
        </w:numPr>
      </w:pPr>
      <w:r>
        <w:t>10 (Confidentiality)</w:t>
      </w:r>
    </w:p>
    <w:p w14:paraId="53B2CAF1" w14:textId="77777777" w:rsidR="00D44F98" w:rsidRDefault="00EB70E0">
      <w:pPr>
        <w:pStyle w:val="ListParagraph"/>
        <w:numPr>
          <w:ilvl w:val="1"/>
          <w:numId w:val="7"/>
        </w:numPr>
      </w:pPr>
      <w:r>
        <w:t>11 (Intellectual property rights)</w:t>
      </w:r>
    </w:p>
    <w:p w14:paraId="0D2057BF" w14:textId="77777777" w:rsidR="00D44F98" w:rsidRDefault="00EB70E0">
      <w:pPr>
        <w:pStyle w:val="ListParagraph"/>
        <w:numPr>
          <w:ilvl w:val="1"/>
          <w:numId w:val="7"/>
        </w:numPr>
      </w:pPr>
      <w:r>
        <w:t>12 (Protection of information)</w:t>
      </w:r>
    </w:p>
    <w:p w14:paraId="2CD2E5D9" w14:textId="77777777" w:rsidR="00D44F98" w:rsidRDefault="00EB70E0">
      <w:pPr>
        <w:pStyle w:val="ListParagraph"/>
        <w:numPr>
          <w:ilvl w:val="1"/>
          <w:numId w:val="7"/>
        </w:numPr>
      </w:pPr>
      <w:r>
        <w:t>13 (Buyer data)</w:t>
      </w:r>
    </w:p>
    <w:p w14:paraId="31C876CC" w14:textId="77777777" w:rsidR="00D44F98" w:rsidRDefault="00EB70E0">
      <w:pPr>
        <w:pStyle w:val="ListParagraph"/>
        <w:numPr>
          <w:ilvl w:val="1"/>
          <w:numId w:val="7"/>
        </w:numPr>
      </w:pPr>
      <w:r>
        <w:t>19 (Consequences of suspension, ending and expiry)</w:t>
      </w:r>
    </w:p>
    <w:p w14:paraId="72823617" w14:textId="77777777" w:rsidR="00D44F98" w:rsidRDefault="00EB70E0">
      <w:pPr>
        <w:pStyle w:val="ListParagraph"/>
        <w:numPr>
          <w:ilvl w:val="1"/>
          <w:numId w:val="7"/>
        </w:numPr>
      </w:pPr>
      <w:r>
        <w:t>24 (Liability); incorporated Framework Agreement clauses: 4.2 to 4.7 (Liability)</w:t>
      </w:r>
    </w:p>
    <w:p w14:paraId="08620339" w14:textId="77777777" w:rsidR="00D44F98" w:rsidRDefault="00EB70E0">
      <w:pPr>
        <w:pStyle w:val="ListParagraph"/>
        <w:numPr>
          <w:ilvl w:val="1"/>
          <w:numId w:val="7"/>
        </w:numPr>
      </w:pPr>
      <w:r>
        <w:lastRenderedPageBreak/>
        <w:t>8.44 to 8.50 (Conflicts of interest and ethical walls)</w:t>
      </w:r>
    </w:p>
    <w:p w14:paraId="332266B8" w14:textId="77777777" w:rsidR="00D44F98" w:rsidRDefault="00EB70E0">
      <w:pPr>
        <w:pStyle w:val="ListParagraph"/>
        <w:numPr>
          <w:ilvl w:val="1"/>
          <w:numId w:val="7"/>
        </w:numPr>
      </w:pPr>
      <w:r>
        <w:t>8.89 to 8.90 (Waiver and cumulative remedies)</w:t>
      </w:r>
    </w:p>
    <w:p w14:paraId="49CB5F7C" w14:textId="77777777" w:rsidR="00D44F98" w:rsidRDefault="00D44F98">
      <w:pPr>
        <w:ind w:firstLine="720"/>
      </w:pPr>
    </w:p>
    <w:p w14:paraId="1A1AEC32" w14:textId="77777777" w:rsidR="00D44F98" w:rsidRDefault="00EB70E0">
      <w:pPr>
        <w:ind w:left="1440" w:hanging="720"/>
      </w:pPr>
      <w:r>
        <w:t>19.4.4</w:t>
      </w:r>
      <w:r>
        <w:tab/>
        <w:t>any other provision of the Framework Agreement or this Call-Off Contract which expressly or by implication is in force even if it Ends or expires</w:t>
      </w:r>
    </w:p>
    <w:p w14:paraId="15E3ECF8" w14:textId="77777777" w:rsidR="00D44F98" w:rsidRDefault="00EB70E0">
      <w:r>
        <w:t xml:space="preserve"> </w:t>
      </w:r>
    </w:p>
    <w:p w14:paraId="64069F69" w14:textId="77777777" w:rsidR="00D44F98" w:rsidRDefault="00EB70E0">
      <w:r>
        <w:t>19.5</w:t>
      </w:r>
      <w:r>
        <w:tab/>
        <w:t>At the end of the Call-Off Contract Term, the Supplier must promptly:</w:t>
      </w:r>
    </w:p>
    <w:p w14:paraId="6D1E7D9F" w14:textId="77777777" w:rsidR="00D44F98" w:rsidRDefault="00D44F98"/>
    <w:p w14:paraId="45C62DFA" w14:textId="77777777" w:rsidR="00D44F98" w:rsidRDefault="00EB70E0">
      <w:pPr>
        <w:ind w:left="1440" w:hanging="720"/>
      </w:pPr>
      <w:r>
        <w:t>19.5.1</w:t>
      </w:r>
      <w:r>
        <w:tab/>
        <w:t>return all Buyer Data including all copies of Buyer software, code and any other software licensed by the Buyer to the Supplier under it</w:t>
      </w:r>
    </w:p>
    <w:p w14:paraId="5EDEBB57" w14:textId="77777777" w:rsidR="00D44F98" w:rsidRDefault="00D44F98">
      <w:pPr>
        <w:ind w:firstLine="720"/>
      </w:pPr>
    </w:p>
    <w:p w14:paraId="21C5EB8C" w14:textId="77777777" w:rsidR="00D44F98" w:rsidRDefault="00EB70E0">
      <w:pPr>
        <w:ind w:left="1440" w:hanging="720"/>
      </w:pPr>
      <w:r>
        <w:t>19.5.2</w:t>
      </w:r>
      <w:r>
        <w:tab/>
        <w:t>return any materials created by the Supplier under this Call-Off Contract if the IPRs are owned by the Buyer</w:t>
      </w:r>
    </w:p>
    <w:p w14:paraId="40EA25C3" w14:textId="77777777" w:rsidR="00D44F98" w:rsidRDefault="00D44F98">
      <w:pPr>
        <w:ind w:firstLine="720"/>
      </w:pPr>
    </w:p>
    <w:p w14:paraId="71B783C0" w14:textId="77777777" w:rsidR="00D44F98" w:rsidRDefault="00EB70E0">
      <w:pPr>
        <w:ind w:left="1440" w:hanging="720"/>
      </w:pPr>
      <w:r>
        <w:t>19.5.3</w:t>
      </w:r>
      <w:r>
        <w:tab/>
        <w:t>stop using the Buyer Data and, at the direction of the Buyer, provide the Buyer with a complete and uncorrupted version in electronic form in the formats and on media agreed with the Buyer</w:t>
      </w:r>
    </w:p>
    <w:p w14:paraId="28465BC1" w14:textId="77777777" w:rsidR="00D44F98" w:rsidRDefault="00D44F98">
      <w:pPr>
        <w:ind w:firstLine="720"/>
      </w:pPr>
    </w:p>
    <w:p w14:paraId="2E3AD075" w14:textId="77777777" w:rsidR="00D44F98" w:rsidRDefault="00EB70E0">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215BEE13" w14:textId="77777777" w:rsidR="00D44F98" w:rsidRDefault="00D44F98">
      <w:pPr>
        <w:ind w:left="720"/>
      </w:pPr>
    </w:p>
    <w:p w14:paraId="5EC91303" w14:textId="77777777" w:rsidR="00D44F98" w:rsidRDefault="00EB70E0">
      <w:pPr>
        <w:ind w:firstLine="720"/>
      </w:pPr>
      <w:r>
        <w:t>19.5.5</w:t>
      </w:r>
      <w:r>
        <w:tab/>
        <w:t>work with the Buyer on any ongoing work</w:t>
      </w:r>
    </w:p>
    <w:p w14:paraId="62EB3833" w14:textId="77777777" w:rsidR="00D44F98" w:rsidRDefault="00D44F98"/>
    <w:p w14:paraId="74D7DBC2" w14:textId="77777777" w:rsidR="00D44F98" w:rsidRDefault="00EB70E0">
      <w:pPr>
        <w:ind w:left="1440" w:hanging="720"/>
      </w:pPr>
      <w:r>
        <w:t>19.5.6</w:t>
      </w:r>
      <w:r>
        <w:tab/>
        <w:t>return any sums prepaid for Services which have not been delivered to the Buyer, within 10 Working Days of the End or Expiry Date</w:t>
      </w:r>
    </w:p>
    <w:p w14:paraId="18169C83" w14:textId="77777777" w:rsidR="00D44F98" w:rsidRDefault="00D44F98">
      <w:pPr>
        <w:ind w:firstLine="720"/>
      </w:pPr>
    </w:p>
    <w:p w14:paraId="367F0AF5" w14:textId="77777777" w:rsidR="00D44F98" w:rsidRDefault="00D44F98"/>
    <w:p w14:paraId="42D429C7" w14:textId="77777777" w:rsidR="00D44F98" w:rsidRDefault="00EB70E0">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605389CA" w14:textId="77777777" w:rsidR="00D44F98" w:rsidRDefault="00D44F98">
      <w:pPr>
        <w:ind w:left="720"/>
      </w:pPr>
    </w:p>
    <w:p w14:paraId="7FD9E3B2" w14:textId="77777777" w:rsidR="00D44F98" w:rsidRDefault="00EB70E0">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65011148" w14:textId="77777777" w:rsidR="00D44F98" w:rsidRDefault="00D44F98"/>
    <w:p w14:paraId="7500ED77" w14:textId="77777777" w:rsidR="00D44F98" w:rsidRDefault="00EB70E0">
      <w:pPr>
        <w:pStyle w:val="Heading3"/>
      </w:pPr>
      <w:r>
        <w:t>20.</w:t>
      </w:r>
      <w:r>
        <w:tab/>
        <w:t>Notices</w:t>
      </w:r>
    </w:p>
    <w:p w14:paraId="3FA2E72A" w14:textId="77777777" w:rsidR="00D44F98" w:rsidRDefault="00EB70E0">
      <w:pPr>
        <w:ind w:left="720" w:hanging="720"/>
      </w:pPr>
      <w:r>
        <w:t>20.1</w:t>
      </w:r>
      <w:r>
        <w:tab/>
        <w:t xml:space="preserve">Any notices sent must be in writing. </w:t>
      </w:r>
      <w:proofErr w:type="gramStart"/>
      <w:r>
        <w:t>For the purpose of</w:t>
      </w:r>
      <w:proofErr w:type="gramEnd"/>
      <w:r>
        <w:t xml:space="preserve"> this clause, an email is accepted as being 'in writing'.</w:t>
      </w:r>
    </w:p>
    <w:p w14:paraId="678B16B0" w14:textId="77777777" w:rsidR="00D44F98" w:rsidRDefault="00D44F98">
      <w:pPr>
        <w:ind w:left="720" w:hanging="720"/>
      </w:pPr>
    </w:p>
    <w:p w14:paraId="5DF2555F" w14:textId="77777777" w:rsidR="00D44F98" w:rsidRDefault="00EB70E0">
      <w:pPr>
        <w:pStyle w:val="ListParagraph"/>
        <w:numPr>
          <w:ilvl w:val="0"/>
          <w:numId w:val="8"/>
        </w:numPr>
        <w:spacing w:after="120" w:line="360" w:lineRule="auto"/>
      </w:pPr>
      <w:r>
        <w:t>Manner of delivery: email</w:t>
      </w:r>
    </w:p>
    <w:p w14:paraId="34C20BE2" w14:textId="77777777" w:rsidR="00D44F98" w:rsidRDefault="00EB70E0">
      <w:pPr>
        <w:pStyle w:val="ListParagraph"/>
        <w:numPr>
          <w:ilvl w:val="0"/>
          <w:numId w:val="8"/>
        </w:numPr>
        <w:spacing w:line="360" w:lineRule="auto"/>
      </w:pPr>
      <w:r>
        <w:t>Deemed time of delivery: 9am on the first Working Day after sending</w:t>
      </w:r>
    </w:p>
    <w:p w14:paraId="134EA5EF" w14:textId="77777777" w:rsidR="00D44F98" w:rsidRDefault="00EB70E0">
      <w:pPr>
        <w:pStyle w:val="ListParagraph"/>
        <w:numPr>
          <w:ilvl w:val="0"/>
          <w:numId w:val="8"/>
        </w:numPr>
      </w:pPr>
      <w:r>
        <w:t>Proof of service: Sent in an emailed letter in PDF format to the correct email address without any error message</w:t>
      </w:r>
    </w:p>
    <w:p w14:paraId="4B408A94" w14:textId="77777777" w:rsidR="00D44F98" w:rsidRDefault="00D44F98"/>
    <w:p w14:paraId="061137EB" w14:textId="77777777" w:rsidR="00D44F98" w:rsidRDefault="00EB70E0">
      <w:pPr>
        <w:ind w:left="720" w:hanging="720"/>
      </w:pPr>
      <w:r>
        <w:lastRenderedPageBreak/>
        <w:t>20.2</w:t>
      </w:r>
      <w:r>
        <w:tab/>
        <w:t>This clause does not apply to any legal action or other method of dispute resolution which should be sent to the addresses in the Order Form (other than a dispute notice under this Call-Off Contract).</w:t>
      </w:r>
    </w:p>
    <w:p w14:paraId="5D9AF847" w14:textId="77777777" w:rsidR="00D44F98" w:rsidRDefault="00D44F98">
      <w:pPr>
        <w:spacing w:before="240" w:after="240"/>
        <w:ind w:left="720"/>
      </w:pPr>
    </w:p>
    <w:p w14:paraId="1D33A7B1" w14:textId="77777777" w:rsidR="00D44F98" w:rsidRDefault="00EB70E0">
      <w:pPr>
        <w:pStyle w:val="Heading3"/>
      </w:pPr>
      <w:r>
        <w:t>21.</w:t>
      </w:r>
      <w:r>
        <w:tab/>
        <w:t>Exit plan</w:t>
      </w:r>
    </w:p>
    <w:p w14:paraId="61B4FA5B" w14:textId="77777777" w:rsidR="00D44F98" w:rsidRDefault="00EB70E0">
      <w:pPr>
        <w:ind w:left="720" w:hanging="720"/>
      </w:pPr>
      <w:r>
        <w:t>21.1</w:t>
      </w:r>
      <w:r>
        <w:tab/>
        <w:t xml:space="preserve">The Supplier must provide an exit plan in its </w:t>
      </w:r>
      <w:proofErr w:type="gramStart"/>
      <w:r>
        <w:t>Application</w:t>
      </w:r>
      <w:proofErr w:type="gramEnd"/>
      <w:r>
        <w:t xml:space="preserve"> which ensures continuity of service and the Supplier will follow it.</w:t>
      </w:r>
    </w:p>
    <w:p w14:paraId="76F552B7" w14:textId="77777777" w:rsidR="00D44F98" w:rsidRDefault="00D44F98">
      <w:pPr>
        <w:ind w:firstLine="720"/>
      </w:pPr>
    </w:p>
    <w:p w14:paraId="3C7338A2" w14:textId="77777777" w:rsidR="00D44F98" w:rsidRDefault="00EB70E0">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2B5065F6" w14:textId="77777777" w:rsidR="00D44F98" w:rsidRDefault="00D44F98">
      <w:pPr>
        <w:ind w:left="720"/>
      </w:pPr>
    </w:p>
    <w:p w14:paraId="4664504E" w14:textId="77777777" w:rsidR="00D44F98" w:rsidRDefault="00EB70E0">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1169942F" w14:textId="77777777" w:rsidR="00D44F98" w:rsidRDefault="00D44F98">
      <w:pPr>
        <w:ind w:left="720"/>
      </w:pPr>
    </w:p>
    <w:p w14:paraId="1A668C5E" w14:textId="77777777" w:rsidR="00D44F98" w:rsidRDefault="00EB70E0">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B23BBF3" w14:textId="77777777" w:rsidR="00D44F98" w:rsidRDefault="00D44F98">
      <w:pPr>
        <w:ind w:left="720"/>
      </w:pPr>
    </w:p>
    <w:p w14:paraId="54EE5642" w14:textId="77777777" w:rsidR="00D44F98" w:rsidRDefault="00EB70E0">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566FFAEA" w14:textId="77777777" w:rsidR="00D44F98" w:rsidRDefault="00D44F98">
      <w:pPr>
        <w:ind w:left="720"/>
      </w:pPr>
    </w:p>
    <w:p w14:paraId="20F9D427" w14:textId="77777777" w:rsidR="00D44F98" w:rsidRDefault="00EB70E0">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B4C9A49" w14:textId="77777777" w:rsidR="00D44F98" w:rsidRDefault="00D44F98">
      <w:pPr>
        <w:ind w:left="720"/>
      </w:pPr>
    </w:p>
    <w:p w14:paraId="34C7AC40" w14:textId="77777777" w:rsidR="00D44F98" w:rsidRDefault="00EB70E0">
      <w:pPr>
        <w:ind w:left="1440" w:hanging="720"/>
      </w:pPr>
      <w:r>
        <w:t>21.6.1</w:t>
      </w:r>
      <w:r>
        <w:tab/>
        <w:t>the Buyer will be able to transfer the Services to a replacement supplier before the expiry or Ending of the extension period on terms that are commercially reasonable and acceptable to the Buyer</w:t>
      </w:r>
    </w:p>
    <w:p w14:paraId="6B27E2E5" w14:textId="77777777" w:rsidR="00D44F98" w:rsidRDefault="00D44F98"/>
    <w:p w14:paraId="74386E9D" w14:textId="77777777" w:rsidR="00D44F98" w:rsidRDefault="00EB70E0">
      <w:pPr>
        <w:ind w:firstLine="720"/>
      </w:pPr>
      <w:r>
        <w:t>21.6.2</w:t>
      </w:r>
      <w:r>
        <w:tab/>
        <w:t>there will be no adverse impact on service continuity</w:t>
      </w:r>
    </w:p>
    <w:p w14:paraId="33F86DF4" w14:textId="77777777" w:rsidR="00D44F98" w:rsidRDefault="00D44F98">
      <w:pPr>
        <w:ind w:firstLine="720"/>
      </w:pPr>
    </w:p>
    <w:p w14:paraId="5C9EF94A" w14:textId="77777777" w:rsidR="00D44F98" w:rsidRDefault="00EB70E0">
      <w:pPr>
        <w:ind w:firstLine="720"/>
      </w:pPr>
      <w:r>
        <w:t>21.6.3</w:t>
      </w:r>
      <w:r>
        <w:tab/>
        <w:t>there is no vendor lock-in to the Supplier’s Service at exit</w:t>
      </w:r>
    </w:p>
    <w:p w14:paraId="59CE68F1" w14:textId="77777777" w:rsidR="00D44F98" w:rsidRDefault="00D44F98"/>
    <w:p w14:paraId="5E9CD651" w14:textId="77777777" w:rsidR="00D44F98" w:rsidRDefault="00EB70E0">
      <w:pPr>
        <w:ind w:firstLine="720"/>
      </w:pPr>
      <w:r>
        <w:t>21.6.4</w:t>
      </w:r>
      <w:r>
        <w:tab/>
        <w:t xml:space="preserve">it enables the Buyer to meet its obligations under the Technology Code </w:t>
      </w:r>
      <w:proofErr w:type="gramStart"/>
      <w:r>
        <w:t>Of</w:t>
      </w:r>
      <w:proofErr w:type="gramEnd"/>
      <w:r>
        <w:t xml:space="preserve"> Practice</w:t>
      </w:r>
    </w:p>
    <w:p w14:paraId="41D6C96D" w14:textId="77777777" w:rsidR="00D44F98" w:rsidRDefault="00D44F98">
      <w:pPr>
        <w:ind w:left="720" w:firstLine="720"/>
      </w:pPr>
    </w:p>
    <w:p w14:paraId="67FA38EE" w14:textId="77777777" w:rsidR="00D44F98" w:rsidRDefault="00EB70E0">
      <w:pPr>
        <w:ind w:left="720" w:hanging="720"/>
      </w:pPr>
      <w:r>
        <w:t>21.7</w:t>
      </w:r>
      <w:r>
        <w:tab/>
        <w:t>If approval is obtained by the Buyer to extend the Term, then the Supplier will comply with its obligations in the additional exit plan.</w:t>
      </w:r>
    </w:p>
    <w:p w14:paraId="0566F69B" w14:textId="77777777" w:rsidR="00D44F98" w:rsidRDefault="00D44F98">
      <w:pPr>
        <w:ind w:firstLine="720"/>
      </w:pPr>
    </w:p>
    <w:p w14:paraId="5A0F3A40" w14:textId="77777777" w:rsidR="00D44F98" w:rsidRDefault="00EB70E0">
      <w:pPr>
        <w:ind w:left="720" w:hanging="720"/>
      </w:pPr>
      <w:r>
        <w:t>21.8</w:t>
      </w:r>
      <w:r>
        <w:tab/>
        <w:t>The additional exit plan must set out full details of timescales, activities and roles and responsibilities of the Parties for:</w:t>
      </w:r>
    </w:p>
    <w:p w14:paraId="153A8DF5" w14:textId="77777777" w:rsidR="00D44F98" w:rsidRDefault="00D44F98">
      <w:pPr>
        <w:ind w:firstLine="720"/>
      </w:pPr>
    </w:p>
    <w:p w14:paraId="0264A847" w14:textId="77777777" w:rsidR="00D44F98" w:rsidRDefault="00EB70E0">
      <w:pPr>
        <w:ind w:left="1440" w:hanging="720"/>
      </w:pPr>
      <w:r>
        <w:lastRenderedPageBreak/>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6A986F14" w14:textId="77777777" w:rsidR="00D44F98" w:rsidRDefault="00D44F98">
      <w:pPr>
        <w:ind w:left="1440"/>
      </w:pPr>
    </w:p>
    <w:p w14:paraId="74EA3073" w14:textId="77777777" w:rsidR="00D44F98" w:rsidRDefault="00EB70E0">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5751A8FB" w14:textId="77777777" w:rsidR="00D44F98" w:rsidRDefault="00D44F98">
      <w:pPr>
        <w:ind w:left="1440"/>
      </w:pPr>
    </w:p>
    <w:p w14:paraId="72CC931A" w14:textId="77777777" w:rsidR="00D44F98" w:rsidRDefault="00EB70E0">
      <w:pPr>
        <w:ind w:left="1440" w:hanging="720"/>
      </w:pPr>
      <w:r>
        <w:t>21.8.3</w:t>
      </w:r>
      <w:r>
        <w:tab/>
        <w:t>the transfer of Project Specific IPR items and other Buyer customisations, configurations and databases to the Buyer or a replacement supplier</w:t>
      </w:r>
    </w:p>
    <w:p w14:paraId="2D343832" w14:textId="77777777" w:rsidR="00D44F98" w:rsidRDefault="00D44F98">
      <w:pPr>
        <w:ind w:left="720" w:firstLine="720"/>
      </w:pPr>
    </w:p>
    <w:p w14:paraId="475C916F" w14:textId="77777777" w:rsidR="00D44F98" w:rsidRDefault="00EB70E0">
      <w:pPr>
        <w:ind w:firstLine="720"/>
      </w:pPr>
      <w:r>
        <w:t>21.8.4</w:t>
      </w:r>
      <w:r>
        <w:tab/>
        <w:t>the testing and assurance strategy for exported Buyer Data</w:t>
      </w:r>
    </w:p>
    <w:p w14:paraId="45441CCD" w14:textId="77777777" w:rsidR="00D44F98" w:rsidRDefault="00D44F98">
      <w:pPr>
        <w:ind w:firstLine="720"/>
      </w:pPr>
    </w:p>
    <w:p w14:paraId="6111B744" w14:textId="77777777" w:rsidR="00D44F98" w:rsidRDefault="00EB70E0">
      <w:pPr>
        <w:ind w:firstLine="720"/>
      </w:pPr>
      <w:r>
        <w:t>21.8.5</w:t>
      </w:r>
      <w:r>
        <w:tab/>
        <w:t>if relevant, TUPE-related activity to comply with the TUPE regulations</w:t>
      </w:r>
    </w:p>
    <w:p w14:paraId="7FB0A0E3" w14:textId="77777777" w:rsidR="00D44F98" w:rsidRDefault="00D44F98">
      <w:pPr>
        <w:ind w:firstLine="720"/>
      </w:pPr>
    </w:p>
    <w:p w14:paraId="361927F7" w14:textId="77777777" w:rsidR="00D44F98" w:rsidRDefault="00EB70E0">
      <w:pPr>
        <w:ind w:left="1440" w:hanging="720"/>
      </w:pPr>
      <w:r>
        <w:t>21.8.6</w:t>
      </w:r>
      <w:r>
        <w:tab/>
        <w:t>any other activities and information which is reasonably required to ensure continuity of Service during the exit period and an orderly transition</w:t>
      </w:r>
    </w:p>
    <w:p w14:paraId="7E1F002D" w14:textId="77777777" w:rsidR="00D44F98" w:rsidRDefault="00D44F98"/>
    <w:p w14:paraId="0656A933" w14:textId="77777777" w:rsidR="00D44F98" w:rsidRDefault="00EB70E0">
      <w:pPr>
        <w:pStyle w:val="Heading3"/>
      </w:pPr>
      <w:r>
        <w:t>22.</w:t>
      </w:r>
      <w:r>
        <w:tab/>
        <w:t>Handover to replacement supplier</w:t>
      </w:r>
    </w:p>
    <w:p w14:paraId="45A5BDE7" w14:textId="77777777" w:rsidR="00D44F98" w:rsidRDefault="00EB70E0">
      <w:pPr>
        <w:ind w:left="720" w:hanging="720"/>
      </w:pPr>
      <w:r>
        <w:t>22.1</w:t>
      </w:r>
      <w:r>
        <w:tab/>
        <w:t>At least 10 Working Days before the Expiry Date or End Date, the Supplier must provide any:</w:t>
      </w:r>
    </w:p>
    <w:p w14:paraId="02731F7D" w14:textId="77777777" w:rsidR="00D44F98" w:rsidRDefault="00D44F98">
      <w:pPr>
        <w:ind w:firstLine="720"/>
      </w:pPr>
    </w:p>
    <w:p w14:paraId="158BA65A" w14:textId="77777777" w:rsidR="00D44F98" w:rsidRDefault="00EB70E0">
      <w:pPr>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2979770F" w14:textId="77777777" w:rsidR="00D44F98" w:rsidRDefault="00D44F98">
      <w:pPr>
        <w:ind w:left="720" w:firstLine="720"/>
      </w:pPr>
    </w:p>
    <w:p w14:paraId="33D932F2" w14:textId="77777777" w:rsidR="00D44F98" w:rsidRDefault="00EB70E0">
      <w:pPr>
        <w:ind w:firstLine="720"/>
      </w:pPr>
      <w:r>
        <w:t>22.1.2</w:t>
      </w:r>
      <w:r>
        <w:tab/>
        <w:t>other information reasonably requested by the Buyer</w:t>
      </w:r>
    </w:p>
    <w:p w14:paraId="2E84461B" w14:textId="77777777" w:rsidR="00D44F98" w:rsidRDefault="00D44F98">
      <w:pPr>
        <w:ind w:firstLine="720"/>
      </w:pPr>
    </w:p>
    <w:p w14:paraId="23824BA2" w14:textId="77777777" w:rsidR="00D44F98" w:rsidRDefault="00EB70E0">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89C46D0" w14:textId="77777777" w:rsidR="00D44F98" w:rsidRDefault="00D44F98">
      <w:pPr>
        <w:ind w:left="720"/>
      </w:pPr>
    </w:p>
    <w:p w14:paraId="7E5585E8" w14:textId="77777777" w:rsidR="00D44F98" w:rsidRDefault="00EB70E0">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1FF0826" w14:textId="77777777" w:rsidR="00D44F98" w:rsidRDefault="00D44F98">
      <w:pPr>
        <w:ind w:left="720"/>
      </w:pPr>
    </w:p>
    <w:p w14:paraId="1FE85ED1" w14:textId="77777777" w:rsidR="00D44F98" w:rsidRDefault="00EB70E0">
      <w:pPr>
        <w:pStyle w:val="Heading3"/>
      </w:pPr>
      <w:r>
        <w:t>23.</w:t>
      </w:r>
      <w:r>
        <w:tab/>
        <w:t>Force majeure</w:t>
      </w:r>
    </w:p>
    <w:p w14:paraId="308A3691" w14:textId="77777777" w:rsidR="00D44F98" w:rsidRDefault="00EB70E0">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415C2CD2" w14:textId="77777777" w:rsidR="00D44F98" w:rsidRDefault="00D44F98">
      <w:pPr>
        <w:ind w:left="720" w:hanging="720"/>
      </w:pPr>
    </w:p>
    <w:p w14:paraId="08304D75" w14:textId="77777777" w:rsidR="00D44F98" w:rsidRDefault="00EB70E0">
      <w:pPr>
        <w:pStyle w:val="Heading3"/>
      </w:pPr>
      <w:r>
        <w:lastRenderedPageBreak/>
        <w:t>24.</w:t>
      </w:r>
      <w:r>
        <w:tab/>
        <w:t>Liability</w:t>
      </w:r>
    </w:p>
    <w:p w14:paraId="40183AD3" w14:textId="77777777" w:rsidR="00D44F98" w:rsidRDefault="00EB70E0">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7C9588C4" w14:textId="77777777" w:rsidR="00D44F98" w:rsidRDefault="00D44F98">
      <w:pPr>
        <w:ind w:left="720"/>
      </w:pPr>
    </w:p>
    <w:p w14:paraId="0FACB86C" w14:textId="77777777" w:rsidR="00D44F98" w:rsidRDefault="00EB70E0">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702BCC64" w14:textId="77777777" w:rsidR="00D44F98" w:rsidRDefault="00D44F98">
      <w:pPr>
        <w:ind w:left="1440"/>
      </w:pPr>
    </w:p>
    <w:p w14:paraId="5B4D0B44" w14:textId="77777777" w:rsidR="00D44F98" w:rsidRDefault="00EB70E0">
      <w:pPr>
        <w:ind w:left="1440" w:hanging="720"/>
      </w:pPr>
      <w:r>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35B6221F" w14:textId="77777777" w:rsidR="00D44F98" w:rsidRDefault="00D44F98">
      <w:pPr>
        <w:ind w:left="1440"/>
      </w:pPr>
    </w:p>
    <w:p w14:paraId="2747C0C0" w14:textId="77777777" w:rsidR="00D44F98" w:rsidRDefault="00EB70E0">
      <w:pPr>
        <w:ind w:left="1440" w:hanging="720"/>
      </w:pPr>
      <w:r>
        <w:t>24.1.3</w:t>
      </w:r>
      <w:r>
        <w:tab/>
        <w:t xml:space="preserve">Other Defaults: for all other Defaults by either party, claims, </w:t>
      </w:r>
      <w:proofErr w:type="gramStart"/>
      <w:r>
        <w:t>Losses</w:t>
      </w:r>
      <w:proofErr w:type="gramEnd"/>
      <w:r>
        <w:t xml:space="preserve"> or damages, whether arising from breach of contract, misrepresentation (whether under common law or statute), tort (including negligence), breach of statutory duty or otherwise will not exceed the amount in the Order Form.</w:t>
      </w:r>
    </w:p>
    <w:p w14:paraId="06BA5627" w14:textId="77777777" w:rsidR="00D44F98" w:rsidRDefault="00D44F98">
      <w:pPr>
        <w:spacing w:before="240" w:after="240"/>
      </w:pPr>
    </w:p>
    <w:p w14:paraId="3587C5D3" w14:textId="77777777" w:rsidR="00D44F98" w:rsidRDefault="00EB70E0">
      <w:pPr>
        <w:pStyle w:val="Heading3"/>
      </w:pPr>
      <w:r>
        <w:t>25.</w:t>
      </w:r>
      <w:r>
        <w:tab/>
        <w:t>Premises</w:t>
      </w:r>
    </w:p>
    <w:p w14:paraId="34BCF736" w14:textId="77777777" w:rsidR="00D44F98" w:rsidRDefault="00EB70E0">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50649800" w14:textId="77777777" w:rsidR="00D44F98" w:rsidRDefault="00D44F98">
      <w:pPr>
        <w:ind w:left="720"/>
      </w:pPr>
    </w:p>
    <w:p w14:paraId="3E28197B" w14:textId="77777777" w:rsidR="00D44F98" w:rsidRDefault="00EB70E0">
      <w:pPr>
        <w:ind w:left="720" w:hanging="720"/>
      </w:pPr>
      <w:r>
        <w:t>25.2</w:t>
      </w:r>
      <w:r>
        <w:tab/>
        <w:t>The Supplier will use the Buyer’s premises solely for the performance of its obligations under this Call-Off Contract.</w:t>
      </w:r>
    </w:p>
    <w:p w14:paraId="23666997" w14:textId="77777777" w:rsidR="00D44F98" w:rsidRDefault="00D44F98">
      <w:pPr>
        <w:ind w:firstLine="720"/>
      </w:pPr>
    </w:p>
    <w:p w14:paraId="2AED7A88" w14:textId="77777777" w:rsidR="00D44F98" w:rsidRDefault="00EB70E0">
      <w:r>
        <w:t>25.3</w:t>
      </w:r>
      <w:r>
        <w:tab/>
        <w:t>The Supplier will vacate the Buyer’s premises when the Call-Off Contract Ends or expires.</w:t>
      </w:r>
    </w:p>
    <w:p w14:paraId="7382817B" w14:textId="77777777" w:rsidR="00D44F98" w:rsidRDefault="00D44F98">
      <w:pPr>
        <w:ind w:firstLine="720"/>
      </w:pPr>
    </w:p>
    <w:p w14:paraId="70AE2FDC" w14:textId="77777777" w:rsidR="00D44F98" w:rsidRDefault="00EB70E0">
      <w:r>
        <w:t>25.4</w:t>
      </w:r>
      <w:r>
        <w:tab/>
        <w:t>This clause does not create a tenancy or exclusive right of occupation.</w:t>
      </w:r>
    </w:p>
    <w:p w14:paraId="656F0594" w14:textId="77777777" w:rsidR="00D44F98" w:rsidRDefault="00D44F98"/>
    <w:p w14:paraId="6F35E5F0" w14:textId="77777777" w:rsidR="00D44F98" w:rsidRDefault="00EB70E0">
      <w:r>
        <w:t>25.5</w:t>
      </w:r>
      <w:r>
        <w:tab/>
        <w:t>While on the Buyer’s premises, the Supplier will:</w:t>
      </w:r>
    </w:p>
    <w:p w14:paraId="01C32CF7" w14:textId="77777777" w:rsidR="00D44F98" w:rsidRDefault="00D44F98"/>
    <w:p w14:paraId="37A0AE1D" w14:textId="77777777" w:rsidR="00D44F98" w:rsidRDefault="00EB70E0">
      <w:pPr>
        <w:ind w:left="1440" w:hanging="720"/>
      </w:pPr>
      <w:r>
        <w:t>25.5.1</w:t>
      </w:r>
      <w:r>
        <w:tab/>
        <w:t>comply with any security requirements at the premises and not do anything to weaken the security of the premises</w:t>
      </w:r>
    </w:p>
    <w:p w14:paraId="2A4452B9" w14:textId="77777777" w:rsidR="00D44F98" w:rsidRDefault="00D44F98">
      <w:pPr>
        <w:ind w:left="720"/>
      </w:pPr>
    </w:p>
    <w:p w14:paraId="1A2658ED" w14:textId="77777777" w:rsidR="00D44F98" w:rsidRDefault="00EB70E0">
      <w:pPr>
        <w:ind w:firstLine="720"/>
      </w:pPr>
      <w:r>
        <w:t>25.5.2</w:t>
      </w:r>
      <w:r>
        <w:tab/>
        <w:t>comply with Buyer requirements for the conduct of personnel</w:t>
      </w:r>
    </w:p>
    <w:p w14:paraId="4C2E4E25" w14:textId="77777777" w:rsidR="00D44F98" w:rsidRDefault="00D44F98">
      <w:pPr>
        <w:ind w:firstLine="720"/>
      </w:pPr>
    </w:p>
    <w:p w14:paraId="2778B750" w14:textId="77777777" w:rsidR="00D44F98" w:rsidRDefault="00EB70E0">
      <w:pPr>
        <w:ind w:firstLine="720"/>
      </w:pPr>
      <w:r>
        <w:t>25.5.3</w:t>
      </w:r>
      <w:r>
        <w:tab/>
        <w:t>comply with any health and safety measures implemented by the Buyer</w:t>
      </w:r>
    </w:p>
    <w:p w14:paraId="5D1D31AE" w14:textId="77777777" w:rsidR="00D44F98" w:rsidRDefault="00D44F98">
      <w:pPr>
        <w:ind w:firstLine="720"/>
      </w:pPr>
    </w:p>
    <w:p w14:paraId="4407D433" w14:textId="77777777" w:rsidR="00D44F98" w:rsidRDefault="00EB70E0">
      <w:pPr>
        <w:ind w:left="1440" w:hanging="720"/>
      </w:pPr>
      <w:r>
        <w:t>25.5.4</w:t>
      </w:r>
      <w:r>
        <w:tab/>
        <w:t>immediately notify the Buyer of any incident on the premises that causes any damage to Property which could cause personal injury</w:t>
      </w:r>
    </w:p>
    <w:p w14:paraId="7B648942" w14:textId="77777777" w:rsidR="00D44F98" w:rsidRDefault="00D44F98">
      <w:pPr>
        <w:ind w:left="720" w:firstLine="720"/>
      </w:pPr>
    </w:p>
    <w:p w14:paraId="5AF295EC" w14:textId="77777777" w:rsidR="00D44F98" w:rsidRDefault="00EB70E0">
      <w:pPr>
        <w:ind w:left="720" w:hanging="720"/>
      </w:pPr>
      <w:r>
        <w:t>25.6</w:t>
      </w:r>
      <w:r>
        <w:tab/>
        <w:t>The Supplier will ensure that its health and safety policy statement (as required by the Health and Safety at Work etc Act 1974) is made available to the Buyer on request.</w:t>
      </w:r>
    </w:p>
    <w:p w14:paraId="276E5CC5" w14:textId="77777777" w:rsidR="00D44F98" w:rsidRDefault="00D44F98">
      <w:pPr>
        <w:ind w:left="720" w:hanging="720"/>
      </w:pPr>
    </w:p>
    <w:p w14:paraId="4FE9C9D5" w14:textId="77777777" w:rsidR="00D44F98" w:rsidRDefault="00EB70E0">
      <w:pPr>
        <w:pStyle w:val="Heading3"/>
      </w:pPr>
      <w:r>
        <w:lastRenderedPageBreak/>
        <w:t>26.</w:t>
      </w:r>
      <w:r>
        <w:tab/>
        <w:t>Equipment</w:t>
      </w:r>
    </w:p>
    <w:p w14:paraId="56F0C92B" w14:textId="77777777" w:rsidR="00D44F98" w:rsidRDefault="00EB70E0">
      <w:pPr>
        <w:spacing w:before="240" w:after="240"/>
      </w:pPr>
      <w:r>
        <w:t>26.1</w:t>
      </w:r>
      <w:r>
        <w:tab/>
        <w:t>The Supplier is responsible for providing any Equipment which the Supplier requires to provide the Services.</w:t>
      </w:r>
    </w:p>
    <w:p w14:paraId="6E6259D3" w14:textId="77777777" w:rsidR="00D44F98" w:rsidRDefault="00D44F98">
      <w:pPr>
        <w:ind w:firstLine="720"/>
      </w:pPr>
    </w:p>
    <w:p w14:paraId="4E1CE05F" w14:textId="77777777" w:rsidR="00D44F98" w:rsidRDefault="00EB70E0">
      <w:pPr>
        <w:ind w:left="720" w:hanging="720"/>
      </w:pPr>
      <w:r>
        <w:t>26.2</w:t>
      </w:r>
      <w:r>
        <w:tab/>
        <w:t>Any Equipment brought onto the premises will be at the Supplier's own risk and the Buyer will have no liability for any loss of, or damage to, any Equipment.</w:t>
      </w:r>
    </w:p>
    <w:p w14:paraId="44D88BEE" w14:textId="77777777" w:rsidR="00D44F98" w:rsidRDefault="00D44F98">
      <w:pPr>
        <w:ind w:firstLine="720"/>
      </w:pPr>
    </w:p>
    <w:p w14:paraId="427D071F" w14:textId="77777777" w:rsidR="00D44F98" w:rsidRDefault="00EB70E0">
      <w:pPr>
        <w:ind w:left="720" w:hanging="720"/>
      </w:pPr>
      <w:r>
        <w:t>26.3</w:t>
      </w:r>
      <w:r>
        <w:tab/>
        <w:t>When the Call-Off Contract Ends or expires, the Supplier will remove the Equipment and any other materials leaving the premises in a safe and clean condition.</w:t>
      </w:r>
    </w:p>
    <w:p w14:paraId="51870C0C" w14:textId="77777777" w:rsidR="00D44F98" w:rsidRDefault="00D44F98">
      <w:pPr>
        <w:ind w:left="720" w:hanging="720"/>
      </w:pPr>
    </w:p>
    <w:p w14:paraId="44E615C1" w14:textId="77777777" w:rsidR="00D44F98" w:rsidRDefault="00EB70E0">
      <w:pPr>
        <w:pStyle w:val="Heading3"/>
      </w:pPr>
      <w:r>
        <w:t>27.</w:t>
      </w:r>
      <w:r>
        <w:tab/>
        <w:t>The Contracts (Rights of Third Parties) Act 1999</w:t>
      </w:r>
    </w:p>
    <w:p w14:paraId="49DD6E72" w14:textId="77777777" w:rsidR="00D44F98" w:rsidRDefault="00D44F98"/>
    <w:p w14:paraId="4EE2E361" w14:textId="77777777" w:rsidR="00D44F98" w:rsidRDefault="00EB70E0">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7139E384" w14:textId="77777777" w:rsidR="00D44F98" w:rsidRDefault="00D44F98">
      <w:pPr>
        <w:ind w:left="720" w:hanging="720"/>
      </w:pPr>
    </w:p>
    <w:p w14:paraId="54DA32A4" w14:textId="77777777" w:rsidR="00D44F98" w:rsidRDefault="00EB70E0">
      <w:pPr>
        <w:pStyle w:val="Heading3"/>
      </w:pPr>
      <w:r>
        <w:t>28.</w:t>
      </w:r>
      <w:r>
        <w:tab/>
        <w:t>Environmental requirements</w:t>
      </w:r>
    </w:p>
    <w:p w14:paraId="51D5A8CD" w14:textId="77777777" w:rsidR="00D44F98" w:rsidRDefault="00EB70E0">
      <w:pPr>
        <w:ind w:left="720" w:hanging="720"/>
      </w:pPr>
      <w:r>
        <w:t>28.1</w:t>
      </w:r>
      <w:r>
        <w:tab/>
        <w:t>The Buyer will provide a copy of its environmental policy to the Supplier on request, which the Supplier will comply with.</w:t>
      </w:r>
    </w:p>
    <w:p w14:paraId="0CB9978B" w14:textId="77777777" w:rsidR="00D44F98" w:rsidRDefault="00D44F98">
      <w:pPr>
        <w:ind w:firstLine="720"/>
      </w:pPr>
    </w:p>
    <w:p w14:paraId="46F76585" w14:textId="77777777" w:rsidR="00D44F98" w:rsidRDefault="00EB70E0">
      <w:pPr>
        <w:ind w:left="720" w:hanging="720"/>
      </w:pPr>
      <w:r>
        <w:t>28.2</w:t>
      </w:r>
      <w:r>
        <w:tab/>
        <w:t>The Supplier must provide reasonable support to enable Buyers to work in an environmentally friendly way, for example by helping them recycle or lower their carbon footprint.</w:t>
      </w:r>
    </w:p>
    <w:p w14:paraId="1BFE77BC" w14:textId="77777777" w:rsidR="00D44F98" w:rsidRDefault="00D44F98">
      <w:pPr>
        <w:ind w:left="720" w:hanging="720"/>
      </w:pPr>
    </w:p>
    <w:p w14:paraId="0C4427AA" w14:textId="77777777" w:rsidR="00D44F98" w:rsidRDefault="00EB70E0">
      <w:pPr>
        <w:pStyle w:val="Heading3"/>
      </w:pPr>
      <w:r>
        <w:t>29.</w:t>
      </w:r>
      <w:r>
        <w:tab/>
        <w:t>The Employment Regulations (TUPE)</w:t>
      </w:r>
    </w:p>
    <w:p w14:paraId="2DB2595C" w14:textId="77777777" w:rsidR="00D44F98" w:rsidRDefault="00EB70E0">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2E1AE588" w14:textId="77777777" w:rsidR="00D44F98" w:rsidRDefault="00D44F98">
      <w:pPr>
        <w:ind w:left="720"/>
      </w:pPr>
    </w:p>
    <w:p w14:paraId="58E45458" w14:textId="77777777" w:rsidR="00D44F98" w:rsidRDefault="00EB70E0">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4A8487D0" w14:textId="77777777" w:rsidR="00D44F98" w:rsidRDefault="00D44F98">
      <w:pPr>
        <w:ind w:left="720"/>
      </w:pPr>
    </w:p>
    <w:p w14:paraId="595B1A37" w14:textId="77777777" w:rsidR="00D44F98" w:rsidRDefault="00EB70E0">
      <w:pPr>
        <w:ind w:firstLine="720"/>
      </w:pPr>
      <w:r>
        <w:t>29.2.1</w:t>
      </w:r>
      <w:r>
        <w:tab/>
      </w:r>
      <w:r>
        <w:tab/>
        <w:t>the activities they perform</w:t>
      </w:r>
    </w:p>
    <w:p w14:paraId="1709A027" w14:textId="77777777" w:rsidR="00D44F98" w:rsidRDefault="00EB70E0">
      <w:pPr>
        <w:ind w:firstLine="720"/>
      </w:pPr>
      <w:r>
        <w:t>29.2.2</w:t>
      </w:r>
      <w:r>
        <w:tab/>
      </w:r>
      <w:r>
        <w:tab/>
        <w:t>age</w:t>
      </w:r>
    </w:p>
    <w:p w14:paraId="6751A86B" w14:textId="77777777" w:rsidR="00D44F98" w:rsidRDefault="00EB70E0">
      <w:pPr>
        <w:ind w:firstLine="720"/>
      </w:pPr>
      <w:r>
        <w:t>29.2.3</w:t>
      </w:r>
      <w:r>
        <w:tab/>
      </w:r>
      <w:r>
        <w:tab/>
        <w:t>start date</w:t>
      </w:r>
    </w:p>
    <w:p w14:paraId="42B7102D" w14:textId="77777777" w:rsidR="00D44F98" w:rsidRDefault="00EB70E0">
      <w:pPr>
        <w:ind w:firstLine="720"/>
      </w:pPr>
      <w:r>
        <w:t>29.2.4</w:t>
      </w:r>
      <w:r>
        <w:tab/>
      </w:r>
      <w:r>
        <w:tab/>
        <w:t>place of work</w:t>
      </w:r>
    </w:p>
    <w:p w14:paraId="03F45921" w14:textId="77777777" w:rsidR="00D44F98" w:rsidRDefault="00EB70E0">
      <w:pPr>
        <w:ind w:firstLine="720"/>
      </w:pPr>
      <w:r>
        <w:t>29.2.5</w:t>
      </w:r>
      <w:r>
        <w:tab/>
      </w:r>
      <w:r>
        <w:tab/>
        <w:t>notice period</w:t>
      </w:r>
    </w:p>
    <w:p w14:paraId="500C051A" w14:textId="77777777" w:rsidR="00D44F98" w:rsidRDefault="00EB70E0">
      <w:pPr>
        <w:ind w:firstLine="720"/>
      </w:pPr>
      <w:r>
        <w:t>29.2.6</w:t>
      </w:r>
      <w:r>
        <w:tab/>
      </w:r>
      <w:r>
        <w:tab/>
        <w:t>redundancy payment entitlement</w:t>
      </w:r>
    </w:p>
    <w:p w14:paraId="782CA689" w14:textId="77777777" w:rsidR="00D44F98" w:rsidRDefault="00EB70E0">
      <w:pPr>
        <w:ind w:firstLine="720"/>
      </w:pPr>
      <w:r>
        <w:t>29.2.7</w:t>
      </w:r>
      <w:r>
        <w:tab/>
      </w:r>
      <w:r>
        <w:tab/>
        <w:t xml:space="preserve">salary, </w:t>
      </w:r>
      <w:proofErr w:type="gramStart"/>
      <w:r>
        <w:t>benefits</w:t>
      </w:r>
      <w:proofErr w:type="gramEnd"/>
      <w:r>
        <w:t xml:space="preserve"> and pension entitlements</w:t>
      </w:r>
    </w:p>
    <w:p w14:paraId="63FDCBC8" w14:textId="77777777" w:rsidR="00D44F98" w:rsidRDefault="00EB70E0">
      <w:pPr>
        <w:ind w:firstLine="720"/>
      </w:pPr>
      <w:r>
        <w:lastRenderedPageBreak/>
        <w:t>29.2.8</w:t>
      </w:r>
      <w:r>
        <w:tab/>
      </w:r>
      <w:r>
        <w:tab/>
        <w:t>employment status</w:t>
      </w:r>
    </w:p>
    <w:p w14:paraId="1A7F94CB" w14:textId="77777777" w:rsidR="00D44F98" w:rsidRDefault="00EB70E0">
      <w:pPr>
        <w:ind w:firstLine="720"/>
      </w:pPr>
      <w:r>
        <w:t>29.2.9</w:t>
      </w:r>
      <w:r>
        <w:tab/>
      </w:r>
      <w:r>
        <w:tab/>
        <w:t>identity of employer</w:t>
      </w:r>
    </w:p>
    <w:p w14:paraId="2B7C011F" w14:textId="77777777" w:rsidR="00D44F98" w:rsidRDefault="00EB70E0">
      <w:pPr>
        <w:ind w:firstLine="720"/>
      </w:pPr>
      <w:r>
        <w:t>29.2.10</w:t>
      </w:r>
      <w:r>
        <w:tab/>
        <w:t>working arrangements</w:t>
      </w:r>
    </w:p>
    <w:p w14:paraId="4F43BFC7" w14:textId="77777777" w:rsidR="00D44F98" w:rsidRDefault="00EB70E0">
      <w:pPr>
        <w:ind w:firstLine="720"/>
      </w:pPr>
      <w:r>
        <w:t>29.2.11</w:t>
      </w:r>
      <w:r>
        <w:tab/>
        <w:t>outstanding liabilities</w:t>
      </w:r>
    </w:p>
    <w:p w14:paraId="75211400" w14:textId="77777777" w:rsidR="00D44F98" w:rsidRDefault="00EB70E0">
      <w:pPr>
        <w:ind w:firstLine="720"/>
      </w:pPr>
      <w:r>
        <w:t>29.2.12</w:t>
      </w:r>
      <w:r>
        <w:tab/>
        <w:t>sickness absence</w:t>
      </w:r>
    </w:p>
    <w:p w14:paraId="1109349F" w14:textId="77777777" w:rsidR="00D44F98" w:rsidRDefault="00EB70E0">
      <w:pPr>
        <w:ind w:firstLine="720"/>
      </w:pPr>
      <w:r>
        <w:t>29.2.13</w:t>
      </w:r>
      <w:r>
        <w:tab/>
        <w:t>copies of all relevant employment contracts and related documents</w:t>
      </w:r>
    </w:p>
    <w:p w14:paraId="29346B8A" w14:textId="77777777" w:rsidR="00D44F98" w:rsidRDefault="00EB70E0">
      <w:pPr>
        <w:ind w:firstLine="720"/>
      </w:pPr>
      <w:r>
        <w:t>29.2.14</w:t>
      </w:r>
      <w:r>
        <w:tab/>
        <w:t xml:space="preserve">all information required under regulation 11 of TUPE or as reasonably </w:t>
      </w:r>
    </w:p>
    <w:p w14:paraId="5B0E5450" w14:textId="77777777" w:rsidR="00D44F98" w:rsidRDefault="00EB70E0">
      <w:pPr>
        <w:ind w:left="1440" w:firstLine="720"/>
      </w:pPr>
      <w:r>
        <w:t>requested by the Buyer</w:t>
      </w:r>
    </w:p>
    <w:p w14:paraId="4FC57055" w14:textId="77777777" w:rsidR="00D44F98" w:rsidRDefault="00D44F98">
      <w:pPr>
        <w:ind w:left="720" w:firstLine="720"/>
      </w:pPr>
    </w:p>
    <w:p w14:paraId="64733C9A" w14:textId="77777777" w:rsidR="00D44F98" w:rsidRDefault="00EB70E0">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33E8C3FA" w14:textId="77777777" w:rsidR="00D44F98" w:rsidRDefault="00D44F98">
      <w:pPr>
        <w:ind w:left="720"/>
      </w:pPr>
    </w:p>
    <w:p w14:paraId="03B3141B" w14:textId="77777777" w:rsidR="00D44F98" w:rsidRDefault="00EB70E0">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81711D3" w14:textId="77777777" w:rsidR="00D44F98" w:rsidRDefault="00D44F98">
      <w:pPr>
        <w:ind w:left="720"/>
      </w:pPr>
    </w:p>
    <w:p w14:paraId="78138019" w14:textId="77777777" w:rsidR="00D44F98" w:rsidRDefault="00EB70E0">
      <w:pPr>
        <w:ind w:left="720" w:hanging="720"/>
      </w:pPr>
      <w:r>
        <w:t>29.5</w:t>
      </w:r>
      <w:r>
        <w:tab/>
        <w:t>The Supplier will co-operate with the re-tendering of this Call-Off Contract by allowing the Replacement Supplier to communicate with and meet the affected employees or their representatives.</w:t>
      </w:r>
    </w:p>
    <w:p w14:paraId="1F2644FB" w14:textId="77777777" w:rsidR="00D44F98" w:rsidRDefault="00D44F98">
      <w:pPr>
        <w:ind w:left="720"/>
      </w:pPr>
    </w:p>
    <w:p w14:paraId="1A311B71" w14:textId="77777777" w:rsidR="00D44F98" w:rsidRDefault="00EB70E0">
      <w:pPr>
        <w:ind w:left="720" w:hanging="720"/>
      </w:pPr>
      <w:r>
        <w:t>29.6</w:t>
      </w:r>
      <w:r>
        <w:tab/>
        <w:t>The Supplier will indemnify the Buyer or any Replacement Supplier for all Loss arising from both:</w:t>
      </w:r>
    </w:p>
    <w:p w14:paraId="68F671C0" w14:textId="77777777" w:rsidR="00D44F98" w:rsidRDefault="00D44F98">
      <w:pPr>
        <w:ind w:firstLine="720"/>
      </w:pPr>
    </w:p>
    <w:p w14:paraId="5176B953" w14:textId="77777777" w:rsidR="00D44F98" w:rsidRDefault="00EB70E0">
      <w:pPr>
        <w:ind w:firstLine="720"/>
      </w:pPr>
      <w:r>
        <w:t>29.6.1</w:t>
      </w:r>
      <w:r>
        <w:tab/>
        <w:t>its failure to comply with the provisions of this clause</w:t>
      </w:r>
    </w:p>
    <w:p w14:paraId="52B0988B" w14:textId="77777777" w:rsidR="00D44F98" w:rsidRDefault="00D44F98">
      <w:pPr>
        <w:ind w:firstLine="720"/>
      </w:pPr>
    </w:p>
    <w:p w14:paraId="5BD8DBD8" w14:textId="77777777" w:rsidR="00D44F98" w:rsidRDefault="00EB70E0">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2976D505" w14:textId="77777777" w:rsidR="00D44F98" w:rsidRDefault="00D44F98">
      <w:pPr>
        <w:ind w:left="1440"/>
      </w:pPr>
    </w:p>
    <w:p w14:paraId="4ED6FBB4" w14:textId="77777777" w:rsidR="00D44F98" w:rsidRDefault="00EB70E0">
      <w:pPr>
        <w:ind w:left="720" w:hanging="720"/>
      </w:pPr>
      <w:r>
        <w:t>29.7</w:t>
      </w:r>
      <w:r>
        <w:tab/>
        <w:t>The provisions of this clause apply during the Term of this Call-Off Contract and indefinitely after it Ends or expires.</w:t>
      </w:r>
    </w:p>
    <w:p w14:paraId="28830EE5" w14:textId="77777777" w:rsidR="00D44F98" w:rsidRDefault="00D44F98">
      <w:pPr>
        <w:ind w:firstLine="720"/>
      </w:pPr>
    </w:p>
    <w:p w14:paraId="46DF2D40" w14:textId="77777777" w:rsidR="00D44F98" w:rsidRDefault="00EB70E0">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7AD7C3B8" w14:textId="77777777" w:rsidR="00D44F98" w:rsidRDefault="00D44F98">
      <w:pPr>
        <w:ind w:left="720" w:hanging="720"/>
      </w:pPr>
    </w:p>
    <w:p w14:paraId="427C5105" w14:textId="77777777" w:rsidR="00D44F98" w:rsidRDefault="00EB70E0">
      <w:pPr>
        <w:pStyle w:val="Heading3"/>
      </w:pPr>
      <w:r>
        <w:t>30.</w:t>
      </w:r>
      <w:r>
        <w:tab/>
        <w:t>Additional G-Cloud services</w:t>
      </w:r>
    </w:p>
    <w:p w14:paraId="363D0B4D" w14:textId="77777777" w:rsidR="00D44F98" w:rsidRDefault="00EB70E0">
      <w:pPr>
        <w:ind w:left="720" w:hanging="720"/>
      </w:pPr>
      <w:r>
        <w:t>30.1</w:t>
      </w:r>
      <w:r>
        <w:tab/>
        <w:t xml:space="preserve"> </w:t>
      </w:r>
      <w:r>
        <w:rPr>
          <w:color w:val="000000"/>
        </w:rPr>
        <w:t>T</w:t>
      </w:r>
      <w:r>
        <w:rPr>
          <w:rFonts w:eastAsia="Times New Roman"/>
          <w:color w:val="000000"/>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color w:val="000000"/>
          <w:lang w:eastAsia="en-US"/>
        </w:rPr>
        <w:t>similar to</w:t>
      </w:r>
      <w:proofErr w:type="gramEnd"/>
      <w:r>
        <w:rPr>
          <w:rFonts w:eastAsia="Times New Roman"/>
          <w:color w:val="000000"/>
          <w:lang w:eastAsia="en-US"/>
        </w:rPr>
        <w:t xml:space="preserve"> the Additional Services from any third party.</w:t>
      </w:r>
    </w:p>
    <w:p w14:paraId="5EE764AF" w14:textId="77777777" w:rsidR="00D44F98" w:rsidRDefault="00D44F98">
      <w:pPr>
        <w:ind w:left="720"/>
      </w:pPr>
    </w:p>
    <w:p w14:paraId="6E0E7400" w14:textId="77777777" w:rsidR="00D44F98" w:rsidRDefault="00EB70E0">
      <w:pPr>
        <w:ind w:left="720" w:hanging="720"/>
      </w:pPr>
      <w:r>
        <w:t>30.2</w:t>
      </w:r>
      <w:r>
        <w:tab/>
        <w:t>If reasonably requested to do so by the Buyer in the Order Form, the Supplier must provide and monitor performance of the Additional Services using an Implementation Plan.</w:t>
      </w:r>
    </w:p>
    <w:p w14:paraId="3B850974" w14:textId="77777777" w:rsidR="00D44F98" w:rsidRDefault="00D44F98">
      <w:pPr>
        <w:ind w:left="720" w:hanging="720"/>
      </w:pPr>
    </w:p>
    <w:p w14:paraId="79C87EE1" w14:textId="77777777" w:rsidR="00D44F98" w:rsidRDefault="00EB70E0">
      <w:pPr>
        <w:pStyle w:val="Heading3"/>
      </w:pPr>
      <w:r>
        <w:lastRenderedPageBreak/>
        <w:t>31.</w:t>
      </w:r>
      <w:r>
        <w:tab/>
        <w:t>Collaboration</w:t>
      </w:r>
    </w:p>
    <w:p w14:paraId="1BB8727B" w14:textId="77777777" w:rsidR="00D44F98" w:rsidRDefault="00EB70E0">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0E0C8C2A" w14:textId="77777777" w:rsidR="00D44F98" w:rsidRDefault="00D44F98">
      <w:pPr>
        <w:ind w:left="720"/>
      </w:pPr>
    </w:p>
    <w:p w14:paraId="1269D292" w14:textId="77777777" w:rsidR="00D44F98" w:rsidRDefault="00EB70E0">
      <w:r>
        <w:t>31.2</w:t>
      </w:r>
      <w:r>
        <w:tab/>
        <w:t>In addition to any obligations under the Collaboration Agreement, the Supplier must:</w:t>
      </w:r>
    </w:p>
    <w:p w14:paraId="00BFDE12" w14:textId="77777777" w:rsidR="00D44F98" w:rsidRDefault="00D44F98"/>
    <w:p w14:paraId="5BB70066" w14:textId="77777777" w:rsidR="00D44F98" w:rsidRDefault="00EB70E0">
      <w:pPr>
        <w:ind w:firstLine="720"/>
      </w:pPr>
      <w:r>
        <w:t>31.2.1</w:t>
      </w:r>
      <w:r>
        <w:tab/>
        <w:t>work proactively and in good faith with each of the Buyer’s contractors</w:t>
      </w:r>
    </w:p>
    <w:p w14:paraId="16973B2D" w14:textId="77777777" w:rsidR="00D44F98" w:rsidRDefault="00D44F98">
      <w:pPr>
        <w:ind w:firstLine="720"/>
      </w:pPr>
    </w:p>
    <w:p w14:paraId="42C5DE6D" w14:textId="77777777" w:rsidR="00D44F98" w:rsidRDefault="00EB70E0">
      <w:pPr>
        <w:ind w:left="1440" w:hanging="720"/>
      </w:pPr>
      <w:r>
        <w:t>31.2.2</w:t>
      </w:r>
      <w:r>
        <w:tab/>
        <w:t>co-operate and share information with the Buyer’s contractors to enable the efficient operation of the Buyer’s ICT services and G-Cloud Services</w:t>
      </w:r>
    </w:p>
    <w:p w14:paraId="3BF2D477" w14:textId="77777777" w:rsidR="00D44F98" w:rsidRDefault="00D44F98">
      <w:pPr>
        <w:ind w:left="1440" w:hanging="720"/>
      </w:pPr>
    </w:p>
    <w:p w14:paraId="6DCD9D0A" w14:textId="77777777" w:rsidR="00D44F98" w:rsidRDefault="00EB70E0">
      <w:pPr>
        <w:pStyle w:val="Heading3"/>
      </w:pPr>
      <w:r>
        <w:t>32.</w:t>
      </w:r>
      <w:r>
        <w:tab/>
        <w:t>Variation process</w:t>
      </w:r>
    </w:p>
    <w:p w14:paraId="040E713D" w14:textId="77777777" w:rsidR="00D44F98" w:rsidRDefault="00EB70E0">
      <w:pPr>
        <w:ind w:left="720" w:hanging="720"/>
      </w:pPr>
      <w:r>
        <w:t>32.1</w:t>
      </w:r>
      <w:r>
        <w:tab/>
        <w:t>The Buyer can request in writing a change to this Call-Off Contract if it isn’t a material change to the Framework Agreement/or this Call-Off Contract. Once implemented, it is called a Variation.</w:t>
      </w:r>
    </w:p>
    <w:p w14:paraId="391AD427" w14:textId="77777777" w:rsidR="00D44F98" w:rsidRDefault="00D44F98">
      <w:pPr>
        <w:ind w:left="720"/>
      </w:pPr>
    </w:p>
    <w:p w14:paraId="5549AF56" w14:textId="77777777" w:rsidR="00D44F98" w:rsidRDefault="00EB70E0">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06D867EA" w14:textId="77777777" w:rsidR="00D44F98" w:rsidRDefault="00D44F98"/>
    <w:p w14:paraId="37171E2D" w14:textId="77777777" w:rsidR="00D44F98" w:rsidRDefault="00EB70E0">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0CED7799" w14:textId="77777777" w:rsidR="00D44F98" w:rsidRDefault="00D44F98">
      <w:pPr>
        <w:ind w:left="720" w:hanging="720"/>
      </w:pPr>
    </w:p>
    <w:p w14:paraId="0D11D47E" w14:textId="77777777" w:rsidR="00D44F98" w:rsidRDefault="00EB70E0">
      <w:pPr>
        <w:pStyle w:val="Heading3"/>
      </w:pPr>
      <w:r>
        <w:t>33.</w:t>
      </w:r>
      <w:r>
        <w:tab/>
        <w:t>Data Protection Legislation (GDPR)</w:t>
      </w:r>
    </w:p>
    <w:p w14:paraId="0011AA30" w14:textId="77777777" w:rsidR="00D44F98" w:rsidRDefault="00EB70E0">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40BAA0B2" w14:textId="77777777" w:rsidR="00D44F98" w:rsidRDefault="00D44F98"/>
    <w:p w14:paraId="52B39B6A" w14:textId="77777777" w:rsidR="00D44F98" w:rsidRDefault="00D44F98">
      <w:pPr>
        <w:pageBreakBefore/>
        <w:rPr>
          <w:b/>
        </w:rPr>
      </w:pPr>
    </w:p>
    <w:p w14:paraId="4F5E1550" w14:textId="77777777" w:rsidR="00D44F98" w:rsidRDefault="00EB70E0">
      <w:pPr>
        <w:pStyle w:val="Heading2"/>
      </w:pPr>
      <w:bookmarkStart w:id="6" w:name="_Toc33176236"/>
      <w:r>
        <w:t>Schedule 3: Collaboration agreement</w:t>
      </w:r>
      <w:bookmarkEnd w:id="6"/>
    </w:p>
    <w:p w14:paraId="676475CD" w14:textId="77777777" w:rsidR="00D44F98" w:rsidRDefault="00EB70E0">
      <w:r>
        <w:t>N/A</w:t>
      </w:r>
    </w:p>
    <w:p w14:paraId="14082E37" w14:textId="77777777" w:rsidR="00D44F98" w:rsidRDefault="00D44F98">
      <w:pPr>
        <w:pageBreakBefore/>
      </w:pPr>
    </w:p>
    <w:p w14:paraId="18E1A74F" w14:textId="77777777" w:rsidR="00D44F98" w:rsidRDefault="00EB70E0">
      <w:pPr>
        <w:pStyle w:val="Heading2"/>
      </w:pPr>
      <w:bookmarkStart w:id="7" w:name="_Toc33176237"/>
      <w:r>
        <w:t>Schedule 4: Alternative clauses</w:t>
      </w:r>
      <w:bookmarkEnd w:id="7"/>
    </w:p>
    <w:p w14:paraId="23DC4570" w14:textId="77777777" w:rsidR="00D44F98" w:rsidRDefault="00EB70E0">
      <w:r>
        <w:t>N/A</w:t>
      </w:r>
    </w:p>
    <w:p w14:paraId="546094F4" w14:textId="77777777" w:rsidR="00D44F98" w:rsidRDefault="00D44F98"/>
    <w:p w14:paraId="183F487C" w14:textId="77777777" w:rsidR="00D44F98" w:rsidRDefault="00D44F98">
      <w:pPr>
        <w:rPr>
          <w:b/>
        </w:rPr>
      </w:pPr>
    </w:p>
    <w:p w14:paraId="4ECC697B" w14:textId="77777777" w:rsidR="00D44F98" w:rsidRDefault="00D44F98">
      <w:bookmarkStart w:id="8" w:name="_Toc33176238"/>
    </w:p>
    <w:p w14:paraId="12F76283" w14:textId="77777777" w:rsidR="00D44F98" w:rsidRDefault="00EB70E0">
      <w:pPr>
        <w:pStyle w:val="Heading2"/>
        <w:pageBreakBefore/>
      </w:pPr>
      <w:r>
        <w:lastRenderedPageBreak/>
        <w:t>Schedule 5: Guarantee</w:t>
      </w:r>
      <w:bookmarkEnd w:id="8"/>
    </w:p>
    <w:p w14:paraId="378AF25D" w14:textId="77777777" w:rsidR="00D44F98" w:rsidRDefault="00EB70E0">
      <w:r>
        <w:t>N/A</w:t>
      </w:r>
    </w:p>
    <w:p w14:paraId="6880AB28" w14:textId="77777777" w:rsidR="00D44F98" w:rsidRDefault="00D44F98">
      <w:pPr>
        <w:pageBreakBefore/>
        <w:rPr>
          <w:b/>
        </w:rPr>
      </w:pPr>
    </w:p>
    <w:p w14:paraId="2B33016A" w14:textId="77777777" w:rsidR="00D44F98" w:rsidRDefault="00EB70E0">
      <w:pPr>
        <w:pStyle w:val="Heading2"/>
      </w:pPr>
      <w:bookmarkStart w:id="9" w:name="_Toc33176239"/>
      <w:r>
        <w:t>Schedule 6: Glossary and interpretations</w:t>
      </w:r>
      <w:bookmarkEnd w:id="9"/>
    </w:p>
    <w:p w14:paraId="5EC9F7DA" w14:textId="77777777" w:rsidR="00D44F98" w:rsidRDefault="00EB70E0">
      <w:r>
        <w:t>In this Call-Off Contract the following expressions mean:</w:t>
      </w:r>
    </w:p>
    <w:p w14:paraId="053656D1" w14:textId="77777777" w:rsidR="00D44F98" w:rsidRDefault="00D44F98"/>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D44F98" w14:paraId="704DC16A"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AD43A1" w14:textId="77777777" w:rsidR="00D44F98" w:rsidRDefault="00EB70E0">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837B3" w14:textId="77777777" w:rsidR="00D44F98" w:rsidRDefault="00EB70E0">
            <w:pPr>
              <w:spacing w:before="240"/>
              <w:rPr>
                <w:sz w:val="20"/>
                <w:szCs w:val="20"/>
              </w:rPr>
            </w:pPr>
            <w:r>
              <w:rPr>
                <w:sz w:val="20"/>
                <w:szCs w:val="20"/>
              </w:rPr>
              <w:t>Meaning</w:t>
            </w:r>
          </w:p>
        </w:tc>
      </w:tr>
      <w:tr w:rsidR="00D44F98" w14:paraId="5B7AA80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01F538" w14:textId="77777777" w:rsidR="00D44F98" w:rsidRDefault="00EB70E0">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294CF8" w14:textId="77777777" w:rsidR="00D44F98" w:rsidRDefault="00EB70E0">
            <w:pPr>
              <w:spacing w:before="240"/>
              <w:rPr>
                <w:sz w:val="20"/>
                <w:szCs w:val="20"/>
              </w:rPr>
            </w:pPr>
            <w:r>
              <w:rPr>
                <w:sz w:val="20"/>
                <w:szCs w:val="20"/>
              </w:rPr>
              <w:t>Any services ancillary to the G-Cloud Services that are in the scope of Framework Agreement Section 2 (Services Offered) which a Buyer may request.</w:t>
            </w:r>
          </w:p>
        </w:tc>
      </w:tr>
      <w:tr w:rsidR="00D44F98" w14:paraId="56B3E92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CD788" w14:textId="77777777" w:rsidR="00D44F98" w:rsidRDefault="00EB70E0">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353EB8" w14:textId="77777777" w:rsidR="00D44F98" w:rsidRDefault="00EB70E0">
            <w:pPr>
              <w:spacing w:before="240"/>
              <w:rPr>
                <w:sz w:val="20"/>
                <w:szCs w:val="20"/>
              </w:rPr>
            </w:pPr>
            <w:r>
              <w:rPr>
                <w:sz w:val="20"/>
                <w:szCs w:val="20"/>
              </w:rPr>
              <w:t>The agreement to be entered into to enable the Supplier to participate in the relevant Civil Service pension scheme(s).</w:t>
            </w:r>
          </w:p>
        </w:tc>
      </w:tr>
      <w:tr w:rsidR="00D44F98" w14:paraId="34AAE74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4E5AB" w14:textId="77777777" w:rsidR="00D44F98" w:rsidRDefault="00EB70E0">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EBC32A" w14:textId="77777777" w:rsidR="00D44F98" w:rsidRDefault="00EB70E0">
            <w:pPr>
              <w:spacing w:before="240"/>
              <w:rPr>
                <w:sz w:val="20"/>
                <w:szCs w:val="20"/>
              </w:rPr>
            </w:pPr>
            <w:r>
              <w:rPr>
                <w:sz w:val="20"/>
                <w:szCs w:val="20"/>
              </w:rPr>
              <w:t>The response submitted by the Supplier to the Invitation to Tender (known as the Invitation to Apply on the Digital Marketplace).</w:t>
            </w:r>
          </w:p>
        </w:tc>
      </w:tr>
      <w:tr w:rsidR="00D44F98" w14:paraId="523397B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7700B6" w14:textId="77777777" w:rsidR="00D44F98" w:rsidRDefault="00EB70E0">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62F3E6" w14:textId="77777777" w:rsidR="00D44F98" w:rsidRDefault="00EB70E0">
            <w:pPr>
              <w:spacing w:before="240"/>
              <w:rPr>
                <w:sz w:val="20"/>
                <w:szCs w:val="20"/>
              </w:rPr>
            </w:pPr>
            <w:r>
              <w:rPr>
                <w:sz w:val="20"/>
                <w:szCs w:val="20"/>
              </w:rPr>
              <w:t>An audit carried out under the incorporated Framework Agreement clauses specified by the Buyer in the Order (if any).</w:t>
            </w:r>
          </w:p>
        </w:tc>
      </w:tr>
      <w:tr w:rsidR="00D44F98" w14:paraId="7372F888"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504D88" w14:textId="77777777" w:rsidR="00D44F98" w:rsidRDefault="00EB70E0">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BB0C29" w14:textId="77777777" w:rsidR="00D44F98" w:rsidRDefault="00EB70E0">
            <w:pPr>
              <w:spacing w:before="240"/>
              <w:rPr>
                <w:sz w:val="20"/>
                <w:szCs w:val="20"/>
              </w:rPr>
            </w:pPr>
            <w:r>
              <w:rPr>
                <w:sz w:val="20"/>
                <w:szCs w:val="20"/>
              </w:rPr>
              <w:t>For each Party, IPRs:</w:t>
            </w:r>
          </w:p>
          <w:p w14:paraId="79CE4BBF" w14:textId="77777777" w:rsidR="00D44F98" w:rsidRDefault="00EB70E0">
            <w:pPr>
              <w:pStyle w:val="ListParagraph"/>
              <w:numPr>
                <w:ilvl w:val="0"/>
                <w:numId w:val="9"/>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7A3CC9D5" w14:textId="77777777" w:rsidR="00D44F98" w:rsidRDefault="00EB70E0">
            <w:pPr>
              <w:pStyle w:val="ListParagraph"/>
              <w:numPr>
                <w:ilvl w:val="0"/>
                <w:numId w:val="9"/>
              </w:numPr>
              <w:rPr>
                <w:sz w:val="20"/>
                <w:szCs w:val="20"/>
              </w:rPr>
            </w:pPr>
            <w:r>
              <w:rPr>
                <w:sz w:val="20"/>
                <w:szCs w:val="20"/>
              </w:rPr>
              <w:t>created by the Party independently of this Call-Off Contract, or</w:t>
            </w:r>
          </w:p>
          <w:p w14:paraId="0917DC81" w14:textId="77777777" w:rsidR="00D44F98" w:rsidRDefault="00EB70E0">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D44F98" w14:paraId="16BC446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B5780A" w14:textId="77777777" w:rsidR="00D44F98" w:rsidRDefault="00EB70E0">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CACA35" w14:textId="77777777" w:rsidR="00D44F98" w:rsidRDefault="00EB70E0">
            <w:pPr>
              <w:spacing w:before="240"/>
              <w:rPr>
                <w:sz w:val="20"/>
                <w:szCs w:val="20"/>
              </w:rPr>
            </w:pPr>
            <w:r>
              <w:rPr>
                <w:sz w:val="20"/>
                <w:szCs w:val="20"/>
              </w:rPr>
              <w:t>The contracting authority ordering services as set out in the Order Form.</w:t>
            </w:r>
          </w:p>
        </w:tc>
      </w:tr>
      <w:tr w:rsidR="00D44F98" w14:paraId="741F1FE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98BB52" w14:textId="77777777" w:rsidR="00D44F98" w:rsidRDefault="00EB70E0">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571075" w14:textId="77777777" w:rsidR="00D44F98" w:rsidRDefault="00EB70E0">
            <w:pPr>
              <w:spacing w:before="240"/>
              <w:rPr>
                <w:sz w:val="20"/>
                <w:szCs w:val="20"/>
              </w:rPr>
            </w:pPr>
            <w:r>
              <w:rPr>
                <w:sz w:val="20"/>
                <w:szCs w:val="20"/>
              </w:rPr>
              <w:t>All data supplied by the Buyer to the Supplier including Personal Data and Service Data that is owned and managed by the Buyer.</w:t>
            </w:r>
          </w:p>
        </w:tc>
      </w:tr>
      <w:tr w:rsidR="00D44F98" w14:paraId="6D50E57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180B74" w14:textId="77777777" w:rsidR="00D44F98" w:rsidRDefault="00EB70E0">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7C4ADD" w14:textId="77777777" w:rsidR="00D44F98" w:rsidRDefault="00EB70E0">
            <w:pPr>
              <w:spacing w:before="240"/>
              <w:rPr>
                <w:sz w:val="20"/>
                <w:szCs w:val="20"/>
              </w:rPr>
            </w:pPr>
            <w:r>
              <w:rPr>
                <w:sz w:val="20"/>
                <w:szCs w:val="20"/>
              </w:rPr>
              <w:t>The Personal Data supplied by the Buyer to the Supplier for purposes of, or in connection with, this Call-Off Contract.</w:t>
            </w:r>
          </w:p>
        </w:tc>
      </w:tr>
      <w:tr w:rsidR="00D44F98" w14:paraId="5D90ACB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7EDBC5" w14:textId="77777777" w:rsidR="00D44F98" w:rsidRDefault="00EB70E0">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C1E590" w14:textId="77777777" w:rsidR="00D44F98" w:rsidRDefault="00EB70E0">
            <w:pPr>
              <w:spacing w:before="240"/>
              <w:rPr>
                <w:sz w:val="20"/>
                <w:szCs w:val="20"/>
              </w:rPr>
            </w:pPr>
            <w:r>
              <w:rPr>
                <w:sz w:val="20"/>
                <w:szCs w:val="20"/>
              </w:rPr>
              <w:t>The representative appointed by the Buyer under this Call-Off Contract.</w:t>
            </w:r>
          </w:p>
        </w:tc>
      </w:tr>
      <w:tr w:rsidR="00D44F98" w14:paraId="7C70840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3EB56F" w14:textId="77777777" w:rsidR="00D44F98" w:rsidRDefault="00EB70E0">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C32BB5" w14:textId="77777777" w:rsidR="00D44F98" w:rsidRDefault="00EB70E0">
            <w:pPr>
              <w:spacing w:before="240"/>
              <w:rPr>
                <w:sz w:val="20"/>
                <w:szCs w:val="20"/>
              </w:rPr>
            </w:pPr>
            <w:r>
              <w:rPr>
                <w:sz w:val="20"/>
                <w:szCs w:val="20"/>
              </w:rPr>
              <w:t>Software owned by or licensed to the Buyer (other than under this Agreement), which is or will be used by the Supplier to provide the Services.</w:t>
            </w:r>
          </w:p>
        </w:tc>
      </w:tr>
      <w:tr w:rsidR="00D44F98" w14:paraId="19311F0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873454" w14:textId="77777777" w:rsidR="00D44F98" w:rsidRDefault="00EB70E0">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EF3E2C" w14:textId="77777777" w:rsidR="00D44F98" w:rsidRDefault="00EB70E0">
            <w:pPr>
              <w:spacing w:before="240"/>
              <w:rPr>
                <w:sz w:val="20"/>
                <w:szCs w:val="20"/>
              </w:rPr>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 Framework Agreement for the provision of Services made between the Buyer and the Supplier comprising the Order Form, the Call-Off terms and conditions, the Call-Off schedules and the Collaboration Agreement.</w:t>
            </w:r>
          </w:p>
        </w:tc>
      </w:tr>
      <w:tr w:rsidR="00D44F98" w14:paraId="561C988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7F87D7" w14:textId="77777777" w:rsidR="00D44F98" w:rsidRDefault="00EB70E0">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8AFD1A" w14:textId="77777777" w:rsidR="00D44F98" w:rsidRDefault="00EB70E0">
            <w:pPr>
              <w:spacing w:before="240"/>
              <w:rPr>
                <w:sz w:val="20"/>
                <w:szCs w:val="20"/>
              </w:rPr>
            </w:pPr>
            <w:r>
              <w:rPr>
                <w:sz w:val="20"/>
                <w:szCs w:val="20"/>
              </w:rPr>
              <w:t>The prices (excluding any applicable VAT), payable to the Supplier by the Buyer under this Call-Off Contract.</w:t>
            </w:r>
          </w:p>
        </w:tc>
      </w:tr>
      <w:tr w:rsidR="00D44F98" w14:paraId="53C6C27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15255A" w14:textId="77777777" w:rsidR="00D44F98" w:rsidRDefault="00EB70E0">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46B627" w14:textId="77777777" w:rsidR="00D44F98" w:rsidRDefault="00EB70E0">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D44F98" w14:paraId="004226F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1E65CF" w14:textId="77777777" w:rsidR="00D44F98" w:rsidRDefault="00EB70E0">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347A3C" w14:textId="77777777" w:rsidR="00D44F98" w:rsidRDefault="00EB70E0">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D44F98" w14:paraId="52BAD56F"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DCA88C" w14:textId="77777777" w:rsidR="00D44F98" w:rsidRDefault="00EB70E0">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3AB0CB" w14:textId="77777777" w:rsidR="00D44F98" w:rsidRDefault="00EB70E0">
            <w:pPr>
              <w:spacing w:before="240"/>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069D2ADC" w14:textId="77777777" w:rsidR="00D44F98" w:rsidRDefault="00EB70E0">
            <w:pPr>
              <w:pStyle w:val="ListParagraph"/>
              <w:numPr>
                <w:ilvl w:val="0"/>
                <w:numId w:val="10"/>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5681F5AD" w14:textId="77777777" w:rsidR="00D44F98" w:rsidRDefault="00EB70E0">
            <w:pPr>
              <w:pStyle w:val="ListParagraph"/>
              <w:numPr>
                <w:ilvl w:val="0"/>
                <w:numId w:val="10"/>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D44F98" w14:paraId="2119ADB3"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AF4EA" w14:textId="77777777" w:rsidR="00D44F98" w:rsidRDefault="00EB70E0">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B29CEF" w14:textId="77777777" w:rsidR="00D44F98" w:rsidRDefault="00EB70E0">
            <w:pPr>
              <w:spacing w:before="240"/>
              <w:rPr>
                <w:sz w:val="20"/>
                <w:szCs w:val="20"/>
              </w:rPr>
            </w:pPr>
            <w:r>
              <w:rPr>
                <w:sz w:val="20"/>
                <w:szCs w:val="20"/>
              </w:rPr>
              <w:t>‘Control’ as defined in section 1124 and 450 of the Corporation Tax</w:t>
            </w:r>
          </w:p>
          <w:p w14:paraId="0A3B5432" w14:textId="77777777" w:rsidR="00D44F98" w:rsidRDefault="00EB70E0">
            <w:pPr>
              <w:spacing w:before="240"/>
              <w:rPr>
                <w:sz w:val="20"/>
                <w:szCs w:val="20"/>
              </w:rPr>
            </w:pPr>
            <w:r>
              <w:rPr>
                <w:sz w:val="20"/>
                <w:szCs w:val="20"/>
              </w:rPr>
              <w:t>Act 2010. 'Controls' and 'Controlled' will be interpreted accordingly.</w:t>
            </w:r>
          </w:p>
        </w:tc>
      </w:tr>
      <w:tr w:rsidR="00D44F98" w14:paraId="1A28B26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2973F5" w14:textId="77777777" w:rsidR="00D44F98" w:rsidRDefault="00EB70E0">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52663A" w14:textId="77777777" w:rsidR="00D44F98" w:rsidRDefault="00EB70E0">
            <w:pPr>
              <w:spacing w:before="240"/>
              <w:rPr>
                <w:sz w:val="20"/>
                <w:szCs w:val="20"/>
              </w:rPr>
            </w:pPr>
            <w:r>
              <w:rPr>
                <w:sz w:val="20"/>
                <w:szCs w:val="20"/>
              </w:rPr>
              <w:t>Takes the meaning given in the GDPR.</w:t>
            </w:r>
          </w:p>
        </w:tc>
      </w:tr>
      <w:tr w:rsidR="00D44F98" w14:paraId="083CED62"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504859" w14:textId="77777777" w:rsidR="00D44F98" w:rsidRDefault="00EB70E0">
            <w:pPr>
              <w:spacing w:before="240"/>
              <w:rPr>
                <w:b/>
                <w:sz w:val="20"/>
                <w:szCs w:val="20"/>
              </w:rPr>
            </w:pPr>
            <w:r>
              <w:rPr>
                <w:b/>
                <w:sz w:val="20"/>
                <w:szCs w:val="20"/>
              </w:rPr>
              <w:t>Crown</w:t>
            </w:r>
          </w:p>
          <w:p w14:paraId="70F443A3" w14:textId="77777777" w:rsidR="00D44F98" w:rsidRDefault="00EB70E0">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D3C517" w14:textId="77777777" w:rsidR="00D44F98" w:rsidRDefault="00EB70E0">
            <w:pPr>
              <w:spacing w:before="240"/>
              <w:rPr>
                <w:sz w:val="20"/>
                <w:szCs w:val="20"/>
              </w:rPr>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p>
        </w:tc>
      </w:tr>
      <w:tr w:rsidR="00D44F98" w14:paraId="7CC6495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6B7CE7" w14:textId="77777777" w:rsidR="00D44F98" w:rsidRDefault="00EB70E0">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A37B84" w14:textId="77777777" w:rsidR="00D44F98" w:rsidRDefault="00EB70E0">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D44F98" w14:paraId="09FC435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F9BA38" w14:textId="77777777" w:rsidR="00D44F98" w:rsidRDefault="00EB70E0">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69E829" w14:textId="77777777" w:rsidR="00D44F98" w:rsidRDefault="00EB70E0">
            <w:pPr>
              <w:spacing w:before="240"/>
              <w:rPr>
                <w:sz w:val="20"/>
                <w:szCs w:val="20"/>
              </w:rPr>
            </w:pPr>
            <w:r>
              <w:rPr>
                <w:sz w:val="20"/>
                <w:szCs w:val="20"/>
              </w:rPr>
              <w:t>An assessment by the Controller of the impact of the envisaged Processing on the protection of Personal Data.</w:t>
            </w:r>
          </w:p>
        </w:tc>
      </w:tr>
      <w:tr w:rsidR="00D44F98" w14:paraId="7A3B53B1"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B111CA" w14:textId="77777777" w:rsidR="00D44F98" w:rsidRDefault="00EB70E0">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044566" w14:textId="77777777" w:rsidR="00D44F98" w:rsidRDefault="00EB70E0">
            <w:pPr>
              <w:spacing w:before="240"/>
              <w:rPr>
                <w:sz w:val="20"/>
                <w:szCs w:val="20"/>
              </w:rPr>
            </w:pPr>
            <w:r>
              <w:rPr>
                <w:sz w:val="20"/>
                <w:szCs w:val="20"/>
              </w:rPr>
              <w:t>Data Protection Legislation means:</w:t>
            </w:r>
          </w:p>
          <w:p w14:paraId="27E76426" w14:textId="77777777" w:rsidR="00D44F98" w:rsidRDefault="00EB70E0">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72F9D6A6" w14:textId="77777777" w:rsidR="00D44F98" w:rsidRDefault="00EB70E0">
            <w:pPr>
              <w:ind w:left="720" w:hanging="720"/>
              <w:rPr>
                <w:sz w:val="20"/>
                <w:szCs w:val="20"/>
              </w:rPr>
            </w:pPr>
            <w:r>
              <w:rPr>
                <w:sz w:val="20"/>
                <w:szCs w:val="20"/>
              </w:rPr>
              <w:t>(ii) the DPA 2018 to the extent that it relates to Processing of Personal Data and privacy</w:t>
            </w:r>
          </w:p>
          <w:p w14:paraId="75AC9E21" w14:textId="77777777" w:rsidR="00D44F98" w:rsidRDefault="00EB70E0">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D44F98" w14:paraId="3B05BA2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06A94E" w14:textId="77777777" w:rsidR="00D44F98" w:rsidRDefault="00EB70E0">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9A06DB" w14:textId="77777777" w:rsidR="00D44F98" w:rsidRDefault="00EB70E0">
            <w:pPr>
              <w:spacing w:before="240"/>
              <w:rPr>
                <w:sz w:val="20"/>
                <w:szCs w:val="20"/>
              </w:rPr>
            </w:pPr>
            <w:r>
              <w:rPr>
                <w:sz w:val="20"/>
                <w:szCs w:val="20"/>
              </w:rPr>
              <w:t>Takes the meaning given in the GDPR</w:t>
            </w:r>
          </w:p>
        </w:tc>
      </w:tr>
      <w:tr w:rsidR="00D44F98" w14:paraId="6D3922CC"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C345A7" w14:textId="77777777" w:rsidR="00D44F98" w:rsidRDefault="00EB70E0">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540F8E" w14:textId="77777777" w:rsidR="00D44F98" w:rsidRDefault="00EB70E0">
            <w:pPr>
              <w:spacing w:before="240"/>
              <w:rPr>
                <w:sz w:val="20"/>
                <w:szCs w:val="20"/>
              </w:rPr>
            </w:pPr>
            <w:r>
              <w:rPr>
                <w:sz w:val="20"/>
                <w:szCs w:val="20"/>
              </w:rPr>
              <w:t>Default is any:</w:t>
            </w:r>
          </w:p>
          <w:p w14:paraId="26E5860A" w14:textId="77777777" w:rsidR="00D44F98" w:rsidRDefault="00EB70E0">
            <w:pPr>
              <w:pStyle w:val="ListParagraph"/>
              <w:numPr>
                <w:ilvl w:val="0"/>
                <w:numId w:val="11"/>
              </w:numPr>
              <w:rPr>
                <w:sz w:val="20"/>
                <w:szCs w:val="20"/>
              </w:rPr>
            </w:pPr>
            <w:r>
              <w:rPr>
                <w:sz w:val="20"/>
                <w:szCs w:val="20"/>
              </w:rPr>
              <w:t>breach of the obligations of the Supplier (including any fundamental breach or breach of a fundamental term)</w:t>
            </w:r>
          </w:p>
          <w:p w14:paraId="4E540419" w14:textId="77777777" w:rsidR="00D44F98" w:rsidRDefault="00EB70E0">
            <w:pPr>
              <w:pStyle w:val="ListParagraph"/>
              <w:numPr>
                <w:ilvl w:val="0"/>
                <w:numId w:val="11"/>
              </w:numPr>
              <w:rPr>
                <w:sz w:val="20"/>
                <w:szCs w:val="20"/>
              </w:rPr>
            </w:pPr>
            <w:r>
              <w:rPr>
                <w:sz w:val="20"/>
                <w:szCs w:val="20"/>
              </w:rPr>
              <w:t xml:space="preserve">other Default, </w:t>
            </w:r>
            <w:proofErr w:type="gramStart"/>
            <w:r>
              <w:rPr>
                <w:sz w:val="20"/>
                <w:szCs w:val="20"/>
              </w:rPr>
              <w:t>negligence</w:t>
            </w:r>
            <w:proofErr w:type="gramEnd"/>
            <w:r>
              <w:rPr>
                <w:sz w:val="20"/>
                <w:szCs w:val="20"/>
              </w:rPr>
              <w:t xml:space="preserve"> or negligent statement of the Supplier, of its Subcontractors or any Supplier Staff (whether by act or omission), in connection with or in relation to this Call-Off Contract</w:t>
            </w:r>
          </w:p>
          <w:p w14:paraId="082E2474" w14:textId="77777777" w:rsidR="00D44F98" w:rsidRDefault="00EB70E0">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D44F98" w14:paraId="29EAD91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F8CFD7" w14:textId="77777777" w:rsidR="00D44F98" w:rsidRDefault="00EB70E0">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4A3BF4" w14:textId="77777777" w:rsidR="00D44F98" w:rsidRDefault="00EB70E0">
            <w:pPr>
              <w:spacing w:before="240"/>
              <w:rPr>
                <w:sz w:val="20"/>
                <w:szCs w:val="20"/>
              </w:rPr>
            </w:pPr>
            <w:r>
              <w:rPr>
                <w:sz w:val="20"/>
                <w:szCs w:val="20"/>
              </w:rPr>
              <w:t>The G-Cloud Services the Buyer contracts the Supplier to provide under this Call-Off Contract.</w:t>
            </w:r>
          </w:p>
        </w:tc>
      </w:tr>
      <w:tr w:rsidR="00D44F98" w14:paraId="158F01F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7B601" w14:textId="77777777" w:rsidR="00D44F98" w:rsidRDefault="00EB70E0">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2E0BFF" w14:textId="77777777" w:rsidR="00D44F98" w:rsidRDefault="00EB70E0">
            <w:pPr>
              <w:spacing w:before="240"/>
            </w:pPr>
            <w:r>
              <w:rPr>
                <w:sz w:val="20"/>
                <w:szCs w:val="20"/>
              </w:rPr>
              <w:t>The government marketplace where Services are available for Buyers to buy. (</w:t>
            </w:r>
            <w:hyperlink r:id="rId30" w:history="1">
              <w:r>
                <w:rPr>
                  <w:sz w:val="20"/>
                  <w:szCs w:val="20"/>
                  <w:u w:val="single"/>
                </w:rPr>
                <w:t>https://www.digitalmarketplace.service.gov.uk</w:t>
              </w:r>
            </w:hyperlink>
            <w:r>
              <w:rPr>
                <w:sz w:val="20"/>
                <w:szCs w:val="20"/>
              </w:rPr>
              <w:t>/)</w:t>
            </w:r>
          </w:p>
        </w:tc>
      </w:tr>
      <w:tr w:rsidR="00D44F98" w14:paraId="2DF5747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4C2446" w14:textId="77777777" w:rsidR="00D44F98" w:rsidRDefault="00EB70E0">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185158" w14:textId="77777777" w:rsidR="00D44F98" w:rsidRDefault="00EB70E0">
            <w:pPr>
              <w:spacing w:before="240"/>
              <w:rPr>
                <w:sz w:val="20"/>
                <w:szCs w:val="20"/>
              </w:rPr>
            </w:pPr>
            <w:r>
              <w:rPr>
                <w:sz w:val="20"/>
                <w:szCs w:val="20"/>
              </w:rPr>
              <w:t>Data Protection Act 2018.</w:t>
            </w:r>
          </w:p>
        </w:tc>
      </w:tr>
      <w:tr w:rsidR="00D44F98" w14:paraId="3B298F5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8298E1" w14:textId="77777777" w:rsidR="00D44F98" w:rsidRDefault="00EB70E0">
            <w:pPr>
              <w:spacing w:before="240"/>
              <w:rPr>
                <w:b/>
                <w:sz w:val="20"/>
                <w:szCs w:val="20"/>
              </w:rPr>
            </w:pPr>
            <w:r>
              <w:rPr>
                <w:b/>
                <w:sz w:val="20"/>
                <w:szCs w:val="20"/>
              </w:rPr>
              <w:t>DPS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2FD5CA" w14:textId="77777777" w:rsidR="00D44F98" w:rsidRDefault="00EB70E0">
            <w:pPr>
              <w:spacing w:before="240"/>
              <w:rPr>
                <w:sz w:val="20"/>
                <w:szCs w:val="20"/>
              </w:rPr>
            </w:pPr>
            <w:r>
              <w:rPr>
                <w:sz w:val="20"/>
                <w:szCs w:val="20"/>
              </w:rPr>
              <w:t>Dynamic Purchasing System</w:t>
            </w:r>
          </w:p>
        </w:tc>
      </w:tr>
      <w:tr w:rsidR="00D44F98" w14:paraId="4DA1F79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6D8254" w14:textId="77777777" w:rsidR="00D44F98" w:rsidRDefault="00EB70E0">
            <w:pPr>
              <w:spacing w:before="240"/>
              <w:rPr>
                <w:b/>
                <w:sz w:val="20"/>
                <w:szCs w:val="20"/>
              </w:rPr>
            </w:pPr>
            <w:r>
              <w:rPr>
                <w:b/>
                <w:sz w:val="20"/>
                <w:szCs w:val="20"/>
              </w:rPr>
              <w:t>DQS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2DBC6A" w14:textId="77777777" w:rsidR="00D44F98" w:rsidRDefault="00EB70E0">
            <w:pPr>
              <w:spacing w:before="240"/>
              <w:rPr>
                <w:sz w:val="20"/>
                <w:szCs w:val="20"/>
              </w:rPr>
            </w:pPr>
            <w:r>
              <w:rPr>
                <w:sz w:val="20"/>
                <w:szCs w:val="20"/>
              </w:rPr>
              <w:t>Data Quality Services</w:t>
            </w:r>
          </w:p>
        </w:tc>
      </w:tr>
      <w:tr w:rsidR="00D44F98" w14:paraId="1B71BFE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A32CF9" w14:textId="77777777" w:rsidR="00D44F98" w:rsidRDefault="00EB70E0">
            <w:pPr>
              <w:spacing w:before="240"/>
              <w:rPr>
                <w:b/>
                <w:sz w:val="20"/>
                <w:szCs w:val="20"/>
              </w:rPr>
            </w:pPr>
            <w:r>
              <w:rPr>
                <w:b/>
                <w:sz w:val="20"/>
                <w:szCs w:val="20"/>
              </w:rPr>
              <w:lastRenderedPageBreak/>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01283E" w14:textId="77777777" w:rsidR="00D44F98" w:rsidRDefault="00EB70E0">
            <w:pPr>
              <w:spacing w:before="240"/>
              <w:rPr>
                <w:sz w:val="20"/>
                <w:szCs w:val="20"/>
              </w:rPr>
            </w:pPr>
            <w:r>
              <w:rPr>
                <w:sz w:val="20"/>
                <w:szCs w:val="20"/>
              </w:rPr>
              <w:t>The Transfer of Undertakings (Protection of Employment) Regulations 2006 (SI 2006/246) (‘TUPE’) which implements the Acquired Rights Directive.</w:t>
            </w:r>
          </w:p>
        </w:tc>
      </w:tr>
      <w:tr w:rsidR="00D44F98" w14:paraId="7783067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DC7BB3" w14:textId="77777777" w:rsidR="00D44F98" w:rsidRDefault="00EB70E0">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82805C" w14:textId="77777777" w:rsidR="00D44F98" w:rsidRDefault="00EB70E0">
            <w:pPr>
              <w:spacing w:before="240"/>
              <w:rPr>
                <w:sz w:val="20"/>
                <w:szCs w:val="20"/>
              </w:rPr>
            </w:pPr>
            <w:r>
              <w:rPr>
                <w:sz w:val="20"/>
                <w:szCs w:val="20"/>
              </w:rPr>
              <w:t>Means to terminate; and Ended and Ending are construed accordingly.</w:t>
            </w:r>
          </w:p>
        </w:tc>
      </w:tr>
      <w:tr w:rsidR="00D44F98" w14:paraId="610FB5D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9CC4AB" w14:textId="77777777" w:rsidR="00D44F98" w:rsidRDefault="00EB70E0">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31DD9E" w14:textId="77777777" w:rsidR="00D44F98" w:rsidRDefault="00EB70E0">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D44F98" w14:paraId="0B84AD6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C0B35B" w14:textId="77777777" w:rsidR="00D44F98" w:rsidRDefault="00EB70E0">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AD7C42" w14:textId="77777777" w:rsidR="00D44F98" w:rsidRDefault="00EB70E0">
            <w:pPr>
              <w:spacing w:before="240"/>
              <w:rPr>
                <w:sz w:val="20"/>
                <w:szCs w:val="20"/>
              </w:rPr>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p>
        </w:tc>
      </w:tr>
      <w:tr w:rsidR="00D44F98" w14:paraId="0EB8B7F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FDB99C" w14:textId="77777777" w:rsidR="00D44F98" w:rsidRDefault="00EB70E0">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C68A69" w14:textId="77777777" w:rsidR="00D44F98" w:rsidRDefault="00EB70E0">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D44F98" w14:paraId="14A8E76F"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771038" w14:textId="77777777" w:rsidR="00D44F98" w:rsidRDefault="00EB70E0">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B60DBB" w14:textId="77777777" w:rsidR="00D44F98" w:rsidRDefault="00EB70E0">
            <w:pPr>
              <w:spacing w:before="240"/>
              <w:rPr>
                <w:sz w:val="20"/>
                <w:szCs w:val="20"/>
              </w:rPr>
            </w:pPr>
            <w:r>
              <w:rPr>
                <w:sz w:val="20"/>
                <w:szCs w:val="20"/>
              </w:rPr>
              <w:t>The HMRC Employment Status Indicator test tool. The most up-to-date version must be used. At the time of drafting the tool may be found here:</w:t>
            </w:r>
          </w:p>
          <w:p w14:paraId="6439B385" w14:textId="77777777" w:rsidR="00D44F98" w:rsidRDefault="00A3102B">
            <w:hyperlink r:id="rId31" w:history="1">
              <w:r w:rsidR="00EB70E0">
                <w:rPr>
                  <w:rStyle w:val="Hyperlink"/>
                </w:rPr>
                <w:t>https://www.gov.uk/guidance/check-employment-status-for-tax</w:t>
              </w:r>
            </w:hyperlink>
          </w:p>
        </w:tc>
      </w:tr>
      <w:tr w:rsidR="00D44F98" w14:paraId="69DE091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C3594E" w14:textId="77777777" w:rsidR="00D44F98" w:rsidRDefault="00EB70E0">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45BFDC" w14:textId="77777777" w:rsidR="00D44F98" w:rsidRDefault="00EB70E0">
            <w:pPr>
              <w:spacing w:before="240"/>
              <w:rPr>
                <w:sz w:val="20"/>
                <w:szCs w:val="20"/>
              </w:rPr>
            </w:pPr>
            <w:r>
              <w:rPr>
                <w:sz w:val="20"/>
                <w:szCs w:val="20"/>
              </w:rPr>
              <w:t>The expiry date of this Call-Off Contract in the Order Form.</w:t>
            </w:r>
          </w:p>
        </w:tc>
      </w:tr>
      <w:tr w:rsidR="00D44F98" w14:paraId="1C2F32FA"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0F19EA" w14:textId="77777777" w:rsidR="00D44F98" w:rsidRDefault="00EB70E0">
            <w:pPr>
              <w:spacing w:before="240"/>
              <w:rPr>
                <w:b/>
                <w:sz w:val="20"/>
                <w:szCs w:val="20"/>
              </w:rPr>
            </w:pPr>
            <w:r>
              <w:rPr>
                <w:b/>
                <w:sz w:val="20"/>
                <w:szCs w:val="20"/>
              </w:rPr>
              <w:lastRenderedPageBreak/>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61CABA" w14:textId="77777777" w:rsidR="00D44F98" w:rsidRDefault="00EB70E0">
            <w:pPr>
              <w:spacing w:before="240"/>
              <w:rPr>
                <w:sz w:val="20"/>
                <w:szCs w:val="20"/>
              </w:rPr>
            </w:pPr>
            <w:r>
              <w:rPr>
                <w:sz w:val="20"/>
                <w:szCs w:val="20"/>
              </w:rPr>
              <w:t>A force Majeure event means anything affecting either Party's performance of their obligations arising from any:</w:t>
            </w:r>
          </w:p>
          <w:p w14:paraId="1EAAF533" w14:textId="77777777" w:rsidR="00D44F98" w:rsidRDefault="00EB70E0">
            <w:pPr>
              <w:pStyle w:val="ListParagraph"/>
              <w:numPr>
                <w:ilvl w:val="0"/>
                <w:numId w:val="12"/>
              </w:numPr>
              <w:rPr>
                <w:sz w:val="20"/>
                <w:szCs w:val="20"/>
              </w:rPr>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p>
          <w:p w14:paraId="1F8D5EC6" w14:textId="77777777" w:rsidR="00D44F98" w:rsidRDefault="00EB70E0">
            <w:pPr>
              <w:pStyle w:val="ListParagraph"/>
              <w:numPr>
                <w:ilvl w:val="0"/>
                <w:numId w:val="13"/>
              </w:numPr>
              <w:rPr>
                <w:sz w:val="20"/>
                <w:szCs w:val="20"/>
              </w:rPr>
            </w:pPr>
            <w:r>
              <w:rPr>
                <w:sz w:val="20"/>
                <w:szCs w:val="20"/>
              </w:rPr>
              <w:t xml:space="preserve">riots, </w:t>
            </w:r>
            <w:proofErr w:type="gramStart"/>
            <w:r>
              <w:rPr>
                <w:sz w:val="20"/>
                <w:szCs w:val="20"/>
              </w:rPr>
              <w:t>war</w:t>
            </w:r>
            <w:proofErr w:type="gramEnd"/>
            <w:r>
              <w:rPr>
                <w:sz w:val="20"/>
                <w:szCs w:val="20"/>
              </w:rPr>
              <w:t xml:space="preserve"> or armed conflict, acts of terrorism, nuclear, biological or chemical warfare</w:t>
            </w:r>
          </w:p>
          <w:p w14:paraId="0D79A315" w14:textId="77777777" w:rsidR="00D44F98" w:rsidRDefault="00EB70E0">
            <w:pPr>
              <w:pStyle w:val="ListParagraph"/>
              <w:numPr>
                <w:ilvl w:val="0"/>
                <w:numId w:val="14"/>
              </w:numPr>
            </w:pPr>
            <w:r>
              <w:t xml:space="preserve">acts of government, local </w:t>
            </w:r>
            <w:proofErr w:type="gramStart"/>
            <w:r>
              <w:t>government</w:t>
            </w:r>
            <w:proofErr w:type="gramEnd"/>
            <w:r>
              <w:t xml:space="preserve"> or Regulatory </w:t>
            </w:r>
            <w:r>
              <w:rPr>
                <w:sz w:val="20"/>
                <w:szCs w:val="20"/>
              </w:rPr>
              <w:t>Bodies</w:t>
            </w:r>
          </w:p>
          <w:p w14:paraId="0E72053E" w14:textId="77777777" w:rsidR="00D44F98" w:rsidRDefault="00EB70E0">
            <w:pPr>
              <w:pStyle w:val="ListParagraph"/>
              <w:numPr>
                <w:ilvl w:val="0"/>
                <w:numId w:val="15"/>
              </w:numPr>
            </w:pPr>
            <w:r>
              <w:rPr>
                <w:sz w:val="14"/>
                <w:szCs w:val="14"/>
              </w:rPr>
              <w:t xml:space="preserve"> </w:t>
            </w:r>
            <w:r>
              <w:rPr>
                <w:sz w:val="20"/>
                <w:szCs w:val="20"/>
              </w:rPr>
              <w:t>fire, flood or disaster and any failure or shortage of power or fuel</w:t>
            </w:r>
          </w:p>
          <w:p w14:paraId="473FE03C" w14:textId="77777777" w:rsidR="00D44F98" w:rsidRDefault="00EB70E0">
            <w:pPr>
              <w:pStyle w:val="ListParagraph"/>
              <w:numPr>
                <w:ilvl w:val="0"/>
                <w:numId w:val="16"/>
              </w:numPr>
              <w:rPr>
                <w:sz w:val="20"/>
                <w:szCs w:val="20"/>
              </w:rPr>
            </w:pPr>
            <w:r>
              <w:rPr>
                <w:sz w:val="20"/>
                <w:szCs w:val="20"/>
              </w:rPr>
              <w:t>industrial dispute affecting a third party for which a substitute third party isn’t reasonably available</w:t>
            </w:r>
          </w:p>
          <w:p w14:paraId="788A26EC" w14:textId="77777777" w:rsidR="00D44F98" w:rsidRDefault="00EB70E0">
            <w:pPr>
              <w:spacing w:before="240"/>
              <w:rPr>
                <w:sz w:val="20"/>
                <w:szCs w:val="20"/>
              </w:rPr>
            </w:pPr>
            <w:r>
              <w:rPr>
                <w:sz w:val="20"/>
                <w:szCs w:val="20"/>
              </w:rPr>
              <w:t>The following do not constitute a Force Majeure event:</w:t>
            </w:r>
          </w:p>
          <w:p w14:paraId="670436B9" w14:textId="77777777" w:rsidR="00D44F98" w:rsidRDefault="00EB70E0">
            <w:pPr>
              <w:pStyle w:val="ListParagraph"/>
              <w:numPr>
                <w:ilvl w:val="0"/>
                <w:numId w:val="17"/>
              </w:numPr>
              <w:rPr>
                <w:sz w:val="20"/>
                <w:szCs w:val="20"/>
              </w:rPr>
            </w:pPr>
            <w:r>
              <w:rPr>
                <w:sz w:val="20"/>
                <w:szCs w:val="20"/>
              </w:rPr>
              <w:t>any industrial dispute about the Supplier, its staff, or failure in the Supplier’s (or a Subcontractor's) supply chain</w:t>
            </w:r>
          </w:p>
          <w:p w14:paraId="27B45550" w14:textId="77777777" w:rsidR="00D44F98" w:rsidRDefault="00EB70E0">
            <w:pPr>
              <w:pStyle w:val="ListParagraph"/>
              <w:numPr>
                <w:ilvl w:val="0"/>
                <w:numId w:val="17"/>
              </w:numPr>
              <w:rPr>
                <w:sz w:val="20"/>
                <w:szCs w:val="20"/>
              </w:rPr>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p>
          <w:p w14:paraId="4C39AC70" w14:textId="77777777" w:rsidR="00D44F98" w:rsidRDefault="00EB70E0">
            <w:pPr>
              <w:pStyle w:val="ListParagraph"/>
              <w:numPr>
                <w:ilvl w:val="0"/>
                <w:numId w:val="17"/>
              </w:numPr>
              <w:rPr>
                <w:sz w:val="20"/>
                <w:szCs w:val="20"/>
              </w:rPr>
            </w:pPr>
            <w:r>
              <w:rPr>
                <w:sz w:val="20"/>
                <w:szCs w:val="20"/>
              </w:rPr>
              <w:t>the event was foreseeable by the Party seeking to rely on Force Majeure at the time this Call-Off Contract was entered into</w:t>
            </w:r>
          </w:p>
          <w:p w14:paraId="5B991E60" w14:textId="77777777" w:rsidR="00D44F98" w:rsidRDefault="00EB70E0">
            <w:pPr>
              <w:pStyle w:val="ListParagraph"/>
              <w:numPr>
                <w:ilvl w:val="0"/>
                <w:numId w:val="17"/>
              </w:numPr>
              <w:rPr>
                <w:sz w:val="20"/>
                <w:szCs w:val="20"/>
              </w:rPr>
            </w:pPr>
            <w:r>
              <w:rPr>
                <w:sz w:val="20"/>
                <w:szCs w:val="20"/>
              </w:rPr>
              <w:t>any event which is attributable to the Party seeking to rely on Force Majeure and its failure to comply with its own business continuity and disaster recovery plans</w:t>
            </w:r>
          </w:p>
        </w:tc>
      </w:tr>
      <w:tr w:rsidR="00D44F98" w14:paraId="32BCDD2D"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C35C16" w14:textId="77777777" w:rsidR="00D44F98" w:rsidRDefault="00EB70E0">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B0ABD5" w14:textId="77777777" w:rsidR="00D44F98" w:rsidRDefault="00EB70E0">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p>
        </w:tc>
      </w:tr>
      <w:tr w:rsidR="00D44F98" w14:paraId="6A4BFDA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7DD62D" w14:textId="77777777" w:rsidR="00D44F98" w:rsidRDefault="00EB70E0">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8E3320" w14:textId="77777777" w:rsidR="00D44F98" w:rsidRDefault="00EB70E0">
            <w:pPr>
              <w:spacing w:before="240"/>
              <w:rPr>
                <w:sz w:val="20"/>
                <w:szCs w:val="20"/>
              </w:rPr>
            </w:pPr>
            <w:r>
              <w:rPr>
                <w:sz w:val="20"/>
                <w:szCs w:val="20"/>
              </w:rPr>
              <w:t>The clauses of framework agreement RM1557.12 together with the Framework Schedules.</w:t>
            </w:r>
          </w:p>
        </w:tc>
      </w:tr>
      <w:tr w:rsidR="00D44F98" w14:paraId="1AE40F6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4E13BD" w14:textId="77777777" w:rsidR="00D44F98" w:rsidRDefault="00EB70E0">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57D71B" w14:textId="77777777" w:rsidR="00D44F98" w:rsidRDefault="00EB70E0">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D44F98" w14:paraId="0C7E11C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3006E3" w14:textId="77777777" w:rsidR="00D44F98" w:rsidRDefault="00EB70E0">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8500D7" w14:textId="77777777" w:rsidR="00D44F98" w:rsidRDefault="00EB70E0">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D44F98" w14:paraId="2E8604EC"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7D82D8" w14:textId="77777777" w:rsidR="00D44F98" w:rsidRDefault="00EB70E0">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117A19" w14:textId="77777777" w:rsidR="00D44F98" w:rsidRDefault="00EB70E0">
            <w:pPr>
              <w:spacing w:before="240"/>
              <w:rPr>
                <w:sz w:val="20"/>
                <w:szCs w:val="20"/>
              </w:rPr>
            </w:pPr>
            <w:r>
              <w:rPr>
                <w:sz w:val="20"/>
                <w:szCs w:val="20"/>
              </w:rPr>
              <w:t xml:space="preserve">The cloud services described in Framework Agreement Section 2 (Services Offered)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w:t>
            </w:r>
            <w:r>
              <w:rPr>
                <w:sz w:val="20"/>
                <w:szCs w:val="20"/>
              </w:rPr>
              <w:lastRenderedPageBreak/>
              <w:t>services which are deliverable by the Supplier under the Collaboration Agreement.</w:t>
            </w:r>
          </w:p>
        </w:tc>
      </w:tr>
      <w:tr w:rsidR="00D44F98" w14:paraId="63D4BC5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77A4AE" w14:textId="77777777" w:rsidR="00D44F98" w:rsidRDefault="00EB70E0">
            <w:pPr>
              <w:spacing w:before="240"/>
              <w:rPr>
                <w:b/>
                <w:sz w:val="20"/>
                <w:szCs w:val="20"/>
              </w:rPr>
            </w:pPr>
            <w:r>
              <w:rPr>
                <w:b/>
                <w:sz w:val="20"/>
                <w:szCs w:val="20"/>
              </w:rPr>
              <w:lastRenderedPageBreak/>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F583FA" w14:textId="77777777" w:rsidR="00D44F98" w:rsidRDefault="00EB70E0">
            <w:pPr>
              <w:spacing w:before="240"/>
              <w:rPr>
                <w:sz w:val="20"/>
                <w:szCs w:val="20"/>
              </w:rPr>
            </w:pPr>
            <w:r>
              <w:rPr>
                <w:sz w:val="20"/>
                <w:szCs w:val="20"/>
              </w:rPr>
              <w:t>General Data Protection Regulation (Regulation (EU) 2016/679)</w:t>
            </w:r>
          </w:p>
        </w:tc>
      </w:tr>
      <w:tr w:rsidR="00D44F98" w14:paraId="084FB4C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4A9AD0" w14:textId="77777777" w:rsidR="00D44F98" w:rsidRDefault="00EB70E0">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2220C4" w14:textId="77777777" w:rsidR="00D44F98" w:rsidRDefault="00EB70E0">
            <w:pPr>
              <w:spacing w:before="240"/>
              <w:rPr>
                <w:sz w:val="20"/>
                <w:szCs w:val="20"/>
              </w:rPr>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D44F98" w14:paraId="0D166EC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70B42" w14:textId="77777777" w:rsidR="00D44F98" w:rsidRDefault="00EB70E0">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D7E26D" w14:textId="77777777" w:rsidR="00D44F98" w:rsidRDefault="00EB70E0">
            <w:pPr>
              <w:spacing w:before="240"/>
              <w:rPr>
                <w:sz w:val="20"/>
                <w:szCs w:val="20"/>
              </w:rPr>
            </w:pPr>
            <w:r>
              <w:rPr>
                <w:sz w:val="20"/>
                <w:szCs w:val="20"/>
              </w:rPr>
              <w:t xml:space="preserve">The government’s preferred method of purchasing and payment for low value goods or services. </w:t>
            </w:r>
          </w:p>
        </w:tc>
      </w:tr>
      <w:tr w:rsidR="00D44F98" w14:paraId="210699A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A39F08" w14:textId="77777777" w:rsidR="00D44F98" w:rsidRDefault="00EB70E0">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18C33C" w14:textId="77777777" w:rsidR="00D44F98" w:rsidRDefault="00EB70E0">
            <w:pPr>
              <w:spacing w:before="240"/>
              <w:rPr>
                <w:sz w:val="20"/>
                <w:szCs w:val="20"/>
              </w:rPr>
            </w:pPr>
            <w:r>
              <w:rPr>
                <w:sz w:val="20"/>
                <w:szCs w:val="20"/>
              </w:rPr>
              <w:t>The guarantee described in Schedule 5.</w:t>
            </w:r>
          </w:p>
        </w:tc>
      </w:tr>
      <w:tr w:rsidR="00D44F98" w14:paraId="2C9F440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41991A" w14:textId="77777777" w:rsidR="00D44F98" w:rsidRDefault="00EB70E0">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9B3079" w14:textId="77777777" w:rsidR="00D44F98" w:rsidRDefault="00EB70E0">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D44F98" w14:paraId="535B5B1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00E773" w14:textId="77777777" w:rsidR="00D44F98" w:rsidRDefault="00EB70E0">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BC281B" w14:textId="77777777" w:rsidR="00D44F98" w:rsidRDefault="00EB70E0">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D44F98" w14:paraId="5A845DA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C16B0C" w14:textId="77777777" w:rsidR="00D44F98" w:rsidRDefault="00EB70E0">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349D54" w14:textId="77777777" w:rsidR="00D44F98" w:rsidRDefault="00EB70E0">
            <w:pPr>
              <w:spacing w:before="240"/>
              <w:rPr>
                <w:sz w:val="20"/>
                <w:szCs w:val="20"/>
              </w:rPr>
            </w:pPr>
            <w:r>
              <w:rPr>
                <w:sz w:val="20"/>
                <w:szCs w:val="20"/>
              </w:rPr>
              <w:t>ESI tool completed by contractors on their own behalf at the request of CCS or the Buyer (as applicable) under clause 4.6.</w:t>
            </w:r>
          </w:p>
        </w:tc>
      </w:tr>
      <w:tr w:rsidR="00D44F98" w14:paraId="20FF939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08D996" w14:textId="77777777" w:rsidR="00D44F98" w:rsidRDefault="00EB70E0">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90043E" w14:textId="77777777" w:rsidR="00D44F98" w:rsidRDefault="00EB70E0">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D44F98" w14:paraId="47C6D07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CD01BD" w14:textId="77777777" w:rsidR="00D44F98" w:rsidRDefault="00EB70E0">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C85DE4" w14:textId="77777777" w:rsidR="00D44F98" w:rsidRDefault="00EB70E0">
            <w:pPr>
              <w:spacing w:before="240"/>
              <w:rPr>
                <w:sz w:val="20"/>
                <w:szCs w:val="20"/>
              </w:rPr>
            </w:pPr>
            <w:r>
              <w:rPr>
                <w:sz w:val="20"/>
                <w:szCs w:val="20"/>
              </w:rPr>
              <w:t>The information security management system and process developed by the Supplier in accordance with clause 16.1.</w:t>
            </w:r>
          </w:p>
        </w:tc>
      </w:tr>
      <w:tr w:rsidR="00D44F98" w14:paraId="0FB56F7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374602" w14:textId="77777777" w:rsidR="00D44F98" w:rsidRDefault="00EB70E0">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859517" w14:textId="77777777" w:rsidR="00D44F98" w:rsidRDefault="00EB70E0">
            <w:pPr>
              <w:spacing w:before="240"/>
              <w:rPr>
                <w:sz w:val="20"/>
                <w:szCs w:val="20"/>
              </w:rPr>
            </w:pPr>
            <w:r>
              <w:rPr>
                <w:sz w:val="20"/>
                <w:szCs w:val="20"/>
              </w:rPr>
              <w:t>Contractual engagements which would be determined to be within the scope of the IR35 Intermediaries legislation if assessed using the ESI tool.</w:t>
            </w:r>
          </w:p>
        </w:tc>
      </w:tr>
      <w:tr w:rsidR="00D44F98" w14:paraId="4FCD3D8B"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8124F5" w14:textId="77777777" w:rsidR="00D44F98" w:rsidRDefault="00EB70E0">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739BD9" w14:textId="77777777" w:rsidR="00D44F98" w:rsidRDefault="00EB70E0">
            <w:pPr>
              <w:spacing w:before="240"/>
              <w:rPr>
                <w:sz w:val="20"/>
                <w:szCs w:val="20"/>
              </w:rPr>
            </w:pPr>
            <w:r>
              <w:rPr>
                <w:sz w:val="20"/>
                <w:szCs w:val="20"/>
              </w:rPr>
              <w:t>Can be:</w:t>
            </w:r>
          </w:p>
          <w:p w14:paraId="1D2ED3AA" w14:textId="77777777" w:rsidR="00D44F98" w:rsidRDefault="00EB70E0">
            <w:pPr>
              <w:pStyle w:val="ListParagraph"/>
              <w:numPr>
                <w:ilvl w:val="0"/>
                <w:numId w:val="18"/>
              </w:numPr>
            </w:pPr>
            <w:r>
              <w:rPr>
                <w:sz w:val="14"/>
                <w:szCs w:val="14"/>
              </w:rPr>
              <w:t xml:space="preserve"> </w:t>
            </w:r>
            <w:r>
              <w:rPr>
                <w:sz w:val="20"/>
                <w:szCs w:val="20"/>
              </w:rPr>
              <w:t>a voluntary arrangement</w:t>
            </w:r>
          </w:p>
          <w:p w14:paraId="287ACFBD" w14:textId="77777777" w:rsidR="00D44F98" w:rsidRDefault="00EB70E0">
            <w:pPr>
              <w:pStyle w:val="ListParagraph"/>
              <w:numPr>
                <w:ilvl w:val="0"/>
                <w:numId w:val="18"/>
              </w:numPr>
              <w:rPr>
                <w:sz w:val="20"/>
                <w:szCs w:val="20"/>
              </w:rPr>
            </w:pPr>
            <w:r>
              <w:rPr>
                <w:sz w:val="20"/>
                <w:szCs w:val="20"/>
              </w:rPr>
              <w:t>a winding-up petition</w:t>
            </w:r>
          </w:p>
          <w:p w14:paraId="0A805B3B" w14:textId="77777777" w:rsidR="00D44F98" w:rsidRDefault="00EB70E0">
            <w:pPr>
              <w:pStyle w:val="ListParagraph"/>
              <w:numPr>
                <w:ilvl w:val="0"/>
                <w:numId w:val="18"/>
              </w:numPr>
              <w:rPr>
                <w:sz w:val="20"/>
                <w:szCs w:val="20"/>
              </w:rPr>
            </w:pPr>
            <w:r>
              <w:rPr>
                <w:sz w:val="20"/>
                <w:szCs w:val="20"/>
              </w:rPr>
              <w:t>the appointment of a receiver or administrator</w:t>
            </w:r>
          </w:p>
          <w:p w14:paraId="7938AA8A" w14:textId="77777777" w:rsidR="00D44F98" w:rsidRDefault="00EB70E0">
            <w:pPr>
              <w:pStyle w:val="ListParagraph"/>
              <w:numPr>
                <w:ilvl w:val="0"/>
                <w:numId w:val="18"/>
              </w:numPr>
              <w:rPr>
                <w:sz w:val="20"/>
                <w:szCs w:val="20"/>
              </w:rPr>
            </w:pPr>
            <w:r>
              <w:rPr>
                <w:sz w:val="20"/>
                <w:szCs w:val="20"/>
              </w:rPr>
              <w:t>an unresolved statutory demand</w:t>
            </w:r>
          </w:p>
          <w:p w14:paraId="0DF3749C" w14:textId="77777777" w:rsidR="00D44F98" w:rsidRDefault="00EB70E0">
            <w:pPr>
              <w:pStyle w:val="ListParagraph"/>
              <w:numPr>
                <w:ilvl w:val="0"/>
                <w:numId w:val="18"/>
              </w:numPr>
            </w:pPr>
            <w:r>
              <w:lastRenderedPageBreak/>
              <w:t>a S</w:t>
            </w:r>
            <w:r>
              <w:rPr>
                <w:sz w:val="20"/>
                <w:szCs w:val="20"/>
              </w:rPr>
              <w:t>chedule A1 moratorium</w:t>
            </w:r>
          </w:p>
        </w:tc>
      </w:tr>
      <w:tr w:rsidR="00D44F98" w14:paraId="46106F14"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BED22B" w14:textId="77777777" w:rsidR="00D44F98" w:rsidRDefault="00EB70E0">
            <w:pPr>
              <w:spacing w:before="240"/>
              <w:rPr>
                <w:b/>
                <w:sz w:val="20"/>
                <w:szCs w:val="20"/>
              </w:rPr>
            </w:pPr>
            <w:r>
              <w:rPr>
                <w:b/>
                <w:sz w:val="20"/>
                <w:szCs w:val="20"/>
              </w:rPr>
              <w:lastRenderedPageBreak/>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9178D7" w14:textId="77777777" w:rsidR="00D44F98" w:rsidRDefault="00EB70E0">
            <w:pPr>
              <w:spacing w:before="240"/>
              <w:rPr>
                <w:sz w:val="20"/>
                <w:szCs w:val="20"/>
              </w:rPr>
            </w:pPr>
            <w:r>
              <w:rPr>
                <w:sz w:val="20"/>
                <w:szCs w:val="20"/>
              </w:rPr>
              <w:t>Intellectual Property Rights are:</w:t>
            </w:r>
          </w:p>
          <w:p w14:paraId="35D592F1" w14:textId="77777777" w:rsidR="00D44F98" w:rsidRDefault="00EB70E0">
            <w:pPr>
              <w:pStyle w:val="ListParagraph"/>
              <w:numPr>
                <w:ilvl w:val="0"/>
                <w:numId w:val="19"/>
              </w:numPr>
              <w:rPr>
                <w:sz w:val="20"/>
                <w:szCs w:val="20"/>
              </w:rPr>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p>
          <w:p w14:paraId="5D73024A" w14:textId="77777777" w:rsidR="00D44F98" w:rsidRDefault="00EB70E0">
            <w:pPr>
              <w:pStyle w:val="ListParagraph"/>
              <w:numPr>
                <w:ilvl w:val="0"/>
                <w:numId w:val="19"/>
              </w:numPr>
              <w:rPr>
                <w:sz w:val="20"/>
                <w:szCs w:val="20"/>
              </w:rPr>
            </w:pPr>
            <w:r>
              <w:rPr>
                <w:sz w:val="20"/>
                <w:szCs w:val="20"/>
              </w:rPr>
              <w:t>applications for registration, and the right to apply for registration, for any of the rights listed at (a) that are capable of being registered in any country or jurisdiction</w:t>
            </w:r>
          </w:p>
          <w:p w14:paraId="202BA973" w14:textId="77777777" w:rsidR="00D44F98" w:rsidRDefault="00EB70E0">
            <w:pPr>
              <w:pStyle w:val="ListParagraph"/>
              <w:numPr>
                <w:ilvl w:val="0"/>
                <w:numId w:val="19"/>
              </w:numPr>
              <w:rPr>
                <w:sz w:val="20"/>
                <w:szCs w:val="20"/>
              </w:rPr>
            </w:pPr>
            <w:r>
              <w:rPr>
                <w:sz w:val="20"/>
                <w:szCs w:val="20"/>
              </w:rPr>
              <w:t>all other rights having equivalent or similar effect in any country or jurisdiction</w:t>
            </w:r>
          </w:p>
        </w:tc>
      </w:tr>
      <w:tr w:rsidR="00D44F98" w14:paraId="2B56AF73"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8224FC" w14:textId="77777777" w:rsidR="00D44F98" w:rsidRDefault="00EB70E0">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D1C5C4" w14:textId="77777777" w:rsidR="00D44F98" w:rsidRDefault="00EB70E0">
            <w:pPr>
              <w:spacing w:before="240"/>
              <w:rPr>
                <w:sz w:val="20"/>
                <w:szCs w:val="20"/>
              </w:rPr>
            </w:pPr>
            <w:r>
              <w:rPr>
                <w:sz w:val="20"/>
                <w:szCs w:val="20"/>
              </w:rPr>
              <w:t>For the purposes of the IR35 rules an intermediary can be:</w:t>
            </w:r>
          </w:p>
          <w:p w14:paraId="109CD18A" w14:textId="77777777" w:rsidR="00D44F98" w:rsidRDefault="00EB70E0">
            <w:pPr>
              <w:pStyle w:val="ListParagraph"/>
              <w:numPr>
                <w:ilvl w:val="0"/>
                <w:numId w:val="20"/>
              </w:numPr>
              <w:rPr>
                <w:sz w:val="20"/>
                <w:szCs w:val="20"/>
              </w:rPr>
            </w:pPr>
            <w:r>
              <w:rPr>
                <w:sz w:val="20"/>
                <w:szCs w:val="20"/>
              </w:rPr>
              <w:t>the supplier's own limited company</w:t>
            </w:r>
          </w:p>
          <w:p w14:paraId="6B1F4CBC" w14:textId="77777777" w:rsidR="00D44F98" w:rsidRDefault="00EB70E0">
            <w:pPr>
              <w:pStyle w:val="ListParagraph"/>
              <w:numPr>
                <w:ilvl w:val="0"/>
                <w:numId w:val="20"/>
              </w:numPr>
              <w:rPr>
                <w:sz w:val="20"/>
                <w:szCs w:val="20"/>
              </w:rPr>
            </w:pPr>
            <w:r>
              <w:rPr>
                <w:sz w:val="20"/>
                <w:szCs w:val="20"/>
              </w:rPr>
              <w:t>a service or a personal service company</w:t>
            </w:r>
          </w:p>
          <w:p w14:paraId="2ACFAB94" w14:textId="77777777" w:rsidR="00D44F98" w:rsidRDefault="00EB70E0">
            <w:pPr>
              <w:pStyle w:val="ListParagraph"/>
              <w:numPr>
                <w:ilvl w:val="0"/>
                <w:numId w:val="20"/>
              </w:numPr>
              <w:rPr>
                <w:sz w:val="20"/>
                <w:szCs w:val="20"/>
              </w:rPr>
            </w:pPr>
            <w:r>
              <w:rPr>
                <w:sz w:val="20"/>
                <w:szCs w:val="20"/>
              </w:rPr>
              <w:t>a partnership</w:t>
            </w:r>
          </w:p>
          <w:p w14:paraId="7BF61A2A" w14:textId="77777777" w:rsidR="00D44F98" w:rsidRDefault="00EB70E0">
            <w:pPr>
              <w:spacing w:before="240"/>
              <w:rPr>
                <w:sz w:val="20"/>
                <w:szCs w:val="20"/>
              </w:rPr>
            </w:pPr>
            <w:r>
              <w:rPr>
                <w:sz w:val="20"/>
                <w:szCs w:val="20"/>
              </w:rPr>
              <w:t>It does not apply if you work for a client through a Managed Service Company (MSC) or agency (for example, an employment agency).</w:t>
            </w:r>
          </w:p>
        </w:tc>
      </w:tr>
      <w:tr w:rsidR="00D44F98" w14:paraId="3A6688F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95A1B9" w14:textId="77777777" w:rsidR="00D44F98" w:rsidRDefault="00EB70E0">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6A12F9" w14:textId="77777777" w:rsidR="00D44F98" w:rsidRDefault="00EB70E0">
            <w:pPr>
              <w:spacing w:before="240"/>
              <w:rPr>
                <w:sz w:val="20"/>
                <w:szCs w:val="20"/>
              </w:rPr>
            </w:pPr>
            <w:r>
              <w:rPr>
                <w:sz w:val="20"/>
                <w:szCs w:val="20"/>
              </w:rPr>
              <w:t>As set out in clause 11.5.</w:t>
            </w:r>
          </w:p>
        </w:tc>
      </w:tr>
      <w:tr w:rsidR="00D44F98" w14:paraId="72D3842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A2240A" w14:textId="77777777" w:rsidR="00D44F98" w:rsidRDefault="00EB70E0">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4D3AC0" w14:textId="77777777" w:rsidR="00D44F98" w:rsidRDefault="00EB70E0">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D44F98" w14:paraId="1BDCD0A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82CDE6" w14:textId="77777777" w:rsidR="00D44F98" w:rsidRDefault="00EB70E0">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21CDB1" w14:textId="77777777" w:rsidR="00D44F98" w:rsidRDefault="00EB70E0">
            <w:pPr>
              <w:spacing w:before="240"/>
              <w:rPr>
                <w:sz w:val="20"/>
                <w:szCs w:val="20"/>
              </w:rPr>
            </w:pPr>
            <w:r>
              <w:rPr>
                <w:sz w:val="20"/>
                <w:szCs w:val="20"/>
              </w:rPr>
              <w:t>Assessment of employment status using the ESI tool to determine if engagement is Inside or Outside IR35.</w:t>
            </w:r>
          </w:p>
        </w:tc>
      </w:tr>
      <w:tr w:rsidR="00D44F98" w14:paraId="1F1E326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3E3A5E" w14:textId="77777777" w:rsidR="00D44F98" w:rsidRDefault="00EB70E0">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51E07F" w14:textId="77777777" w:rsidR="00D44F98" w:rsidRDefault="00EB70E0">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D44F98" w14:paraId="6871F494"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800BDB" w14:textId="77777777" w:rsidR="00D44F98" w:rsidRDefault="00EB70E0">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53AF1F" w14:textId="77777777" w:rsidR="00D44F98" w:rsidRDefault="00EB70E0">
            <w:r>
              <w:rPr>
                <w:color w:val="000000"/>
                <w:sz w:val="20"/>
                <w:szCs w:val="20"/>
                <w:shd w:val="clear" w:color="auto" w:fill="FFFFFF"/>
              </w:rPr>
              <w:t xml:space="preserve">Any law, subordinate legislation within the meaning of Section 21(1) of the Interpretation Act 1978, </w:t>
            </w:r>
            <w:proofErr w:type="gramStart"/>
            <w:r>
              <w:rPr>
                <w:color w:val="000000"/>
                <w:sz w:val="20"/>
                <w:szCs w:val="20"/>
                <w:shd w:val="clear" w:color="auto" w:fill="FFFFFF"/>
              </w:rPr>
              <w:t>bye-law</w:t>
            </w:r>
            <w:proofErr w:type="gramEnd"/>
            <w:r>
              <w:rPr>
                <w:color w:val="000000"/>
                <w:sz w:val="20"/>
                <w:szCs w:val="20"/>
                <w:shd w:val="clear" w:color="auto" w:fill="FFFFFF"/>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D44F98" w14:paraId="0E86764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C0B412" w14:textId="77777777" w:rsidR="00D44F98" w:rsidRDefault="00EB70E0">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C8FC5E" w14:textId="77777777" w:rsidR="00D44F98" w:rsidRDefault="00EB70E0">
            <w:pPr>
              <w:spacing w:before="240"/>
              <w:rPr>
                <w:sz w:val="20"/>
                <w:szCs w:val="20"/>
              </w:rPr>
            </w:pPr>
            <w:r>
              <w:rPr>
                <w:sz w:val="20"/>
                <w:szCs w:val="20"/>
              </w:rPr>
              <w:t>Law Enforcement Directive (EU) 2016/680.</w:t>
            </w:r>
          </w:p>
        </w:tc>
      </w:tr>
      <w:tr w:rsidR="00D44F98" w14:paraId="428A8022"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74F469" w14:textId="77777777" w:rsidR="00D44F98" w:rsidRDefault="00EB70E0">
            <w:pPr>
              <w:spacing w:before="240"/>
              <w:rPr>
                <w:b/>
                <w:sz w:val="20"/>
                <w:szCs w:val="20"/>
              </w:rPr>
            </w:pPr>
            <w:r>
              <w:rPr>
                <w:b/>
                <w:sz w:val="20"/>
                <w:szCs w:val="20"/>
              </w:rPr>
              <w:lastRenderedPageBreak/>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D13FD4" w14:textId="77777777" w:rsidR="00D44F98" w:rsidRDefault="00EB70E0">
            <w:pPr>
              <w:spacing w:before="24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D44F98" w14:paraId="57FAA83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626334" w14:textId="77777777" w:rsidR="00D44F98" w:rsidRDefault="00EB70E0">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84AD57" w14:textId="77777777" w:rsidR="00D44F98" w:rsidRDefault="00EB70E0">
            <w:pPr>
              <w:spacing w:before="240"/>
              <w:rPr>
                <w:sz w:val="20"/>
                <w:szCs w:val="20"/>
              </w:rPr>
            </w:pPr>
            <w:r>
              <w:rPr>
                <w:sz w:val="20"/>
                <w:szCs w:val="20"/>
              </w:rPr>
              <w:t>Any of the 3 Lots specified in the ITT and Lots will be construed accordingly.</w:t>
            </w:r>
          </w:p>
        </w:tc>
      </w:tr>
      <w:tr w:rsidR="00D44F98" w14:paraId="20C56315"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141601" w14:textId="77777777" w:rsidR="00D44F98" w:rsidRDefault="00EB70E0">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9CFDE8" w14:textId="77777777" w:rsidR="00D44F98" w:rsidRDefault="00EB70E0">
            <w:pPr>
              <w:spacing w:before="240"/>
              <w:rPr>
                <w:sz w:val="20"/>
                <w:szCs w:val="20"/>
              </w:rPr>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p>
        </w:tc>
      </w:tr>
      <w:tr w:rsidR="00D44F98" w14:paraId="6BC365A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76E024" w14:textId="77777777" w:rsidR="00D44F98" w:rsidRDefault="00EB70E0">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8191CF" w14:textId="77777777" w:rsidR="00D44F98" w:rsidRDefault="00EB70E0">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D44F98" w14:paraId="020A1FB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206F85" w14:textId="77777777" w:rsidR="00D44F98" w:rsidRDefault="00EB70E0">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631ADA" w14:textId="77777777" w:rsidR="00D44F98" w:rsidRDefault="00EB70E0">
            <w:pPr>
              <w:spacing w:before="240"/>
              <w:rPr>
                <w:sz w:val="20"/>
                <w:szCs w:val="20"/>
              </w:rPr>
            </w:pPr>
            <w:r>
              <w:rPr>
                <w:sz w:val="20"/>
                <w:szCs w:val="20"/>
              </w:rPr>
              <w:t>The management information specified in Framework Agreement section 6 (What you report to CCS).</w:t>
            </w:r>
          </w:p>
        </w:tc>
      </w:tr>
      <w:tr w:rsidR="00D44F98" w14:paraId="0D341FA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6FBFDE" w14:textId="77777777" w:rsidR="00D44F98" w:rsidRDefault="00EB70E0">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208251" w14:textId="77777777" w:rsidR="00D44F98" w:rsidRDefault="00EB70E0">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D44F98" w14:paraId="1184C00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AF861D" w14:textId="77777777" w:rsidR="00D44F98" w:rsidRDefault="00EB70E0">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B8D9B5" w14:textId="77777777" w:rsidR="00D44F98" w:rsidRDefault="00EB70E0">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D44F98" w14:paraId="569F3D3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C8C7FB" w14:textId="77777777" w:rsidR="00D44F98" w:rsidRDefault="00EB70E0">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ACBB6E" w14:textId="77777777" w:rsidR="00D44F98" w:rsidRDefault="00EB70E0">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D44F98" w14:paraId="78E5171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FCEB35" w14:textId="77777777" w:rsidR="00D44F98" w:rsidRDefault="00EB70E0">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D823E0" w14:textId="77777777" w:rsidR="00D44F98" w:rsidRDefault="00EB70E0">
            <w:pPr>
              <w:spacing w:before="240"/>
              <w:rPr>
                <w:sz w:val="20"/>
                <w:szCs w:val="20"/>
              </w:rPr>
            </w:pPr>
            <w:r>
              <w:rPr>
                <w:sz w:val="20"/>
                <w:szCs w:val="20"/>
              </w:rPr>
              <w:t>An order for G-Cloud Services placed by a contracting body with the Supplier in accordance with the ordering processes.</w:t>
            </w:r>
          </w:p>
        </w:tc>
      </w:tr>
      <w:tr w:rsidR="00D44F98" w14:paraId="149E406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B4FCCC" w14:textId="77777777" w:rsidR="00D44F98" w:rsidRDefault="00EB70E0">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52CD64" w14:textId="77777777" w:rsidR="00D44F98" w:rsidRDefault="00EB70E0">
            <w:pPr>
              <w:spacing w:before="240"/>
              <w:rPr>
                <w:sz w:val="20"/>
                <w:szCs w:val="20"/>
              </w:rPr>
            </w:pPr>
            <w:r>
              <w:rPr>
                <w:sz w:val="20"/>
                <w:szCs w:val="20"/>
              </w:rPr>
              <w:t>The order form set out in Part A of the Call-Off Contract to be used by a Buyer to order G-Cloud Services.</w:t>
            </w:r>
          </w:p>
        </w:tc>
      </w:tr>
      <w:tr w:rsidR="00D44F98" w14:paraId="25D5A77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19AFC6" w14:textId="77777777" w:rsidR="00D44F98" w:rsidRDefault="00EB70E0">
            <w:pPr>
              <w:spacing w:before="240"/>
              <w:rPr>
                <w:b/>
                <w:sz w:val="20"/>
                <w:szCs w:val="20"/>
              </w:rPr>
            </w:pPr>
            <w:r>
              <w:rPr>
                <w:b/>
                <w:sz w:val="20"/>
                <w:szCs w:val="20"/>
              </w:rPr>
              <w:lastRenderedPageBreak/>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78F82C" w14:textId="77777777" w:rsidR="00D44F98" w:rsidRDefault="00EB70E0">
            <w:pPr>
              <w:spacing w:before="240"/>
              <w:rPr>
                <w:sz w:val="20"/>
                <w:szCs w:val="20"/>
              </w:rPr>
            </w:pPr>
            <w:r>
              <w:rPr>
                <w:sz w:val="20"/>
                <w:szCs w:val="20"/>
              </w:rPr>
              <w:t>G-Cloud Services which are the subject of an order by the Buyer.</w:t>
            </w:r>
          </w:p>
        </w:tc>
      </w:tr>
      <w:tr w:rsidR="00D44F98" w14:paraId="6C413EE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878230" w14:textId="77777777" w:rsidR="00D44F98" w:rsidRDefault="00EB70E0">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9A371E" w14:textId="77777777" w:rsidR="00D44F98" w:rsidRDefault="00EB70E0">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D44F98" w14:paraId="48C76DE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F49" w14:textId="77777777" w:rsidR="00D44F98" w:rsidRDefault="00EB70E0">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7DD7A9" w14:textId="77777777" w:rsidR="00D44F98" w:rsidRDefault="00EB70E0">
            <w:pPr>
              <w:spacing w:before="240"/>
              <w:rPr>
                <w:sz w:val="20"/>
                <w:szCs w:val="20"/>
              </w:rPr>
            </w:pPr>
            <w:r>
              <w:rPr>
                <w:sz w:val="20"/>
                <w:szCs w:val="20"/>
              </w:rPr>
              <w:t>The Buyer or the Supplier and ‘Parties’ will be interpreted accordingly.</w:t>
            </w:r>
          </w:p>
        </w:tc>
      </w:tr>
      <w:tr w:rsidR="00D44F98" w14:paraId="2372EE8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D0D692" w14:textId="77777777" w:rsidR="00D44F98" w:rsidRDefault="00EB70E0">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C45EBA" w14:textId="77777777" w:rsidR="00D44F98" w:rsidRDefault="00EB70E0">
            <w:pPr>
              <w:spacing w:before="240"/>
              <w:rPr>
                <w:sz w:val="20"/>
                <w:szCs w:val="20"/>
              </w:rPr>
            </w:pPr>
            <w:r>
              <w:rPr>
                <w:sz w:val="20"/>
                <w:szCs w:val="20"/>
              </w:rPr>
              <w:t>Takes the meaning given in the GDPR.</w:t>
            </w:r>
          </w:p>
        </w:tc>
      </w:tr>
      <w:tr w:rsidR="00D44F98" w14:paraId="6FB7E99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3636B2" w14:textId="77777777" w:rsidR="00D44F98" w:rsidRDefault="00EB70E0">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DD093B" w14:textId="77777777" w:rsidR="00D44F98" w:rsidRDefault="00EB70E0">
            <w:pPr>
              <w:spacing w:before="240"/>
              <w:rPr>
                <w:sz w:val="20"/>
                <w:szCs w:val="20"/>
              </w:rPr>
            </w:pPr>
            <w:r>
              <w:rPr>
                <w:sz w:val="20"/>
                <w:szCs w:val="20"/>
              </w:rPr>
              <w:t>Takes the meaning given in the GDPR.</w:t>
            </w:r>
          </w:p>
        </w:tc>
      </w:tr>
      <w:tr w:rsidR="00D44F98" w14:paraId="537FA8A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89E2F4" w14:textId="77777777" w:rsidR="00D44F98" w:rsidRDefault="00EB70E0">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D4B064" w14:textId="77777777" w:rsidR="00D44F98" w:rsidRDefault="00EB70E0">
            <w:pPr>
              <w:spacing w:before="240"/>
              <w:rPr>
                <w:sz w:val="20"/>
                <w:szCs w:val="20"/>
              </w:rPr>
            </w:pPr>
            <w:r>
              <w:rPr>
                <w:sz w:val="20"/>
                <w:szCs w:val="20"/>
              </w:rPr>
              <w:t>Takes the meaning given in the GDPR.</w:t>
            </w:r>
          </w:p>
        </w:tc>
      </w:tr>
      <w:tr w:rsidR="00D44F98" w14:paraId="107B428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75A43F" w14:textId="77777777" w:rsidR="00D44F98" w:rsidRDefault="00EB70E0">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AEAB7" w14:textId="77777777" w:rsidR="00D44F98" w:rsidRDefault="00EB70E0">
            <w:pPr>
              <w:spacing w:before="240"/>
              <w:rPr>
                <w:sz w:val="20"/>
                <w:szCs w:val="20"/>
              </w:rPr>
            </w:pPr>
            <w:r>
              <w:rPr>
                <w:sz w:val="20"/>
                <w:szCs w:val="20"/>
              </w:rPr>
              <w:t>Takes the meaning given in the GDPR.</w:t>
            </w:r>
          </w:p>
        </w:tc>
      </w:tr>
      <w:tr w:rsidR="00D44F98" w14:paraId="79E48ACE"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B4ED6B" w14:textId="77777777" w:rsidR="00D44F98" w:rsidRDefault="00EB70E0">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0505AD" w14:textId="77777777" w:rsidR="00D44F98" w:rsidRDefault="00EB70E0">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6EB79596" w14:textId="77777777" w:rsidR="00D44F98" w:rsidRDefault="00EB70E0">
            <w:pPr>
              <w:pStyle w:val="ListParagraph"/>
              <w:numPr>
                <w:ilvl w:val="0"/>
                <w:numId w:val="21"/>
              </w:numPr>
              <w:rPr>
                <w:sz w:val="20"/>
                <w:szCs w:val="20"/>
              </w:rPr>
            </w:pPr>
            <w:r>
              <w:rPr>
                <w:sz w:val="20"/>
                <w:szCs w:val="20"/>
              </w:rPr>
              <w:t>induce that person to perform improperly a relevant function or activity</w:t>
            </w:r>
          </w:p>
          <w:p w14:paraId="13F2903C" w14:textId="77777777" w:rsidR="00D44F98" w:rsidRDefault="00EB70E0">
            <w:pPr>
              <w:pStyle w:val="ListParagraph"/>
              <w:numPr>
                <w:ilvl w:val="0"/>
                <w:numId w:val="21"/>
              </w:numPr>
              <w:rPr>
                <w:sz w:val="20"/>
                <w:szCs w:val="20"/>
              </w:rPr>
            </w:pPr>
            <w:r>
              <w:rPr>
                <w:sz w:val="20"/>
                <w:szCs w:val="20"/>
              </w:rPr>
              <w:t>reward that person for improper performance of a relevant function or activity</w:t>
            </w:r>
          </w:p>
          <w:p w14:paraId="5B940145" w14:textId="77777777" w:rsidR="00D44F98" w:rsidRDefault="00EB70E0">
            <w:pPr>
              <w:pStyle w:val="ListParagraph"/>
              <w:numPr>
                <w:ilvl w:val="0"/>
                <w:numId w:val="21"/>
              </w:numPr>
              <w:rPr>
                <w:sz w:val="20"/>
                <w:szCs w:val="20"/>
              </w:rPr>
            </w:pPr>
            <w:r>
              <w:rPr>
                <w:sz w:val="20"/>
                <w:szCs w:val="20"/>
              </w:rPr>
              <w:t>commit any offence:</w:t>
            </w:r>
          </w:p>
          <w:p w14:paraId="5801AC1A" w14:textId="77777777" w:rsidR="00D44F98" w:rsidRDefault="00EB70E0">
            <w:pPr>
              <w:pStyle w:val="ListParagraph"/>
              <w:numPr>
                <w:ilvl w:val="1"/>
                <w:numId w:val="21"/>
              </w:numPr>
              <w:rPr>
                <w:sz w:val="20"/>
                <w:szCs w:val="20"/>
              </w:rPr>
            </w:pPr>
            <w:r>
              <w:rPr>
                <w:sz w:val="20"/>
                <w:szCs w:val="20"/>
              </w:rPr>
              <w:t>under the Bribery Act 2010</w:t>
            </w:r>
          </w:p>
          <w:p w14:paraId="53343AD5" w14:textId="77777777" w:rsidR="00D44F98" w:rsidRDefault="00EB70E0">
            <w:pPr>
              <w:pStyle w:val="ListParagraph"/>
              <w:numPr>
                <w:ilvl w:val="1"/>
                <w:numId w:val="21"/>
              </w:numPr>
              <w:rPr>
                <w:sz w:val="20"/>
                <w:szCs w:val="20"/>
              </w:rPr>
            </w:pPr>
            <w:r>
              <w:rPr>
                <w:sz w:val="20"/>
                <w:szCs w:val="20"/>
              </w:rPr>
              <w:t>under legislation creating offences concerning Fraud</w:t>
            </w:r>
          </w:p>
          <w:p w14:paraId="15C1F1F8" w14:textId="77777777" w:rsidR="00D44F98" w:rsidRDefault="00EB70E0">
            <w:pPr>
              <w:pStyle w:val="ListParagraph"/>
              <w:numPr>
                <w:ilvl w:val="1"/>
                <w:numId w:val="21"/>
              </w:numPr>
            </w:pPr>
            <w:r>
              <w:t>at common Law concerning Fraud</w:t>
            </w:r>
          </w:p>
          <w:p w14:paraId="4C6C82D9" w14:textId="77777777" w:rsidR="00D44F98" w:rsidRDefault="00EB70E0">
            <w:pPr>
              <w:pStyle w:val="ListParagraph"/>
              <w:numPr>
                <w:ilvl w:val="1"/>
                <w:numId w:val="21"/>
              </w:numPr>
              <w:rPr>
                <w:sz w:val="20"/>
                <w:szCs w:val="20"/>
              </w:rPr>
            </w:pPr>
            <w:r>
              <w:rPr>
                <w:sz w:val="20"/>
                <w:szCs w:val="20"/>
              </w:rPr>
              <w:t>committing or attempting or conspiring to commit Fraud</w:t>
            </w:r>
          </w:p>
        </w:tc>
      </w:tr>
      <w:tr w:rsidR="00D44F98" w14:paraId="528B8151"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AE0815" w14:textId="77777777" w:rsidR="00D44F98" w:rsidRDefault="00EB70E0">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78E239" w14:textId="77777777" w:rsidR="00D44F98" w:rsidRDefault="00EB70E0">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p>
        </w:tc>
      </w:tr>
      <w:tr w:rsidR="00D44F98" w14:paraId="452FABD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ECEDBF" w14:textId="77777777" w:rsidR="00D44F98" w:rsidRDefault="00EB70E0">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6992C0" w14:textId="77777777" w:rsidR="00D44F98" w:rsidRDefault="00EB70E0">
            <w:pPr>
              <w:spacing w:before="240"/>
              <w:rPr>
                <w:sz w:val="20"/>
                <w:szCs w:val="20"/>
              </w:rPr>
            </w:pPr>
            <w:r>
              <w:rPr>
                <w:sz w:val="20"/>
                <w:szCs w:val="20"/>
              </w:rPr>
              <w:t>Assets and property including technical infrastructure, IPRs and equipment.</w:t>
            </w:r>
          </w:p>
        </w:tc>
      </w:tr>
      <w:tr w:rsidR="00D44F98" w14:paraId="2AFFE9A2"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E013A6" w14:textId="77777777" w:rsidR="00D44F98" w:rsidRDefault="00EB70E0">
            <w:pPr>
              <w:spacing w:before="240"/>
              <w:rPr>
                <w:b/>
                <w:sz w:val="20"/>
                <w:szCs w:val="20"/>
              </w:rPr>
            </w:pPr>
            <w:r>
              <w:rPr>
                <w:b/>
                <w:sz w:val="20"/>
                <w:szCs w:val="20"/>
              </w:rPr>
              <w:lastRenderedPageBreak/>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5E9827" w14:textId="77777777" w:rsidR="00D44F98" w:rsidRDefault="00EB70E0">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D44F98" w14:paraId="0326CCA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B2C10C" w14:textId="77777777" w:rsidR="00D44F98" w:rsidRDefault="00EB70E0">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A4B0FF" w14:textId="77777777" w:rsidR="00D44F98" w:rsidRDefault="00EB70E0">
            <w:pPr>
              <w:spacing w:before="240"/>
              <w:rPr>
                <w:sz w:val="20"/>
                <w:szCs w:val="20"/>
              </w:rPr>
            </w:pPr>
            <w:r>
              <w:rPr>
                <w:sz w:val="20"/>
                <w:szCs w:val="20"/>
              </w:rPr>
              <w:t xml:space="preserve">The Public Services Network (PSN) is the government’s high-performance network which helps public sector organisations work together, reduce </w:t>
            </w:r>
            <w:proofErr w:type="gramStart"/>
            <w:r>
              <w:rPr>
                <w:sz w:val="20"/>
                <w:szCs w:val="20"/>
              </w:rPr>
              <w:t>duplication</w:t>
            </w:r>
            <w:proofErr w:type="gramEnd"/>
            <w:r>
              <w:rPr>
                <w:sz w:val="20"/>
                <w:szCs w:val="20"/>
              </w:rPr>
              <w:t xml:space="preserve"> and share resources.</w:t>
            </w:r>
          </w:p>
        </w:tc>
      </w:tr>
      <w:tr w:rsidR="00D44F98" w14:paraId="14070BF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84F37E" w14:textId="77777777" w:rsidR="00D44F98" w:rsidRDefault="00EB70E0">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7DD953" w14:textId="77777777" w:rsidR="00D44F98" w:rsidRDefault="00EB70E0">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D44F98" w14:paraId="3EFA304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6349BD" w14:textId="77777777" w:rsidR="00D44F98" w:rsidRDefault="00EB70E0">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10C249" w14:textId="77777777" w:rsidR="00D44F98" w:rsidRDefault="00EB70E0">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D44F98" w14:paraId="4A687B0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1AF1C1" w14:textId="77777777" w:rsidR="00D44F98" w:rsidRDefault="00EB70E0">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B94A69" w14:textId="77777777" w:rsidR="00D44F98" w:rsidRDefault="00EB70E0">
            <w:pPr>
              <w:spacing w:before="240"/>
              <w:rPr>
                <w:sz w:val="20"/>
                <w:szCs w:val="20"/>
              </w:rPr>
            </w:pPr>
            <w:r>
              <w:rPr>
                <w:sz w:val="20"/>
                <w:szCs w:val="20"/>
              </w:rPr>
              <w:t xml:space="preserve">A transfer of employment to which the employment regulations </w:t>
            </w:r>
            <w:proofErr w:type="gramStart"/>
            <w:r>
              <w:rPr>
                <w:sz w:val="20"/>
                <w:szCs w:val="20"/>
              </w:rPr>
              <w:t>applies</w:t>
            </w:r>
            <w:proofErr w:type="gramEnd"/>
            <w:r>
              <w:rPr>
                <w:sz w:val="20"/>
                <w:szCs w:val="20"/>
              </w:rPr>
              <w:t>.</w:t>
            </w:r>
          </w:p>
        </w:tc>
      </w:tr>
      <w:tr w:rsidR="00D44F98" w14:paraId="23E14BD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45AAEB" w14:textId="77777777" w:rsidR="00D44F98" w:rsidRDefault="00EB70E0">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AC33F" w14:textId="77777777" w:rsidR="00D44F98" w:rsidRDefault="00EB70E0">
            <w:pPr>
              <w:spacing w:before="240"/>
              <w:rPr>
                <w:sz w:val="20"/>
                <w:szCs w:val="20"/>
              </w:rPr>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Call-Off Contract, whether those services are provided by the Buyer or a third party.</w:t>
            </w:r>
          </w:p>
        </w:tc>
      </w:tr>
      <w:tr w:rsidR="00D44F98" w14:paraId="1C08B01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2725A4" w14:textId="77777777" w:rsidR="00D44F98" w:rsidRDefault="00EB70E0">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DBB057" w14:textId="77777777" w:rsidR="00D44F98" w:rsidRDefault="00EB70E0">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D44F98" w14:paraId="51CC8D1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57CB21" w14:textId="77777777" w:rsidR="00D44F98" w:rsidRDefault="00EB70E0">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187EFE" w14:textId="77777777" w:rsidR="00D44F98" w:rsidRDefault="00EB70E0">
            <w:pPr>
              <w:spacing w:before="240"/>
              <w:rPr>
                <w:sz w:val="20"/>
                <w:szCs w:val="20"/>
              </w:rPr>
            </w:pPr>
            <w:r>
              <w:rPr>
                <w:sz w:val="20"/>
                <w:szCs w:val="20"/>
              </w:rPr>
              <w:t>The Supplier's security management plan developed by the Supplier in accordance with clause 16.1.</w:t>
            </w:r>
          </w:p>
        </w:tc>
      </w:tr>
      <w:tr w:rsidR="00D44F98" w14:paraId="5874057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EB69B" w14:textId="77777777" w:rsidR="00D44F98" w:rsidRDefault="00EB70E0">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C011B3" w14:textId="77777777" w:rsidR="00D44F98" w:rsidRDefault="00EB70E0">
            <w:pPr>
              <w:spacing w:before="240"/>
              <w:rPr>
                <w:sz w:val="20"/>
                <w:szCs w:val="20"/>
              </w:rPr>
            </w:pPr>
            <w:r>
              <w:rPr>
                <w:sz w:val="20"/>
                <w:szCs w:val="20"/>
              </w:rPr>
              <w:t>The services ordered by the Buyer as set out in the Order Form.</w:t>
            </w:r>
          </w:p>
        </w:tc>
      </w:tr>
      <w:tr w:rsidR="00D44F98" w14:paraId="7A64ACD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02E020" w14:textId="77777777" w:rsidR="00D44F98" w:rsidRDefault="00EB70E0">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5D1E6A" w14:textId="77777777" w:rsidR="00D44F98" w:rsidRDefault="00EB70E0">
            <w:pPr>
              <w:spacing w:before="240"/>
              <w:rPr>
                <w:sz w:val="20"/>
                <w:szCs w:val="20"/>
              </w:rPr>
            </w:pPr>
            <w:r>
              <w:rPr>
                <w:sz w:val="20"/>
                <w:szCs w:val="20"/>
              </w:rPr>
              <w:t>Data that is owned or managed by the Buyer and used for the G-Cloud Services, including backup data.</w:t>
            </w:r>
          </w:p>
        </w:tc>
      </w:tr>
      <w:tr w:rsidR="00D44F98" w14:paraId="22168B7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476FE7" w14:textId="77777777" w:rsidR="00D44F98" w:rsidRDefault="00EB70E0">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9CA298" w14:textId="77777777" w:rsidR="00D44F98" w:rsidRDefault="00EB70E0">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D44F98" w14:paraId="42D7F3B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F15ACD" w14:textId="77777777" w:rsidR="00D44F98" w:rsidRDefault="00EB70E0">
            <w:pPr>
              <w:spacing w:before="240"/>
              <w:rPr>
                <w:b/>
                <w:sz w:val="20"/>
                <w:szCs w:val="20"/>
              </w:rPr>
            </w:pPr>
            <w:r>
              <w:rPr>
                <w:b/>
                <w:sz w:val="20"/>
                <w:szCs w:val="20"/>
              </w:rPr>
              <w:lastRenderedPageBreak/>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354D01" w14:textId="77777777" w:rsidR="00D44F98" w:rsidRDefault="00EB70E0">
            <w:pPr>
              <w:spacing w:before="240"/>
              <w:rPr>
                <w:sz w:val="20"/>
                <w:szCs w:val="20"/>
              </w:rPr>
            </w:pPr>
            <w:r>
              <w:rPr>
                <w:sz w:val="20"/>
                <w:szCs w:val="20"/>
              </w:rPr>
              <w:t>The description of the Supplier service offering as published on the Digital Marketplace.</w:t>
            </w:r>
          </w:p>
        </w:tc>
      </w:tr>
      <w:tr w:rsidR="00D44F98" w14:paraId="442EDAD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AE3B00" w14:textId="77777777" w:rsidR="00D44F98" w:rsidRDefault="00EB70E0">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1A68AF" w14:textId="77777777" w:rsidR="00D44F98" w:rsidRDefault="00EB70E0">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D44F98" w14:paraId="7C7DD30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8D4437" w14:textId="77777777" w:rsidR="00D44F98" w:rsidRDefault="00EB70E0">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7EC5FA" w14:textId="77777777" w:rsidR="00D44F98" w:rsidRDefault="00EB70E0">
            <w:pPr>
              <w:spacing w:before="240"/>
            </w:pPr>
            <w:r>
              <w:rPr>
                <w:sz w:val="20"/>
                <w:szCs w:val="20"/>
              </w:rPr>
              <w:t>The approval process used by a central government Buyer if it needs to spend money on certain digital or technology services, see</w:t>
            </w:r>
            <w:hyperlink r:id="rId32" w:history="1">
              <w:r>
                <w:rPr>
                  <w:sz w:val="20"/>
                  <w:szCs w:val="20"/>
                </w:rPr>
                <w:t xml:space="preserve"> </w:t>
              </w:r>
            </w:hyperlink>
            <w:hyperlink r:id="rId33" w:history="1">
              <w:r>
                <w:rPr>
                  <w:sz w:val="20"/>
                  <w:szCs w:val="20"/>
                  <w:u w:val="single"/>
                </w:rPr>
                <w:t>https://www.gov.uk/service-manual/agile-delivery/spend-controls-check-if-you-need-approval-to-spend-money-on-a-service</w:t>
              </w:r>
            </w:hyperlink>
          </w:p>
        </w:tc>
      </w:tr>
      <w:tr w:rsidR="00D44F98" w14:paraId="041B743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165B4A" w14:textId="77777777" w:rsidR="00D44F98" w:rsidRDefault="00EB70E0">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8D6F6" w14:textId="77777777" w:rsidR="00D44F98" w:rsidRDefault="00EB70E0">
            <w:pPr>
              <w:spacing w:before="240"/>
              <w:rPr>
                <w:sz w:val="20"/>
                <w:szCs w:val="20"/>
              </w:rPr>
            </w:pPr>
            <w:r>
              <w:rPr>
                <w:sz w:val="20"/>
                <w:szCs w:val="20"/>
              </w:rPr>
              <w:t>The Start date of this Call-Off Contract as set out in the Order Form.</w:t>
            </w:r>
          </w:p>
        </w:tc>
      </w:tr>
      <w:tr w:rsidR="00D44F98" w14:paraId="0887D77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46FC9D" w14:textId="77777777" w:rsidR="00D44F98" w:rsidRDefault="00EB70E0">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55CC35" w14:textId="77777777" w:rsidR="00D44F98" w:rsidRDefault="00EB70E0">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D44F98" w14:paraId="14DA04B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60906B" w14:textId="77777777" w:rsidR="00D44F98" w:rsidRDefault="00EB70E0">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914392" w14:textId="77777777" w:rsidR="00D44F98" w:rsidRDefault="00EB70E0">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D44F98" w14:paraId="2063394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F2CD2D" w14:textId="77777777" w:rsidR="00D44F98" w:rsidRDefault="00EB70E0">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B5E6C8" w14:textId="77777777" w:rsidR="00D44F98" w:rsidRDefault="00EB70E0">
            <w:pPr>
              <w:spacing w:before="240"/>
              <w:rPr>
                <w:sz w:val="20"/>
                <w:szCs w:val="20"/>
              </w:rPr>
            </w:pPr>
            <w:r>
              <w:rPr>
                <w:sz w:val="20"/>
                <w:szCs w:val="20"/>
              </w:rPr>
              <w:t>Any third party appointed to process Personal Data on behalf of the Supplier under this Call-Off Contract.</w:t>
            </w:r>
          </w:p>
        </w:tc>
      </w:tr>
      <w:tr w:rsidR="00D44F98" w14:paraId="5B467C0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9A5D73" w14:textId="77777777" w:rsidR="00D44F98" w:rsidRDefault="00EB70E0">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FFBEC5" w14:textId="77777777" w:rsidR="00D44F98" w:rsidRDefault="00EB70E0">
            <w:pPr>
              <w:spacing w:before="240"/>
              <w:rPr>
                <w:sz w:val="20"/>
                <w:szCs w:val="20"/>
              </w:rPr>
            </w:pPr>
            <w:r>
              <w:rPr>
                <w:sz w:val="20"/>
                <w:szCs w:val="20"/>
              </w:rPr>
              <w:t>The person, firm or company identified in the Order Form.</w:t>
            </w:r>
          </w:p>
        </w:tc>
      </w:tr>
      <w:tr w:rsidR="00D44F98" w14:paraId="768513D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113166" w14:textId="77777777" w:rsidR="00D44F98" w:rsidRDefault="00EB70E0">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A0DE83" w14:textId="77777777" w:rsidR="00D44F98" w:rsidRDefault="00EB70E0">
            <w:pPr>
              <w:spacing w:before="240"/>
              <w:rPr>
                <w:sz w:val="20"/>
                <w:szCs w:val="20"/>
              </w:rPr>
            </w:pPr>
            <w:r>
              <w:rPr>
                <w:sz w:val="20"/>
                <w:szCs w:val="20"/>
              </w:rPr>
              <w:t>The representative appointed by the Supplier from time to time in relation to the Call-Off Contract.</w:t>
            </w:r>
          </w:p>
        </w:tc>
      </w:tr>
      <w:tr w:rsidR="00D44F98" w14:paraId="099CFDE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58020A" w14:textId="77777777" w:rsidR="00D44F98" w:rsidRDefault="00EB70E0">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53241B" w14:textId="77777777" w:rsidR="00D44F98" w:rsidRDefault="00EB70E0">
            <w:pPr>
              <w:spacing w:before="240"/>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D44F98" w14:paraId="7117A76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C5FF9A" w14:textId="77777777" w:rsidR="00D44F98" w:rsidRDefault="00EB70E0">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EBB1FA" w14:textId="77777777" w:rsidR="00D44F98" w:rsidRDefault="00EB70E0">
            <w:pPr>
              <w:spacing w:before="240"/>
              <w:rPr>
                <w:sz w:val="20"/>
                <w:szCs w:val="20"/>
              </w:rPr>
            </w:pPr>
            <w:r>
              <w:rPr>
                <w:sz w:val="20"/>
                <w:szCs w:val="20"/>
              </w:rPr>
              <w:t>The relevant G-Cloud Service terms and conditions as set out in the Terms and Conditions document supplied as part of the Supplier’s Application.</w:t>
            </w:r>
          </w:p>
        </w:tc>
      </w:tr>
      <w:tr w:rsidR="00D44F98" w14:paraId="09DB124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DDD41" w14:textId="77777777" w:rsidR="00D44F98" w:rsidRDefault="00EB70E0">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9DE159" w14:textId="77777777" w:rsidR="00D44F98" w:rsidRDefault="00EB70E0">
            <w:pPr>
              <w:spacing w:before="240"/>
              <w:rPr>
                <w:sz w:val="20"/>
                <w:szCs w:val="20"/>
              </w:rPr>
            </w:pPr>
            <w:r>
              <w:rPr>
                <w:sz w:val="20"/>
                <w:szCs w:val="20"/>
              </w:rPr>
              <w:t>The term of this Call-Off Contract as set out in the Order Form.</w:t>
            </w:r>
          </w:p>
        </w:tc>
      </w:tr>
      <w:tr w:rsidR="00D44F98" w14:paraId="591E259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5862CA" w14:textId="77777777" w:rsidR="00D44F98" w:rsidRDefault="00EB70E0">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D2C00A" w14:textId="77777777" w:rsidR="00D44F98" w:rsidRDefault="00EB70E0">
            <w:pPr>
              <w:spacing w:before="240"/>
              <w:rPr>
                <w:sz w:val="20"/>
                <w:szCs w:val="20"/>
              </w:rPr>
            </w:pPr>
            <w:r>
              <w:rPr>
                <w:sz w:val="20"/>
                <w:szCs w:val="20"/>
              </w:rPr>
              <w:t>This has the meaning given to it in clause 32 (Variation process).</w:t>
            </w:r>
          </w:p>
        </w:tc>
      </w:tr>
      <w:tr w:rsidR="00D44F98" w14:paraId="58B003E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5B3AD" w14:textId="77777777" w:rsidR="00D44F98" w:rsidRDefault="00EB70E0">
            <w:pPr>
              <w:spacing w:before="240"/>
              <w:rPr>
                <w:b/>
                <w:sz w:val="20"/>
                <w:szCs w:val="20"/>
              </w:rPr>
            </w:pPr>
            <w:r>
              <w:rPr>
                <w:b/>
                <w:sz w:val="20"/>
                <w:szCs w:val="20"/>
              </w:rPr>
              <w:lastRenderedPageBreak/>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1AE42B" w14:textId="77777777" w:rsidR="00D44F98" w:rsidRDefault="00EB70E0">
            <w:pPr>
              <w:spacing w:before="240"/>
              <w:rPr>
                <w:sz w:val="20"/>
                <w:szCs w:val="20"/>
              </w:rPr>
            </w:pPr>
            <w:r>
              <w:rPr>
                <w:sz w:val="20"/>
                <w:szCs w:val="20"/>
              </w:rPr>
              <w:t>Any day other than a Saturday, Sunday or public holiday in England and Wales.</w:t>
            </w:r>
          </w:p>
        </w:tc>
      </w:tr>
      <w:tr w:rsidR="00D44F98" w14:paraId="62C0BE5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91F321" w14:textId="77777777" w:rsidR="00D44F98" w:rsidRDefault="00EB70E0">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2926C2" w14:textId="77777777" w:rsidR="00D44F98" w:rsidRDefault="00EB70E0">
            <w:pPr>
              <w:spacing w:before="240"/>
              <w:rPr>
                <w:sz w:val="20"/>
                <w:szCs w:val="20"/>
              </w:rPr>
            </w:pPr>
            <w:r>
              <w:rPr>
                <w:sz w:val="20"/>
                <w:szCs w:val="20"/>
              </w:rPr>
              <w:t>A contract year.</w:t>
            </w:r>
          </w:p>
        </w:tc>
      </w:tr>
    </w:tbl>
    <w:p w14:paraId="1753C01E" w14:textId="77777777" w:rsidR="00D44F98" w:rsidRDefault="00EB70E0">
      <w:pPr>
        <w:spacing w:before="240" w:after="240"/>
      </w:pPr>
      <w:r>
        <w:t xml:space="preserve"> </w:t>
      </w:r>
    </w:p>
    <w:p w14:paraId="02FDF992" w14:textId="77777777" w:rsidR="00D44F98" w:rsidRDefault="00D44F98">
      <w:pPr>
        <w:pageBreakBefore/>
      </w:pPr>
    </w:p>
    <w:p w14:paraId="645C1221" w14:textId="77777777" w:rsidR="00D44F98" w:rsidRDefault="00EB70E0">
      <w:pPr>
        <w:pStyle w:val="Heading2"/>
      </w:pPr>
      <w:bookmarkStart w:id="10" w:name="_Toc33176240"/>
      <w:r>
        <w:t>Schedule 7: GDPR Information</w:t>
      </w:r>
      <w:bookmarkEnd w:id="10"/>
      <w:r>
        <w:t xml:space="preserve"> </w:t>
      </w:r>
    </w:p>
    <w:p w14:paraId="3B306FC1" w14:textId="77777777" w:rsidR="00D44F98" w:rsidRDefault="00EB70E0">
      <w:r>
        <w:t xml:space="preserve">This schedule reproduces the annexes to the GDPR schedule contained within the Framework Agreement and incorporated into this Call-off Contract. </w:t>
      </w:r>
    </w:p>
    <w:p w14:paraId="4C3C21F1" w14:textId="77777777" w:rsidR="00D44F98" w:rsidRDefault="00EB70E0">
      <w:pPr>
        <w:pStyle w:val="Heading3"/>
      </w:pPr>
      <w:r>
        <w:t>Annex 1: Processing Personal Data</w:t>
      </w:r>
    </w:p>
    <w:p w14:paraId="39EF0ACB" w14:textId="77777777" w:rsidR="00D44F98" w:rsidRDefault="00EB70E0">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227DEB55" w14:textId="0123F828" w:rsidR="00D44F98" w:rsidRDefault="00EB70E0">
      <w:r>
        <w:t>1.1</w:t>
      </w:r>
      <w:r>
        <w:tab/>
        <w:t xml:space="preserve">The contact details of the Buyer’s Data Protection Officer are: </w:t>
      </w:r>
      <w:r w:rsidR="00A3102B" w:rsidRPr="00A3102B">
        <w:rPr>
          <w:highlight w:val="black"/>
        </w:rPr>
        <w:t>XXXXXXXXXXX</w:t>
      </w:r>
    </w:p>
    <w:p w14:paraId="53B9F0B2" w14:textId="315A75BA" w:rsidR="00D44F98" w:rsidRDefault="00EB70E0">
      <w:r>
        <w:t>1.2</w:t>
      </w:r>
      <w:r>
        <w:tab/>
        <w:t xml:space="preserve">The contact details of the Supplier’s Data Protection Officer are: </w:t>
      </w:r>
      <w:r w:rsidR="00A3102B" w:rsidRPr="00A3102B">
        <w:rPr>
          <w:highlight w:val="black"/>
        </w:rPr>
        <w:t>XXXXXXXXXXX</w:t>
      </w:r>
    </w:p>
    <w:p w14:paraId="1F53CE2F" w14:textId="77777777" w:rsidR="00D44F98" w:rsidRDefault="00EB70E0">
      <w:pPr>
        <w:ind w:left="720" w:hanging="720"/>
      </w:pPr>
      <w:r>
        <w:t>1.3</w:t>
      </w:r>
      <w:r>
        <w:tab/>
        <w:t>The Processor shall comply with any further written instructions with respect to Processing by the Controller.</w:t>
      </w:r>
    </w:p>
    <w:p w14:paraId="6D199BAA" w14:textId="77777777" w:rsidR="00D44F98" w:rsidRDefault="00EB70E0">
      <w:r>
        <w:t>1.4</w:t>
      </w:r>
      <w:r>
        <w:tab/>
        <w:t>Any such further instructions shall be incorporated into this Annex.</w:t>
      </w:r>
    </w:p>
    <w:p w14:paraId="0A75CA9D" w14:textId="77777777" w:rsidR="00D44F98" w:rsidRDefault="00D44F98"/>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D44F98" w14:paraId="7111A6C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EA9444" w14:textId="77777777" w:rsidR="00D44F98" w:rsidRDefault="00EB70E0">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46ED7D" w14:textId="77777777" w:rsidR="00D44F98" w:rsidRDefault="00EB70E0">
            <w:pPr>
              <w:spacing w:before="240" w:after="240"/>
              <w:jc w:val="center"/>
            </w:pPr>
            <w:r>
              <w:rPr>
                <w:b/>
              </w:rPr>
              <w:t>Details</w:t>
            </w:r>
          </w:p>
        </w:tc>
      </w:tr>
      <w:tr w:rsidR="00D44F98" w14:paraId="3B51F71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372BDB" w14:textId="77777777" w:rsidR="00D44F98" w:rsidRDefault="00EB70E0">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9A4035" w14:textId="77777777" w:rsidR="00D44F98" w:rsidRDefault="00EB70E0">
            <w:pPr>
              <w:spacing w:line="240" w:lineRule="auto"/>
              <w:rPr>
                <w:b/>
              </w:rPr>
            </w:pPr>
            <w:r>
              <w:rPr>
                <w:b/>
              </w:rPr>
              <w:t xml:space="preserve">The Buyer is </w:t>
            </w:r>
            <w:proofErr w:type="gramStart"/>
            <w:r>
              <w:rPr>
                <w:b/>
              </w:rPr>
              <w:t>Controller</w:t>
            </w:r>
            <w:proofErr w:type="gramEnd"/>
            <w:r>
              <w:rPr>
                <w:b/>
              </w:rPr>
              <w:t xml:space="preserve"> and the Supplier is Processor</w:t>
            </w:r>
          </w:p>
          <w:p w14:paraId="309E0E51" w14:textId="77777777" w:rsidR="00D44F98" w:rsidRDefault="00D44F98">
            <w:pPr>
              <w:spacing w:line="240" w:lineRule="auto"/>
              <w:rPr>
                <w:b/>
              </w:rPr>
            </w:pPr>
          </w:p>
          <w:p w14:paraId="3A9803D5" w14:textId="77777777" w:rsidR="00D44F98" w:rsidRDefault="00EB70E0">
            <w:pPr>
              <w:spacing w:line="240" w:lineRule="auto"/>
            </w:pPr>
            <w:r>
              <w:t xml:space="preserve">The Parties acknowledge that in accordance with paragraph 2-15 Framework Agreement Schedule 4 (Where the Party is a Controller and the other Party is Processor) and for the purposes of the Data Protection Legislation, the Buyer is the </w:t>
            </w:r>
            <w:proofErr w:type="gramStart"/>
            <w:r>
              <w:t>Controller</w:t>
            </w:r>
            <w:proofErr w:type="gramEnd"/>
            <w:r>
              <w:t xml:space="preserve"> and the Supplier is the Processor of the following Personal Data:</w:t>
            </w:r>
          </w:p>
          <w:p w14:paraId="74D7C403" w14:textId="77777777" w:rsidR="00D44F98" w:rsidRDefault="00D44F98">
            <w:pPr>
              <w:spacing w:line="240" w:lineRule="auto"/>
            </w:pPr>
          </w:p>
          <w:p w14:paraId="1487ABCA" w14:textId="77777777" w:rsidR="00D44F98" w:rsidRDefault="00EB70E0">
            <w:pPr>
              <w:pStyle w:val="ListParagraph"/>
              <w:numPr>
                <w:ilvl w:val="0"/>
                <w:numId w:val="22"/>
              </w:numPr>
            </w:pPr>
            <w:r>
              <w:t>The personal details used solely to make and receive payments in the United Kingdom</w:t>
            </w:r>
          </w:p>
          <w:p w14:paraId="33D6323C" w14:textId="77777777" w:rsidR="00D44F98" w:rsidRDefault="00D44F98">
            <w:pPr>
              <w:spacing w:line="240" w:lineRule="auto"/>
            </w:pPr>
          </w:p>
        </w:tc>
      </w:tr>
      <w:tr w:rsidR="00D44F98" w14:paraId="3C5F6F3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804E1F" w14:textId="77777777" w:rsidR="00D44F98" w:rsidRDefault="00EB70E0">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41DA46" w14:textId="77777777" w:rsidR="00D44F98" w:rsidRDefault="00EB70E0">
            <w:pPr>
              <w:spacing w:line="240" w:lineRule="auto"/>
            </w:pPr>
            <w:r>
              <w:t>The Processing will continue initially for one year, subject to any term changes</w:t>
            </w:r>
          </w:p>
        </w:tc>
      </w:tr>
      <w:tr w:rsidR="00D44F98" w14:paraId="0B6ACB63" w14:textId="77777777">
        <w:trPr>
          <w:trHeight w:val="589"/>
        </w:trPr>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399ABF" w14:textId="77777777" w:rsidR="00D44F98" w:rsidRDefault="00EB70E0">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F2531A" w14:textId="77777777" w:rsidR="00D44F98" w:rsidRDefault="00EB70E0">
            <w:pPr>
              <w:spacing w:line="240" w:lineRule="auto"/>
            </w:pPr>
            <w:r>
              <w:t>N/A</w:t>
            </w:r>
          </w:p>
        </w:tc>
      </w:tr>
      <w:tr w:rsidR="00D44F98" w14:paraId="2D534A3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095E9F" w14:textId="77777777" w:rsidR="00D44F98" w:rsidRDefault="00EB70E0">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7FC271" w14:textId="77777777" w:rsidR="00D44F98" w:rsidRDefault="00EB70E0">
            <w:pPr>
              <w:spacing w:line="240" w:lineRule="auto"/>
            </w:pPr>
            <w:r>
              <w:t>N/A</w:t>
            </w:r>
          </w:p>
        </w:tc>
      </w:tr>
      <w:tr w:rsidR="00D44F98" w14:paraId="5A325DF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53A9D3" w14:textId="77777777" w:rsidR="00D44F98" w:rsidRDefault="00EB70E0">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A6EF2C" w14:textId="77777777" w:rsidR="00D44F98" w:rsidRDefault="00EB70E0">
            <w:pPr>
              <w:spacing w:line="240" w:lineRule="auto"/>
            </w:pPr>
            <w:r>
              <w:t>N/A</w:t>
            </w:r>
          </w:p>
        </w:tc>
      </w:tr>
      <w:tr w:rsidR="00D44F98" w14:paraId="3F4619B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4CF8F2" w14:textId="77777777" w:rsidR="00D44F98" w:rsidRDefault="00EB70E0">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F738AC" w14:textId="77777777" w:rsidR="00D44F98" w:rsidRDefault="00EB70E0">
            <w:pPr>
              <w:spacing w:line="240" w:lineRule="auto"/>
            </w:pPr>
            <w:r>
              <w:t>N/A</w:t>
            </w:r>
          </w:p>
        </w:tc>
      </w:tr>
    </w:tbl>
    <w:p w14:paraId="7F566037" w14:textId="77777777" w:rsidR="00D44F98" w:rsidRDefault="00D44F98">
      <w:pPr>
        <w:spacing w:before="240" w:after="240"/>
        <w:rPr>
          <w:b/>
        </w:rPr>
      </w:pPr>
    </w:p>
    <w:p w14:paraId="2FB62826" w14:textId="77777777" w:rsidR="00D44F98" w:rsidRDefault="00D44F98">
      <w:pPr>
        <w:pageBreakBefore/>
        <w:rPr>
          <w:sz w:val="24"/>
          <w:szCs w:val="24"/>
        </w:rPr>
      </w:pPr>
    </w:p>
    <w:p w14:paraId="7A2F118B" w14:textId="77777777" w:rsidR="00D44F98" w:rsidRDefault="00EB70E0">
      <w:pPr>
        <w:pStyle w:val="Heading3"/>
      </w:pPr>
      <w:r>
        <w:t>Annex 2: Joint Controller Agreement</w:t>
      </w:r>
    </w:p>
    <w:p w14:paraId="7AC0F63B" w14:textId="77777777" w:rsidR="00D44F98" w:rsidRDefault="00EB70E0">
      <w:pPr>
        <w:pStyle w:val="Heading3"/>
      </w:pPr>
      <w:r>
        <w:t>N/A.</w:t>
      </w:r>
    </w:p>
    <w:p w14:paraId="57B335A3" w14:textId="77777777" w:rsidR="00D44F98" w:rsidRDefault="00D44F98">
      <w:pPr>
        <w:pStyle w:val="ListParagraph"/>
        <w:rPr>
          <w:rFonts w:cs="Calibri"/>
          <w:b/>
        </w:rPr>
      </w:pPr>
    </w:p>
    <w:p w14:paraId="111D7FF7" w14:textId="77777777" w:rsidR="00D44F98" w:rsidRDefault="00D44F98">
      <w:pPr>
        <w:pStyle w:val="ListParagraph"/>
        <w:rPr>
          <w:rFonts w:cs="Calibri"/>
          <w:b/>
        </w:rPr>
      </w:pPr>
    </w:p>
    <w:p w14:paraId="33C2E0BA" w14:textId="77777777" w:rsidR="00D44F98" w:rsidRDefault="00D44F98">
      <w:pPr>
        <w:pStyle w:val="ListParagraph"/>
        <w:rPr>
          <w:rFonts w:cs="Calibri"/>
          <w:b/>
        </w:rPr>
      </w:pPr>
    </w:p>
    <w:p w14:paraId="563409AC" w14:textId="77777777" w:rsidR="00D44F98" w:rsidRDefault="00D44F98">
      <w:pPr>
        <w:pStyle w:val="ListParagraph"/>
        <w:rPr>
          <w:rFonts w:cs="Calibri"/>
          <w:b/>
        </w:rPr>
      </w:pPr>
    </w:p>
    <w:p w14:paraId="2563FDFA" w14:textId="77777777" w:rsidR="00D44F98" w:rsidRDefault="00D44F98">
      <w:pPr>
        <w:pStyle w:val="ListParagraph"/>
        <w:rPr>
          <w:rFonts w:cs="Calibri"/>
          <w:b/>
        </w:rPr>
      </w:pPr>
    </w:p>
    <w:p w14:paraId="08132848" w14:textId="77777777" w:rsidR="00D44F98" w:rsidRDefault="00D44F98">
      <w:pPr>
        <w:pStyle w:val="ListParagraph"/>
        <w:rPr>
          <w:rFonts w:cs="Calibri"/>
          <w:b/>
        </w:rPr>
      </w:pPr>
    </w:p>
    <w:p w14:paraId="61FCF811" w14:textId="77777777" w:rsidR="00D44F98" w:rsidRDefault="00D44F98">
      <w:pPr>
        <w:pStyle w:val="ListParagraph"/>
        <w:rPr>
          <w:rFonts w:cs="Calibri"/>
          <w:b/>
        </w:rPr>
      </w:pPr>
    </w:p>
    <w:p w14:paraId="40C5A0EF" w14:textId="77777777" w:rsidR="00D44F98" w:rsidRDefault="00D44F98">
      <w:pPr>
        <w:pStyle w:val="ListParagraph"/>
        <w:rPr>
          <w:rFonts w:cs="Calibri"/>
          <w:b/>
        </w:rPr>
      </w:pPr>
    </w:p>
    <w:p w14:paraId="78BBB4DB" w14:textId="77777777" w:rsidR="00D44F98" w:rsidRDefault="00D44F98">
      <w:pPr>
        <w:pStyle w:val="ListParagraph"/>
        <w:rPr>
          <w:rFonts w:cs="Calibri"/>
          <w:b/>
        </w:rPr>
      </w:pPr>
    </w:p>
    <w:p w14:paraId="54163310" w14:textId="77777777" w:rsidR="00D44F98" w:rsidRDefault="00D44F98">
      <w:pPr>
        <w:pStyle w:val="ListParagraph"/>
        <w:rPr>
          <w:rFonts w:cs="Calibri"/>
          <w:b/>
        </w:rPr>
      </w:pPr>
    </w:p>
    <w:p w14:paraId="72B1D03D" w14:textId="77777777" w:rsidR="00D44F98" w:rsidRDefault="00D44F98">
      <w:pPr>
        <w:pStyle w:val="ListParagraph"/>
        <w:rPr>
          <w:rFonts w:cs="Calibri"/>
          <w:b/>
        </w:rPr>
      </w:pPr>
    </w:p>
    <w:p w14:paraId="2A8EB5CA" w14:textId="77777777" w:rsidR="00D44F98" w:rsidRDefault="00D44F98">
      <w:pPr>
        <w:pStyle w:val="ListParagraph"/>
        <w:rPr>
          <w:rFonts w:cs="Calibri"/>
          <w:b/>
        </w:rPr>
      </w:pPr>
    </w:p>
    <w:p w14:paraId="3FE0C326" w14:textId="77777777" w:rsidR="00D44F98" w:rsidRDefault="00D44F98">
      <w:pPr>
        <w:pStyle w:val="ListParagraph"/>
        <w:rPr>
          <w:rFonts w:cs="Calibri"/>
          <w:b/>
        </w:rPr>
      </w:pPr>
    </w:p>
    <w:p w14:paraId="2CAB6E8F" w14:textId="77777777" w:rsidR="00D44F98" w:rsidRDefault="00D44F98">
      <w:pPr>
        <w:pStyle w:val="ListParagraph"/>
        <w:rPr>
          <w:rFonts w:cs="Calibri"/>
          <w:b/>
        </w:rPr>
      </w:pPr>
    </w:p>
    <w:p w14:paraId="47BD310D" w14:textId="77777777" w:rsidR="00D44F98" w:rsidRDefault="00D44F98">
      <w:pPr>
        <w:pStyle w:val="ListParagraph"/>
        <w:rPr>
          <w:rFonts w:cs="Calibri"/>
          <w:b/>
        </w:rPr>
      </w:pPr>
    </w:p>
    <w:p w14:paraId="400F960A" w14:textId="77777777" w:rsidR="00D44F98" w:rsidRDefault="00D44F98">
      <w:pPr>
        <w:pStyle w:val="ListParagraph"/>
        <w:rPr>
          <w:rFonts w:cs="Calibri"/>
          <w:b/>
        </w:rPr>
      </w:pPr>
    </w:p>
    <w:p w14:paraId="30FBE110" w14:textId="77777777" w:rsidR="00D44F98" w:rsidRDefault="00D44F98">
      <w:pPr>
        <w:pStyle w:val="ListParagraph"/>
        <w:rPr>
          <w:rFonts w:cs="Calibri"/>
          <w:b/>
        </w:rPr>
      </w:pPr>
    </w:p>
    <w:p w14:paraId="49F5FE13" w14:textId="77777777" w:rsidR="00D44F98" w:rsidRDefault="00D44F98">
      <w:pPr>
        <w:pStyle w:val="ListParagraph"/>
        <w:rPr>
          <w:rFonts w:cs="Calibri"/>
          <w:b/>
        </w:rPr>
      </w:pPr>
    </w:p>
    <w:p w14:paraId="7D2101E1" w14:textId="77777777" w:rsidR="00D44F98" w:rsidRDefault="00D44F98">
      <w:pPr>
        <w:pStyle w:val="ListParagraph"/>
        <w:rPr>
          <w:rFonts w:cs="Calibri"/>
          <w:b/>
        </w:rPr>
      </w:pPr>
    </w:p>
    <w:p w14:paraId="765212EA" w14:textId="77777777" w:rsidR="00D44F98" w:rsidRDefault="00D44F98">
      <w:pPr>
        <w:pStyle w:val="ListParagraph"/>
        <w:rPr>
          <w:rFonts w:cs="Calibri"/>
          <w:b/>
        </w:rPr>
      </w:pPr>
    </w:p>
    <w:p w14:paraId="45AC96B7" w14:textId="77777777" w:rsidR="00D44F98" w:rsidRDefault="00D44F98">
      <w:pPr>
        <w:pStyle w:val="ListParagraph"/>
        <w:rPr>
          <w:rFonts w:cs="Calibri"/>
          <w:b/>
        </w:rPr>
      </w:pPr>
    </w:p>
    <w:p w14:paraId="091EC021" w14:textId="77777777" w:rsidR="00D44F98" w:rsidRDefault="00D44F98">
      <w:pPr>
        <w:pStyle w:val="ListParagraph"/>
        <w:rPr>
          <w:rFonts w:cs="Calibri"/>
          <w:b/>
        </w:rPr>
      </w:pPr>
    </w:p>
    <w:p w14:paraId="7BBD56B3" w14:textId="77777777" w:rsidR="00D44F98" w:rsidRDefault="00D44F98">
      <w:pPr>
        <w:pStyle w:val="ListParagraph"/>
        <w:rPr>
          <w:rFonts w:cs="Calibri"/>
          <w:b/>
        </w:rPr>
      </w:pPr>
    </w:p>
    <w:p w14:paraId="29B41162" w14:textId="77777777" w:rsidR="00D44F98" w:rsidRDefault="00D44F98">
      <w:pPr>
        <w:pStyle w:val="ListParagraph"/>
        <w:rPr>
          <w:rFonts w:cs="Calibri"/>
          <w:b/>
        </w:rPr>
      </w:pPr>
    </w:p>
    <w:p w14:paraId="7C0B95EB" w14:textId="77777777" w:rsidR="00D44F98" w:rsidRDefault="00D44F98">
      <w:pPr>
        <w:pStyle w:val="ListParagraph"/>
        <w:rPr>
          <w:rFonts w:cs="Calibri"/>
          <w:b/>
        </w:rPr>
      </w:pPr>
    </w:p>
    <w:p w14:paraId="638356D9" w14:textId="77777777" w:rsidR="00D44F98" w:rsidRDefault="00D44F98">
      <w:pPr>
        <w:pStyle w:val="ListParagraph"/>
        <w:rPr>
          <w:rFonts w:cs="Calibri"/>
          <w:b/>
        </w:rPr>
      </w:pPr>
    </w:p>
    <w:p w14:paraId="40A7B40D" w14:textId="77777777" w:rsidR="00D44F98" w:rsidRDefault="00D44F98">
      <w:pPr>
        <w:pStyle w:val="ListParagraph"/>
        <w:rPr>
          <w:rFonts w:cs="Calibri"/>
          <w:b/>
        </w:rPr>
      </w:pPr>
    </w:p>
    <w:p w14:paraId="7CB31BCE" w14:textId="77777777" w:rsidR="00D44F98" w:rsidRDefault="00D44F98">
      <w:pPr>
        <w:pStyle w:val="ListParagraph"/>
        <w:rPr>
          <w:rFonts w:cs="Calibri"/>
          <w:b/>
        </w:rPr>
      </w:pPr>
    </w:p>
    <w:p w14:paraId="7E3E99CE" w14:textId="77777777" w:rsidR="00D44F98" w:rsidRDefault="00D44F98">
      <w:pPr>
        <w:pStyle w:val="ListParagraph"/>
        <w:rPr>
          <w:rFonts w:cs="Calibri"/>
          <w:b/>
        </w:rPr>
      </w:pPr>
    </w:p>
    <w:p w14:paraId="429F6A4C" w14:textId="77777777" w:rsidR="00D44F98" w:rsidRDefault="00D44F98">
      <w:pPr>
        <w:pStyle w:val="ListParagraph"/>
        <w:rPr>
          <w:rFonts w:cs="Calibri"/>
          <w:b/>
        </w:rPr>
      </w:pPr>
    </w:p>
    <w:p w14:paraId="78BDC630" w14:textId="77777777" w:rsidR="00D44F98" w:rsidRDefault="00D44F98">
      <w:pPr>
        <w:pStyle w:val="ListParagraph"/>
        <w:rPr>
          <w:rFonts w:cs="Calibri"/>
          <w:b/>
        </w:rPr>
      </w:pPr>
    </w:p>
    <w:p w14:paraId="236924D0" w14:textId="77777777" w:rsidR="00D44F98" w:rsidRDefault="00D44F98">
      <w:pPr>
        <w:pStyle w:val="ListParagraph"/>
        <w:rPr>
          <w:rFonts w:cs="Calibri"/>
          <w:b/>
        </w:rPr>
      </w:pPr>
    </w:p>
    <w:p w14:paraId="13B5FF54" w14:textId="77777777" w:rsidR="00D44F98" w:rsidRDefault="00D44F98">
      <w:pPr>
        <w:pStyle w:val="ListParagraph"/>
        <w:rPr>
          <w:rFonts w:cs="Calibri"/>
          <w:b/>
        </w:rPr>
      </w:pPr>
    </w:p>
    <w:p w14:paraId="48110318" w14:textId="77777777" w:rsidR="00D44F98" w:rsidRDefault="00D44F98">
      <w:pPr>
        <w:pStyle w:val="ListParagraph"/>
        <w:rPr>
          <w:rFonts w:cs="Calibri"/>
          <w:b/>
        </w:rPr>
      </w:pPr>
    </w:p>
    <w:p w14:paraId="4FB097CB" w14:textId="77777777" w:rsidR="00D44F98" w:rsidRDefault="00D44F98">
      <w:pPr>
        <w:pStyle w:val="ListParagraph"/>
        <w:rPr>
          <w:rFonts w:cs="Calibri"/>
          <w:b/>
        </w:rPr>
      </w:pPr>
    </w:p>
    <w:p w14:paraId="44BC2C0D" w14:textId="77777777" w:rsidR="00D44F98" w:rsidRDefault="00D44F98">
      <w:pPr>
        <w:pStyle w:val="ListParagraph"/>
        <w:rPr>
          <w:rFonts w:cs="Calibri"/>
          <w:b/>
        </w:rPr>
      </w:pPr>
    </w:p>
    <w:p w14:paraId="01F2B862" w14:textId="77777777" w:rsidR="00D44F98" w:rsidRDefault="00D44F98">
      <w:pPr>
        <w:pStyle w:val="ListParagraph"/>
        <w:rPr>
          <w:rFonts w:cs="Calibri"/>
          <w:b/>
        </w:rPr>
      </w:pPr>
    </w:p>
    <w:p w14:paraId="579829EB" w14:textId="77777777" w:rsidR="00D44F98" w:rsidRDefault="00D44F98">
      <w:pPr>
        <w:pStyle w:val="ListParagraph"/>
        <w:rPr>
          <w:rFonts w:cs="Calibri"/>
          <w:b/>
        </w:rPr>
      </w:pPr>
    </w:p>
    <w:p w14:paraId="038CFD8F" w14:textId="77777777" w:rsidR="00D44F98" w:rsidRDefault="00D44F98">
      <w:pPr>
        <w:pStyle w:val="ListParagraph"/>
        <w:rPr>
          <w:rFonts w:cs="Calibri"/>
          <w:b/>
        </w:rPr>
      </w:pPr>
    </w:p>
    <w:p w14:paraId="52E8119E" w14:textId="77777777" w:rsidR="00D44F98" w:rsidRDefault="00EB70E0">
      <w:pPr>
        <w:ind w:left="142" w:right="394"/>
        <w:jc w:val="both"/>
      </w:pPr>
      <w:r>
        <w:rPr>
          <w:noProof/>
        </w:rPr>
        <w:lastRenderedPageBreak/>
        <w:drawing>
          <wp:inline distT="0" distB="0" distL="0" distR="0" wp14:anchorId="0A3A0AD1" wp14:editId="6FBD9B43">
            <wp:extent cx="1444102" cy="859307"/>
            <wp:effectExtent l="0" t="0" r="3698" b="0"/>
            <wp:docPr id="9" name="Picture 234" descr="C:\Users\7219689\AppData\Local\Microsoft\Windows\INetCache\Content.Word\HM_Revenue_&amp;_Custom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rcRect/>
                    <a:stretch>
                      <a:fillRect/>
                    </a:stretch>
                  </pic:blipFill>
                  <pic:spPr>
                    <a:xfrm>
                      <a:off x="0" y="0"/>
                      <a:ext cx="1444102" cy="859307"/>
                    </a:xfrm>
                    <a:prstGeom prst="rect">
                      <a:avLst/>
                    </a:prstGeom>
                    <a:noFill/>
                    <a:ln>
                      <a:noFill/>
                      <a:prstDash/>
                    </a:ln>
                  </pic:spPr>
                </pic:pic>
              </a:graphicData>
            </a:graphic>
          </wp:inline>
        </w:drawing>
      </w:r>
    </w:p>
    <w:p w14:paraId="2BF8BCDB" w14:textId="77777777" w:rsidR="00D44F98" w:rsidRDefault="00EB70E0">
      <w:pPr>
        <w:ind w:left="142" w:right="394"/>
        <w:jc w:val="center"/>
        <w:rPr>
          <w:rFonts w:cs="Calibri"/>
          <w:b/>
        </w:rPr>
      </w:pPr>
      <w:r>
        <w:rPr>
          <w:rFonts w:cs="Calibri"/>
          <w:b/>
        </w:rPr>
        <w:t>AUTHORITY’S MANDATORY TERMS</w:t>
      </w:r>
    </w:p>
    <w:p w14:paraId="0071EAF7" w14:textId="77777777" w:rsidR="00D44F98" w:rsidRDefault="00EB70E0">
      <w:pPr>
        <w:pStyle w:val="BodyText"/>
        <w:numPr>
          <w:ilvl w:val="0"/>
          <w:numId w:val="23"/>
        </w:numPr>
        <w:spacing w:before="121"/>
        <w:ind w:left="567" w:right="394" w:hanging="425"/>
        <w:jc w:val="both"/>
      </w:pPr>
      <w:r>
        <w:rPr>
          <w:rFonts w:ascii="Calibri" w:hAnsi="Calibri" w:cs="Calibri"/>
          <w:sz w:val="22"/>
          <w:szCs w:val="22"/>
        </w:rPr>
        <w:t>For the avoidance of doubt, references to ‘the Agreement’ mean the attached Call-Off Contract between</w:t>
      </w:r>
      <w:r>
        <w:rPr>
          <w:rFonts w:ascii="Calibri" w:hAnsi="Calibri" w:cs="Calibri"/>
          <w:spacing w:val="-8"/>
          <w:sz w:val="22"/>
          <w:szCs w:val="22"/>
        </w:rPr>
        <w:t xml:space="preserve"> </w:t>
      </w:r>
      <w:r>
        <w:rPr>
          <w:rFonts w:ascii="Calibri" w:hAnsi="Calibri" w:cs="Calibri"/>
          <w:sz w:val="22"/>
          <w:szCs w:val="22"/>
        </w:rPr>
        <w:t>the Supplier and</w:t>
      </w:r>
      <w:r>
        <w:rPr>
          <w:rFonts w:ascii="Calibri" w:hAnsi="Calibri" w:cs="Calibri"/>
          <w:spacing w:val="-9"/>
          <w:sz w:val="22"/>
          <w:szCs w:val="22"/>
        </w:rPr>
        <w:t xml:space="preserve"> </w:t>
      </w:r>
      <w:r>
        <w:rPr>
          <w:rFonts w:ascii="Calibri" w:hAnsi="Calibri" w:cs="Calibri"/>
          <w:sz w:val="22"/>
          <w:szCs w:val="22"/>
        </w:rPr>
        <w:t xml:space="preserve">the Authority. </w:t>
      </w:r>
      <w:r>
        <w:rPr>
          <w:rFonts w:ascii="Calibri" w:hAnsi="Calibri" w:cs="Calibri"/>
          <w:spacing w:val="-9"/>
          <w:sz w:val="22"/>
          <w:szCs w:val="22"/>
        </w:rPr>
        <w:t>References to ‘the Authority’ mean ‘the Buyer’ (the Commissioners for Her Majesty’s Revenue and Customs).</w:t>
      </w:r>
    </w:p>
    <w:p w14:paraId="2D4FAB32" w14:textId="77777777" w:rsidR="00D44F98" w:rsidRDefault="00EB70E0">
      <w:pPr>
        <w:pStyle w:val="BodyText"/>
        <w:numPr>
          <w:ilvl w:val="0"/>
          <w:numId w:val="23"/>
        </w:numPr>
        <w:spacing w:before="121"/>
        <w:ind w:left="567" w:right="394" w:hanging="425"/>
        <w:jc w:val="both"/>
      </w:pPr>
      <w:r>
        <w:rPr>
          <w:rFonts w:ascii="Calibri" w:hAnsi="Calibri" w:cs="Calibri"/>
          <w:sz w:val="22"/>
          <w:szCs w:val="22"/>
        </w:rPr>
        <w:t>The Agreement incorporates the Authority’s mandatory terms set out in this Schedule</w:t>
      </w:r>
      <w:r>
        <w:rPr>
          <w:rFonts w:ascii="Calibri" w:hAnsi="Calibri" w:cs="Calibri"/>
          <w:spacing w:val="-9"/>
          <w:sz w:val="22"/>
          <w:szCs w:val="22"/>
        </w:rPr>
        <w:t xml:space="preserve">. </w:t>
      </w:r>
    </w:p>
    <w:p w14:paraId="6467701C" w14:textId="77777777" w:rsidR="00D44F98" w:rsidRDefault="00EB70E0">
      <w:pPr>
        <w:pStyle w:val="BodyText"/>
        <w:numPr>
          <w:ilvl w:val="0"/>
          <w:numId w:val="23"/>
        </w:numPr>
        <w:spacing w:before="121"/>
        <w:ind w:left="567" w:right="394" w:hanging="425"/>
        <w:jc w:val="both"/>
        <w:rPr>
          <w:rFonts w:ascii="Calibri" w:hAnsi="Calibri" w:cs="Calibri"/>
          <w:sz w:val="22"/>
          <w:szCs w:val="22"/>
        </w:rPr>
      </w:pPr>
      <w:r>
        <w:rPr>
          <w:rFonts w:ascii="Calibri" w:hAnsi="Calibri" w:cs="Calibri"/>
          <w:sz w:val="22"/>
          <w:szCs w:val="22"/>
        </w:rPr>
        <w:t xml:space="preserve">In case of any ambiguity or conflict, the Authority’s mandatory terms in this Schedule will supersede any other terms in the Agreement.  </w:t>
      </w:r>
    </w:p>
    <w:p w14:paraId="6F44CA6F" w14:textId="77777777" w:rsidR="00D44F98" w:rsidRDefault="00EB70E0">
      <w:pPr>
        <w:pStyle w:val="BodyText"/>
        <w:numPr>
          <w:ilvl w:val="0"/>
          <w:numId w:val="23"/>
        </w:numPr>
        <w:spacing w:before="121"/>
        <w:ind w:left="567" w:right="394" w:hanging="425"/>
        <w:jc w:val="both"/>
        <w:rPr>
          <w:rFonts w:ascii="Calibri" w:hAnsi="Calibri" w:cs="Calibri"/>
          <w:sz w:val="22"/>
          <w:szCs w:val="22"/>
        </w:rPr>
      </w:pPr>
      <w:r>
        <w:rPr>
          <w:rFonts w:ascii="Calibri" w:hAnsi="Calibri" w:cs="Calibri"/>
          <w:sz w:val="22"/>
          <w:szCs w:val="22"/>
        </w:rPr>
        <w:t>For the avoidance of doubt, the relevant definitions for the purposes of the defined terms set out in the Authority’s mandatory terms in this Schedule are the definitions set out at Clause 1 of this Schedule.</w:t>
      </w:r>
    </w:p>
    <w:p w14:paraId="3D16E7D4" w14:textId="77777777" w:rsidR="00D44F98" w:rsidRDefault="00D44F98">
      <w:pPr>
        <w:pStyle w:val="ListParagraph"/>
        <w:ind w:left="426"/>
        <w:rPr>
          <w:rFonts w:cs="Calibri"/>
          <w:b/>
        </w:rPr>
      </w:pPr>
    </w:p>
    <w:p w14:paraId="32C8923F" w14:textId="77777777" w:rsidR="00D44F98" w:rsidRDefault="00EB70E0">
      <w:pPr>
        <w:pStyle w:val="ListParagraph"/>
        <w:numPr>
          <w:ilvl w:val="0"/>
          <w:numId w:val="24"/>
        </w:numPr>
        <w:suppressAutoHyphens w:val="0"/>
        <w:spacing w:after="160" w:line="244" w:lineRule="auto"/>
        <w:ind w:left="426" w:hanging="426"/>
        <w:contextualSpacing/>
        <w:textAlignment w:val="auto"/>
        <w:rPr>
          <w:rFonts w:cs="Calibri"/>
          <w:b/>
        </w:rPr>
      </w:pPr>
      <w:r>
        <w:rPr>
          <w:rFonts w:cs="Calibri"/>
          <w:b/>
        </w:rPr>
        <w:t xml:space="preserve">Definitions </w:t>
      </w:r>
    </w:p>
    <w:tbl>
      <w:tblPr>
        <w:tblW w:w="8918" w:type="dxa"/>
        <w:tblInd w:w="108" w:type="dxa"/>
        <w:tblCellMar>
          <w:left w:w="10" w:type="dxa"/>
          <w:right w:w="10" w:type="dxa"/>
        </w:tblCellMar>
        <w:tblLook w:val="0000" w:firstRow="0" w:lastRow="0" w:firstColumn="0" w:lastColumn="0" w:noHBand="0" w:noVBand="0"/>
      </w:tblPr>
      <w:tblGrid>
        <w:gridCol w:w="2160"/>
        <w:gridCol w:w="6758"/>
      </w:tblGrid>
      <w:tr w:rsidR="00D44F98" w14:paraId="54AF1B96" w14:textId="77777777">
        <w:tc>
          <w:tcPr>
            <w:tcW w:w="2160" w:type="dxa"/>
            <w:shd w:val="clear" w:color="auto" w:fill="auto"/>
            <w:tcMar>
              <w:top w:w="0" w:type="dxa"/>
              <w:left w:w="108" w:type="dxa"/>
              <w:bottom w:w="0" w:type="dxa"/>
              <w:right w:w="108" w:type="dxa"/>
            </w:tcMar>
          </w:tcPr>
          <w:p w14:paraId="539F59BF" w14:textId="77777777" w:rsidR="00D44F98" w:rsidRDefault="00EB70E0">
            <w:pPr>
              <w:rPr>
                <w:rFonts w:cs="Calibri"/>
                <w:b/>
              </w:rPr>
            </w:pPr>
            <w:r>
              <w:rPr>
                <w:rFonts w:cs="Calibri"/>
                <w:b/>
              </w:rPr>
              <w:t>“Affiliate”</w:t>
            </w:r>
          </w:p>
        </w:tc>
        <w:tc>
          <w:tcPr>
            <w:tcW w:w="6758" w:type="dxa"/>
            <w:shd w:val="clear" w:color="auto" w:fill="auto"/>
            <w:tcMar>
              <w:top w:w="0" w:type="dxa"/>
              <w:left w:w="108" w:type="dxa"/>
              <w:bottom w:w="0" w:type="dxa"/>
              <w:right w:w="108" w:type="dxa"/>
            </w:tcMar>
          </w:tcPr>
          <w:p w14:paraId="2342CC94" w14:textId="77777777" w:rsidR="00D44F98" w:rsidRDefault="00EB70E0">
            <w:r>
              <w:t>in relation to a body corporate, any other entity which directly or indirectly Controls, is Controlled by, or is under direct or indirect common Control with, that body corporate from time to time;</w:t>
            </w:r>
          </w:p>
        </w:tc>
      </w:tr>
      <w:tr w:rsidR="00D44F98" w14:paraId="4FB621DB" w14:textId="77777777">
        <w:tc>
          <w:tcPr>
            <w:tcW w:w="2160" w:type="dxa"/>
            <w:shd w:val="clear" w:color="auto" w:fill="auto"/>
            <w:tcMar>
              <w:top w:w="0" w:type="dxa"/>
              <w:left w:w="108" w:type="dxa"/>
              <w:bottom w:w="0" w:type="dxa"/>
              <w:right w:w="108" w:type="dxa"/>
            </w:tcMar>
          </w:tcPr>
          <w:p w14:paraId="5CC230D1" w14:textId="77777777" w:rsidR="00D44F98" w:rsidRDefault="00EB70E0">
            <w:pPr>
              <w:rPr>
                <w:rFonts w:cs="Calibri"/>
                <w:b/>
              </w:rPr>
            </w:pPr>
            <w:r>
              <w:rPr>
                <w:rFonts w:cs="Calibri"/>
                <w:b/>
              </w:rPr>
              <w:t>“Authority Data”</w:t>
            </w:r>
          </w:p>
        </w:tc>
        <w:tc>
          <w:tcPr>
            <w:tcW w:w="6758" w:type="dxa"/>
            <w:shd w:val="clear" w:color="auto" w:fill="auto"/>
            <w:tcMar>
              <w:top w:w="0" w:type="dxa"/>
              <w:left w:w="108" w:type="dxa"/>
              <w:bottom w:w="0" w:type="dxa"/>
              <w:right w:w="108" w:type="dxa"/>
            </w:tcMar>
          </w:tcPr>
          <w:p w14:paraId="20D7AE46" w14:textId="77777777" w:rsidR="00D44F98" w:rsidRDefault="00EB70E0">
            <w:pPr>
              <w:pStyle w:val="ListParagraph"/>
              <w:numPr>
                <w:ilvl w:val="0"/>
                <w:numId w:val="25"/>
              </w:numPr>
              <w:suppressAutoHyphens w:val="0"/>
              <w:spacing w:after="160" w:line="244" w:lineRule="auto"/>
              <w:contextualSpacing/>
              <w:textAlignment w:val="auto"/>
              <w:rPr>
                <w:rFonts w:cs="Calibri"/>
              </w:rPr>
            </w:pPr>
            <w:r>
              <w:rPr>
                <w:rFonts w:cs="Calibri"/>
              </w:rPr>
              <w:t xml:space="preserve">the data, text, drawings, diagrams, </w:t>
            </w:r>
            <w:proofErr w:type="gramStart"/>
            <w:r>
              <w:rPr>
                <w:rFonts w:cs="Calibri"/>
              </w:rPr>
              <w:t>images</w:t>
            </w:r>
            <w:proofErr w:type="gramEnd"/>
            <w:r>
              <w:rPr>
                <w:rFonts w:cs="Calibri"/>
              </w:rPr>
              <w:t xml:space="preserve"> or sounds (together with any database made up of any of these) which are embodied in any electronic, magnetic, optical or tangible media, and which are:</w:t>
            </w:r>
          </w:p>
          <w:p w14:paraId="0D457FEF" w14:textId="77777777" w:rsidR="00D44F98" w:rsidRDefault="00EB70E0">
            <w:pPr>
              <w:numPr>
                <w:ilvl w:val="3"/>
                <w:numId w:val="25"/>
              </w:numPr>
              <w:tabs>
                <w:tab w:val="left" w:pos="759"/>
              </w:tabs>
              <w:suppressAutoHyphens w:val="0"/>
              <w:spacing w:after="160" w:line="244" w:lineRule="auto"/>
              <w:ind w:left="829" w:hanging="283"/>
              <w:textAlignment w:val="auto"/>
              <w:rPr>
                <w:rFonts w:cs="Calibri"/>
              </w:rPr>
            </w:pPr>
            <w:r>
              <w:rPr>
                <w:rFonts w:cs="Calibri"/>
              </w:rPr>
              <w:t xml:space="preserve">supplied to the Supplier by or on behalf of the Authority; and/or </w:t>
            </w:r>
          </w:p>
          <w:p w14:paraId="3E49B8C2" w14:textId="77777777" w:rsidR="00D44F98" w:rsidRDefault="00EB70E0">
            <w:pPr>
              <w:numPr>
                <w:ilvl w:val="3"/>
                <w:numId w:val="25"/>
              </w:numPr>
              <w:tabs>
                <w:tab w:val="left" w:pos="759"/>
              </w:tabs>
              <w:suppressAutoHyphens w:val="0"/>
              <w:spacing w:after="160" w:line="244" w:lineRule="auto"/>
              <w:ind w:left="829" w:hanging="283"/>
              <w:textAlignment w:val="auto"/>
              <w:rPr>
                <w:rFonts w:cs="Calibri"/>
              </w:rPr>
            </w:pPr>
            <w:r>
              <w:rPr>
                <w:rFonts w:cs="Calibri"/>
              </w:rPr>
              <w:t>which the Supplier is required to generate, process, store or transmit pursuant to this Agreement; or</w:t>
            </w:r>
          </w:p>
          <w:p w14:paraId="2D41C883" w14:textId="77777777" w:rsidR="00D44F98" w:rsidRDefault="00EB70E0">
            <w:pPr>
              <w:pStyle w:val="ListParagraph"/>
              <w:numPr>
                <w:ilvl w:val="0"/>
                <w:numId w:val="25"/>
              </w:numPr>
              <w:suppressAutoHyphens w:val="0"/>
              <w:spacing w:after="160" w:line="244" w:lineRule="auto"/>
              <w:contextualSpacing/>
              <w:textAlignment w:val="auto"/>
              <w:rPr>
                <w:rFonts w:cs="Calibri"/>
              </w:rPr>
            </w:pPr>
            <w:r>
              <w:rPr>
                <w:rFonts w:cs="Calibri"/>
              </w:rPr>
              <w:t>any Personal Data for which the Authority is the Controller, or any data derived from such Personal Data which has had any designatory data identifiers removed so that an individual cannot be identified;</w:t>
            </w:r>
          </w:p>
        </w:tc>
      </w:tr>
      <w:tr w:rsidR="00D44F98" w14:paraId="46D1487E" w14:textId="77777777">
        <w:tc>
          <w:tcPr>
            <w:tcW w:w="2160" w:type="dxa"/>
            <w:shd w:val="clear" w:color="auto" w:fill="auto"/>
            <w:tcMar>
              <w:top w:w="0" w:type="dxa"/>
              <w:left w:w="108" w:type="dxa"/>
              <w:bottom w:w="0" w:type="dxa"/>
              <w:right w:w="108" w:type="dxa"/>
            </w:tcMar>
          </w:tcPr>
          <w:p w14:paraId="193DA75A" w14:textId="77777777" w:rsidR="00D44F98" w:rsidRDefault="00EB70E0">
            <w:r>
              <w:rPr>
                <w:rFonts w:ascii="Calibri" w:eastAsia="Times New Roman" w:hAnsi="Calibri" w:cs="Calibri"/>
                <w:b/>
                <w:bCs/>
              </w:rPr>
              <w:t>“Charges”</w:t>
            </w:r>
            <w:r>
              <w:rPr>
                <w:rFonts w:ascii="Calibri" w:eastAsia="Times New Roman" w:hAnsi="Calibri" w:cs="Calibri"/>
              </w:rPr>
              <w:t> </w:t>
            </w:r>
          </w:p>
        </w:tc>
        <w:tc>
          <w:tcPr>
            <w:tcW w:w="6758" w:type="dxa"/>
            <w:shd w:val="clear" w:color="auto" w:fill="auto"/>
            <w:tcMar>
              <w:top w:w="0" w:type="dxa"/>
              <w:left w:w="108" w:type="dxa"/>
              <w:bottom w:w="0" w:type="dxa"/>
              <w:right w:w="108" w:type="dxa"/>
            </w:tcMar>
          </w:tcPr>
          <w:p w14:paraId="6D49E489" w14:textId="77777777" w:rsidR="00D44F98" w:rsidRDefault="00EB70E0">
            <w:r>
              <w:rPr>
                <w:rFonts w:ascii="Calibri" w:eastAsia="Times New Roman" w:hAnsi="Calibri" w:cs="Calibri"/>
              </w:rPr>
              <w:t>the charges for the Services as specified in this call off;</w:t>
            </w:r>
          </w:p>
        </w:tc>
      </w:tr>
      <w:tr w:rsidR="00D44F98" w14:paraId="571E84A2" w14:textId="77777777">
        <w:tc>
          <w:tcPr>
            <w:tcW w:w="2160" w:type="dxa"/>
            <w:shd w:val="clear" w:color="auto" w:fill="auto"/>
            <w:tcMar>
              <w:top w:w="0" w:type="dxa"/>
              <w:left w:w="108" w:type="dxa"/>
              <w:bottom w:w="0" w:type="dxa"/>
              <w:right w:w="108" w:type="dxa"/>
            </w:tcMar>
          </w:tcPr>
          <w:p w14:paraId="65D6D2D4" w14:textId="77777777" w:rsidR="00D44F98" w:rsidRDefault="00EB70E0">
            <w:r>
              <w:rPr>
                <w:rFonts w:cs="Calibri"/>
                <w:b/>
              </w:rPr>
              <w:t>“Connected Company”</w:t>
            </w:r>
          </w:p>
        </w:tc>
        <w:tc>
          <w:tcPr>
            <w:tcW w:w="6758" w:type="dxa"/>
            <w:shd w:val="clear" w:color="auto" w:fill="auto"/>
            <w:tcMar>
              <w:top w:w="0" w:type="dxa"/>
              <w:left w:w="108" w:type="dxa"/>
              <w:bottom w:w="0" w:type="dxa"/>
              <w:right w:w="108" w:type="dxa"/>
            </w:tcMar>
          </w:tcPr>
          <w:p w14:paraId="7D62ECAC" w14:textId="77777777" w:rsidR="00D44F98" w:rsidRDefault="00EB70E0">
            <w:pPr>
              <w:contextualSpacing/>
              <w:jc w:val="both"/>
              <w:rPr>
                <w:rFonts w:eastAsia="Times New Roman" w:cs="Calibri"/>
              </w:rPr>
            </w:pPr>
            <w:r>
              <w:rPr>
                <w:rFonts w:eastAsia="Times New Roman" w:cs="Calibri"/>
              </w:rPr>
              <w:t>means, in relation to a company, entity or other person, the Affiliates of that company, entity or other person or any other person associated with such company, entity or other person;</w:t>
            </w:r>
          </w:p>
        </w:tc>
      </w:tr>
      <w:tr w:rsidR="00D44F98" w14:paraId="1AF5D834" w14:textId="77777777">
        <w:tc>
          <w:tcPr>
            <w:tcW w:w="2160" w:type="dxa"/>
            <w:shd w:val="clear" w:color="auto" w:fill="auto"/>
            <w:tcMar>
              <w:top w:w="0" w:type="dxa"/>
              <w:left w:w="108" w:type="dxa"/>
              <w:bottom w:w="0" w:type="dxa"/>
              <w:right w:w="108" w:type="dxa"/>
            </w:tcMar>
          </w:tcPr>
          <w:p w14:paraId="48D32852" w14:textId="77777777" w:rsidR="00D44F98" w:rsidRDefault="00EB70E0">
            <w:pPr>
              <w:rPr>
                <w:rFonts w:cs="Calibri"/>
                <w:b/>
              </w:rPr>
            </w:pPr>
            <w:r>
              <w:rPr>
                <w:rFonts w:cs="Calibri"/>
                <w:b/>
              </w:rPr>
              <w:t>“Control”</w:t>
            </w:r>
          </w:p>
        </w:tc>
        <w:tc>
          <w:tcPr>
            <w:tcW w:w="6758" w:type="dxa"/>
            <w:shd w:val="clear" w:color="auto" w:fill="auto"/>
            <w:tcMar>
              <w:top w:w="0" w:type="dxa"/>
              <w:left w:w="108" w:type="dxa"/>
              <w:bottom w:w="0" w:type="dxa"/>
              <w:right w:w="108" w:type="dxa"/>
            </w:tcMar>
          </w:tcPr>
          <w:p w14:paraId="67BEBA16" w14:textId="77777777" w:rsidR="00D44F98" w:rsidRDefault="00EB70E0">
            <w:pPr>
              <w:contextualSpacing/>
              <w:jc w:val="both"/>
            </w:pPr>
            <w:r>
              <w:t xml:space="preserve">the possession by </w:t>
            </w:r>
            <w:proofErr w:type="gramStart"/>
            <w:r>
              <w:t>a  person</w:t>
            </w:r>
            <w:proofErr w:type="gramEnd"/>
            <w:r>
              <w:t xml:space="preserve">, directly or indirectly, of the power to direct or cause the direction of the management and policies of the other person (whether through the ownership of voting shares, by contract or otherwise) and </w:t>
            </w:r>
            <w:r>
              <w:rPr>
                <w:bCs/>
              </w:rPr>
              <w:t>“</w:t>
            </w:r>
            <w:r>
              <w:t xml:space="preserve">Controls” and </w:t>
            </w:r>
            <w:r>
              <w:rPr>
                <w:bCs/>
              </w:rPr>
              <w:t>“</w:t>
            </w:r>
            <w:r>
              <w:t>Controlled” shall be interpreted accordingly;</w:t>
            </w:r>
          </w:p>
        </w:tc>
      </w:tr>
      <w:tr w:rsidR="00D44F98" w14:paraId="65EE925A" w14:textId="77777777">
        <w:tc>
          <w:tcPr>
            <w:tcW w:w="2160" w:type="dxa"/>
            <w:shd w:val="clear" w:color="auto" w:fill="auto"/>
            <w:tcMar>
              <w:top w:w="0" w:type="dxa"/>
              <w:left w:w="108" w:type="dxa"/>
              <w:bottom w:w="0" w:type="dxa"/>
              <w:right w:w="108" w:type="dxa"/>
            </w:tcMar>
          </w:tcPr>
          <w:p w14:paraId="6474002E" w14:textId="77777777" w:rsidR="00D44F98" w:rsidRDefault="00EB70E0">
            <w:pPr>
              <w:rPr>
                <w:rFonts w:cs="Calibri"/>
                <w:b/>
              </w:rPr>
            </w:pPr>
            <w:r>
              <w:rPr>
                <w:rFonts w:cs="Calibri"/>
                <w:b/>
              </w:rPr>
              <w:t>“Controller”, “Processor”, “Data Subject”,</w:t>
            </w:r>
          </w:p>
        </w:tc>
        <w:tc>
          <w:tcPr>
            <w:tcW w:w="6758" w:type="dxa"/>
            <w:shd w:val="clear" w:color="auto" w:fill="auto"/>
            <w:tcMar>
              <w:top w:w="0" w:type="dxa"/>
              <w:left w:w="108" w:type="dxa"/>
              <w:bottom w:w="0" w:type="dxa"/>
              <w:right w:w="108" w:type="dxa"/>
            </w:tcMar>
          </w:tcPr>
          <w:p w14:paraId="5137D4E1" w14:textId="77777777" w:rsidR="00D44F98" w:rsidRDefault="00EB70E0">
            <w:pPr>
              <w:contextualSpacing/>
              <w:jc w:val="both"/>
            </w:pPr>
            <w:r>
              <w:rPr>
                <w:rFonts w:cs="Calibri"/>
              </w:rPr>
              <w:t xml:space="preserve">take the meaning given in the UK GDPR;  </w:t>
            </w:r>
          </w:p>
        </w:tc>
      </w:tr>
      <w:tr w:rsidR="00D44F98" w14:paraId="15C6CBBD" w14:textId="77777777">
        <w:tc>
          <w:tcPr>
            <w:tcW w:w="2160" w:type="dxa"/>
            <w:shd w:val="clear" w:color="auto" w:fill="auto"/>
            <w:tcMar>
              <w:top w:w="0" w:type="dxa"/>
              <w:left w:w="108" w:type="dxa"/>
              <w:bottom w:w="0" w:type="dxa"/>
              <w:right w:w="108" w:type="dxa"/>
            </w:tcMar>
          </w:tcPr>
          <w:p w14:paraId="0C718600" w14:textId="77777777" w:rsidR="00D44F98" w:rsidRDefault="00EB70E0">
            <w:pPr>
              <w:rPr>
                <w:rFonts w:cs="Calibri"/>
                <w:b/>
              </w:rPr>
            </w:pPr>
            <w:r>
              <w:rPr>
                <w:rFonts w:cs="Calibri"/>
                <w:b/>
              </w:rPr>
              <w:t>“Data Protection Legislation”</w:t>
            </w:r>
          </w:p>
        </w:tc>
        <w:tc>
          <w:tcPr>
            <w:tcW w:w="6758" w:type="dxa"/>
            <w:shd w:val="clear" w:color="auto" w:fill="auto"/>
            <w:tcMar>
              <w:top w:w="0" w:type="dxa"/>
              <w:left w:w="108" w:type="dxa"/>
              <w:bottom w:w="0" w:type="dxa"/>
              <w:right w:w="108" w:type="dxa"/>
            </w:tcMar>
          </w:tcPr>
          <w:p w14:paraId="7A2E78C6" w14:textId="77777777" w:rsidR="00D44F98" w:rsidRDefault="00EB70E0">
            <w:pPr>
              <w:pStyle w:val="ListParagraph"/>
              <w:numPr>
                <w:ilvl w:val="1"/>
                <w:numId w:val="23"/>
              </w:numPr>
              <w:suppressAutoHyphens w:val="0"/>
              <w:spacing w:after="160" w:line="244" w:lineRule="auto"/>
              <w:ind w:left="465" w:hanging="465"/>
              <w:contextualSpacing/>
              <w:jc w:val="both"/>
              <w:textAlignment w:val="auto"/>
            </w:pPr>
            <w:r>
              <w:rPr>
                <w:rFonts w:cs="Calibri"/>
              </w:rPr>
              <w:t>"</w:t>
            </w:r>
            <w:proofErr w:type="gramStart"/>
            <w:r>
              <w:rPr>
                <w:rFonts w:cs="Calibri"/>
              </w:rPr>
              <w:t>the</w:t>
            </w:r>
            <w:proofErr w:type="gramEnd"/>
            <w:r>
              <w:rPr>
                <w:rFonts w:cs="Calibri"/>
              </w:rPr>
              <w:t xml:space="preserve"> data protection legislation" as defined in section 3(9) of the Data Protection Act 2018; and; </w:t>
            </w:r>
          </w:p>
          <w:p w14:paraId="63DC4EC5" w14:textId="77777777" w:rsidR="00D44F98" w:rsidRDefault="00EB70E0">
            <w:pPr>
              <w:pStyle w:val="ListParagraph"/>
              <w:numPr>
                <w:ilvl w:val="1"/>
                <w:numId w:val="23"/>
              </w:numPr>
              <w:suppressAutoHyphens w:val="0"/>
              <w:spacing w:after="160" w:line="244" w:lineRule="auto"/>
              <w:ind w:left="459" w:hanging="425"/>
              <w:contextualSpacing/>
              <w:jc w:val="both"/>
              <w:textAlignment w:val="auto"/>
            </w:pPr>
            <w:r>
              <w:rPr>
                <w:rFonts w:cs="Calibri"/>
              </w:rPr>
              <w:lastRenderedPageBreak/>
              <w:t>all applicable Law about the processing of personal data and privacy;</w:t>
            </w:r>
          </w:p>
        </w:tc>
      </w:tr>
      <w:tr w:rsidR="00D44F98" w14:paraId="6F442867" w14:textId="77777777">
        <w:tc>
          <w:tcPr>
            <w:tcW w:w="2160" w:type="dxa"/>
            <w:shd w:val="clear" w:color="auto" w:fill="auto"/>
            <w:tcMar>
              <w:top w:w="0" w:type="dxa"/>
              <w:left w:w="108" w:type="dxa"/>
              <w:bottom w:w="0" w:type="dxa"/>
              <w:right w:w="108" w:type="dxa"/>
            </w:tcMar>
          </w:tcPr>
          <w:p w14:paraId="0682C1EB" w14:textId="77777777" w:rsidR="00D44F98" w:rsidRDefault="00EB70E0">
            <w:r>
              <w:rPr>
                <w:rFonts w:cs="Calibri"/>
                <w:b/>
              </w:rPr>
              <w:lastRenderedPageBreak/>
              <w:t>“Key Subcontractor”</w:t>
            </w:r>
          </w:p>
        </w:tc>
        <w:tc>
          <w:tcPr>
            <w:tcW w:w="6758" w:type="dxa"/>
            <w:shd w:val="clear" w:color="auto" w:fill="auto"/>
            <w:tcMar>
              <w:top w:w="0" w:type="dxa"/>
              <w:left w:w="108" w:type="dxa"/>
              <w:bottom w:w="0" w:type="dxa"/>
              <w:right w:w="108" w:type="dxa"/>
            </w:tcMar>
          </w:tcPr>
          <w:p w14:paraId="615606F2" w14:textId="77777777" w:rsidR="00D44F98" w:rsidRDefault="00EB70E0">
            <w:pPr>
              <w:contextualSpacing/>
              <w:jc w:val="both"/>
              <w:rPr>
                <w:rFonts w:eastAsia="Times New Roman" w:cs="Calibri"/>
              </w:rPr>
            </w:pPr>
            <w:r>
              <w:rPr>
                <w:rFonts w:eastAsia="Times New Roman" w:cs="Calibri"/>
              </w:rPr>
              <w:t>any Subcontractor:</w:t>
            </w:r>
          </w:p>
          <w:p w14:paraId="3C55630E" w14:textId="77777777" w:rsidR="00D44F98" w:rsidRDefault="00EB70E0">
            <w:pPr>
              <w:pStyle w:val="ListParagraph"/>
              <w:numPr>
                <w:ilvl w:val="0"/>
                <w:numId w:val="26"/>
              </w:numPr>
              <w:suppressAutoHyphens w:val="0"/>
              <w:spacing w:after="160" w:line="244" w:lineRule="auto"/>
              <w:ind w:left="459" w:hanging="425"/>
              <w:contextualSpacing/>
              <w:jc w:val="both"/>
              <w:textAlignment w:val="auto"/>
              <w:rPr>
                <w:rFonts w:eastAsia="Times New Roman" w:cs="Calibri"/>
              </w:rPr>
            </w:pPr>
            <w:r>
              <w:rPr>
                <w:rFonts w:eastAsia="Times New Roman" w:cs="Calibri"/>
              </w:rPr>
              <w:t>which, in the opinion of the Authority, performs (or would perform if appointed) a critical role in the provision of all or any part of the Services; and/or</w:t>
            </w:r>
          </w:p>
          <w:p w14:paraId="32C5F491" w14:textId="77777777" w:rsidR="00D44F98" w:rsidRDefault="00EB70E0">
            <w:pPr>
              <w:pStyle w:val="ListParagraph"/>
              <w:numPr>
                <w:ilvl w:val="0"/>
                <w:numId w:val="26"/>
              </w:numPr>
              <w:suppressAutoHyphens w:val="0"/>
              <w:spacing w:after="160" w:line="244" w:lineRule="auto"/>
              <w:ind w:left="459" w:hanging="425"/>
              <w:contextualSpacing/>
              <w:jc w:val="both"/>
              <w:textAlignment w:val="auto"/>
              <w:rPr>
                <w:rFonts w:eastAsia="Times New Roman" w:cs="Calibri"/>
              </w:rPr>
            </w:pPr>
            <w:r>
              <w:rPr>
                <w:rFonts w:eastAsia="Times New Roman" w:cs="Calibri"/>
              </w:rPr>
              <w:t>with a Subcontract with a contract value which at the time of appointment exceeds (or would exceed if appointed) ten per cent (10%) of the aggregate Charges forecast to be payable under this Call-Off Contract;</w:t>
            </w:r>
          </w:p>
        </w:tc>
      </w:tr>
      <w:tr w:rsidR="00D44F98" w14:paraId="4E60FA74" w14:textId="77777777">
        <w:tc>
          <w:tcPr>
            <w:tcW w:w="2160" w:type="dxa"/>
            <w:shd w:val="clear" w:color="auto" w:fill="auto"/>
            <w:tcMar>
              <w:top w:w="0" w:type="dxa"/>
              <w:left w:w="108" w:type="dxa"/>
              <w:bottom w:w="0" w:type="dxa"/>
              <w:right w:w="108" w:type="dxa"/>
            </w:tcMar>
          </w:tcPr>
          <w:p w14:paraId="24CEED6F" w14:textId="77777777" w:rsidR="00D44F98" w:rsidRDefault="00EB70E0">
            <w:r>
              <w:rPr>
                <w:rFonts w:cs="Calibri"/>
                <w:b/>
              </w:rPr>
              <w:t>“Law”</w:t>
            </w:r>
          </w:p>
        </w:tc>
        <w:tc>
          <w:tcPr>
            <w:tcW w:w="6758" w:type="dxa"/>
            <w:shd w:val="clear" w:color="auto" w:fill="auto"/>
            <w:tcMar>
              <w:top w:w="0" w:type="dxa"/>
              <w:left w:w="108" w:type="dxa"/>
              <w:bottom w:w="0" w:type="dxa"/>
              <w:right w:w="108" w:type="dxa"/>
            </w:tcMar>
          </w:tcPr>
          <w:p w14:paraId="31777219" w14:textId="77777777" w:rsidR="00D44F98" w:rsidRDefault="00EB70E0">
            <w:r>
              <w:rPr>
                <w:rStyle w:val="normaltextrun1"/>
                <w:rFonts w:cs="Calibri"/>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D44F98" w14:paraId="2C2F434C" w14:textId="77777777">
        <w:tc>
          <w:tcPr>
            <w:tcW w:w="2160" w:type="dxa"/>
            <w:shd w:val="clear" w:color="auto" w:fill="auto"/>
            <w:tcMar>
              <w:top w:w="0" w:type="dxa"/>
              <w:left w:w="108" w:type="dxa"/>
              <w:bottom w:w="0" w:type="dxa"/>
              <w:right w:w="108" w:type="dxa"/>
            </w:tcMar>
          </w:tcPr>
          <w:p w14:paraId="79751804" w14:textId="77777777" w:rsidR="00D44F98" w:rsidRDefault="00EB70E0">
            <w:r>
              <w:rPr>
                <w:rFonts w:cs="Calibri"/>
                <w:b/>
              </w:rPr>
              <w:t>“Personal Data”</w:t>
            </w:r>
          </w:p>
        </w:tc>
        <w:tc>
          <w:tcPr>
            <w:tcW w:w="6758" w:type="dxa"/>
            <w:shd w:val="clear" w:color="auto" w:fill="auto"/>
            <w:tcMar>
              <w:top w:w="0" w:type="dxa"/>
              <w:left w:w="108" w:type="dxa"/>
              <w:bottom w:w="0" w:type="dxa"/>
              <w:right w:w="108" w:type="dxa"/>
            </w:tcMar>
          </w:tcPr>
          <w:p w14:paraId="1C275687" w14:textId="77777777" w:rsidR="00D44F98" w:rsidRDefault="00EB70E0">
            <w:pPr>
              <w:rPr>
                <w:rFonts w:cs="Calibri"/>
              </w:rPr>
            </w:pPr>
            <w:r>
              <w:rPr>
                <w:rFonts w:cs="Calibri"/>
              </w:rPr>
              <w:t xml:space="preserve">has the meaning given in the UK GDPR; </w:t>
            </w:r>
          </w:p>
        </w:tc>
      </w:tr>
      <w:tr w:rsidR="00D44F98" w14:paraId="661F3FD6" w14:textId="77777777">
        <w:tc>
          <w:tcPr>
            <w:tcW w:w="2160" w:type="dxa"/>
            <w:shd w:val="clear" w:color="auto" w:fill="auto"/>
            <w:tcMar>
              <w:top w:w="0" w:type="dxa"/>
              <w:left w:w="108" w:type="dxa"/>
              <w:bottom w:w="0" w:type="dxa"/>
              <w:right w:w="108" w:type="dxa"/>
            </w:tcMar>
          </w:tcPr>
          <w:p w14:paraId="2C3594AD" w14:textId="77777777" w:rsidR="00D44F98" w:rsidRDefault="00EB70E0">
            <w:r>
              <w:rPr>
                <w:rFonts w:ascii="Calibri" w:eastAsia="Times New Roman" w:hAnsi="Calibri" w:cs="Calibri"/>
                <w:b/>
                <w:bCs/>
              </w:rPr>
              <w:t>“Purchase Order Number”</w:t>
            </w:r>
            <w:r>
              <w:rPr>
                <w:rFonts w:ascii="Calibri" w:eastAsia="Times New Roman" w:hAnsi="Calibri" w:cs="Calibri"/>
              </w:rPr>
              <w:t> </w:t>
            </w:r>
          </w:p>
        </w:tc>
        <w:tc>
          <w:tcPr>
            <w:tcW w:w="6758" w:type="dxa"/>
            <w:shd w:val="clear" w:color="auto" w:fill="auto"/>
            <w:tcMar>
              <w:top w:w="0" w:type="dxa"/>
              <w:left w:w="108" w:type="dxa"/>
              <w:bottom w:w="0" w:type="dxa"/>
              <w:right w:w="108" w:type="dxa"/>
            </w:tcMar>
          </w:tcPr>
          <w:p w14:paraId="1E957110" w14:textId="77777777" w:rsidR="00D44F98" w:rsidRDefault="00EB70E0">
            <w:r>
              <w:rPr>
                <w:rFonts w:ascii="Calibri" w:eastAsia="Times New Roman" w:hAnsi="Calibri" w:cs="Calibri"/>
              </w:rPr>
              <w:t>the Authority’s unique number relating to the supply of the Services;  </w:t>
            </w:r>
          </w:p>
        </w:tc>
      </w:tr>
      <w:tr w:rsidR="00D44F98" w14:paraId="1657A031" w14:textId="77777777">
        <w:tc>
          <w:tcPr>
            <w:tcW w:w="2160" w:type="dxa"/>
            <w:shd w:val="clear" w:color="auto" w:fill="auto"/>
            <w:tcMar>
              <w:top w:w="0" w:type="dxa"/>
              <w:left w:w="108" w:type="dxa"/>
              <w:bottom w:w="0" w:type="dxa"/>
              <w:right w:w="108" w:type="dxa"/>
            </w:tcMar>
          </w:tcPr>
          <w:p w14:paraId="57E0EA74" w14:textId="77777777" w:rsidR="00D44F98" w:rsidRDefault="00EB70E0">
            <w:r>
              <w:rPr>
                <w:rFonts w:ascii="Calibri" w:eastAsia="Times New Roman" w:hAnsi="Calibri" w:cs="Calibri"/>
                <w:b/>
                <w:bCs/>
              </w:rPr>
              <w:t>“Services”</w:t>
            </w:r>
            <w:r>
              <w:rPr>
                <w:rFonts w:ascii="Calibri" w:eastAsia="Times New Roman" w:hAnsi="Calibri" w:cs="Calibri"/>
              </w:rPr>
              <w:t> </w:t>
            </w:r>
          </w:p>
        </w:tc>
        <w:tc>
          <w:tcPr>
            <w:tcW w:w="6758" w:type="dxa"/>
            <w:shd w:val="clear" w:color="auto" w:fill="auto"/>
            <w:tcMar>
              <w:top w:w="0" w:type="dxa"/>
              <w:left w:w="108" w:type="dxa"/>
              <w:bottom w:w="0" w:type="dxa"/>
              <w:right w:w="108" w:type="dxa"/>
            </w:tcMar>
          </w:tcPr>
          <w:p w14:paraId="6A8F4BB0" w14:textId="77777777" w:rsidR="00D44F98" w:rsidRDefault="00EB70E0">
            <w:r>
              <w:rPr>
                <w:rFonts w:ascii="Calibri" w:eastAsia="Times New Roman" w:hAnsi="Calibri" w:cs="Calibri"/>
              </w:rPr>
              <w:t>the services to be supplied by the Supplier to the Authority under the Agreement, including the provision of any Goods;</w:t>
            </w:r>
          </w:p>
        </w:tc>
      </w:tr>
      <w:tr w:rsidR="00D44F98" w14:paraId="430FDA24" w14:textId="77777777">
        <w:tc>
          <w:tcPr>
            <w:tcW w:w="2160" w:type="dxa"/>
            <w:shd w:val="clear" w:color="auto" w:fill="auto"/>
            <w:tcMar>
              <w:top w:w="0" w:type="dxa"/>
              <w:left w:w="108" w:type="dxa"/>
              <w:bottom w:w="0" w:type="dxa"/>
              <w:right w:w="108" w:type="dxa"/>
            </w:tcMar>
          </w:tcPr>
          <w:p w14:paraId="3AA937F1" w14:textId="77777777" w:rsidR="00D44F98" w:rsidRDefault="00EB70E0">
            <w:pPr>
              <w:rPr>
                <w:rFonts w:cs="Calibri"/>
                <w:b/>
              </w:rPr>
            </w:pPr>
            <w:r>
              <w:rPr>
                <w:rFonts w:cs="Calibri"/>
                <w:b/>
              </w:rPr>
              <w:t>“Subcontract”</w:t>
            </w:r>
          </w:p>
        </w:tc>
        <w:tc>
          <w:tcPr>
            <w:tcW w:w="6758" w:type="dxa"/>
            <w:shd w:val="clear" w:color="auto" w:fill="auto"/>
            <w:tcMar>
              <w:top w:w="0" w:type="dxa"/>
              <w:left w:w="108" w:type="dxa"/>
              <w:bottom w:w="0" w:type="dxa"/>
              <w:right w:w="108" w:type="dxa"/>
            </w:tcMar>
          </w:tcPr>
          <w:p w14:paraId="08D3DE9D" w14:textId="77777777" w:rsidR="00D44F98" w:rsidRDefault="00EB70E0">
            <w:pPr>
              <w:rPr>
                <w:rFonts w:cs="Calibri"/>
              </w:rPr>
            </w:pPr>
            <w:r>
              <w:rPr>
                <w:rFonts w:cs="Calibri"/>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D44F98" w14:paraId="48F597E9" w14:textId="77777777">
        <w:tc>
          <w:tcPr>
            <w:tcW w:w="2160" w:type="dxa"/>
            <w:shd w:val="clear" w:color="auto" w:fill="auto"/>
            <w:tcMar>
              <w:top w:w="0" w:type="dxa"/>
              <w:left w:w="108" w:type="dxa"/>
              <w:bottom w:w="0" w:type="dxa"/>
              <w:right w:w="108" w:type="dxa"/>
            </w:tcMar>
          </w:tcPr>
          <w:p w14:paraId="52307E41" w14:textId="77777777" w:rsidR="00D44F98" w:rsidRDefault="00EB70E0">
            <w:r>
              <w:rPr>
                <w:rFonts w:cs="Calibri"/>
                <w:b/>
              </w:rPr>
              <w:t>“</w:t>
            </w:r>
            <w:r>
              <w:rPr>
                <w:rFonts w:cs="Calibri"/>
                <w:b/>
                <w:spacing w:val="-2"/>
              </w:rPr>
              <w:t>Subcontractor</w:t>
            </w:r>
            <w:r>
              <w:rPr>
                <w:rFonts w:cs="Calibri"/>
                <w:b/>
              </w:rPr>
              <w:t>”</w:t>
            </w:r>
          </w:p>
        </w:tc>
        <w:tc>
          <w:tcPr>
            <w:tcW w:w="6758" w:type="dxa"/>
            <w:shd w:val="clear" w:color="auto" w:fill="auto"/>
            <w:tcMar>
              <w:top w:w="0" w:type="dxa"/>
              <w:left w:w="108" w:type="dxa"/>
              <w:bottom w:w="0" w:type="dxa"/>
              <w:right w:w="108" w:type="dxa"/>
            </w:tcMar>
          </w:tcPr>
          <w:p w14:paraId="29686206" w14:textId="77777777" w:rsidR="00D44F98" w:rsidRDefault="00EB70E0">
            <w:pPr>
              <w:widowControl w:val="0"/>
              <w:spacing w:before="120" w:after="120"/>
              <w:rPr>
                <w:rFonts w:cs="Calibri"/>
              </w:rPr>
            </w:pPr>
            <w:r>
              <w:rPr>
                <w:rFonts w:cs="Calibri"/>
              </w:rPr>
              <w:t>any third party with whom:</w:t>
            </w:r>
          </w:p>
          <w:p w14:paraId="248554ED" w14:textId="77777777" w:rsidR="00D44F98" w:rsidRDefault="00EB70E0">
            <w:pPr>
              <w:numPr>
                <w:ilvl w:val="0"/>
                <w:numId w:val="27"/>
              </w:numPr>
              <w:tabs>
                <w:tab w:val="left" w:pos="-75"/>
              </w:tabs>
              <w:suppressAutoHyphens w:val="0"/>
              <w:spacing w:before="120" w:after="120" w:line="244" w:lineRule="auto"/>
              <w:ind w:left="507" w:hanging="507"/>
              <w:jc w:val="both"/>
              <w:textAlignment w:val="auto"/>
              <w:rPr>
                <w:rFonts w:cs="Calibri"/>
              </w:rPr>
            </w:pPr>
            <w:r>
              <w:rPr>
                <w:rFonts w:cs="Calibri"/>
              </w:rPr>
              <w:t xml:space="preserve">the Supplier </w:t>
            </w:r>
            <w:proofErr w:type="gramStart"/>
            <w:r>
              <w:rPr>
                <w:rFonts w:cs="Calibri"/>
              </w:rPr>
              <w:t>enters into</w:t>
            </w:r>
            <w:proofErr w:type="gramEnd"/>
            <w:r>
              <w:rPr>
                <w:rFonts w:cs="Calibri"/>
              </w:rPr>
              <w:t xml:space="preserve"> a Subcontract; or </w:t>
            </w:r>
          </w:p>
          <w:p w14:paraId="2A17CC49" w14:textId="77777777" w:rsidR="00D44F98" w:rsidRDefault="00EB70E0">
            <w:pPr>
              <w:numPr>
                <w:ilvl w:val="0"/>
                <w:numId w:val="27"/>
              </w:numPr>
              <w:tabs>
                <w:tab w:val="left" w:pos="-75"/>
              </w:tabs>
              <w:suppressAutoHyphens w:val="0"/>
              <w:spacing w:before="120" w:after="120" w:line="244" w:lineRule="auto"/>
              <w:ind w:left="507" w:hanging="507"/>
              <w:jc w:val="both"/>
              <w:textAlignment w:val="auto"/>
              <w:rPr>
                <w:rFonts w:cs="Calibri"/>
              </w:rPr>
            </w:pPr>
            <w:r>
              <w:rPr>
                <w:rFonts w:cs="Calibri"/>
              </w:rPr>
              <w:t xml:space="preserve">a third party under (a) above </w:t>
            </w:r>
            <w:proofErr w:type="gramStart"/>
            <w:r>
              <w:rPr>
                <w:rFonts w:cs="Calibri"/>
              </w:rPr>
              <w:t>enters into</w:t>
            </w:r>
            <w:proofErr w:type="gramEnd"/>
            <w:r>
              <w:rPr>
                <w:rFonts w:cs="Calibri"/>
              </w:rPr>
              <w:t xml:space="preserve"> a Subcontract,</w:t>
            </w:r>
          </w:p>
          <w:p w14:paraId="6E04CB3B" w14:textId="77777777" w:rsidR="00D44F98" w:rsidRDefault="00EB70E0">
            <w:pPr>
              <w:widowControl w:val="0"/>
              <w:spacing w:before="120" w:after="120"/>
              <w:ind w:left="-15"/>
              <w:outlineLvl w:val="2"/>
              <w:rPr>
                <w:rFonts w:cs="Calibri"/>
                <w:bCs/>
                <w:spacing w:val="-2"/>
              </w:rPr>
            </w:pPr>
            <w:r>
              <w:rPr>
                <w:rFonts w:cs="Calibri"/>
                <w:bCs/>
                <w:spacing w:val="-2"/>
              </w:rPr>
              <w:t>or the servants or agents of that third party;</w:t>
            </w:r>
          </w:p>
        </w:tc>
      </w:tr>
      <w:tr w:rsidR="00D44F98" w14:paraId="2512D83C" w14:textId="77777777">
        <w:tc>
          <w:tcPr>
            <w:tcW w:w="2160" w:type="dxa"/>
            <w:shd w:val="clear" w:color="auto" w:fill="auto"/>
            <w:tcMar>
              <w:top w:w="0" w:type="dxa"/>
              <w:left w:w="108" w:type="dxa"/>
              <w:bottom w:w="0" w:type="dxa"/>
              <w:right w:w="108" w:type="dxa"/>
            </w:tcMar>
          </w:tcPr>
          <w:p w14:paraId="10D19AB1" w14:textId="77777777" w:rsidR="00D44F98" w:rsidRDefault="00EB70E0">
            <w:pPr>
              <w:rPr>
                <w:rFonts w:cs="Calibri"/>
                <w:b/>
              </w:rPr>
            </w:pPr>
            <w:r>
              <w:rPr>
                <w:rFonts w:cs="Calibri"/>
                <w:b/>
              </w:rPr>
              <w:t>“Supplier Personnel”</w:t>
            </w:r>
          </w:p>
        </w:tc>
        <w:tc>
          <w:tcPr>
            <w:tcW w:w="6758" w:type="dxa"/>
            <w:shd w:val="clear" w:color="auto" w:fill="auto"/>
            <w:tcMar>
              <w:top w:w="0" w:type="dxa"/>
              <w:left w:w="108" w:type="dxa"/>
              <w:bottom w:w="0" w:type="dxa"/>
              <w:right w:w="108" w:type="dxa"/>
            </w:tcMar>
          </w:tcPr>
          <w:p w14:paraId="542831FF" w14:textId="77777777" w:rsidR="00D44F98" w:rsidRDefault="00EB70E0">
            <w:r>
              <w:rPr>
                <w:rStyle w:val="normaltextrun1"/>
                <w:rFonts w:cs="Calibri"/>
              </w:rPr>
              <w:t xml:space="preserve">all directors, officers, employees, agents, </w:t>
            </w:r>
            <w:proofErr w:type="gramStart"/>
            <w:r>
              <w:rPr>
                <w:rStyle w:val="normaltextrun1"/>
                <w:rFonts w:cs="Calibri"/>
              </w:rPr>
              <w:t>consultants</w:t>
            </w:r>
            <w:proofErr w:type="gramEnd"/>
            <w:r>
              <w:rPr>
                <w:rStyle w:val="normaltextrun1"/>
                <w:rFonts w:cs="Calibri"/>
              </w:rPr>
              <w:t xml:space="preserve"> and contractors of the Supplier and/or of any Subcontractor of the Supplier engaged in the performance of the Supplier’s obligations under the Agreement; </w:t>
            </w:r>
          </w:p>
        </w:tc>
      </w:tr>
      <w:tr w:rsidR="00D44F98" w14:paraId="2942F0CA" w14:textId="77777777">
        <w:tc>
          <w:tcPr>
            <w:tcW w:w="2160" w:type="dxa"/>
            <w:shd w:val="clear" w:color="auto" w:fill="auto"/>
            <w:tcMar>
              <w:top w:w="0" w:type="dxa"/>
              <w:left w:w="108" w:type="dxa"/>
              <w:bottom w:w="0" w:type="dxa"/>
              <w:right w:w="108" w:type="dxa"/>
            </w:tcMar>
          </w:tcPr>
          <w:p w14:paraId="5EFE2C0B" w14:textId="77777777" w:rsidR="00D44F98" w:rsidRDefault="00EB70E0">
            <w:pPr>
              <w:rPr>
                <w:rFonts w:cs="Calibri"/>
                <w:b/>
              </w:rPr>
            </w:pPr>
            <w:r>
              <w:rPr>
                <w:rFonts w:cs="Calibri"/>
                <w:b/>
              </w:rPr>
              <w:t>“Supporting Documentation”</w:t>
            </w:r>
          </w:p>
        </w:tc>
        <w:tc>
          <w:tcPr>
            <w:tcW w:w="6758" w:type="dxa"/>
            <w:shd w:val="clear" w:color="auto" w:fill="auto"/>
            <w:tcMar>
              <w:top w:w="0" w:type="dxa"/>
              <w:left w:w="108" w:type="dxa"/>
              <w:bottom w:w="0" w:type="dxa"/>
              <w:right w:w="108" w:type="dxa"/>
            </w:tcMar>
          </w:tcPr>
          <w:p w14:paraId="57EC8F51" w14:textId="77777777" w:rsidR="00D44F98" w:rsidRDefault="00EB70E0">
            <w:r>
              <w:rPr>
                <w:color w:val="000000"/>
              </w:rPr>
              <w:t xml:space="preserve">sufficient information in writing to enable the Authority to reasonably verify the accuracy of any invoice; </w:t>
            </w:r>
          </w:p>
        </w:tc>
      </w:tr>
      <w:tr w:rsidR="00D44F98" w14:paraId="78037950" w14:textId="77777777">
        <w:tc>
          <w:tcPr>
            <w:tcW w:w="2160" w:type="dxa"/>
            <w:shd w:val="clear" w:color="auto" w:fill="auto"/>
            <w:tcMar>
              <w:top w:w="0" w:type="dxa"/>
              <w:left w:w="108" w:type="dxa"/>
              <w:bottom w:w="0" w:type="dxa"/>
              <w:right w:w="108" w:type="dxa"/>
            </w:tcMar>
          </w:tcPr>
          <w:p w14:paraId="081C5179" w14:textId="77777777" w:rsidR="00D44F98" w:rsidRDefault="00EB70E0">
            <w:pPr>
              <w:rPr>
                <w:rFonts w:cs="Calibri"/>
                <w:b/>
              </w:rPr>
            </w:pPr>
            <w:r>
              <w:rPr>
                <w:rFonts w:cs="Calibri"/>
                <w:b/>
              </w:rPr>
              <w:t>“Tax”</w:t>
            </w:r>
          </w:p>
        </w:tc>
        <w:tc>
          <w:tcPr>
            <w:tcW w:w="6758" w:type="dxa"/>
            <w:shd w:val="clear" w:color="auto" w:fill="auto"/>
            <w:tcMar>
              <w:top w:w="0" w:type="dxa"/>
              <w:left w:w="108" w:type="dxa"/>
              <w:bottom w:w="0" w:type="dxa"/>
              <w:right w:w="108" w:type="dxa"/>
            </w:tcMar>
          </w:tcPr>
          <w:p w14:paraId="416E4B80" w14:textId="77777777" w:rsidR="00D44F98" w:rsidRDefault="00EB70E0">
            <w:pPr>
              <w:numPr>
                <w:ilvl w:val="0"/>
                <w:numId w:val="28"/>
              </w:numPr>
              <w:tabs>
                <w:tab w:val="left" w:pos="-2667"/>
              </w:tabs>
              <w:suppressAutoHyphens w:val="0"/>
              <w:spacing w:before="120" w:after="120" w:line="244" w:lineRule="auto"/>
              <w:jc w:val="both"/>
              <w:textAlignment w:val="auto"/>
              <w:rPr>
                <w:rFonts w:cs="Calibri"/>
                <w:spacing w:val="-2"/>
              </w:rPr>
            </w:pPr>
            <w:r>
              <w:rPr>
                <w:rFonts w:cs="Calibri"/>
                <w:spacing w:val="-2"/>
              </w:rPr>
              <w:t xml:space="preserve">all forms of tax whether direct or </w:t>
            </w:r>
            <w:proofErr w:type="gramStart"/>
            <w:r>
              <w:rPr>
                <w:rFonts w:cs="Calibri"/>
                <w:spacing w:val="-2"/>
              </w:rPr>
              <w:t>indirect;</w:t>
            </w:r>
            <w:proofErr w:type="gramEnd"/>
          </w:p>
          <w:p w14:paraId="3F533E59" w14:textId="77777777" w:rsidR="00D44F98" w:rsidRDefault="00EB70E0">
            <w:pPr>
              <w:numPr>
                <w:ilvl w:val="0"/>
                <w:numId w:val="28"/>
              </w:numPr>
              <w:tabs>
                <w:tab w:val="left" w:pos="-2667"/>
              </w:tabs>
              <w:suppressAutoHyphens w:val="0"/>
              <w:spacing w:before="120" w:after="120" w:line="244" w:lineRule="auto"/>
              <w:jc w:val="both"/>
              <w:textAlignment w:val="auto"/>
              <w:rPr>
                <w:rFonts w:cs="Calibri"/>
                <w:spacing w:val="-2"/>
              </w:rPr>
            </w:pPr>
            <w:r>
              <w:rPr>
                <w:rFonts w:cs="Calibri"/>
                <w:spacing w:val="-2"/>
              </w:rPr>
              <w:t xml:space="preserve">national insurance contributions in the United Kingdom and similar contributions or obligations in any other </w:t>
            </w:r>
            <w:proofErr w:type="gramStart"/>
            <w:r>
              <w:rPr>
                <w:rFonts w:cs="Calibri"/>
                <w:spacing w:val="-2"/>
              </w:rPr>
              <w:t>jurisdiction;</w:t>
            </w:r>
            <w:proofErr w:type="gramEnd"/>
          </w:p>
          <w:p w14:paraId="778BB5CB" w14:textId="77777777" w:rsidR="00D44F98" w:rsidRDefault="00EB70E0">
            <w:pPr>
              <w:numPr>
                <w:ilvl w:val="0"/>
                <w:numId w:val="28"/>
              </w:numPr>
              <w:tabs>
                <w:tab w:val="left" w:pos="-2667"/>
              </w:tabs>
              <w:suppressAutoHyphens w:val="0"/>
              <w:spacing w:before="120" w:after="120" w:line="244" w:lineRule="auto"/>
              <w:jc w:val="both"/>
              <w:textAlignment w:val="auto"/>
              <w:rPr>
                <w:rFonts w:cs="Calibri"/>
                <w:spacing w:val="-2"/>
              </w:rPr>
            </w:pPr>
            <w:r>
              <w:rPr>
                <w:rFonts w:cs="Calibri"/>
                <w:spacing w:val="-2"/>
              </w:rPr>
              <w:t xml:space="preserve">all statutory, governmental, state, federal, provincial, local government or municipal charges, duties, imports, contributions. levies or liabilities (other than in </w:t>
            </w:r>
            <w:proofErr w:type="gramStart"/>
            <w:r>
              <w:rPr>
                <w:rFonts w:cs="Calibri"/>
                <w:spacing w:val="-2"/>
              </w:rPr>
              <w:t>return  for</w:t>
            </w:r>
            <w:proofErr w:type="gramEnd"/>
            <w:r>
              <w:rPr>
                <w:rFonts w:cs="Calibri"/>
                <w:spacing w:val="-2"/>
              </w:rPr>
              <w:t xml:space="preserve"> goods or services supplied or performed or to be performed) and withholdings; and</w:t>
            </w:r>
          </w:p>
          <w:p w14:paraId="45CA284E" w14:textId="77777777" w:rsidR="00D44F98" w:rsidRDefault="00EB70E0">
            <w:pPr>
              <w:numPr>
                <w:ilvl w:val="0"/>
                <w:numId w:val="28"/>
              </w:numPr>
              <w:tabs>
                <w:tab w:val="left" w:pos="-2667"/>
              </w:tabs>
              <w:suppressAutoHyphens w:val="0"/>
              <w:spacing w:before="120" w:after="120" w:line="244" w:lineRule="auto"/>
              <w:jc w:val="both"/>
              <w:textAlignment w:val="auto"/>
              <w:rPr>
                <w:rFonts w:cs="Calibri"/>
                <w:spacing w:val="-2"/>
              </w:rPr>
            </w:pPr>
            <w:r>
              <w:rPr>
                <w:rFonts w:cs="Calibri"/>
                <w:spacing w:val="-2"/>
              </w:rPr>
              <w:lastRenderedPageBreak/>
              <w:t xml:space="preserve">any penalty, fine, surcharge, interest, </w:t>
            </w:r>
            <w:proofErr w:type="gramStart"/>
            <w:r>
              <w:rPr>
                <w:rFonts w:cs="Calibri"/>
                <w:spacing w:val="-2"/>
              </w:rPr>
              <w:t>charges</w:t>
            </w:r>
            <w:proofErr w:type="gramEnd"/>
            <w:r>
              <w:rPr>
                <w:rFonts w:cs="Calibri"/>
                <w:spacing w:val="-2"/>
              </w:rPr>
              <w:t xml:space="preserve"> or costs relating to any of the above,</w:t>
            </w:r>
          </w:p>
          <w:p w14:paraId="7779000A" w14:textId="77777777" w:rsidR="00D44F98" w:rsidRDefault="00EB70E0">
            <w:r>
              <w:rPr>
                <w:rFonts w:cs="Calibri"/>
                <w:spacing w:val="-2"/>
              </w:rPr>
              <w:t>in each case wherever chargeable and whether of the United Kingdom and any other jurisdiction;</w:t>
            </w:r>
          </w:p>
        </w:tc>
      </w:tr>
      <w:tr w:rsidR="00D44F98" w14:paraId="60C9EE13" w14:textId="77777777">
        <w:tc>
          <w:tcPr>
            <w:tcW w:w="2160" w:type="dxa"/>
            <w:shd w:val="clear" w:color="auto" w:fill="auto"/>
            <w:tcMar>
              <w:top w:w="0" w:type="dxa"/>
              <w:left w:w="108" w:type="dxa"/>
              <w:bottom w:w="0" w:type="dxa"/>
              <w:right w:w="108" w:type="dxa"/>
            </w:tcMar>
          </w:tcPr>
          <w:p w14:paraId="3851F1AB" w14:textId="77777777" w:rsidR="00D44F98" w:rsidRDefault="00EB70E0">
            <w:pPr>
              <w:spacing w:before="120" w:after="120"/>
              <w:rPr>
                <w:rFonts w:cs="Calibri"/>
                <w:b/>
              </w:rPr>
            </w:pPr>
            <w:r>
              <w:rPr>
                <w:rFonts w:cs="Calibri"/>
                <w:b/>
              </w:rPr>
              <w:lastRenderedPageBreak/>
              <w:t>“Tax Non-Compliance”</w:t>
            </w:r>
          </w:p>
          <w:p w14:paraId="3AB0ED7C" w14:textId="77777777" w:rsidR="00D44F98" w:rsidRDefault="00D44F98">
            <w:pPr>
              <w:rPr>
                <w:rFonts w:cs="Calibri"/>
                <w:b/>
              </w:rPr>
            </w:pPr>
          </w:p>
        </w:tc>
        <w:tc>
          <w:tcPr>
            <w:tcW w:w="6758" w:type="dxa"/>
            <w:shd w:val="clear" w:color="auto" w:fill="auto"/>
            <w:tcMar>
              <w:top w:w="0" w:type="dxa"/>
              <w:left w:w="108" w:type="dxa"/>
              <w:bottom w:w="0" w:type="dxa"/>
              <w:right w:w="108" w:type="dxa"/>
            </w:tcMar>
          </w:tcPr>
          <w:p w14:paraId="30938903" w14:textId="77777777" w:rsidR="00D44F98" w:rsidRDefault="00EB70E0">
            <w:pPr>
              <w:tabs>
                <w:tab w:val="left" w:pos="-75"/>
              </w:tabs>
              <w:spacing w:before="120" w:after="120"/>
              <w:jc w:val="both"/>
              <w:rPr>
                <w:rFonts w:cs="Calibri"/>
                <w:spacing w:val="-2"/>
              </w:rPr>
            </w:pPr>
            <w:r>
              <w:rPr>
                <w:rFonts w:cs="Calibri"/>
                <w:spacing w:val="-2"/>
              </w:rPr>
              <w:t>where an entity or person under consideration meets all 3 conditions contained in the relevant excerpt from HMRC’s “Test for Tax Non-Compliance”, as set out in Annex 1, where:</w:t>
            </w:r>
          </w:p>
          <w:p w14:paraId="26FBFF33" w14:textId="77777777" w:rsidR="00D44F98" w:rsidRDefault="00EB70E0">
            <w:pPr>
              <w:pStyle w:val="ListParagraph"/>
              <w:numPr>
                <w:ilvl w:val="0"/>
                <w:numId w:val="29"/>
              </w:numPr>
              <w:tabs>
                <w:tab w:val="left" w:pos="1815"/>
              </w:tabs>
              <w:suppressAutoHyphens w:val="0"/>
              <w:spacing w:before="120" w:after="120" w:line="244" w:lineRule="auto"/>
              <w:contextualSpacing/>
              <w:jc w:val="both"/>
              <w:textAlignment w:val="auto"/>
            </w:pPr>
            <w:r>
              <w:rPr>
                <w:rFonts w:cs="Calibri"/>
                <w:spacing w:val="-2"/>
              </w:rPr>
              <w:t xml:space="preserve">the “Economic Operator” means the </w:t>
            </w:r>
            <w:proofErr w:type="gramStart"/>
            <w:r>
              <w:rPr>
                <w:rFonts w:cs="Calibri"/>
                <w:spacing w:val="-2"/>
              </w:rPr>
              <w:t>Supplier</w:t>
            </w:r>
            <w:proofErr w:type="gramEnd"/>
            <w:r>
              <w:rPr>
                <w:rFonts w:cs="Calibri"/>
                <w:spacing w:val="-2"/>
              </w:rPr>
              <w:t xml:space="preserve"> </w:t>
            </w:r>
            <w:r>
              <w:rPr>
                <w:spacing w:val="-2"/>
              </w:rPr>
              <w:t>or</w:t>
            </w:r>
            <w:r>
              <w:t xml:space="preserve"> any agent, supplier or Subcontractor of the Supplier requested to be replaced pursuant to Clause </w:t>
            </w:r>
            <w:fldSimple w:instr=" REF _Ref20993847 ">
              <w:r>
                <w:t>4.3</w:t>
              </w:r>
            </w:fldSimple>
            <w:r>
              <w:rPr>
                <w:rFonts w:cs="Calibri"/>
                <w:spacing w:val="-2"/>
              </w:rPr>
              <w:t xml:space="preserve">; and </w:t>
            </w:r>
          </w:p>
          <w:p w14:paraId="2C7A0977" w14:textId="77777777" w:rsidR="00D44F98" w:rsidRDefault="00EB70E0">
            <w:pPr>
              <w:pStyle w:val="ListParagraph"/>
              <w:numPr>
                <w:ilvl w:val="0"/>
                <w:numId w:val="29"/>
              </w:numPr>
              <w:suppressAutoHyphens w:val="0"/>
              <w:spacing w:after="160" w:line="244" w:lineRule="auto"/>
              <w:contextualSpacing/>
              <w:textAlignment w:val="auto"/>
            </w:pPr>
            <w:r>
              <w:rPr>
                <w:rFonts w:cs="Calibri"/>
                <w:spacing w:val="-2"/>
              </w:rPr>
              <w:t>any “Essential Subcontractor” means any Key Subcontractor;</w:t>
            </w:r>
          </w:p>
        </w:tc>
      </w:tr>
      <w:tr w:rsidR="00D44F98" w14:paraId="7BC9FFBA" w14:textId="77777777">
        <w:tc>
          <w:tcPr>
            <w:tcW w:w="2160" w:type="dxa"/>
            <w:shd w:val="clear" w:color="auto" w:fill="auto"/>
            <w:tcMar>
              <w:top w:w="0" w:type="dxa"/>
              <w:left w:w="108" w:type="dxa"/>
              <w:bottom w:w="0" w:type="dxa"/>
              <w:right w:w="108" w:type="dxa"/>
            </w:tcMar>
          </w:tcPr>
          <w:p w14:paraId="3DBF328F" w14:textId="77777777" w:rsidR="00D44F98" w:rsidRDefault="00EB70E0">
            <w:pPr>
              <w:spacing w:before="120" w:after="120"/>
              <w:rPr>
                <w:rFonts w:cs="Calibri"/>
                <w:b/>
              </w:rPr>
            </w:pPr>
            <w:r>
              <w:rPr>
                <w:rFonts w:cs="Calibri"/>
                <w:b/>
              </w:rPr>
              <w:t>“UK GDPR”</w:t>
            </w:r>
            <w:r>
              <w:rPr>
                <w:rFonts w:cs="Calibri"/>
                <w:b/>
              </w:rPr>
              <w:tab/>
            </w:r>
          </w:p>
        </w:tc>
        <w:tc>
          <w:tcPr>
            <w:tcW w:w="6758" w:type="dxa"/>
            <w:shd w:val="clear" w:color="auto" w:fill="auto"/>
            <w:tcMar>
              <w:top w:w="0" w:type="dxa"/>
              <w:left w:w="108" w:type="dxa"/>
              <w:bottom w:w="0" w:type="dxa"/>
              <w:right w:w="108" w:type="dxa"/>
            </w:tcMar>
          </w:tcPr>
          <w:p w14:paraId="6B0361C0" w14:textId="77777777" w:rsidR="00D44F98" w:rsidRDefault="00EB70E0">
            <w:pPr>
              <w:tabs>
                <w:tab w:val="left" w:pos="-75"/>
              </w:tabs>
              <w:spacing w:before="120" w:after="120"/>
              <w:jc w:val="both"/>
            </w:pPr>
            <w:r>
              <w:rPr>
                <w:rFonts w:cs="Calibri"/>
              </w:rPr>
              <w:t>the UK General Data Protection Regulation, the retained EU law version of the General Data Protection Regulation (Regulation (EU) 2016/679);</w:t>
            </w:r>
          </w:p>
        </w:tc>
      </w:tr>
      <w:tr w:rsidR="00D44F98" w14:paraId="64BB5184" w14:textId="77777777">
        <w:tc>
          <w:tcPr>
            <w:tcW w:w="2160" w:type="dxa"/>
            <w:shd w:val="clear" w:color="auto" w:fill="auto"/>
            <w:tcMar>
              <w:top w:w="0" w:type="dxa"/>
              <w:left w:w="108" w:type="dxa"/>
              <w:bottom w:w="0" w:type="dxa"/>
              <w:right w:w="108" w:type="dxa"/>
            </w:tcMar>
          </w:tcPr>
          <w:p w14:paraId="0F6481E0" w14:textId="77777777" w:rsidR="00D44F98" w:rsidRDefault="00EB70E0">
            <w:pPr>
              <w:spacing w:before="120" w:after="120"/>
              <w:rPr>
                <w:rFonts w:cs="Calibri"/>
                <w:b/>
              </w:rPr>
            </w:pPr>
            <w:r>
              <w:rPr>
                <w:rFonts w:cs="Calibri"/>
                <w:b/>
              </w:rPr>
              <w:t>“VAT”</w:t>
            </w:r>
          </w:p>
        </w:tc>
        <w:tc>
          <w:tcPr>
            <w:tcW w:w="6758" w:type="dxa"/>
            <w:shd w:val="clear" w:color="auto" w:fill="auto"/>
            <w:tcMar>
              <w:top w:w="0" w:type="dxa"/>
              <w:left w:w="108" w:type="dxa"/>
              <w:bottom w:w="0" w:type="dxa"/>
              <w:right w:w="108" w:type="dxa"/>
            </w:tcMar>
          </w:tcPr>
          <w:p w14:paraId="1DD7393B" w14:textId="77777777" w:rsidR="00D44F98" w:rsidRDefault="00EB70E0">
            <w:pPr>
              <w:tabs>
                <w:tab w:val="left" w:pos="-75"/>
              </w:tabs>
              <w:spacing w:before="120" w:after="120"/>
              <w:jc w:val="both"/>
            </w:pPr>
            <w:r>
              <w:rPr>
                <w:rFonts w:cs="Calibri"/>
              </w:rPr>
              <w:t>value added tax as provided for in the Value Added Tax Act 1994.</w:t>
            </w:r>
          </w:p>
        </w:tc>
      </w:tr>
    </w:tbl>
    <w:p w14:paraId="013320EE" w14:textId="77777777" w:rsidR="00D44F98" w:rsidRDefault="00D44F98">
      <w:pPr>
        <w:rPr>
          <w:rFonts w:cs="Calibri"/>
          <w:b/>
        </w:rPr>
      </w:pPr>
    </w:p>
    <w:p w14:paraId="2182F420" w14:textId="77777777" w:rsidR="00D44F98" w:rsidRDefault="00EB70E0">
      <w:pPr>
        <w:pStyle w:val="ListParagraph"/>
        <w:numPr>
          <w:ilvl w:val="0"/>
          <w:numId w:val="24"/>
        </w:numPr>
        <w:suppressAutoHyphens w:val="0"/>
        <w:spacing w:line="240" w:lineRule="auto"/>
        <w:ind w:left="426" w:hanging="426"/>
        <w:contextualSpacing/>
      </w:pPr>
      <w:bookmarkStart w:id="11" w:name="_Ref22568790"/>
      <w:r>
        <w:rPr>
          <w:rFonts w:ascii="Calibri" w:eastAsia="Times New Roman" w:hAnsi="Calibri" w:cs="Calibri"/>
          <w:b/>
          <w:bCs/>
        </w:rPr>
        <w:t>Payment and Recovery of Sums Due</w:t>
      </w:r>
      <w:bookmarkEnd w:id="11"/>
      <w:r>
        <w:rPr>
          <w:rFonts w:ascii="Calibri" w:eastAsia="Times New Roman" w:hAnsi="Calibri" w:cs="Calibri"/>
        </w:rPr>
        <w:t> </w:t>
      </w:r>
    </w:p>
    <w:p w14:paraId="37DC22CE" w14:textId="77777777" w:rsidR="00D44F98" w:rsidRDefault="00EB70E0">
      <w:pPr>
        <w:pStyle w:val="Heading2"/>
        <w:keepNext w:val="0"/>
        <w:keepLines w:val="0"/>
        <w:numPr>
          <w:ilvl w:val="1"/>
          <w:numId w:val="24"/>
        </w:numPr>
        <w:suppressAutoHyphens w:val="0"/>
        <w:spacing w:before="0" w:after="0" w:line="240" w:lineRule="auto"/>
        <w:ind w:left="426" w:hanging="426"/>
        <w:jc w:val="both"/>
        <w:textAlignment w:val="auto"/>
      </w:pPr>
      <w:r>
        <w:rPr>
          <w:rFonts w:ascii="Calibri" w:eastAsia="Times New Roman" w:hAnsi="Calibri" w:cs="Calibri"/>
          <w:sz w:val="22"/>
          <w:szCs w:val="22"/>
        </w:rPr>
        <w:t xml:space="preserve">The Supplier shall invoice the Authority as specified in of the Agreement. </w:t>
      </w:r>
      <w:bookmarkStart w:id="12" w:name="_Ref449355781"/>
      <w:r>
        <w:rPr>
          <w:rFonts w:ascii="Calibri" w:hAnsi="Calibri"/>
          <w:sz w:val="22"/>
          <w:szCs w:val="22"/>
        </w:rPr>
        <w:t xml:space="preserve">Without prejudice to the generality of the invoicing procedure specified in the Agreement, the Supplier </w:t>
      </w:r>
      <w:bookmarkEnd w:id="12"/>
      <w:r>
        <w:rPr>
          <w:rFonts w:ascii="Calibri" w:hAnsi="Calibri"/>
          <w:sz w:val="22"/>
          <w:szCs w:val="22"/>
        </w:rPr>
        <w:t xml:space="preserve">shall procure a Purchase Order Number from the Authority prior to the commencement of any Services and the Supplier acknowledges and agrees that should it commence Services without a Purchase Order Number: </w:t>
      </w:r>
    </w:p>
    <w:p w14:paraId="132FFA24" w14:textId="77777777" w:rsidR="00D44F98" w:rsidRDefault="00EB70E0">
      <w:pPr>
        <w:pStyle w:val="Heading3"/>
        <w:keepNext w:val="0"/>
        <w:keepLines w:val="0"/>
        <w:widowControl w:val="0"/>
        <w:numPr>
          <w:ilvl w:val="2"/>
          <w:numId w:val="24"/>
        </w:numPr>
        <w:suppressAutoHyphens w:val="0"/>
        <w:spacing w:before="0" w:after="0" w:line="240" w:lineRule="auto"/>
        <w:ind w:left="1134" w:hanging="708"/>
        <w:jc w:val="both"/>
        <w:textAlignment w:val="auto"/>
        <w:rPr>
          <w:rFonts w:ascii="Calibri" w:hAnsi="Calibri"/>
          <w:color w:val="auto"/>
          <w:sz w:val="22"/>
          <w:szCs w:val="22"/>
        </w:rPr>
      </w:pPr>
      <w:r>
        <w:rPr>
          <w:rFonts w:ascii="Calibri" w:hAnsi="Calibri"/>
          <w:color w:val="auto"/>
          <w:sz w:val="22"/>
          <w:szCs w:val="22"/>
        </w:rPr>
        <w:t>the Supplier does so at its own risk; and</w:t>
      </w:r>
    </w:p>
    <w:p w14:paraId="329BE2D6" w14:textId="77777777" w:rsidR="00D44F98" w:rsidRDefault="00EB70E0">
      <w:pPr>
        <w:pStyle w:val="Heading3"/>
        <w:keepNext w:val="0"/>
        <w:keepLines w:val="0"/>
        <w:widowControl w:val="0"/>
        <w:numPr>
          <w:ilvl w:val="2"/>
          <w:numId w:val="24"/>
        </w:numPr>
        <w:suppressAutoHyphens w:val="0"/>
        <w:spacing w:before="0" w:after="0" w:line="240" w:lineRule="auto"/>
        <w:ind w:left="1134" w:hanging="708"/>
        <w:jc w:val="both"/>
        <w:textAlignment w:val="auto"/>
        <w:rPr>
          <w:rFonts w:ascii="Calibri" w:hAnsi="Calibri"/>
          <w:color w:val="auto"/>
          <w:sz w:val="22"/>
          <w:szCs w:val="22"/>
        </w:rPr>
      </w:pPr>
      <w:r>
        <w:rPr>
          <w:rFonts w:ascii="Calibri" w:hAnsi="Calibri"/>
          <w:color w:val="auto"/>
          <w:sz w:val="22"/>
          <w:szCs w:val="22"/>
        </w:rPr>
        <w:t>the Authority shall not be obliged to pay any invoice without a valid Purchase Order Number having been provided to the Supplier.</w:t>
      </w:r>
    </w:p>
    <w:p w14:paraId="215A0895" w14:textId="77777777" w:rsidR="00D44F98" w:rsidRDefault="00EB70E0">
      <w:pPr>
        <w:pStyle w:val="ListParagraph"/>
        <w:numPr>
          <w:ilvl w:val="1"/>
          <w:numId w:val="24"/>
        </w:numPr>
        <w:suppressAutoHyphens w:val="0"/>
        <w:spacing w:line="240" w:lineRule="auto"/>
        <w:ind w:left="426" w:hanging="426"/>
        <w:contextualSpacing/>
      </w:pPr>
      <w:r>
        <w:rPr>
          <w:rFonts w:ascii="Calibri" w:eastAsia="Times New Roman" w:hAnsi="Calibri" w:cs="Calibri"/>
        </w:rPr>
        <w:t xml:space="preserve">Each invoice and any Supporting Documentation required to be submitted in accordance with </w:t>
      </w:r>
      <w:r>
        <w:t>the invoicing procedure specified in the Agreement</w:t>
      </w:r>
      <w:r>
        <w:rPr>
          <w:rFonts w:ascii="Calibri" w:eastAsia="Times New Roman" w:hAnsi="Calibri" w:cs="Calibri"/>
        </w:rPr>
        <w:t xml:space="preserve"> shall be submitted by the Supplier, as directed by the Authority from time to time via the Authority’s electronic transaction system.</w:t>
      </w:r>
    </w:p>
    <w:p w14:paraId="1607F1A1" w14:textId="77777777" w:rsidR="00D44F98" w:rsidRDefault="00EB70E0">
      <w:pPr>
        <w:pStyle w:val="ListParagraph"/>
        <w:numPr>
          <w:ilvl w:val="1"/>
          <w:numId w:val="24"/>
        </w:numPr>
        <w:suppressAutoHyphens w:val="0"/>
        <w:spacing w:line="240" w:lineRule="auto"/>
        <w:ind w:left="426" w:hanging="426"/>
        <w:contextualSpacing/>
      </w:pPr>
      <w:r>
        <w:rPr>
          <w:rFonts w:ascii="Calibri" w:eastAsia="Times New Roman" w:hAnsi="Calibri" w:cs="Calibri"/>
        </w:rPr>
        <w:t xml:space="preserve">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w:t>
      </w:r>
      <w:proofErr w:type="gramStart"/>
      <w:r>
        <w:rPr>
          <w:rFonts w:ascii="Calibri" w:eastAsia="Times New Roman" w:hAnsi="Calibri" w:cs="Calibri"/>
        </w:rPr>
        <w:t>in order to</w:t>
      </w:r>
      <w:proofErr w:type="gramEnd"/>
      <w:r>
        <w:rPr>
          <w:rFonts w:ascii="Calibri" w:eastAsia="Times New Roman" w:hAnsi="Calibri" w:cs="Calibri"/>
        </w:rPr>
        <w:t xml:space="preserve"> justify withholding payment of any such amount in whole or in part.  </w:t>
      </w:r>
    </w:p>
    <w:p w14:paraId="49CD7B7D" w14:textId="77777777" w:rsidR="00D44F98" w:rsidRDefault="00D44F98">
      <w:pPr>
        <w:pStyle w:val="ListParagraph"/>
        <w:spacing w:line="240" w:lineRule="auto"/>
        <w:ind w:left="1287"/>
        <w:rPr>
          <w:rFonts w:ascii="Calibri" w:eastAsia="Times New Roman" w:hAnsi="Calibri" w:cs="Calibri"/>
        </w:rPr>
      </w:pPr>
    </w:p>
    <w:p w14:paraId="6B07479E" w14:textId="77777777" w:rsidR="00D44F98" w:rsidRDefault="00D44F98">
      <w:pPr>
        <w:pStyle w:val="ListParagraph"/>
        <w:spacing w:line="240" w:lineRule="auto"/>
        <w:ind w:left="1287"/>
        <w:rPr>
          <w:rFonts w:ascii="&amp;quot" w:eastAsia="Times New Roman" w:hAnsi="&amp;quot" w:cs="Times New Roman"/>
          <w:sz w:val="18"/>
          <w:szCs w:val="18"/>
        </w:rPr>
      </w:pPr>
    </w:p>
    <w:p w14:paraId="1153771B" w14:textId="77777777" w:rsidR="00D44F98" w:rsidRDefault="00D44F98">
      <w:pPr>
        <w:pStyle w:val="ListParagraph"/>
        <w:spacing w:line="240" w:lineRule="auto"/>
        <w:ind w:left="360"/>
        <w:rPr>
          <w:rFonts w:ascii="&amp;quot" w:eastAsia="Times New Roman" w:hAnsi="&amp;quot" w:cs="Times New Roman"/>
          <w:sz w:val="18"/>
          <w:szCs w:val="18"/>
        </w:rPr>
      </w:pPr>
    </w:p>
    <w:p w14:paraId="4A0D0047" w14:textId="77777777" w:rsidR="00D44F98" w:rsidRDefault="00EB70E0">
      <w:pPr>
        <w:pStyle w:val="ListParagraph"/>
        <w:numPr>
          <w:ilvl w:val="0"/>
          <w:numId w:val="24"/>
        </w:numPr>
        <w:suppressAutoHyphens w:val="0"/>
        <w:spacing w:after="160" w:line="244" w:lineRule="auto"/>
        <w:ind w:left="426" w:hanging="426"/>
        <w:contextualSpacing/>
        <w:textAlignment w:val="auto"/>
        <w:rPr>
          <w:rFonts w:cs="Calibri"/>
          <w:b/>
        </w:rPr>
      </w:pPr>
      <w:r>
        <w:rPr>
          <w:rFonts w:cs="Calibri"/>
          <w:b/>
        </w:rPr>
        <w:t>Warranties</w:t>
      </w:r>
    </w:p>
    <w:p w14:paraId="6FD089D8" w14:textId="77777777" w:rsidR="00D44F98" w:rsidRDefault="00EB70E0">
      <w:pPr>
        <w:pStyle w:val="ListParagraph"/>
        <w:numPr>
          <w:ilvl w:val="1"/>
          <w:numId w:val="24"/>
        </w:numPr>
        <w:suppressAutoHyphens w:val="0"/>
        <w:spacing w:after="160" w:line="244" w:lineRule="auto"/>
        <w:ind w:left="426" w:hanging="426"/>
        <w:contextualSpacing/>
        <w:textAlignment w:val="auto"/>
      </w:pPr>
      <w:r>
        <w:rPr>
          <w:rFonts w:cs="Calibri"/>
        </w:rPr>
        <w:t>The Supplier represents and warrants that:</w:t>
      </w:r>
    </w:p>
    <w:p w14:paraId="2E450C72" w14:textId="77777777" w:rsidR="00D44F98" w:rsidRDefault="00EB70E0">
      <w:pPr>
        <w:pStyle w:val="ListParagraph"/>
        <w:numPr>
          <w:ilvl w:val="2"/>
          <w:numId w:val="24"/>
        </w:numPr>
        <w:suppressAutoHyphens w:val="0"/>
        <w:spacing w:after="160" w:line="244" w:lineRule="auto"/>
        <w:ind w:left="1134" w:hanging="708"/>
        <w:contextualSpacing/>
        <w:textAlignment w:val="auto"/>
        <w:rPr>
          <w:rFonts w:cs="Calibri"/>
        </w:rPr>
      </w:pPr>
      <w:bookmarkStart w:id="13" w:name="_Ref19804150"/>
      <w:r>
        <w:rPr>
          <w:rFonts w:cs="Calibri"/>
        </w:rPr>
        <w:t xml:space="preserve">in the three years prior to the Effective Date, it has been in full compliance with all applicable securities and Laws related to Tax in the United Kingdom and in the jurisdiction in which it is </w:t>
      </w:r>
      <w:proofErr w:type="gramStart"/>
      <w:r>
        <w:rPr>
          <w:rFonts w:cs="Calibri"/>
        </w:rPr>
        <w:t>established;</w:t>
      </w:r>
      <w:bookmarkEnd w:id="13"/>
      <w:proofErr w:type="gramEnd"/>
    </w:p>
    <w:p w14:paraId="29FB3753" w14:textId="77777777" w:rsidR="00D44F98" w:rsidRDefault="00EB70E0">
      <w:pPr>
        <w:pStyle w:val="ListParagraph"/>
        <w:numPr>
          <w:ilvl w:val="2"/>
          <w:numId w:val="24"/>
        </w:numPr>
        <w:suppressAutoHyphens w:val="0"/>
        <w:spacing w:after="160" w:line="244" w:lineRule="auto"/>
        <w:ind w:left="1134" w:hanging="708"/>
        <w:contextualSpacing/>
        <w:textAlignment w:val="auto"/>
        <w:rPr>
          <w:rFonts w:cs="Calibri"/>
        </w:rPr>
      </w:pPr>
      <w:bookmarkStart w:id="14" w:name="_Ref19804166"/>
      <w:r>
        <w:rPr>
          <w:rFonts w:cs="Calibri"/>
        </w:rPr>
        <w:t>it has notified the Authority in writing of any Tax Non-Compliance it is involved in; and</w:t>
      </w:r>
      <w:bookmarkEnd w:id="14"/>
    </w:p>
    <w:p w14:paraId="258630B0" w14:textId="77777777" w:rsidR="00D44F98" w:rsidRDefault="00EB70E0">
      <w:pPr>
        <w:pStyle w:val="ListParagraph"/>
        <w:numPr>
          <w:ilvl w:val="2"/>
          <w:numId w:val="24"/>
        </w:numPr>
        <w:suppressAutoHyphens w:val="0"/>
        <w:spacing w:after="160" w:line="244" w:lineRule="auto"/>
        <w:ind w:left="1134" w:hanging="708"/>
        <w:contextualSpacing/>
        <w:textAlignment w:val="auto"/>
        <w:rPr>
          <w:rFonts w:cs="Calibri"/>
        </w:rPr>
      </w:pPr>
      <w:bookmarkStart w:id="15" w:name="_Ref19804201"/>
      <w:r>
        <w:rPr>
          <w:rFonts w:cs="Calibri"/>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w:t>
      </w:r>
      <w:bookmarkEnd w:id="15"/>
    </w:p>
    <w:p w14:paraId="280698FF" w14:textId="77777777" w:rsidR="00D44F98" w:rsidRDefault="00EB70E0">
      <w:pPr>
        <w:pStyle w:val="ListParagraph"/>
        <w:numPr>
          <w:ilvl w:val="1"/>
          <w:numId w:val="24"/>
        </w:numPr>
        <w:suppressAutoHyphens w:val="0"/>
        <w:spacing w:after="160" w:line="244" w:lineRule="auto"/>
        <w:ind w:left="426" w:hanging="426"/>
        <w:contextualSpacing/>
        <w:textAlignment w:val="auto"/>
      </w:pPr>
      <w:r>
        <w:rPr>
          <w:rFonts w:cs="Calibri"/>
        </w:rPr>
        <w:lastRenderedPageBreak/>
        <w:t xml:space="preserve">If at any time the Supplier becomes aware that a representation or warranty given by it under Clause </w:t>
      </w:r>
      <w:r>
        <w:rPr>
          <w:rFonts w:cs="Calibri"/>
        </w:rPr>
        <w:fldChar w:fldCharType="begin"/>
      </w:r>
      <w:r>
        <w:rPr>
          <w:rFonts w:cs="Calibri"/>
        </w:rPr>
        <w:instrText xml:space="preserve"> REF _Ref19804150 </w:instrText>
      </w:r>
      <w:r>
        <w:rPr>
          <w:rFonts w:cs="Calibri"/>
        </w:rPr>
        <w:fldChar w:fldCharType="separate"/>
      </w:r>
      <w:r>
        <w:rPr>
          <w:rFonts w:cs="Calibri"/>
        </w:rPr>
        <w:t>3.1.1</w:t>
      </w:r>
      <w:r>
        <w:rPr>
          <w:rFonts w:cs="Calibri"/>
        </w:rPr>
        <w:fldChar w:fldCharType="end"/>
      </w:r>
      <w:r>
        <w:rPr>
          <w:rFonts w:cs="Calibri"/>
        </w:rPr>
        <w:t xml:space="preserve">, </w:t>
      </w:r>
      <w:r>
        <w:rPr>
          <w:rFonts w:cs="Calibri"/>
        </w:rPr>
        <w:fldChar w:fldCharType="begin"/>
      </w:r>
      <w:r>
        <w:rPr>
          <w:rFonts w:cs="Calibri"/>
        </w:rPr>
        <w:instrText xml:space="preserve"> REF _Ref19804166 </w:instrText>
      </w:r>
      <w:r>
        <w:rPr>
          <w:rFonts w:cs="Calibri"/>
        </w:rPr>
        <w:fldChar w:fldCharType="separate"/>
      </w:r>
      <w:r>
        <w:rPr>
          <w:rFonts w:cs="Calibri"/>
        </w:rPr>
        <w:t>3.1.2</w:t>
      </w:r>
      <w:r>
        <w:rPr>
          <w:rFonts w:cs="Calibri"/>
        </w:rPr>
        <w:fldChar w:fldCharType="end"/>
      </w:r>
      <w:r>
        <w:rPr>
          <w:rFonts w:cs="Calibri"/>
        </w:rPr>
        <w:t xml:space="preserve"> and/or </w:t>
      </w:r>
      <w:r>
        <w:rPr>
          <w:rFonts w:cs="Calibri"/>
        </w:rPr>
        <w:fldChar w:fldCharType="begin"/>
      </w:r>
      <w:r>
        <w:rPr>
          <w:rFonts w:cs="Calibri"/>
        </w:rPr>
        <w:instrText xml:space="preserve"> REF _Ref19804201 </w:instrText>
      </w:r>
      <w:r>
        <w:rPr>
          <w:rFonts w:cs="Calibri"/>
        </w:rPr>
        <w:fldChar w:fldCharType="separate"/>
      </w:r>
      <w:r>
        <w:rPr>
          <w:rFonts w:cs="Calibri"/>
        </w:rPr>
        <w:t>3.1.3</w:t>
      </w:r>
      <w:r>
        <w:rPr>
          <w:rFonts w:cs="Calibri"/>
        </w:rPr>
        <w:fldChar w:fldCharType="end"/>
      </w:r>
      <w:r>
        <w:rPr>
          <w:rFonts w:cs="Calibri"/>
        </w:rPr>
        <w:t xml:space="preserve"> has been breached, is untrue, or is misleading, it shall immediately notify the Authority of the relevant occurrence in sufficient detail to enable the Authority to make an accurate assessment of the situation. </w:t>
      </w:r>
    </w:p>
    <w:p w14:paraId="202825F0" w14:textId="77777777" w:rsidR="00D44F98" w:rsidRDefault="00EB70E0">
      <w:pPr>
        <w:pStyle w:val="ListParagraph"/>
        <w:numPr>
          <w:ilvl w:val="1"/>
          <w:numId w:val="24"/>
        </w:numPr>
        <w:suppressAutoHyphens w:val="0"/>
        <w:spacing w:after="160" w:line="244" w:lineRule="auto"/>
        <w:ind w:left="426" w:hanging="426"/>
        <w:contextualSpacing/>
        <w:textAlignment w:val="auto"/>
      </w:pPr>
      <w:proofErr w:type="gramStart"/>
      <w:r>
        <w:rPr>
          <w:rFonts w:cs="Calibri"/>
        </w:rPr>
        <w:t>In the event that</w:t>
      </w:r>
      <w:proofErr w:type="gramEnd"/>
      <w:r>
        <w:rPr>
          <w:rFonts w:cs="Calibri"/>
        </w:rPr>
        <w:t xml:space="preserve"> the warranty given by the Supplier pursuant to Clause </w:t>
      </w:r>
      <w:r>
        <w:rPr>
          <w:rFonts w:cs="Calibri"/>
        </w:rPr>
        <w:fldChar w:fldCharType="begin"/>
      </w:r>
      <w:r>
        <w:rPr>
          <w:rFonts w:cs="Calibri"/>
        </w:rPr>
        <w:instrText xml:space="preserve"> REF _Ref19804166 </w:instrText>
      </w:r>
      <w:r>
        <w:rPr>
          <w:rFonts w:cs="Calibri"/>
        </w:rPr>
        <w:fldChar w:fldCharType="separate"/>
      </w:r>
      <w:r>
        <w:rPr>
          <w:rFonts w:cs="Calibri"/>
        </w:rPr>
        <w:t>3.1.2</w:t>
      </w:r>
      <w:r>
        <w:rPr>
          <w:rFonts w:cs="Calibri"/>
        </w:rPr>
        <w:fldChar w:fldCharType="end"/>
      </w:r>
      <w:r>
        <w:rPr>
          <w:rFonts w:cs="Calibri"/>
        </w:rPr>
        <w:t xml:space="preserve"> is materially untrue, the Authority shall be entitled to terminate the Agreement pursuant to the Call-Off clause which provides the Authority the right to terminate the Agreement for Supplier fault (termination for Supplier cause or equivalent clause).</w:t>
      </w:r>
    </w:p>
    <w:p w14:paraId="3F441D9D" w14:textId="77777777" w:rsidR="00D44F98" w:rsidRDefault="00D44F98">
      <w:pPr>
        <w:pStyle w:val="ListParagraph"/>
        <w:ind w:left="426"/>
        <w:rPr>
          <w:rFonts w:cs="Calibri"/>
        </w:rPr>
      </w:pPr>
    </w:p>
    <w:p w14:paraId="3330D711" w14:textId="77777777" w:rsidR="00D44F98" w:rsidRDefault="00EB70E0">
      <w:pPr>
        <w:pStyle w:val="ListParagraph"/>
        <w:numPr>
          <w:ilvl w:val="0"/>
          <w:numId w:val="24"/>
        </w:numPr>
        <w:suppressAutoHyphens w:val="0"/>
        <w:spacing w:after="160" w:line="244" w:lineRule="auto"/>
        <w:ind w:left="426" w:hanging="426"/>
        <w:contextualSpacing/>
        <w:textAlignment w:val="auto"/>
        <w:rPr>
          <w:rFonts w:cs="Calibri"/>
          <w:b/>
        </w:rPr>
      </w:pPr>
      <w:r>
        <w:rPr>
          <w:rFonts w:cs="Calibri"/>
          <w:b/>
        </w:rPr>
        <w:t>Promoting Tax Compliance</w:t>
      </w:r>
    </w:p>
    <w:p w14:paraId="73B78881" w14:textId="77777777" w:rsidR="00D44F98" w:rsidRDefault="00EB70E0">
      <w:pPr>
        <w:pStyle w:val="ListParagraph"/>
        <w:numPr>
          <w:ilvl w:val="1"/>
          <w:numId w:val="24"/>
        </w:numPr>
        <w:suppressAutoHyphens w:val="0"/>
        <w:spacing w:after="160" w:line="244" w:lineRule="auto"/>
        <w:ind w:left="426" w:hanging="426"/>
        <w:contextualSpacing/>
        <w:textAlignment w:val="auto"/>
      </w:pPr>
      <w:r>
        <w:rPr>
          <w:rFonts w:cs="Calibri"/>
        </w:rPr>
        <w:t xml:space="preserve">All amounts stated </w:t>
      </w:r>
      <w:r>
        <w:rPr>
          <w:rFonts w:cs="Calibri"/>
          <w:szCs w:val="20"/>
        </w:rPr>
        <w:t>are stated exclusive of VAT, which shall be added at the prevailing rate as applicable and paid by the Authority following delivery of a valid VAT invoice.</w:t>
      </w:r>
    </w:p>
    <w:p w14:paraId="62FCBB31" w14:textId="77777777" w:rsidR="00D44F98" w:rsidRDefault="00EB70E0">
      <w:pPr>
        <w:pStyle w:val="ListParagraph"/>
        <w:numPr>
          <w:ilvl w:val="1"/>
          <w:numId w:val="24"/>
        </w:numPr>
        <w:suppressAutoHyphens w:val="0"/>
        <w:spacing w:after="160" w:line="244" w:lineRule="auto"/>
        <w:ind w:left="426" w:hanging="426"/>
        <w:contextualSpacing/>
        <w:textAlignment w:val="auto"/>
        <w:rPr>
          <w:rFonts w:cs="Calibri"/>
        </w:rPr>
      </w:pPr>
      <w:bookmarkStart w:id="16" w:name="_Ref20319270"/>
      <w:r>
        <w:rPr>
          <w:rFonts w:cs="Calibri"/>
        </w:rPr>
        <w:t xml:space="preserve">To the extent applicable to the Supplier, the Supplier shall </w:t>
      </w:r>
      <w:proofErr w:type="gramStart"/>
      <w:r>
        <w:rPr>
          <w:rFonts w:cs="Calibri"/>
        </w:rPr>
        <w:t>at all times</w:t>
      </w:r>
      <w:proofErr w:type="gramEnd"/>
      <w:r>
        <w:rPr>
          <w:rFonts w:cs="Calibri"/>
        </w:rPr>
        <w:t xml:space="preserve"> comply with all Laws relating to Tax and with the equivalent legal provisions of the country in which the Supplier is established.</w:t>
      </w:r>
      <w:bookmarkEnd w:id="16"/>
      <w:r>
        <w:rPr>
          <w:rFonts w:cs="Calibri"/>
        </w:rPr>
        <w:t xml:space="preserve"> </w:t>
      </w:r>
    </w:p>
    <w:p w14:paraId="14A62A3C" w14:textId="77777777" w:rsidR="00D44F98" w:rsidRDefault="00EB70E0">
      <w:pPr>
        <w:pStyle w:val="ListParagraph"/>
        <w:numPr>
          <w:ilvl w:val="1"/>
          <w:numId w:val="24"/>
        </w:numPr>
        <w:suppressAutoHyphens w:val="0"/>
        <w:spacing w:after="160" w:line="244" w:lineRule="auto"/>
        <w:ind w:left="426" w:hanging="426"/>
        <w:contextualSpacing/>
        <w:textAlignment w:val="auto"/>
        <w:rPr>
          <w:rFonts w:cs="Calibri"/>
        </w:rPr>
      </w:pPr>
      <w:bookmarkStart w:id="17" w:name="_Ref20993847"/>
      <w:bookmarkStart w:id="18" w:name="_Ref20319306"/>
      <w:r>
        <w:rPr>
          <w:rFonts w:cs="Calibri"/>
        </w:rPr>
        <w:t xml:space="preserve">The Supplier shall provide to the Authority the name and, as applicable, the Value Added Tax registration number, PAYE collection number and either the Corporation Tax or self-assessment reference of any agent, </w:t>
      </w:r>
      <w:proofErr w:type="gramStart"/>
      <w:r>
        <w:rPr>
          <w:rFonts w:cs="Calibri"/>
        </w:rPr>
        <w:t>supplier</w:t>
      </w:r>
      <w:proofErr w:type="gramEnd"/>
      <w:r>
        <w:rPr>
          <w:rFonts w:cs="Calibri"/>
        </w:rPr>
        <w:t xml:space="preserve">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17"/>
      <w:r>
        <w:rPr>
          <w:rFonts w:cs="Calibri"/>
        </w:rPr>
        <w:t xml:space="preserve">  </w:t>
      </w:r>
      <w:bookmarkEnd w:id="18"/>
    </w:p>
    <w:p w14:paraId="45AEF4B2" w14:textId="77777777" w:rsidR="00D44F98" w:rsidRDefault="00EB70E0">
      <w:pPr>
        <w:pStyle w:val="ListParagraph"/>
        <w:numPr>
          <w:ilvl w:val="1"/>
          <w:numId w:val="24"/>
        </w:numPr>
        <w:suppressAutoHyphens w:val="0"/>
        <w:spacing w:after="160" w:line="244" w:lineRule="auto"/>
        <w:ind w:left="426" w:hanging="426"/>
        <w:contextualSpacing/>
        <w:textAlignment w:val="auto"/>
        <w:rPr>
          <w:rFonts w:cs="Calibri"/>
        </w:rPr>
      </w:pPr>
      <w:bookmarkStart w:id="19" w:name="_Ref20993857"/>
      <w:r>
        <w:rPr>
          <w:rFonts w:cs="Calibri"/>
        </w:rPr>
        <w:t>If, at any point during the Term, there is Tax Non-Compliance, the Supplier shall:</w:t>
      </w:r>
      <w:bookmarkEnd w:id="19"/>
    </w:p>
    <w:p w14:paraId="63EE33A4" w14:textId="77777777" w:rsidR="00D44F98" w:rsidRDefault="00EB70E0">
      <w:pPr>
        <w:pStyle w:val="ListParagraph"/>
        <w:numPr>
          <w:ilvl w:val="2"/>
          <w:numId w:val="24"/>
        </w:numPr>
        <w:suppressAutoHyphens w:val="0"/>
        <w:spacing w:after="160" w:line="244" w:lineRule="auto"/>
        <w:ind w:left="1134" w:hanging="708"/>
        <w:contextualSpacing/>
        <w:textAlignment w:val="auto"/>
        <w:rPr>
          <w:rFonts w:cs="Calibri"/>
        </w:rPr>
      </w:pPr>
      <w:bookmarkStart w:id="20" w:name="_Ref20319279"/>
      <w:r>
        <w:rPr>
          <w:rFonts w:cs="Calibri"/>
        </w:rPr>
        <w:t>notify the Authority in writing of such fact within five (5) Working Days of its occurrence; and</w:t>
      </w:r>
      <w:bookmarkEnd w:id="20"/>
    </w:p>
    <w:p w14:paraId="444018C2" w14:textId="77777777" w:rsidR="00D44F98" w:rsidRDefault="00EB70E0">
      <w:pPr>
        <w:pStyle w:val="ListParagraph"/>
        <w:numPr>
          <w:ilvl w:val="2"/>
          <w:numId w:val="24"/>
        </w:numPr>
        <w:suppressAutoHyphens w:val="0"/>
        <w:spacing w:after="160" w:line="244" w:lineRule="auto"/>
        <w:ind w:left="1134" w:hanging="708"/>
        <w:contextualSpacing/>
        <w:textAlignment w:val="auto"/>
        <w:rPr>
          <w:rFonts w:cs="Calibri"/>
        </w:rPr>
      </w:pPr>
      <w:bookmarkStart w:id="21" w:name="_Ref20319317"/>
      <w:r>
        <w:rPr>
          <w:rFonts w:cs="Calibri"/>
        </w:rPr>
        <w:t>promptly provide to the Authority:</w:t>
      </w:r>
      <w:bookmarkEnd w:id="21"/>
    </w:p>
    <w:p w14:paraId="6A029FD1" w14:textId="77777777" w:rsidR="00D44F98" w:rsidRDefault="00EB70E0">
      <w:pPr>
        <w:pStyle w:val="ListParagraph"/>
        <w:numPr>
          <w:ilvl w:val="0"/>
          <w:numId w:val="30"/>
        </w:numPr>
        <w:suppressAutoHyphens w:val="0"/>
        <w:spacing w:after="160" w:line="244" w:lineRule="auto"/>
        <w:contextualSpacing/>
        <w:textAlignment w:val="auto"/>
        <w:rPr>
          <w:rFonts w:cs="Calibri"/>
        </w:rPr>
      </w:pPr>
      <w:r>
        <w:rPr>
          <w:rFonts w:cs="Calibri"/>
        </w:rPr>
        <w:t xml:space="preserve">details of the steps which the Supplier is taking to resolve the Tax Non-Compliance and to prevent the same from recurring, together with any mitigating factors that it considers relevant; and </w:t>
      </w:r>
    </w:p>
    <w:p w14:paraId="01BA10DC" w14:textId="77777777" w:rsidR="00D44F98" w:rsidRDefault="00EB70E0">
      <w:pPr>
        <w:pStyle w:val="ListParagraph"/>
        <w:numPr>
          <w:ilvl w:val="0"/>
          <w:numId w:val="30"/>
        </w:numPr>
        <w:suppressAutoHyphens w:val="0"/>
        <w:spacing w:after="160" w:line="244" w:lineRule="auto"/>
        <w:contextualSpacing/>
        <w:textAlignment w:val="auto"/>
        <w:rPr>
          <w:rFonts w:cs="Calibri"/>
        </w:rPr>
      </w:pPr>
      <w:r>
        <w:rPr>
          <w:rFonts w:cs="Calibri"/>
        </w:rPr>
        <w:t>such other information in relation to the Tax Non-Compliance as the Authority may reasonably require.</w:t>
      </w:r>
    </w:p>
    <w:p w14:paraId="5A258C08" w14:textId="77777777" w:rsidR="00D44F98" w:rsidRDefault="00EB70E0">
      <w:pPr>
        <w:pStyle w:val="ListParagraph"/>
        <w:numPr>
          <w:ilvl w:val="1"/>
          <w:numId w:val="24"/>
        </w:numPr>
        <w:suppressAutoHyphens w:val="0"/>
        <w:spacing w:after="160" w:line="244" w:lineRule="auto"/>
        <w:ind w:left="426" w:hanging="426"/>
        <w:contextualSpacing/>
        <w:textAlignment w:val="auto"/>
      </w:pPr>
      <w:bookmarkStart w:id="22" w:name="_Ref20319101"/>
      <w:r>
        <w:rPr>
          <w:rFonts w:cs="Calibri"/>
        </w:rPr>
        <w:t xml:space="preserve">The Supplier shall indemnify the Authority on a continuing basis against any liability, including any interest, penalties or costs incurred, that is levied, </w:t>
      </w:r>
      <w:proofErr w:type="gramStart"/>
      <w:r>
        <w:rPr>
          <w:rFonts w:cs="Calibri"/>
        </w:rPr>
        <w:t>demanded</w:t>
      </w:r>
      <w:proofErr w:type="gramEnd"/>
      <w:r>
        <w:rPr>
          <w:rFonts w:cs="Calibri"/>
        </w:rPr>
        <w:t xml:space="preserve"> or assessed on the Authority at any time in respect of the Supplier's failure to account for or to pay any Tax relating to payments made to the Supplier under this Agreement.  Any amounts due under this Clause </w:t>
      </w:r>
      <w:r>
        <w:rPr>
          <w:rFonts w:cs="Calibri"/>
        </w:rPr>
        <w:fldChar w:fldCharType="begin"/>
      </w:r>
      <w:r>
        <w:rPr>
          <w:rFonts w:cs="Calibri"/>
        </w:rPr>
        <w:instrText xml:space="preserve"> REF _Ref20319101 </w:instrText>
      </w:r>
      <w:r>
        <w:rPr>
          <w:rFonts w:cs="Calibri"/>
        </w:rPr>
        <w:fldChar w:fldCharType="separate"/>
      </w:r>
      <w:r>
        <w:rPr>
          <w:rFonts w:cs="Calibri"/>
        </w:rPr>
        <w:t>4.5</w:t>
      </w:r>
      <w:r>
        <w:rPr>
          <w:rFonts w:cs="Calibri"/>
        </w:rPr>
        <w:fldChar w:fldCharType="end"/>
      </w:r>
      <w:r>
        <w:rPr>
          <w:rFonts w:cs="Calibri"/>
        </w:rPr>
        <w:t xml:space="preserve"> shall be paid in cleared funds by the Supplier to the Authority not less than five (5) Working Days before the date upon which the Tax or other liability is payable by the Authority.</w:t>
      </w:r>
      <w:bookmarkEnd w:id="22"/>
      <w:r>
        <w:rPr>
          <w:rFonts w:cs="Calibri"/>
        </w:rPr>
        <w:t xml:space="preserve">  </w:t>
      </w:r>
    </w:p>
    <w:p w14:paraId="6D79ED04" w14:textId="77777777" w:rsidR="00D44F98" w:rsidRDefault="00EB70E0">
      <w:pPr>
        <w:pStyle w:val="ListParagraph"/>
        <w:numPr>
          <w:ilvl w:val="1"/>
          <w:numId w:val="24"/>
        </w:numPr>
        <w:suppressAutoHyphens w:val="0"/>
        <w:spacing w:after="160" w:line="244" w:lineRule="auto"/>
        <w:ind w:left="426" w:hanging="426"/>
        <w:contextualSpacing/>
        <w:textAlignment w:val="auto"/>
        <w:rPr>
          <w:rFonts w:cs="Calibri"/>
        </w:rPr>
      </w:pPr>
      <w:bookmarkStart w:id="23" w:name="_Ref20319292"/>
      <w:r>
        <w:rPr>
          <w:rFonts w:cs="Calibri"/>
        </w:rPr>
        <w:t>Upon the Authority’s request, the Supplier shall provide (promptly or within such other period notified by the Authority) information which demonstrates how the Supplier complies with its Tax obligations.</w:t>
      </w:r>
      <w:bookmarkEnd w:id="23"/>
      <w:r>
        <w:rPr>
          <w:rFonts w:cs="Calibri"/>
        </w:rPr>
        <w:t xml:space="preserve"> </w:t>
      </w:r>
    </w:p>
    <w:p w14:paraId="7986A8B0" w14:textId="77777777" w:rsidR="00D44F98" w:rsidRDefault="00EB70E0">
      <w:pPr>
        <w:pStyle w:val="ListParagraph"/>
        <w:numPr>
          <w:ilvl w:val="1"/>
          <w:numId w:val="24"/>
        </w:numPr>
        <w:suppressAutoHyphens w:val="0"/>
        <w:spacing w:after="160" w:line="244" w:lineRule="auto"/>
        <w:ind w:left="426" w:hanging="426"/>
        <w:contextualSpacing/>
        <w:textAlignment w:val="auto"/>
      </w:pPr>
      <w:r>
        <w:rPr>
          <w:rStyle w:val="normaltextrun1"/>
          <w:rFonts w:cs="Calibri"/>
        </w:rPr>
        <w:t xml:space="preserve">If the Supplier: </w:t>
      </w:r>
    </w:p>
    <w:p w14:paraId="3E025A0E" w14:textId="77777777" w:rsidR="00D44F98" w:rsidRDefault="00EB70E0">
      <w:pPr>
        <w:pStyle w:val="paragraph"/>
        <w:numPr>
          <w:ilvl w:val="2"/>
          <w:numId w:val="24"/>
        </w:numPr>
        <w:ind w:left="1276" w:hanging="709"/>
        <w:textAlignment w:val="baseline"/>
      </w:pPr>
      <w:r>
        <w:rPr>
          <w:rStyle w:val="normaltextrun1"/>
          <w:rFonts w:ascii="Calibri" w:hAnsi="Calibri" w:cs="Calibri"/>
          <w:sz w:val="22"/>
          <w:szCs w:val="22"/>
        </w:rPr>
        <w:t xml:space="preserve">fails to comply (or if the Authority receives information which demonstrates to it that the Supplier has failed to comply) with Clauses </w:t>
      </w:r>
      <w:r>
        <w:rPr>
          <w:rStyle w:val="normaltextrun1"/>
          <w:rFonts w:ascii="Calibri" w:hAnsi="Calibri" w:cs="Calibri"/>
          <w:sz w:val="22"/>
          <w:szCs w:val="22"/>
        </w:rPr>
        <w:fldChar w:fldCharType="begin"/>
      </w:r>
      <w:r>
        <w:rPr>
          <w:rStyle w:val="normaltextrun1"/>
          <w:rFonts w:ascii="Calibri" w:hAnsi="Calibri" w:cs="Calibri"/>
          <w:sz w:val="22"/>
          <w:szCs w:val="22"/>
        </w:rPr>
        <w:instrText xml:space="preserve"> REF _Ref20319270 </w:instrText>
      </w:r>
      <w:r>
        <w:rPr>
          <w:rStyle w:val="normaltextrun1"/>
          <w:rFonts w:ascii="Calibri" w:hAnsi="Calibri" w:cs="Calibri"/>
          <w:sz w:val="22"/>
          <w:szCs w:val="22"/>
        </w:rPr>
        <w:fldChar w:fldCharType="separate"/>
      </w:r>
      <w:r>
        <w:rPr>
          <w:rStyle w:val="normaltextrun1"/>
          <w:rFonts w:ascii="Calibri" w:hAnsi="Calibri" w:cs="Calibri"/>
          <w:sz w:val="22"/>
          <w:szCs w:val="22"/>
        </w:rPr>
        <w:t>4.2</w:t>
      </w:r>
      <w:r>
        <w:rPr>
          <w:rStyle w:val="normaltextrun1"/>
          <w:rFonts w:ascii="Calibri" w:hAnsi="Calibri" w:cs="Calibri"/>
          <w:sz w:val="22"/>
          <w:szCs w:val="22"/>
        </w:rPr>
        <w:fldChar w:fldCharType="end"/>
      </w:r>
      <w:r>
        <w:rPr>
          <w:rStyle w:val="normaltextrun1"/>
          <w:rFonts w:ascii="Calibri" w:hAnsi="Calibri" w:cs="Calibri"/>
          <w:sz w:val="22"/>
          <w:szCs w:val="22"/>
        </w:rPr>
        <w:t xml:space="preserve">, </w:t>
      </w:r>
      <w:r>
        <w:rPr>
          <w:rStyle w:val="normaltextrun1"/>
          <w:rFonts w:ascii="Calibri" w:hAnsi="Calibri" w:cs="Calibri"/>
          <w:sz w:val="22"/>
          <w:szCs w:val="22"/>
        </w:rPr>
        <w:fldChar w:fldCharType="begin"/>
      </w:r>
      <w:r>
        <w:rPr>
          <w:rStyle w:val="normaltextrun1"/>
          <w:rFonts w:ascii="Calibri" w:hAnsi="Calibri" w:cs="Calibri"/>
          <w:sz w:val="22"/>
          <w:szCs w:val="22"/>
        </w:rPr>
        <w:instrText xml:space="preserve"> REF _Ref20319279 </w:instrText>
      </w:r>
      <w:r>
        <w:rPr>
          <w:rStyle w:val="normaltextrun1"/>
          <w:rFonts w:ascii="Calibri" w:hAnsi="Calibri" w:cs="Calibri"/>
          <w:sz w:val="22"/>
          <w:szCs w:val="22"/>
        </w:rPr>
        <w:fldChar w:fldCharType="separate"/>
      </w:r>
      <w:r>
        <w:rPr>
          <w:rStyle w:val="normaltextrun1"/>
          <w:rFonts w:ascii="Calibri" w:hAnsi="Calibri" w:cs="Calibri"/>
          <w:sz w:val="22"/>
          <w:szCs w:val="22"/>
        </w:rPr>
        <w:t>4.4.1</w:t>
      </w:r>
      <w:r>
        <w:rPr>
          <w:rStyle w:val="normaltextrun1"/>
          <w:rFonts w:ascii="Calibri" w:hAnsi="Calibri" w:cs="Calibri"/>
          <w:sz w:val="22"/>
          <w:szCs w:val="22"/>
        </w:rPr>
        <w:fldChar w:fldCharType="end"/>
      </w:r>
      <w:r>
        <w:rPr>
          <w:rStyle w:val="normaltextrun1"/>
          <w:rFonts w:ascii="Calibri" w:hAnsi="Calibri" w:cs="Calibri"/>
          <w:sz w:val="22"/>
          <w:szCs w:val="22"/>
        </w:rPr>
        <w:t xml:space="preserve"> and/or </w:t>
      </w:r>
      <w:r>
        <w:rPr>
          <w:rStyle w:val="normaltextrun1"/>
          <w:rFonts w:ascii="Calibri" w:hAnsi="Calibri" w:cs="Calibri"/>
          <w:sz w:val="22"/>
          <w:szCs w:val="22"/>
        </w:rPr>
        <w:fldChar w:fldCharType="begin"/>
      </w:r>
      <w:r>
        <w:rPr>
          <w:rStyle w:val="normaltextrun1"/>
          <w:rFonts w:ascii="Calibri" w:hAnsi="Calibri" w:cs="Calibri"/>
          <w:sz w:val="22"/>
          <w:szCs w:val="22"/>
        </w:rPr>
        <w:instrText xml:space="preserve"> REF _Ref20319292 </w:instrText>
      </w:r>
      <w:r>
        <w:rPr>
          <w:rStyle w:val="normaltextrun1"/>
          <w:rFonts w:ascii="Calibri" w:hAnsi="Calibri" w:cs="Calibri"/>
          <w:sz w:val="22"/>
          <w:szCs w:val="22"/>
        </w:rPr>
        <w:fldChar w:fldCharType="separate"/>
      </w:r>
      <w:r>
        <w:rPr>
          <w:rStyle w:val="normaltextrun1"/>
          <w:rFonts w:ascii="Calibri" w:hAnsi="Calibri" w:cs="Calibri"/>
          <w:sz w:val="22"/>
          <w:szCs w:val="22"/>
        </w:rPr>
        <w:t>4.6</w:t>
      </w:r>
      <w:r>
        <w:rPr>
          <w:rStyle w:val="normaltextrun1"/>
          <w:rFonts w:ascii="Calibri" w:hAnsi="Calibri" w:cs="Calibri"/>
          <w:sz w:val="22"/>
          <w:szCs w:val="22"/>
        </w:rPr>
        <w:fldChar w:fldCharType="end"/>
      </w:r>
      <w:r>
        <w:rPr>
          <w:rStyle w:val="normaltextrun1"/>
          <w:rFonts w:ascii="Calibri" w:hAnsi="Calibri" w:cs="Calibri"/>
          <w:sz w:val="22"/>
          <w:szCs w:val="22"/>
        </w:rPr>
        <w:t xml:space="preserve"> this may be a material breach of the Agreement; </w:t>
      </w:r>
    </w:p>
    <w:p w14:paraId="7B459723" w14:textId="77777777" w:rsidR="00D44F98" w:rsidRDefault="00EB70E0">
      <w:pPr>
        <w:pStyle w:val="paragraph"/>
        <w:numPr>
          <w:ilvl w:val="2"/>
          <w:numId w:val="24"/>
        </w:numPr>
        <w:ind w:left="1276" w:hanging="709"/>
        <w:textAlignment w:val="baseline"/>
      </w:pPr>
      <w:r>
        <w:rPr>
          <w:rStyle w:val="normaltextrun1"/>
          <w:rFonts w:ascii="Calibri" w:hAnsi="Calibri" w:cs="Calibri"/>
          <w:sz w:val="22"/>
          <w:szCs w:val="22"/>
        </w:rPr>
        <w:t xml:space="preserve">fails to comply (or if the Authority receives information which demonstrates to it that the Supplier has failed to comply) </w:t>
      </w:r>
      <w:r>
        <w:rPr>
          <w:rFonts w:ascii="Calibri" w:hAnsi="Calibri" w:cs="Calibri"/>
          <w:sz w:val="22"/>
          <w:szCs w:val="22"/>
        </w:rPr>
        <w:t xml:space="preserve">with a reasonable request by the Authority that it must not contract, or must cease to contract, with any agent, supplier or Subcontractor of the Supplier as required by Clause </w:t>
      </w:r>
      <w:r>
        <w:rPr>
          <w:rFonts w:ascii="Calibri" w:hAnsi="Calibri" w:cs="Calibri"/>
          <w:sz w:val="22"/>
          <w:szCs w:val="22"/>
        </w:rPr>
        <w:fldChar w:fldCharType="begin"/>
      </w:r>
      <w:r>
        <w:rPr>
          <w:rFonts w:ascii="Calibri" w:hAnsi="Calibri" w:cs="Calibri"/>
          <w:sz w:val="22"/>
          <w:szCs w:val="22"/>
        </w:rPr>
        <w:instrText xml:space="preserve"> REF _Ref20319306 </w:instrText>
      </w:r>
      <w:r>
        <w:rPr>
          <w:rFonts w:ascii="Calibri" w:hAnsi="Calibri" w:cs="Calibri"/>
          <w:sz w:val="22"/>
          <w:szCs w:val="22"/>
        </w:rPr>
        <w:fldChar w:fldCharType="separate"/>
      </w:r>
      <w:r>
        <w:rPr>
          <w:rFonts w:ascii="Calibri" w:hAnsi="Calibri" w:cs="Calibri"/>
          <w:sz w:val="22"/>
          <w:szCs w:val="22"/>
        </w:rPr>
        <w:t>4.3</w:t>
      </w:r>
      <w:r>
        <w:rPr>
          <w:rFonts w:ascii="Calibri" w:hAnsi="Calibri" w:cs="Calibri"/>
          <w:sz w:val="22"/>
          <w:szCs w:val="22"/>
        </w:rPr>
        <w:fldChar w:fldCharType="end"/>
      </w:r>
      <w:r>
        <w:rPr>
          <w:rFonts w:ascii="Calibri" w:hAnsi="Calibri" w:cs="Calibri"/>
          <w:sz w:val="22"/>
          <w:szCs w:val="22"/>
        </w:rPr>
        <w:t xml:space="preserve"> on the grounds that the agent, supplier or Subcontractor of the Supplier is involved in Tax Non-Compliance</w:t>
      </w:r>
      <w:r>
        <w:rPr>
          <w:rStyle w:val="normaltextrun1"/>
          <w:rFonts w:ascii="Calibri" w:hAnsi="Calibri" w:cs="Calibri"/>
          <w:sz w:val="22"/>
          <w:szCs w:val="22"/>
        </w:rPr>
        <w:t xml:space="preserve"> this shall be a material breach of the Agreement; and/or</w:t>
      </w:r>
    </w:p>
    <w:p w14:paraId="37C40191" w14:textId="77777777" w:rsidR="00D44F98" w:rsidRDefault="00EB70E0">
      <w:pPr>
        <w:pStyle w:val="paragraph"/>
        <w:numPr>
          <w:ilvl w:val="2"/>
          <w:numId w:val="24"/>
        </w:numPr>
        <w:ind w:left="1276" w:hanging="709"/>
        <w:textAlignment w:val="baseline"/>
      </w:pPr>
      <w:r>
        <w:rPr>
          <w:rStyle w:val="normaltextrun1"/>
          <w:rFonts w:ascii="Calibri" w:hAnsi="Calibri" w:cs="Calibri"/>
          <w:sz w:val="22"/>
          <w:szCs w:val="22"/>
        </w:rPr>
        <w:t xml:space="preserve">fails to provide details of steps being taken and mitigating factors pursuant to Clause </w:t>
      </w:r>
      <w:r>
        <w:rPr>
          <w:rStyle w:val="normaltextrun1"/>
          <w:rFonts w:ascii="Calibri" w:hAnsi="Calibri" w:cs="Calibri"/>
          <w:sz w:val="22"/>
          <w:szCs w:val="22"/>
        </w:rPr>
        <w:fldChar w:fldCharType="begin"/>
      </w:r>
      <w:r>
        <w:rPr>
          <w:rStyle w:val="normaltextrun1"/>
          <w:rFonts w:ascii="Calibri" w:hAnsi="Calibri" w:cs="Calibri"/>
          <w:sz w:val="22"/>
          <w:szCs w:val="22"/>
        </w:rPr>
        <w:instrText xml:space="preserve"> REF _Ref20319317 </w:instrText>
      </w:r>
      <w:r>
        <w:rPr>
          <w:rStyle w:val="normaltextrun1"/>
          <w:rFonts w:ascii="Calibri" w:hAnsi="Calibri" w:cs="Calibri"/>
          <w:sz w:val="22"/>
          <w:szCs w:val="22"/>
        </w:rPr>
        <w:fldChar w:fldCharType="separate"/>
      </w:r>
      <w:r>
        <w:rPr>
          <w:rStyle w:val="normaltextrun1"/>
          <w:rFonts w:ascii="Calibri" w:hAnsi="Calibri" w:cs="Calibri"/>
          <w:sz w:val="22"/>
          <w:szCs w:val="22"/>
        </w:rPr>
        <w:t>4.4.2</w:t>
      </w:r>
      <w:r>
        <w:rPr>
          <w:rStyle w:val="normaltextrun1"/>
          <w:rFonts w:ascii="Calibri" w:hAnsi="Calibri" w:cs="Calibri"/>
          <w:sz w:val="22"/>
          <w:szCs w:val="22"/>
        </w:rPr>
        <w:fldChar w:fldCharType="end"/>
      </w:r>
      <w:r>
        <w:rPr>
          <w:rStyle w:val="normaltextrun1"/>
          <w:rFonts w:ascii="Calibri" w:hAnsi="Calibri" w:cs="Calibri"/>
          <w:sz w:val="22"/>
          <w:szCs w:val="22"/>
        </w:rPr>
        <w:t xml:space="preserve"> which in the reasonable opinion of the Authority are acceptable this shall be a material breach of the </w:t>
      </w:r>
      <w:proofErr w:type="gramStart"/>
      <w:r>
        <w:rPr>
          <w:rStyle w:val="normaltextrun1"/>
          <w:rFonts w:ascii="Calibri" w:hAnsi="Calibri" w:cs="Calibri"/>
          <w:sz w:val="22"/>
          <w:szCs w:val="22"/>
        </w:rPr>
        <w:t>Agreement;</w:t>
      </w:r>
      <w:proofErr w:type="gramEnd"/>
    </w:p>
    <w:p w14:paraId="757CE839" w14:textId="77777777" w:rsidR="00D44F98" w:rsidRDefault="00D44F98">
      <w:pPr>
        <w:pStyle w:val="paragraph"/>
        <w:ind w:left="426" w:hanging="426"/>
        <w:textAlignment w:val="baseline"/>
      </w:pPr>
    </w:p>
    <w:p w14:paraId="53E5B6A9" w14:textId="77777777" w:rsidR="00D44F98" w:rsidRDefault="00EB70E0">
      <w:pPr>
        <w:pStyle w:val="paragraph"/>
        <w:ind w:left="426"/>
        <w:textAlignment w:val="baseline"/>
      </w:pPr>
      <w:r>
        <w:rPr>
          <w:rStyle w:val="normaltextrun1"/>
          <w:rFonts w:ascii="Calibri" w:hAnsi="Calibri" w:cs="Calibri"/>
          <w:sz w:val="22"/>
          <w:szCs w:val="22"/>
        </w:rPr>
        <w:lastRenderedPageBreak/>
        <w:t xml:space="preserve">and any such material breach shall allow the Authority to </w:t>
      </w:r>
      <w:r>
        <w:rPr>
          <w:rFonts w:ascii="Calibri" w:hAnsi="Calibri" w:cs="Calibri"/>
          <w:sz w:val="22"/>
          <w:szCs w:val="22"/>
        </w:rPr>
        <w:t xml:space="preserve">terminate the Agreement pursuant to the Call-Off Clause which provides the Authority the right to terminate the Agreement for Supplier fault (termination for Supplier cause or equivalent clause). </w:t>
      </w:r>
    </w:p>
    <w:p w14:paraId="2E9D5739" w14:textId="77777777" w:rsidR="00D44F98" w:rsidRDefault="00EB70E0">
      <w:pPr>
        <w:pStyle w:val="ListParagraph"/>
        <w:numPr>
          <w:ilvl w:val="1"/>
          <w:numId w:val="24"/>
        </w:numPr>
        <w:suppressAutoHyphens w:val="0"/>
        <w:spacing w:after="160" w:line="244" w:lineRule="auto"/>
        <w:ind w:left="426" w:hanging="426"/>
        <w:contextualSpacing/>
        <w:textAlignment w:val="auto"/>
      </w:pPr>
      <w:r>
        <w:rPr>
          <w:rFonts w:cs="Calibri"/>
        </w:rPr>
        <w:t xml:space="preserve">The Authority may internally share any information which it receives under Clauses </w:t>
      </w:r>
      <w:r>
        <w:rPr>
          <w:rFonts w:cs="Calibri"/>
        </w:rPr>
        <w:fldChar w:fldCharType="begin"/>
      </w:r>
      <w:r>
        <w:rPr>
          <w:rFonts w:cs="Calibri"/>
        </w:rPr>
        <w:instrText xml:space="preserve"> REF _Ref20993847 </w:instrText>
      </w:r>
      <w:r>
        <w:rPr>
          <w:rFonts w:cs="Calibri"/>
        </w:rPr>
        <w:fldChar w:fldCharType="separate"/>
      </w:r>
      <w:r>
        <w:rPr>
          <w:rFonts w:cs="Calibri"/>
        </w:rPr>
        <w:t>4.3</w:t>
      </w:r>
      <w:r>
        <w:rPr>
          <w:rFonts w:cs="Calibri"/>
        </w:rPr>
        <w:fldChar w:fldCharType="end"/>
      </w:r>
      <w:r>
        <w:rPr>
          <w:rFonts w:cs="Calibri"/>
        </w:rPr>
        <w:t xml:space="preserve"> to </w:t>
      </w:r>
      <w:r>
        <w:rPr>
          <w:rFonts w:cs="Calibri"/>
        </w:rPr>
        <w:fldChar w:fldCharType="begin"/>
      </w:r>
      <w:r>
        <w:rPr>
          <w:rFonts w:cs="Calibri"/>
        </w:rPr>
        <w:instrText xml:space="preserve"> REF _Ref20993857 </w:instrText>
      </w:r>
      <w:r>
        <w:rPr>
          <w:rFonts w:cs="Calibri"/>
        </w:rPr>
        <w:fldChar w:fldCharType="separate"/>
      </w:r>
      <w:r>
        <w:rPr>
          <w:rFonts w:cs="Calibri"/>
        </w:rPr>
        <w:t>4.4</w:t>
      </w:r>
      <w:r>
        <w:rPr>
          <w:rFonts w:cs="Calibri"/>
        </w:rPr>
        <w:fldChar w:fldCharType="end"/>
      </w:r>
      <w:r>
        <w:rPr>
          <w:rFonts w:cs="Calibri"/>
        </w:rPr>
        <w:t xml:space="preserve"> (inclusive) and </w:t>
      </w:r>
      <w:r>
        <w:rPr>
          <w:rFonts w:cs="Calibri"/>
        </w:rPr>
        <w:fldChar w:fldCharType="begin"/>
      </w:r>
      <w:r>
        <w:rPr>
          <w:rFonts w:cs="Calibri"/>
        </w:rPr>
        <w:instrText xml:space="preserve"> REF _Ref20319292 </w:instrText>
      </w:r>
      <w:r>
        <w:rPr>
          <w:rFonts w:cs="Calibri"/>
        </w:rPr>
        <w:fldChar w:fldCharType="separate"/>
      </w:r>
      <w:r>
        <w:rPr>
          <w:rFonts w:cs="Calibri"/>
        </w:rPr>
        <w:t>4.6</w:t>
      </w:r>
      <w:r>
        <w:rPr>
          <w:rFonts w:cs="Calibri"/>
        </w:rPr>
        <w:fldChar w:fldCharType="end"/>
      </w:r>
      <w:r>
        <w:rPr>
          <w:rFonts w:cs="Calibri"/>
        </w:rPr>
        <w:t xml:space="preserve">, for the purpose of the collection and management of revenue for which the Authority is responsible. </w:t>
      </w:r>
    </w:p>
    <w:p w14:paraId="6527F9C6" w14:textId="77777777" w:rsidR="00D44F98" w:rsidRDefault="00D44F98">
      <w:pPr>
        <w:pStyle w:val="ListParagraph"/>
        <w:ind w:left="426"/>
        <w:rPr>
          <w:rFonts w:cs="Calibri"/>
        </w:rPr>
      </w:pPr>
    </w:p>
    <w:p w14:paraId="49A6197D" w14:textId="77777777" w:rsidR="00D44F98" w:rsidRDefault="00EB70E0">
      <w:pPr>
        <w:pStyle w:val="ListParagraph"/>
        <w:numPr>
          <w:ilvl w:val="0"/>
          <w:numId w:val="24"/>
        </w:numPr>
        <w:suppressAutoHyphens w:val="0"/>
        <w:spacing w:after="160" w:line="244" w:lineRule="auto"/>
        <w:ind w:left="426" w:hanging="426"/>
        <w:contextualSpacing/>
        <w:textAlignment w:val="auto"/>
        <w:rPr>
          <w:rFonts w:cs="Calibri"/>
          <w:b/>
          <w:lang w:val="en-US"/>
        </w:rPr>
      </w:pPr>
      <w:r>
        <w:rPr>
          <w:rFonts w:cs="Calibri"/>
          <w:b/>
          <w:lang w:val="en-US"/>
        </w:rPr>
        <w:t>Use of Off-shore Tax Structures</w:t>
      </w:r>
      <w:bookmarkStart w:id="24" w:name="_Ref456277829"/>
    </w:p>
    <w:p w14:paraId="042CB438" w14:textId="77777777" w:rsidR="00D44F98" w:rsidRDefault="00EB70E0">
      <w:pPr>
        <w:pStyle w:val="ListParagraph"/>
        <w:numPr>
          <w:ilvl w:val="1"/>
          <w:numId w:val="31"/>
        </w:numPr>
        <w:suppressAutoHyphens w:val="0"/>
        <w:spacing w:after="160" w:line="244" w:lineRule="auto"/>
        <w:ind w:left="426" w:hanging="426"/>
        <w:contextualSpacing/>
        <w:textAlignment w:val="auto"/>
      </w:pPr>
      <w:bookmarkStart w:id="25" w:name="_Ref19805004"/>
      <w:r>
        <w:rPr>
          <w:rFonts w:cs="Calibri"/>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Pr>
          <w:rFonts w:cs="Calibri"/>
          <w:b/>
          <w:bCs/>
          <w:iCs/>
        </w:rPr>
        <w:t>“Prohibited Transactions”</w:t>
      </w:r>
      <w:r>
        <w:rPr>
          <w:rFonts w:cs="Calibri"/>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26" w:name="_Ref454350421"/>
      <w:bookmarkEnd w:id="24"/>
      <w:bookmarkEnd w:id="25"/>
    </w:p>
    <w:p w14:paraId="420A79B9" w14:textId="77777777" w:rsidR="00D44F98" w:rsidRDefault="00EB70E0">
      <w:pPr>
        <w:pStyle w:val="ListParagraph"/>
        <w:numPr>
          <w:ilvl w:val="1"/>
          <w:numId w:val="31"/>
        </w:numPr>
        <w:suppressAutoHyphens w:val="0"/>
        <w:spacing w:after="160" w:line="244" w:lineRule="auto"/>
        <w:ind w:left="426" w:hanging="426"/>
        <w:contextualSpacing/>
        <w:textAlignment w:val="auto"/>
      </w:pPr>
      <w:bookmarkStart w:id="27" w:name="_Ref19805057"/>
      <w:r>
        <w:rPr>
          <w:rFonts w:cs="Calibri"/>
          <w:bCs/>
          <w:iCs/>
        </w:rPr>
        <w:t xml:space="preserve">The Supplier shall notify the Authority in writing (with reasonable supporting detail) of any proposal for the Supplier or any of its Connected Companies, or for a Key Subcontractor (or any of its Connected Companies), to </w:t>
      </w:r>
      <w:proofErr w:type="gramStart"/>
      <w:r>
        <w:rPr>
          <w:rFonts w:cs="Calibri"/>
          <w:bCs/>
          <w:iCs/>
        </w:rPr>
        <w:t>enter into</w:t>
      </w:r>
      <w:proofErr w:type="gramEnd"/>
      <w:r>
        <w:rPr>
          <w:rFonts w:cs="Calibri"/>
          <w:bCs/>
          <w:iCs/>
        </w:rPr>
        <w:t xml:space="preserve"> any Prohibited Transaction. The Supplier shall notify the Authority within a reasonable time to allow the Authority to consider the proposed Prohibited Transaction before it is due to be put in place.</w:t>
      </w:r>
      <w:bookmarkStart w:id="28" w:name="_Ref454350981"/>
      <w:bookmarkEnd w:id="26"/>
      <w:bookmarkEnd w:id="27"/>
    </w:p>
    <w:p w14:paraId="26EC7C95" w14:textId="77777777" w:rsidR="00D44F98" w:rsidRDefault="00EB70E0">
      <w:pPr>
        <w:pStyle w:val="ListParagraph"/>
        <w:numPr>
          <w:ilvl w:val="1"/>
          <w:numId w:val="31"/>
        </w:numPr>
        <w:suppressAutoHyphens w:val="0"/>
        <w:spacing w:after="160" w:line="244" w:lineRule="auto"/>
        <w:ind w:left="426" w:hanging="426"/>
        <w:contextualSpacing/>
        <w:textAlignment w:val="auto"/>
      </w:pPr>
      <w:bookmarkStart w:id="29" w:name="_Ref19805096"/>
      <w:r>
        <w:rPr>
          <w:rFonts w:cs="Calibri"/>
          <w:bCs/>
          <w:iCs/>
        </w:rPr>
        <w:t xml:space="preserve">In the event of a Prohibited Transaction being entered into in breach of Clause </w:t>
      </w:r>
      <w:r>
        <w:rPr>
          <w:rFonts w:cs="Calibri"/>
          <w:bCs/>
          <w:iCs/>
        </w:rPr>
        <w:fldChar w:fldCharType="begin"/>
      </w:r>
      <w:r>
        <w:rPr>
          <w:rFonts w:cs="Calibri"/>
          <w:bCs/>
          <w:iCs/>
        </w:rPr>
        <w:instrText xml:space="preserve"> REF _Ref19805004 </w:instrText>
      </w:r>
      <w:r>
        <w:rPr>
          <w:rFonts w:cs="Calibri"/>
          <w:bCs/>
          <w:iCs/>
        </w:rPr>
        <w:fldChar w:fldCharType="separate"/>
      </w:r>
      <w:r>
        <w:rPr>
          <w:rFonts w:cs="Calibri"/>
          <w:bCs/>
          <w:iCs/>
        </w:rPr>
        <w:t>5.1</w:t>
      </w:r>
      <w:r>
        <w:rPr>
          <w:rFonts w:cs="Calibri"/>
          <w:bCs/>
          <w:iCs/>
        </w:rPr>
        <w:fldChar w:fldCharType="end"/>
      </w:r>
      <w:r>
        <w:rPr>
          <w:rFonts w:cs="Calibri"/>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rFonts w:cs="Calibri"/>
          <w:bCs/>
          <w:iCs/>
        </w:rPr>
        <w:fldChar w:fldCharType="begin"/>
      </w:r>
      <w:r>
        <w:rPr>
          <w:rFonts w:cs="Calibri"/>
          <w:bCs/>
          <w:iCs/>
        </w:rPr>
        <w:instrText xml:space="preserve"> REF _Ref19805004 </w:instrText>
      </w:r>
      <w:r>
        <w:rPr>
          <w:rFonts w:cs="Calibri"/>
          <w:bCs/>
          <w:iCs/>
        </w:rPr>
        <w:fldChar w:fldCharType="separate"/>
      </w:r>
      <w:r>
        <w:rPr>
          <w:rFonts w:cs="Calibri"/>
          <w:bCs/>
          <w:iCs/>
        </w:rPr>
        <w:t>5.1</w:t>
      </w:r>
      <w:r>
        <w:rPr>
          <w:rFonts w:cs="Calibri"/>
          <w:bCs/>
          <w:iCs/>
        </w:rPr>
        <w:fldChar w:fldCharType="end"/>
      </w:r>
      <w:r>
        <w:rPr>
          <w:rFonts w:cs="Calibri"/>
          <w:bCs/>
          <w:iCs/>
        </w:rPr>
        <w:t xml:space="preserve"> and </w:t>
      </w:r>
      <w:r>
        <w:rPr>
          <w:rFonts w:cs="Calibri"/>
          <w:bCs/>
          <w:iCs/>
        </w:rPr>
        <w:fldChar w:fldCharType="begin"/>
      </w:r>
      <w:r>
        <w:rPr>
          <w:rFonts w:cs="Calibri"/>
          <w:bCs/>
          <w:iCs/>
        </w:rPr>
        <w:instrText xml:space="preserve"> REF _Ref19805057 </w:instrText>
      </w:r>
      <w:r>
        <w:rPr>
          <w:rFonts w:cs="Calibri"/>
          <w:bCs/>
          <w:iCs/>
        </w:rPr>
        <w:fldChar w:fldCharType="separate"/>
      </w:r>
      <w:r>
        <w:rPr>
          <w:rFonts w:cs="Calibri"/>
          <w:bCs/>
          <w:iCs/>
        </w:rPr>
        <w:t>5.2</w:t>
      </w:r>
      <w:r>
        <w:rPr>
          <w:rFonts w:cs="Calibri"/>
          <w:bCs/>
          <w:iCs/>
        </w:rPr>
        <w:fldChar w:fldCharType="end"/>
      </w:r>
      <w:r>
        <w:rPr>
          <w:rFonts w:cs="Calibri"/>
          <w:bCs/>
          <w:iCs/>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30" w:name="_Ref519588655"/>
      <w:bookmarkEnd w:id="28"/>
      <w:bookmarkEnd w:id="29"/>
    </w:p>
    <w:p w14:paraId="597439D1" w14:textId="77777777" w:rsidR="00D44F98" w:rsidRDefault="00EB70E0">
      <w:pPr>
        <w:pStyle w:val="ListParagraph"/>
        <w:numPr>
          <w:ilvl w:val="1"/>
          <w:numId w:val="31"/>
        </w:numPr>
        <w:suppressAutoHyphens w:val="0"/>
        <w:spacing w:after="160" w:line="244" w:lineRule="auto"/>
        <w:ind w:left="426" w:hanging="426"/>
        <w:contextualSpacing/>
        <w:textAlignment w:val="auto"/>
      </w:pPr>
      <w:r>
        <w:rPr>
          <w:rFonts w:cs="Calibri"/>
          <w:bCs/>
          <w:iCs/>
        </w:rPr>
        <w:t xml:space="preserve">Failure by the Supplier (or a Key Subcontractor) to comply with the obligations set out in Clauses </w:t>
      </w:r>
      <w:r>
        <w:rPr>
          <w:rFonts w:cs="Calibri"/>
          <w:bCs/>
          <w:iCs/>
        </w:rPr>
        <w:fldChar w:fldCharType="begin"/>
      </w:r>
      <w:r>
        <w:rPr>
          <w:rFonts w:cs="Calibri"/>
          <w:bCs/>
          <w:iCs/>
        </w:rPr>
        <w:instrText xml:space="preserve"> REF _Ref19805057 </w:instrText>
      </w:r>
      <w:r>
        <w:rPr>
          <w:rFonts w:cs="Calibri"/>
          <w:bCs/>
          <w:iCs/>
        </w:rPr>
        <w:fldChar w:fldCharType="separate"/>
      </w:r>
      <w:r>
        <w:rPr>
          <w:rFonts w:cs="Calibri"/>
          <w:bCs/>
          <w:iCs/>
        </w:rPr>
        <w:t>5.2</w:t>
      </w:r>
      <w:r>
        <w:rPr>
          <w:rFonts w:cs="Calibri"/>
          <w:bCs/>
          <w:iCs/>
        </w:rPr>
        <w:fldChar w:fldCharType="end"/>
      </w:r>
      <w:r>
        <w:rPr>
          <w:rFonts w:cs="Calibri"/>
          <w:bCs/>
          <w:iCs/>
        </w:rPr>
        <w:t xml:space="preserve"> and </w:t>
      </w:r>
      <w:r>
        <w:rPr>
          <w:rFonts w:cs="Calibri"/>
          <w:bCs/>
          <w:iCs/>
        </w:rPr>
        <w:fldChar w:fldCharType="begin"/>
      </w:r>
      <w:r>
        <w:rPr>
          <w:rFonts w:cs="Calibri"/>
          <w:bCs/>
          <w:iCs/>
        </w:rPr>
        <w:instrText xml:space="preserve"> REF _Ref19805096 </w:instrText>
      </w:r>
      <w:r>
        <w:rPr>
          <w:rFonts w:cs="Calibri"/>
          <w:bCs/>
          <w:iCs/>
        </w:rPr>
        <w:fldChar w:fldCharType="separate"/>
      </w:r>
      <w:r>
        <w:rPr>
          <w:rFonts w:cs="Calibri"/>
          <w:bCs/>
          <w:iCs/>
        </w:rPr>
        <w:t>5.3</w:t>
      </w:r>
      <w:r>
        <w:rPr>
          <w:rFonts w:cs="Calibri"/>
          <w:bCs/>
          <w:iCs/>
        </w:rPr>
        <w:fldChar w:fldCharType="end"/>
      </w:r>
      <w:r>
        <w:rPr>
          <w:rFonts w:cs="Calibri"/>
          <w:bCs/>
          <w:iCs/>
        </w:rPr>
        <w:t xml:space="preserve"> shall allow the Authority to terminate the Agreement pursuant to the Clause that </w:t>
      </w:r>
      <w:bookmarkEnd w:id="30"/>
      <w:r>
        <w:rPr>
          <w:rFonts w:cs="Calibri"/>
        </w:rPr>
        <w:t>provides the Authority the right to terminate the Agreement for Supplier fault (termination for Supplier cause).</w:t>
      </w:r>
    </w:p>
    <w:p w14:paraId="5ADAF106" w14:textId="77777777" w:rsidR="00D44F98" w:rsidRDefault="00D44F98">
      <w:pPr>
        <w:pStyle w:val="Body2"/>
        <w:keepLines/>
        <w:spacing w:after="0"/>
        <w:ind w:left="426"/>
        <w:rPr>
          <w:rFonts w:ascii="Calibri" w:hAnsi="Calibri" w:cs="Calibri"/>
          <w:b/>
          <w:spacing w:val="-3"/>
          <w:sz w:val="22"/>
          <w:szCs w:val="22"/>
          <w:lang w:val="en-US"/>
        </w:rPr>
      </w:pPr>
    </w:p>
    <w:p w14:paraId="1C5D54D0" w14:textId="77777777" w:rsidR="00D44F98" w:rsidRDefault="00EB70E0">
      <w:pPr>
        <w:pStyle w:val="Body2"/>
        <w:keepLines/>
        <w:numPr>
          <w:ilvl w:val="0"/>
          <w:numId w:val="31"/>
        </w:numPr>
        <w:spacing w:after="0"/>
        <w:ind w:left="426" w:hanging="426"/>
        <w:rPr>
          <w:rFonts w:ascii="Calibri" w:hAnsi="Calibri" w:cs="Calibri"/>
          <w:b/>
          <w:spacing w:val="-3"/>
          <w:sz w:val="22"/>
          <w:szCs w:val="22"/>
          <w:lang w:val="en-US"/>
        </w:rPr>
      </w:pPr>
      <w:r>
        <w:rPr>
          <w:rFonts w:ascii="Calibri" w:hAnsi="Calibri" w:cs="Calibri"/>
          <w:b/>
          <w:spacing w:val="-3"/>
          <w:sz w:val="22"/>
          <w:szCs w:val="22"/>
          <w:lang w:val="en-US"/>
        </w:rPr>
        <w:t xml:space="preserve">Data Protection and </w:t>
      </w:r>
      <w:proofErr w:type="gramStart"/>
      <w:r>
        <w:rPr>
          <w:rFonts w:ascii="Calibri" w:hAnsi="Calibri" w:cs="Calibri"/>
          <w:b/>
          <w:spacing w:val="-3"/>
          <w:sz w:val="22"/>
          <w:szCs w:val="22"/>
          <w:lang w:val="en-US"/>
        </w:rPr>
        <w:t>off-shoring</w:t>
      </w:r>
      <w:proofErr w:type="gramEnd"/>
    </w:p>
    <w:p w14:paraId="438B7D0A" w14:textId="77777777" w:rsidR="00D44F98" w:rsidRDefault="00EB70E0">
      <w:pPr>
        <w:pStyle w:val="Body2"/>
        <w:keepLines/>
        <w:numPr>
          <w:ilvl w:val="1"/>
          <w:numId w:val="31"/>
        </w:numPr>
        <w:spacing w:after="0"/>
        <w:ind w:left="426" w:hanging="426"/>
        <w:jc w:val="left"/>
        <w:rPr>
          <w:rFonts w:ascii="Calibri" w:hAnsi="Calibri" w:cs="Calibri"/>
          <w:spacing w:val="-3"/>
          <w:sz w:val="22"/>
          <w:szCs w:val="22"/>
          <w:lang w:val="en-US"/>
        </w:rPr>
      </w:pPr>
      <w:bookmarkStart w:id="31" w:name="_Ref19805122"/>
      <w:r>
        <w:rPr>
          <w:rFonts w:ascii="Calibri" w:hAnsi="Calibri" w:cs="Calibri"/>
          <w:spacing w:val="-3"/>
          <w:sz w:val="22"/>
          <w:szCs w:val="22"/>
          <w:lang w:val="en-US"/>
        </w:rPr>
        <w:t>The parties agree that the Supplier shall, whether it is the Controller or Processor, in relation to any Personal Data processed in connection with its obligations under the Agreement:</w:t>
      </w:r>
      <w:bookmarkEnd w:id="31"/>
    </w:p>
    <w:p w14:paraId="5948BB6D" w14:textId="77777777" w:rsidR="00D44F98" w:rsidRDefault="00EB70E0">
      <w:pPr>
        <w:pStyle w:val="Body2"/>
        <w:keepLines/>
        <w:numPr>
          <w:ilvl w:val="2"/>
          <w:numId w:val="31"/>
        </w:numPr>
        <w:spacing w:after="240"/>
        <w:ind w:left="1134" w:hanging="708"/>
        <w:jc w:val="left"/>
        <w:rPr>
          <w:rFonts w:ascii="Calibri" w:hAnsi="Calibri" w:cs="Calibri"/>
          <w:spacing w:val="-3"/>
          <w:sz w:val="22"/>
          <w:szCs w:val="22"/>
          <w:lang w:val="en-US"/>
        </w:rPr>
      </w:pPr>
      <w:r>
        <w:rPr>
          <w:rFonts w:ascii="Calibri" w:hAnsi="Calibri" w:cs="Calibri"/>
          <w:spacing w:val="-3"/>
          <w:sz w:val="22"/>
          <w:szCs w:val="22"/>
          <w:lang w:val="en-US"/>
        </w:rPr>
        <w:t>not process or permit to be processed Personal Data outside of the United Kingdom unless the prior explicit written consent of the Authority has been obtained and the following conditions are fulfilled:</w:t>
      </w:r>
    </w:p>
    <w:p w14:paraId="564B39C9" w14:textId="77777777" w:rsidR="00D44F98" w:rsidRDefault="00EB70E0">
      <w:pPr>
        <w:pStyle w:val="Body2"/>
        <w:keepLines/>
        <w:numPr>
          <w:ilvl w:val="1"/>
          <w:numId w:val="32"/>
        </w:numPr>
        <w:spacing w:after="240"/>
        <w:ind w:left="1560" w:hanging="426"/>
        <w:jc w:val="left"/>
        <w:rPr>
          <w:rFonts w:ascii="Calibri" w:hAnsi="Calibri" w:cs="Calibri"/>
          <w:spacing w:val="-3"/>
          <w:sz w:val="22"/>
          <w:szCs w:val="22"/>
          <w:lang w:val="en-US"/>
        </w:rPr>
      </w:pPr>
      <w:r>
        <w:rPr>
          <w:rFonts w:ascii="Calibri" w:hAnsi="Calibri" w:cs="Calibri"/>
          <w:spacing w:val="-3"/>
          <w:sz w:val="22"/>
          <w:szCs w:val="22"/>
          <w:lang w:val="en-US"/>
        </w:rPr>
        <w:t xml:space="preserve">the Supplier or any applicable Processor has provided appropriate safeguards in relation to any transfer of the Personal Data (whether in accordance with UK GDPR Article 46 or, where relevant, section 75 of the Data Protection Act 2018) as determined by either the Authority or the Supplier when it is the </w:t>
      </w:r>
      <w:proofErr w:type="gramStart"/>
      <w:r>
        <w:rPr>
          <w:rFonts w:ascii="Calibri" w:hAnsi="Calibri" w:cs="Calibri"/>
          <w:spacing w:val="-3"/>
          <w:sz w:val="22"/>
          <w:szCs w:val="22"/>
          <w:lang w:val="en-US"/>
        </w:rPr>
        <w:t>Controller;</w:t>
      </w:r>
      <w:proofErr w:type="gramEnd"/>
    </w:p>
    <w:p w14:paraId="1EF4B128" w14:textId="77777777" w:rsidR="00D44F98" w:rsidRDefault="00EB70E0">
      <w:pPr>
        <w:pStyle w:val="Body2"/>
        <w:keepLines/>
        <w:numPr>
          <w:ilvl w:val="1"/>
          <w:numId w:val="32"/>
        </w:numPr>
        <w:spacing w:after="240"/>
        <w:ind w:left="1560" w:hanging="426"/>
        <w:jc w:val="left"/>
        <w:rPr>
          <w:rFonts w:ascii="Calibri" w:hAnsi="Calibri" w:cs="Calibri"/>
          <w:spacing w:val="-3"/>
          <w:sz w:val="22"/>
          <w:szCs w:val="22"/>
          <w:lang w:val="en-US"/>
        </w:rPr>
      </w:pPr>
      <w:r>
        <w:rPr>
          <w:rFonts w:ascii="Calibri" w:hAnsi="Calibri" w:cs="Calibri"/>
          <w:spacing w:val="-3"/>
          <w:sz w:val="22"/>
          <w:szCs w:val="22"/>
          <w:lang w:val="en-US"/>
        </w:rPr>
        <w:t xml:space="preserve">the Data Subject has enforceable rights and effective legal </w:t>
      </w:r>
      <w:proofErr w:type="gramStart"/>
      <w:r>
        <w:rPr>
          <w:rFonts w:ascii="Calibri" w:hAnsi="Calibri" w:cs="Calibri"/>
          <w:spacing w:val="-3"/>
          <w:sz w:val="22"/>
          <w:szCs w:val="22"/>
          <w:lang w:val="en-US"/>
        </w:rPr>
        <w:t>remedies;</w:t>
      </w:r>
      <w:proofErr w:type="gramEnd"/>
    </w:p>
    <w:p w14:paraId="2C3D1CE8" w14:textId="77777777" w:rsidR="00D44F98" w:rsidRDefault="00EB70E0">
      <w:pPr>
        <w:pStyle w:val="Body2"/>
        <w:keepLines/>
        <w:numPr>
          <w:ilvl w:val="1"/>
          <w:numId w:val="32"/>
        </w:numPr>
        <w:spacing w:after="240"/>
        <w:ind w:left="1560" w:hanging="426"/>
        <w:jc w:val="left"/>
        <w:rPr>
          <w:rFonts w:ascii="Calibri" w:hAnsi="Calibri" w:cs="Calibri"/>
          <w:spacing w:val="-3"/>
          <w:sz w:val="22"/>
          <w:szCs w:val="22"/>
          <w:lang w:val="en-US"/>
        </w:rPr>
      </w:pPr>
      <w:r>
        <w:rPr>
          <w:rFonts w:ascii="Calibri" w:hAnsi="Calibri" w:cs="Calibri"/>
          <w:spacing w:val="-3"/>
          <w:sz w:val="22"/>
          <w:szCs w:val="22"/>
          <w:lang w:val="en-US"/>
        </w:rPr>
        <w:lastRenderedPageBreak/>
        <w:t xml:space="preserve">the Supplier or any applicable Processor complies with its obligations under the Data Protection Legislation by providing an adequate level of protection to any Personal Data that is processed (or, if it is not so bound, uses its best </w:t>
      </w:r>
      <w:proofErr w:type="spellStart"/>
      <w:r>
        <w:rPr>
          <w:rFonts w:ascii="Calibri" w:hAnsi="Calibri" w:cs="Calibri"/>
          <w:spacing w:val="-3"/>
          <w:sz w:val="22"/>
          <w:szCs w:val="22"/>
          <w:lang w:val="en-US"/>
        </w:rPr>
        <w:t>endeavours</w:t>
      </w:r>
      <w:proofErr w:type="spellEnd"/>
      <w:r>
        <w:rPr>
          <w:rFonts w:ascii="Calibri" w:hAnsi="Calibri" w:cs="Calibri"/>
          <w:spacing w:val="-3"/>
          <w:sz w:val="22"/>
          <w:szCs w:val="22"/>
          <w:lang w:val="en-US"/>
        </w:rPr>
        <w:t xml:space="preserve"> to assist either the Authority or the Supplier when it is the Controller in meeting its obligations); and</w:t>
      </w:r>
    </w:p>
    <w:p w14:paraId="3F8AADCC" w14:textId="77777777" w:rsidR="00D44F98" w:rsidRDefault="00EB70E0">
      <w:pPr>
        <w:pStyle w:val="Body2"/>
        <w:keepLines/>
        <w:numPr>
          <w:ilvl w:val="1"/>
          <w:numId w:val="32"/>
        </w:numPr>
        <w:spacing w:after="240"/>
        <w:ind w:left="1560" w:hanging="426"/>
        <w:jc w:val="left"/>
        <w:rPr>
          <w:rFonts w:ascii="Calibri" w:hAnsi="Calibri" w:cs="Calibri"/>
          <w:spacing w:val="-3"/>
          <w:sz w:val="22"/>
          <w:szCs w:val="22"/>
          <w:lang w:val="en-US"/>
        </w:rPr>
      </w:pPr>
      <w:r>
        <w:rPr>
          <w:rFonts w:ascii="Calibri" w:hAnsi="Calibri" w:cs="Calibri"/>
          <w:spacing w:val="-3"/>
          <w:sz w:val="22"/>
          <w:szCs w:val="22"/>
          <w:lang w:val="en-US"/>
        </w:rPr>
        <w:t xml:space="preserve">the Supplier or any applicable Processor complies with any reasonable instructions notified to it in advance by the Controller with respect to the processing of the Personal </w:t>
      </w:r>
      <w:proofErr w:type="gramStart"/>
      <w:r>
        <w:rPr>
          <w:rFonts w:ascii="Calibri" w:hAnsi="Calibri" w:cs="Calibri"/>
          <w:spacing w:val="-3"/>
          <w:sz w:val="22"/>
          <w:szCs w:val="22"/>
          <w:lang w:val="en-US"/>
        </w:rPr>
        <w:t>Data;</w:t>
      </w:r>
      <w:proofErr w:type="gramEnd"/>
    </w:p>
    <w:p w14:paraId="463A49D2" w14:textId="77777777" w:rsidR="00D44F98" w:rsidRDefault="00EB70E0">
      <w:pPr>
        <w:pStyle w:val="ListParagraph"/>
        <w:numPr>
          <w:ilvl w:val="1"/>
          <w:numId w:val="31"/>
        </w:numPr>
        <w:suppressAutoHyphens w:val="0"/>
        <w:spacing w:after="160" w:line="244" w:lineRule="auto"/>
        <w:ind w:left="426" w:hanging="426"/>
        <w:contextualSpacing/>
        <w:textAlignment w:val="auto"/>
      </w:pPr>
      <w:r>
        <w:rPr>
          <w:rFonts w:cs="Calibri"/>
          <w:bCs/>
          <w:iCs/>
        </w:rPr>
        <w:t xml:space="preserve">Failure by the </w:t>
      </w:r>
      <w:r>
        <w:rPr>
          <w:rFonts w:cs="Calibri"/>
          <w:spacing w:val="-3"/>
          <w:lang w:val="en-US"/>
        </w:rPr>
        <w:t xml:space="preserve">Supplier </w:t>
      </w:r>
      <w:r>
        <w:rPr>
          <w:rFonts w:cs="Calibri"/>
          <w:bCs/>
          <w:iCs/>
        </w:rPr>
        <w:t xml:space="preserve">to comply with the obligations set out in Clause </w:t>
      </w:r>
      <w:r>
        <w:rPr>
          <w:rFonts w:cs="Calibri"/>
          <w:bCs/>
          <w:iCs/>
        </w:rPr>
        <w:fldChar w:fldCharType="begin"/>
      </w:r>
      <w:r>
        <w:rPr>
          <w:rFonts w:cs="Calibri"/>
          <w:bCs/>
          <w:iCs/>
        </w:rPr>
        <w:instrText xml:space="preserve"> REF _Ref19805122 </w:instrText>
      </w:r>
      <w:r>
        <w:rPr>
          <w:rFonts w:cs="Calibri"/>
          <w:bCs/>
          <w:iCs/>
        </w:rPr>
        <w:fldChar w:fldCharType="separate"/>
      </w:r>
      <w:r>
        <w:rPr>
          <w:rFonts w:cs="Calibri"/>
          <w:bCs/>
          <w:iCs/>
        </w:rPr>
        <w:t>6.1</w:t>
      </w:r>
      <w:r>
        <w:rPr>
          <w:rFonts w:cs="Calibri"/>
          <w:bCs/>
          <w:iCs/>
        </w:rPr>
        <w:fldChar w:fldCharType="end"/>
      </w:r>
      <w:r>
        <w:rPr>
          <w:rFonts w:cs="Calibri"/>
        </w:rPr>
        <w:t xml:space="preserve"> s</w:t>
      </w:r>
      <w:r>
        <w:rPr>
          <w:rFonts w:cs="Calibri"/>
          <w:bCs/>
          <w:iCs/>
        </w:rPr>
        <w:t xml:space="preserve">hall allow the Authority to terminate the Agreement pursuant to the Clause that </w:t>
      </w:r>
      <w:r>
        <w:rPr>
          <w:rFonts w:cs="Calibri"/>
        </w:rPr>
        <w:t>provides the Authority the right to terminate the Agreement for Supplier fault (termination for Supplier cause or equivalent clause).</w:t>
      </w:r>
    </w:p>
    <w:p w14:paraId="452EC78B" w14:textId="77777777" w:rsidR="00D44F98" w:rsidRDefault="00D44F98">
      <w:pPr>
        <w:pStyle w:val="ListParagraph"/>
        <w:ind w:left="426"/>
        <w:rPr>
          <w:rFonts w:cs="Calibri"/>
          <w:b/>
        </w:rPr>
      </w:pPr>
    </w:p>
    <w:p w14:paraId="2EA9F990" w14:textId="77777777" w:rsidR="00D44F98" w:rsidRDefault="00EB70E0">
      <w:pPr>
        <w:pStyle w:val="ListParagraph"/>
        <w:numPr>
          <w:ilvl w:val="0"/>
          <w:numId w:val="31"/>
        </w:numPr>
        <w:suppressAutoHyphens w:val="0"/>
        <w:spacing w:after="160" w:line="244" w:lineRule="auto"/>
        <w:ind w:left="426" w:hanging="426"/>
        <w:contextualSpacing/>
        <w:textAlignment w:val="auto"/>
        <w:rPr>
          <w:rFonts w:cs="Calibri"/>
          <w:b/>
        </w:rPr>
      </w:pPr>
      <w:bookmarkStart w:id="32" w:name="_Ref24987602"/>
      <w:bookmarkStart w:id="33" w:name="_Ref25767967"/>
      <w:r>
        <w:rPr>
          <w:rFonts w:cs="Calibri"/>
          <w:b/>
        </w:rPr>
        <w:t>Commissioners for Revenue and Customs Act 2005</w:t>
      </w:r>
      <w:bookmarkEnd w:id="32"/>
      <w:r>
        <w:rPr>
          <w:rFonts w:cs="Calibri"/>
          <w:b/>
        </w:rPr>
        <w:t xml:space="preserve"> and related Legislation</w:t>
      </w:r>
      <w:bookmarkEnd w:id="33"/>
      <w:r>
        <w:rPr>
          <w:rFonts w:cs="Calibri"/>
          <w:b/>
        </w:rPr>
        <w:t xml:space="preserve"> </w:t>
      </w:r>
    </w:p>
    <w:p w14:paraId="49D7C987" w14:textId="77777777" w:rsidR="00D44F98" w:rsidRDefault="00EB70E0">
      <w:pPr>
        <w:pStyle w:val="ListParagraph"/>
        <w:numPr>
          <w:ilvl w:val="1"/>
          <w:numId w:val="31"/>
        </w:numPr>
        <w:suppressAutoHyphens w:val="0"/>
        <w:spacing w:after="160" w:line="244" w:lineRule="auto"/>
        <w:ind w:left="426" w:hanging="426"/>
        <w:contextualSpacing/>
        <w:textAlignment w:val="auto"/>
        <w:rPr>
          <w:rFonts w:cs="Calibri"/>
        </w:rPr>
      </w:pPr>
      <w:bookmarkStart w:id="34" w:name="_Ref19805143"/>
      <w:r>
        <w:rPr>
          <w:rFonts w:cs="Calibri"/>
        </w:rPr>
        <w:t xml:space="preserve">The Supplier shall comply </w:t>
      </w:r>
      <w:proofErr w:type="gramStart"/>
      <w:r>
        <w:rPr>
          <w:rFonts w:cs="Calibri"/>
        </w:rPr>
        <w:t>with, and</w:t>
      </w:r>
      <w:proofErr w:type="gramEnd"/>
      <w:r>
        <w:rPr>
          <w:rFonts w:cs="Calibri"/>
        </w:rPr>
        <w:t xml:space="preserve"> shall ensure that all Supplier Personnel who will have access to, or are provided with, Authority Data comply with</w:t>
      </w:r>
      <w:bookmarkEnd w:id="34"/>
      <w:r>
        <w:rPr>
          <w:rFonts w:cs="Calibri"/>
        </w:rPr>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765B0D11" w14:textId="77777777" w:rsidR="00D44F98" w:rsidRDefault="00EB70E0">
      <w:pPr>
        <w:pStyle w:val="ListParagraph"/>
        <w:numPr>
          <w:ilvl w:val="1"/>
          <w:numId w:val="31"/>
        </w:numPr>
        <w:suppressAutoHyphens w:val="0"/>
        <w:spacing w:after="160" w:line="244" w:lineRule="auto"/>
        <w:ind w:left="426" w:hanging="426"/>
        <w:contextualSpacing/>
        <w:textAlignment w:val="auto"/>
      </w:pPr>
      <w:r>
        <w:rPr>
          <w:rFonts w:cs="Calibri"/>
        </w:rPr>
        <w:t xml:space="preserve">The Supplier shall comply </w:t>
      </w:r>
      <w:proofErr w:type="gramStart"/>
      <w:r>
        <w:rPr>
          <w:rFonts w:cs="Calibri"/>
        </w:rPr>
        <w:t>with, and</w:t>
      </w:r>
      <w:proofErr w:type="gramEnd"/>
      <w:r>
        <w:rPr>
          <w:rFonts w:cs="Calibri"/>
        </w:rPr>
        <w:t xml:space="preserve"> shall ensure that all Supplier Personnel who will have access to, or are provided with, Authority Data comply with the obligations set out in </w:t>
      </w:r>
      <w:r>
        <w:t xml:space="preserve">Section 123 of </w:t>
      </w:r>
      <w:bookmarkStart w:id="35" w:name="_Hlk69742506"/>
      <w:r>
        <w:t>the Social Security Administration Act 1992</w:t>
      </w:r>
      <w:bookmarkEnd w:id="35"/>
      <w:r>
        <w:t>,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1E113AE4" w14:textId="77777777" w:rsidR="00D44F98" w:rsidRDefault="00EB70E0">
      <w:pPr>
        <w:pStyle w:val="ListParagraph"/>
        <w:numPr>
          <w:ilvl w:val="1"/>
          <w:numId w:val="31"/>
        </w:numPr>
        <w:suppressAutoHyphens w:val="0"/>
        <w:spacing w:after="160" w:line="244" w:lineRule="auto"/>
        <w:ind w:left="426" w:hanging="426"/>
        <w:contextualSpacing/>
        <w:textAlignment w:val="auto"/>
      </w:pPr>
      <w:r>
        <w:rPr>
          <w:rFonts w:cs="Calibri"/>
        </w:rPr>
        <w:t xml:space="preserve">The Supplier shall regularly (not less than once every six (6) months) remind all Supplier Personnel who will have access to, or are provided with, Authority Data in writing of the obligations upon Supplier Personnel set out in Clause </w:t>
      </w:r>
      <w:r>
        <w:rPr>
          <w:rFonts w:cs="Calibri"/>
        </w:rPr>
        <w:fldChar w:fldCharType="begin"/>
      </w:r>
      <w:r>
        <w:rPr>
          <w:rFonts w:cs="Calibri"/>
        </w:rPr>
        <w:instrText xml:space="preserve"> REF _Ref19805143 </w:instrText>
      </w:r>
      <w:r>
        <w:rPr>
          <w:rFonts w:cs="Calibri"/>
        </w:rPr>
        <w:fldChar w:fldCharType="separate"/>
      </w:r>
      <w:r>
        <w:rPr>
          <w:rFonts w:cs="Calibri"/>
        </w:rPr>
        <w:t>7.1</w:t>
      </w:r>
      <w:r>
        <w:rPr>
          <w:rFonts w:cs="Calibri"/>
        </w:rPr>
        <w:fldChar w:fldCharType="end"/>
      </w:r>
      <w:r>
        <w:rPr>
          <w:rFonts w:cs="Calibri"/>
        </w:rPr>
        <w:t xml:space="preserve"> above.  The Supplier shall monitor the compliance by Supplier Personnel with such obligations.</w:t>
      </w:r>
    </w:p>
    <w:p w14:paraId="160CFE18" w14:textId="77777777" w:rsidR="00D44F98" w:rsidRDefault="00EB70E0">
      <w:pPr>
        <w:pStyle w:val="ListParagraph"/>
        <w:numPr>
          <w:ilvl w:val="1"/>
          <w:numId w:val="31"/>
        </w:numPr>
        <w:suppressAutoHyphens w:val="0"/>
        <w:spacing w:after="160" w:line="244" w:lineRule="auto"/>
        <w:ind w:left="426" w:hanging="426"/>
        <w:contextualSpacing/>
        <w:textAlignment w:val="auto"/>
        <w:rPr>
          <w:rFonts w:cs="Calibri"/>
        </w:rPr>
      </w:pPr>
      <w:r>
        <w:rPr>
          <w:rFonts w:cs="Calibri"/>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0B7C9A37" w14:textId="77777777" w:rsidR="00D44F98" w:rsidRDefault="00EB70E0">
      <w:pPr>
        <w:pStyle w:val="ListParagraph"/>
        <w:numPr>
          <w:ilvl w:val="1"/>
          <w:numId w:val="31"/>
        </w:numPr>
        <w:suppressAutoHyphens w:val="0"/>
        <w:spacing w:after="160" w:line="244" w:lineRule="auto"/>
        <w:ind w:left="426" w:hanging="426"/>
        <w:contextualSpacing/>
        <w:textAlignment w:val="auto"/>
      </w:pPr>
      <w:proofErr w:type="gramStart"/>
      <w:r>
        <w:rPr>
          <w:rFonts w:cs="Calibri"/>
        </w:rPr>
        <w:t>In the event that</w:t>
      </w:r>
      <w:proofErr w:type="gramEnd"/>
      <w:r>
        <w:rPr>
          <w:rFonts w:cs="Calibri"/>
        </w:rPr>
        <w:t xml:space="preserve"> the Supplier or the Supplier Personnel fail to comply with this Clause </w:t>
      </w:r>
      <w:r>
        <w:rPr>
          <w:rFonts w:cs="Calibri"/>
        </w:rPr>
        <w:fldChar w:fldCharType="begin"/>
      </w:r>
      <w:r>
        <w:rPr>
          <w:rFonts w:cs="Calibri"/>
        </w:rPr>
        <w:instrText xml:space="preserve"> REF _Ref25767967 </w:instrText>
      </w:r>
      <w:r>
        <w:rPr>
          <w:rFonts w:cs="Calibri"/>
        </w:rPr>
        <w:fldChar w:fldCharType="separate"/>
      </w:r>
      <w:r>
        <w:rPr>
          <w:rFonts w:cs="Calibri"/>
        </w:rPr>
        <w:t>7</w:t>
      </w:r>
      <w:r>
        <w:rPr>
          <w:rFonts w:cs="Calibri"/>
        </w:rPr>
        <w:fldChar w:fldCharType="end"/>
      </w:r>
      <w:r>
        <w:rPr>
          <w:rFonts w:cs="Calibri"/>
        </w:rPr>
        <w:t>, the Authority reserves the right to terminate the Agreement with immediate effect pursuant</w:t>
      </w:r>
      <w:r>
        <w:rPr>
          <w:rFonts w:cs="Calibri"/>
          <w:bCs/>
          <w:iCs/>
        </w:rPr>
        <w:t xml:space="preserve"> to the clause that </w:t>
      </w:r>
      <w:r>
        <w:rPr>
          <w:rFonts w:cs="Calibri"/>
        </w:rPr>
        <w:t>provides the Authority the right to terminate the Agreement for Supplier fault (termination for Supplier cause).</w:t>
      </w:r>
    </w:p>
    <w:p w14:paraId="4634EBFF" w14:textId="77777777" w:rsidR="00D44F98" w:rsidRDefault="00D44F98">
      <w:pPr>
        <w:rPr>
          <w:rFonts w:cs="Calibri"/>
        </w:rPr>
      </w:pPr>
    </w:p>
    <w:p w14:paraId="774E826E" w14:textId="77777777" w:rsidR="00D44F98" w:rsidRDefault="00EB70E0">
      <w:pPr>
        <w:pageBreakBefore/>
        <w:jc w:val="center"/>
      </w:pPr>
      <w:r>
        <w:rPr>
          <w:rFonts w:cs="Calibri"/>
          <w:b/>
        </w:rPr>
        <w:lastRenderedPageBreak/>
        <w:t>Annex 1</w:t>
      </w:r>
    </w:p>
    <w:p w14:paraId="19EEAC46" w14:textId="77777777" w:rsidR="00D44F98" w:rsidRDefault="00EB70E0">
      <w:pPr>
        <w:jc w:val="center"/>
      </w:pPr>
      <w:r>
        <w:rPr>
          <w:rFonts w:cs="Calibri"/>
          <w:b/>
        </w:rPr>
        <w:t xml:space="preserve">Excerpt from </w:t>
      </w:r>
      <w:r>
        <w:rPr>
          <w:rFonts w:cs="Calibri"/>
          <w:b/>
          <w:spacing w:val="-2"/>
        </w:rPr>
        <w:t>HMRC’s “Test for Tax Non-Compliance”</w:t>
      </w:r>
    </w:p>
    <w:p w14:paraId="7453CC13" w14:textId="77777777" w:rsidR="00D44F98" w:rsidRDefault="00EB70E0">
      <w:pPr>
        <w:pStyle w:val="NormalWeb"/>
        <w:spacing w:after="0"/>
        <w:jc w:val="both"/>
      </w:pPr>
      <w:r>
        <w:rPr>
          <w:rFonts w:ascii="Calibri" w:hAnsi="Calibri" w:cs="Calibri"/>
          <w:i/>
          <w:iCs/>
          <w:color w:val="000000"/>
          <w:sz w:val="22"/>
          <w:szCs w:val="22"/>
        </w:rPr>
        <w:t>Condition one (An in-scope entity or person)</w:t>
      </w:r>
    </w:p>
    <w:p w14:paraId="4DC8DC27" w14:textId="77777777" w:rsidR="00D44F98" w:rsidRDefault="00D44F98">
      <w:pPr>
        <w:pStyle w:val="NormalWeb"/>
        <w:spacing w:after="0"/>
        <w:jc w:val="both"/>
        <w:rPr>
          <w:rFonts w:ascii="Calibri" w:hAnsi="Calibri" w:cs="Calibri"/>
          <w:color w:val="000000"/>
          <w:sz w:val="22"/>
          <w:szCs w:val="22"/>
        </w:rPr>
      </w:pPr>
    </w:p>
    <w:p w14:paraId="2DB2A9B2" w14:textId="77777777" w:rsidR="00D44F98" w:rsidRDefault="00EB70E0">
      <w:pPr>
        <w:pStyle w:val="NormalWeb"/>
        <w:numPr>
          <w:ilvl w:val="0"/>
          <w:numId w:val="33"/>
        </w:numPr>
        <w:suppressAutoHyphens w:val="0"/>
        <w:spacing w:before="0" w:after="0"/>
        <w:jc w:val="both"/>
        <w:rPr>
          <w:rFonts w:ascii="Calibri" w:hAnsi="Calibri" w:cs="Calibri"/>
          <w:color w:val="000000"/>
          <w:sz w:val="22"/>
          <w:szCs w:val="22"/>
        </w:rPr>
      </w:pPr>
      <w:r>
        <w:rPr>
          <w:rFonts w:ascii="Calibri" w:hAnsi="Calibri" w:cs="Calibri"/>
          <w:color w:val="000000"/>
          <w:sz w:val="22"/>
          <w:szCs w:val="22"/>
        </w:rPr>
        <w:t>There is a person or entity which is either: (“X”)</w:t>
      </w:r>
    </w:p>
    <w:p w14:paraId="3A24F039" w14:textId="77777777" w:rsidR="00D44F98" w:rsidRDefault="00D44F98">
      <w:pPr>
        <w:pStyle w:val="NormalWeb"/>
        <w:spacing w:after="0"/>
        <w:ind w:left="284" w:firstLine="60"/>
        <w:jc w:val="both"/>
        <w:rPr>
          <w:rFonts w:ascii="Calibri" w:hAnsi="Calibri" w:cs="Calibri"/>
          <w:sz w:val="22"/>
          <w:szCs w:val="22"/>
        </w:rPr>
      </w:pPr>
    </w:p>
    <w:p w14:paraId="36209D63" w14:textId="77777777" w:rsidR="00D44F98" w:rsidRDefault="00EB70E0">
      <w:pPr>
        <w:pStyle w:val="NormalWeb"/>
        <w:numPr>
          <w:ilvl w:val="0"/>
          <w:numId w:val="34"/>
        </w:numPr>
        <w:suppressAutoHyphens w:val="0"/>
        <w:spacing w:before="0" w:after="0"/>
        <w:ind w:left="709" w:hanging="283"/>
        <w:jc w:val="both"/>
        <w:rPr>
          <w:rFonts w:ascii="Calibri" w:hAnsi="Calibri" w:cs="Calibri"/>
          <w:color w:val="000000"/>
          <w:sz w:val="22"/>
          <w:szCs w:val="22"/>
        </w:rPr>
      </w:pPr>
      <w:r>
        <w:rPr>
          <w:rFonts w:ascii="Calibri" w:hAnsi="Calibri" w:cs="Calibri"/>
          <w:color w:val="000000"/>
          <w:sz w:val="22"/>
          <w:szCs w:val="22"/>
        </w:rPr>
        <w:t>The Economic Operator or Essential Subcontractor (EOS)</w:t>
      </w:r>
    </w:p>
    <w:p w14:paraId="1C42C146" w14:textId="77777777" w:rsidR="00D44F98" w:rsidRDefault="00EB70E0">
      <w:pPr>
        <w:pStyle w:val="NormalWeb"/>
        <w:numPr>
          <w:ilvl w:val="0"/>
          <w:numId w:val="34"/>
        </w:numPr>
        <w:suppressAutoHyphens w:val="0"/>
        <w:spacing w:before="0" w:after="0"/>
        <w:ind w:left="709" w:hanging="283"/>
        <w:jc w:val="both"/>
      </w:pPr>
      <w:r>
        <w:rPr>
          <w:rFonts w:ascii="Calibri" w:hAnsi="Calibri" w:cs="Calibri"/>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Calibri" w:hAnsi="Calibri" w:cs="Calibri"/>
          <w:i/>
          <w:color w:val="000000"/>
          <w:sz w:val="22"/>
          <w:szCs w:val="22"/>
        </w:rPr>
        <w:t>IFRS 10 Consolidated Financial Accounts</w:t>
      </w:r>
      <w:r>
        <w:rPr>
          <w:rStyle w:val="FootnoteReference"/>
          <w:rFonts w:ascii="Calibri" w:hAnsi="Calibri" w:cs="Calibri"/>
          <w:i/>
          <w:color w:val="000000"/>
          <w:sz w:val="22"/>
          <w:szCs w:val="22"/>
        </w:rPr>
        <w:footnoteReference w:id="1"/>
      </w:r>
      <w:r>
        <w:rPr>
          <w:rFonts w:ascii="Calibri" w:hAnsi="Calibri" w:cs="Calibri"/>
          <w:color w:val="000000"/>
          <w:sz w:val="22"/>
          <w:szCs w:val="22"/>
        </w:rPr>
        <w:t>;</w:t>
      </w:r>
    </w:p>
    <w:p w14:paraId="47FD59E5" w14:textId="77777777" w:rsidR="00D44F98" w:rsidRDefault="00EB70E0">
      <w:pPr>
        <w:pStyle w:val="NormalWeb"/>
        <w:numPr>
          <w:ilvl w:val="0"/>
          <w:numId w:val="34"/>
        </w:numPr>
        <w:suppressAutoHyphens w:val="0"/>
        <w:spacing w:before="0" w:after="0"/>
        <w:ind w:left="709" w:hanging="283"/>
        <w:jc w:val="both"/>
        <w:rPr>
          <w:rFonts w:ascii="Calibri" w:hAnsi="Calibri" w:cs="Calibri"/>
          <w:color w:val="000000"/>
          <w:sz w:val="22"/>
          <w:szCs w:val="22"/>
        </w:rPr>
      </w:pPr>
      <w:r>
        <w:rPr>
          <w:rFonts w:ascii="Calibri" w:hAnsi="Calibri" w:cs="Calibri"/>
          <w:color w:val="000000"/>
          <w:sz w:val="22"/>
          <w:szCs w:val="22"/>
        </w:rPr>
        <w:t xml:space="preserve">Any director, </w:t>
      </w:r>
      <w:proofErr w:type="gramStart"/>
      <w:r>
        <w:rPr>
          <w:rFonts w:ascii="Calibri" w:hAnsi="Calibri" w:cs="Calibri"/>
          <w:color w:val="000000"/>
          <w:sz w:val="22"/>
          <w:szCs w:val="22"/>
        </w:rPr>
        <w:t>shareholder</w:t>
      </w:r>
      <w:proofErr w:type="gramEnd"/>
      <w:r>
        <w:rPr>
          <w:rFonts w:ascii="Calibri" w:hAnsi="Calibri" w:cs="Calibri"/>
          <w:color w:val="000000"/>
          <w:sz w:val="22"/>
          <w:szCs w:val="22"/>
        </w:rPr>
        <w:t xml:space="preserve"> or other person (P) which exercises control over EOS. ‘Control’ means P can secure, through holding of shares or powers under articles of association or other document that EOS’s affairs are conducted in accordance with P’s wishes.</w:t>
      </w:r>
    </w:p>
    <w:p w14:paraId="5D6E7A42" w14:textId="77777777" w:rsidR="00D44F98" w:rsidRDefault="00EB70E0">
      <w:pPr>
        <w:pStyle w:val="NormalWeb"/>
        <w:spacing w:after="120"/>
        <w:jc w:val="both"/>
        <w:rPr>
          <w:rFonts w:ascii="Calibri" w:hAnsi="Calibri" w:cs="Calibri"/>
          <w:sz w:val="22"/>
          <w:szCs w:val="22"/>
        </w:rPr>
      </w:pPr>
      <w:r>
        <w:rPr>
          <w:rFonts w:ascii="Calibri" w:hAnsi="Calibri" w:cs="Calibri"/>
          <w:sz w:val="22"/>
          <w:szCs w:val="22"/>
        </w:rPr>
        <w:t> </w:t>
      </w:r>
    </w:p>
    <w:p w14:paraId="72552E89" w14:textId="77777777" w:rsidR="00D44F98" w:rsidRDefault="00EB70E0">
      <w:pPr>
        <w:pStyle w:val="NormalWeb"/>
        <w:spacing w:after="120"/>
        <w:jc w:val="both"/>
      </w:pPr>
      <w:r>
        <w:rPr>
          <w:rFonts w:ascii="Calibri" w:hAnsi="Calibri" w:cs="Calibri"/>
          <w:i/>
          <w:iCs/>
          <w:color w:val="000000"/>
          <w:sz w:val="22"/>
          <w:szCs w:val="22"/>
        </w:rPr>
        <w:t xml:space="preserve">Condition two (Arrangements involving evasion, </w:t>
      </w:r>
      <w:proofErr w:type="gramStart"/>
      <w:r>
        <w:rPr>
          <w:rFonts w:ascii="Calibri" w:hAnsi="Calibri" w:cs="Calibri"/>
          <w:i/>
          <w:iCs/>
          <w:color w:val="000000"/>
          <w:sz w:val="22"/>
          <w:szCs w:val="22"/>
        </w:rPr>
        <w:t>abuse</w:t>
      </w:r>
      <w:proofErr w:type="gramEnd"/>
      <w:r>
        <w:rPr>
          <w:rFonts w:ascii="Calibri" w:hAnsi="Calibri" w:cs="Calibri"/>
          <w:i/>
          <w:iCs/>
          <w:color w:val="000000"/>
          <w:sz w:val="22"/>
          <w:szCs w:val="22"/>
        </w:rPr>
        <w:t xml:space="preserve"> or tax avoidance)</w:t>
      </w:r>
    </w:p>
    <w:p w14:paraId="48E72193" w14:textId="77777777" w:rsidR="00D44F98" w:rsidRDefault="00EB70E0">
      <w:pPr>
        <w:pStyle w:val="NormalWeb"/>
        <w:numPr>
          <w:ilvl w:val="0"/>
          <w:numId w:val="33"/>
        </w:numPr>
        <w:suppressAutoHyphens w:val="0"/>
        <w:spacing w:before="0" w:after="0"/>
        <w:jc w:val="both"/>
        <w:rPr>
          <w:rFonts w:ascii="Calibri" w:hAnsi="Calibri" w:cs="Calibri"/>
          <w:color w:val="000000"/>
          <w:sz w:val="22"/>
          <w:szCs w:val="22"/>
        </w:rPr>
      </w:pPr>
      <w:r>
        <w:rPr>
          <w:rFonts w:ascii="Calibri" w:hAnsi="Calibri" w:cs="Calibri"/>
          <w:color w:val="000000"/>
          <w:sz w:val="22"/>
          <w:szCs w:val="22"/>
        </w:rPr>
        <w:t>X has been engaged in one or more of the following:</w:t>
      </w:r>
    </w:p>
    <w:p w14:paraId="65FFDC24" w14:textId="77777777" w:rsidR="00D44F98" w:rsidRDefault="00D44F98">
      <w:pPr>
        <w:pStyle w:val="NormalWeb"/>
        <w:spacing w:after="0"/>
        <w:jc w:val="both"/>
        <w:rPr>
          <w:rFonts w:ascii="Calibri" w:hAnsi="Calibri" w:cs="Calibri"/>
          <w:color w:val="000000"/>
          <w:sz w:val="22"/>
          <w:szCs w:val="22"/>
        </w:rPr>
      </w:pPr>
    </w:p>
    <w:p w14:paraId="23AD45D2" w14:textId="77777777" w:rsidR="00D44F98" w:rsidRDefault="00EB70E0">
      <w:pPr>
        <w:pStyle w:val="NormalWeb"/>
        <w:numPr>
          <w:ilvl w:val="1"/>
          <w:numId w:val="35"/>
        </w:numPr>
        <w:suppressAutoHyphens w:val="0"/>
        <w:spacing w:before="0" w:after="0"/>
        <w:ind w:left="709" w:hanging="283"/>
        <w:jc w:val="both"/>
      </w:pPr>
      <w:r>
        <w:rPr>
          <w:rFonts w:ascii="Calibri" w:hAnsi="Calibri" w:cs="Calibri"/>
          <w:color w:val="000000"/>
          <w:sz w:val="22"/>
          <w:szCs w:val="22"/>
        </w:rPr>
        <w:t>Fraudulent evasion</w:t>
      </w:r>
      <w:r>
        <w:rPr>
          <w:rStyle w:val="FootnoteReference"/>
          <w:rFonts w:ascii="Calibri" w:hAnsi="Calibri" w:cs="Calibri"/>
          <w:color w:val="000000"/>
          <w:sz w:val="22"/>
          <w:szCs w:val="22"/>
        </w:rPr>
        <w:footnoteReference w:id="2"/>
      </w:r>
      <w:r>
        <w:rPr>
          <w:rFonts w:ascii="Calibri" w:hAnsi="Calibri" w:cs="Calibri"/>
          <w:color w:val="000000"/>
          <w:sz w:val="22"/>
          <w:szCs w:val="22"/>
        </w:rPr>
        <w:t>;</w:t>
      </w:r>
    </w:p>
    <w:p w14:paraId="495C3C9D" w14:textId="77777777" w:rsidR="00D44F98" w:rsidRDefault="00EB70E0">
      <w:pPr>
        <w:pStyle w:val="NormalWeb"/>
        <w:numPr>
          <w:ilvl w:val="1"/>
          <w:numId w:val="35"/>
        </w:numPr>
        <w:suppressAutoHyphens w:val="0"/>
        <w:spacing w:before="0" w:after="0"/>
        <w:ind w:left="709" w:hanging="283"/>
        <w:jc w:val="both"/>
      </w:pPr>
      <w:r>
        <w:rPr>
          <w:rFonts w:ascii="Calibri" w:hAnsi="Calibri" w:cs="Calibri"/>
          <w:color w:val="000000"/>
          <w:sz w:val="22"/>
          <w:szCs w:val="22"/>
        </w:rPr>
        <w:t>Conduct caught by the General Anti-Abuse Rule</w:t>
      </w:r>
      <w:r>
        <w:rPr>
          <w:rStyle w:val="FootnoteReference"/>
          <w:rFonts w:ascii="Calibri" w:hAnsi="Calibri" w:cs="Calibri"/>
          <w:color w:val="000000"/>
          <w:sz w:val="22"/>
          <w:szCs w:val="22"/>
        </w:rPr>
        <w:footnoteReference w:id="3"/>
      </w:r>
      <w:r>
        <w:rPr>
          <w:rFonts w:ascii="Calibri" w:hAnsi="Calibri" w:cs="Calibri"/>
          <w:color w:val="000000"/>
          <w:sz w:val="22"/>
          <w:szCs w:val="22"/>
        </w:rPr>
        <w:t>;</w:t>
      </w:r>
    </w:p>
    <w:p w14:paraId="728E3D21" w14:textId="77777777" w:rsidR="00D44F98" w:rsidRDefault="00EB70E0">
      <w:pPr>
        <w:pStyle w:val="NormalWeb"/>
        <w:numPr>
          <w:ilvl w:val="1"/>
          <w:numId w:val="35"/>
        </w:numPr>
        <w:suppressAutoHyphens w:val="0"/>
        <w:spacing w:before="0" w:after="0"/>
        <w:ind w:left="709" w:hanging="283"/>
        <w:jc w:val="both"/>
      </w:pPr>
      <w:r>
        <w:rPr>
          <w:rFonts w:ascii="Calibri" w:hAnsi="Calibri" w:cs="Calibri"/>
          <w:color w:val="000000"/>
          <w:sz w:val="22"/>
          <w:szCs w:val="22"/>
        </w:rPr>
        <w:t>Conduct caught by the Halifax Abuse principle</w:t>
      </w:r>
      <w:r>
        <w:rPr>
          <w:rStyle w:val="FootnoteReference"/>
          <w:rFonts w:ascii="Calibri" w:hAnsi="Calibri" w:cs="Calibri"/>
          <w:color w:val="000000"/>
          <w:sz w:val="22"/>
          <w:szCs w:val="22"/>
        </w:rPr>
        <w:footnoteReference w:id="4"/>
      </w:r>
      <w:r>
        <w:rPr>
          <w:rFonts w:ascii="Calibri" w:hAnsi="Calibri" w:cs="Calibri"/>
          <w:color w:val="000000"/>
          <w:sz w:val="22"/>
          <w:szCs w:val="22"/>
        </w:rPr>
        <w:t>;</w:t>
      </w:r>
    </w:p>
    <w:p w14:paraId="55CC22FB" w14:textId="77777777" w:rsidR="00D44F98" w:rsidRDefault="00EB70E0">
      <w:pPr>
        <w:pStyle w:val="NormalWeb"/>
        <w:numPr>
          <w:ilvl w:val="1"/>
          <w:numId w:val="35"/>
        </w:numPr>
        <w:suppressAutoHyphens w:val="0"/>
        <w:spacing w:before="0" w:after="0"/>
        <w:ind w:left="709" w:hanging="283"/>
        <w:jc w:val="both"/>
      </w:pPr>
      <w:proofErr w:type="gramStart"/>
      <w:r>
        <w:rPr>
          <w:rFonts w:ascii="Calibri" w:hAnsi="Calibri" w:cs="Calibri"/>
          <w:color w:val="000000"/>
          <w:sz w:val="22"/>
          <w:szCs w:val="22"/>
        </w:rPr>
        <w:t>Entered into</w:t>
      </w:r>
      <w:proofErr w:type="gramEnd"/>
      <w:r>
        <w:rPr>
          <w:rFonts w:ascii="Calibri" w:hAnsi="Calibri" w:cs="Calibri"/>
          <w:color w:val="000000"/>
          <w:sz w:val="22"/>
          <w:szCs w:val="22"/>
        </w:rPr>
        <w:t xml:space="preserve"> arrangements caught by a DOTAS or VADR scheme</w:t>
      </w:r>
      <w:r>
        <w:rPr>
          <w:rStyle w:val="FootnoteReference"/>
          <w:rFonts w:ascii="Calibri" w:hAnsi="Calibri" w:cs="Calibri"/>
          <w:color w:val="000000"/>
          <w:sz w:val="22"/>
          <w:szCs w:val="22"/>
        </w:rPr>
        <w:footnoteReference w:id="5"/>
      </w:r>
      <w:r>
        <w:rPr>
          <w:rFonts w:ascii="Calibri" w:hAnsi="Calibri" w:cs="Calibri"/>
          <w:color w:val="000000"/>
          <w:sz w:val="22"/>
          <w:szCs w:val="22"/>
        </w:rPr>
        <w:t>;</w:t>
      </w:r>
    </w:p>
    <w:p w14:paraId="1366EB1A" w14:textId="77777777" w:rsidR="00D44F98" w:rsidRDefault="00EB70E0">
      <w:pPr>
        <w:pStyle w:val="NormalWeb"/>
        <w:numPr>
          <w:ilvl w:val="1"/>
          <w:numId w:val="35"/>
        </w:numPr>
        <w:suppressAutoHyphens w:val="0"/>
        <w:spacing w:after="0"/>
        <w:ind w:left="709" w:hanging="283"/>
        <w:jc w:val="both"/>
      </w:pPr>
      <w:r>
        <w:rPr>
          <w:rFonts w:ascii="Calibri" w:hAnsi="Calibri" w:cs="Calibri"/>
          <w:color w:val="000000"/>
          <w:sz w:val="22"/>
          <w:szCs w:val="22"/>
        </w:rPr>
        <w:t>Conduct caught by a recognised ‘anti-avoidance rule’</w:t>
      </w:r>
      <w:r>
        <w:rPr>
          <w:rStyle w:val="FootnoteReference"/>
          <w:rFonts w:ascii="Calibri" w:hAnsi="Calibri" w:cs="Calibri"/>
          <w:color w:val="000000"/>
          <w:sz w:val="22"/>
          <w:szCs w:val="22"/>
        </w:rPr>
        <w:footnoteReference w:id="6"/>
      </w:r>
      <w:r>
        <w:rPr>
          <w:rFonts w:ascii="Calibri" w:hAnsi="Calibri" w:cs="Calibri"/>
          <w:color w:val="000000"/>
          <w:sz w:val="22"/>
          <w:szCs w:val="22"/>
        </w:rPr>
        <w:t xml:space="preserve"> being a statutory provision which targets arrangements where either a main purpose, or an expected benefit, is to obtain a tax advantage or where the arrangement is not </w:t>
      </w:r>
      <w:proofErr w:type="gramStart"/>
      <w:r>
        <w:rPr>
          <w:rFonts w:ascii="Calibri" w:hAnsi="Calibri" w:cs="Calibri"/>
          <w:color w:val="000000"/>
          <w:sz w:val="22"/>
          <w:szCs w:val="22"/>
        </w:rPr>
        <w:t>effected</w:t>
      </w:r>
      <w:proofErr w:type="gramEnd"/>
      <w:r>
        <w:rPr>
          <w:rFonts w:ascii="Calibri" w:hAnsi="Calibri" w:cs="Calibri"/>
          <w:color w:val="000000"/>
          <w:sz w:val="22"/>
          <w:szCs w:val="22"/>
        </w:rPr>
        <w:t xml:space="preserve"> for commercial purposes. ‘Targeted Anti-Avoidance Rules’ (TAARs). It may be useful to confirm that the Diverted Profits Tax is a TAAR for these </w:t>
      </w:r>
      <w:proofErr w:type="gramStart"/>
      <w:r>
        <w:rPr>
          <w:rFonts w:ascii="Calibri" w:hAnsi="Calibri" w:cs="Calibri"/>
          <w:color w:val="000000"/>
          <w:sz w:val="22"/>
          <w:szCs w:val="22"/>
        </w:rPr>
        <w:t>purposes;</w:t>
      </w:r>
      <w:proofErr w:type="gramEnd"/>
    </w:p>
    <w:p w14:paraId="6E55F7D8" w14:textId="77777777" w:rsidR="00D44F98" w:rsidRDefault="00EB70E0">
      <w:pPr>
        <w:pStyle w:val="NormalWeb"/>
        <w:numPr>
          <w:ilvl w:val="1"/>
          <w:numId w:val="35"/>
        </w:numPr>
        <w:suppressAutoHyphens w:val="0"/>
        <w:spacing w:before="0" w:after="0"/>
        <w:ind w:left="709" w:hanging="283"/>
        <w:jc w:val="both"/>
      </w:pPr>
      <w:proofErr w:type="gramStart"/>
      <w:r>
        <w:rPr>
          <w:rFonts w:ascii="Calibri" w:hAnsi="Calibri" w:cs="Calibri"/>
          <w:color w:val="000000"/>
          <w:sz w:val="22"/>
          <w:szCs w:val="22"/>
        </w:rPr>
        <w:t>Entered into</w:t>
      </w:r>
      <w:proofErr w:type="gramEnd"/>
      <w:r>
        <w:rPr>
          <w:rFonts w:ascii="Calibri" w:hAnsi="Calibri" w:cs="Calibri"/>
          <w:color w:val="000000"/>
          <w:sz w:val="22"/>
          <w:szCs w:val="22"/>
        </w:rPr>
        <w:t xml:space="preserve"> an avoidance scheme identified by HMRC’s published Spotlights list</w:t>
      </w:r>
      <w:r>
        <w:rPr>
          <w:rStyle w:val="FootnoteReference"/>
          <w:rFonts w:ascii="Calibri" w:hAnsi="Calibri" w:cs="Calibri"/>
          <w:color w:val="000000"/>
          <w:sz w:val="22"/>
          <w:szCs w:val="22"/>
        </w:rPr>
        <w:footnoteReference w:id="7"/>
      </w:r>
      <w:r>
        <w:rPr>
          <w:rFonts w:ascii="Calibri" w:hAnsi="Calibri" w:cs="Calibri"/>
          <w:color w:val="000000"/>
          <w:sz w:val="22"/>
          <w:szCs w:val="22"/>
        </w:rPr>
        <w:t>;</w:t>
      </w:r>
    </w:p>
    <w:p w14:paraId="73120A88" w14:textId="77777777" w:rsidR="00D44F98" w:rsidRDefault="00EB70E0">
      <w:pPr>
        <w:pStyle w:val="NormalWeb"/>
        <w:numPr>
          <w:ilvl w:val="1"/>
          <w:numId w:val="35"/>
        </w:numPr>
        <w:suppressAutoHyphens w:val="0"/>
        <w:spacing w:after="120"/>
        <w:ind w:left="709" w:hanging="283"/>
        <w:jc w:val="both"/>
        <w:rPr>
          <w:rFonts w:ascii="Calibri" w:hAnsi="Calibri" w:cs="Calibri"/>
          <w:color w:val="000000"/>
          <w:sz w:val="22"/>
          <w:szCs w:val="22"/>
        </w:rPr>
      </w:pPr>
      <w:r>
        <w:rPr>
          <w:rFonts w:ascii="Calibri" w:hAnsi="Calibri" w:cs="Calibri"/>
          <w:color w:val="000000"/>
          <w:sz w:val="22"/>
          <w:szCs w:val="22"/>
        </w:rPr>
        <w:t xml:space="preserve">Engaged in conduct which falls under rules in other jurisdictions which are equivalent or </w:t>
      </w:r>
      <w:proofErr w:type="gramStart"/>
      <w:r>
        <w:rPr>
          <w:rFonts w:ascii="Calibri" w:hAnsi="Calibri" w:cs="Calibri"/>
          <w:color w:val="000000"/>
          <w:sz w:val="22"/>
          <w:szCs w:val="22"/>
        </w:rPr>
        <w:t>similar to</w:t>
      </w:r>
      <w:proofErr w:type="gramEnd"/>
      <w:r>
        <w:rPr>
          <w:rFonts w:ascii="Calibri" w:hAnsi="Calibri" w:cs="Calibri"/>
          <w:color w:val="000000"/>
          <w:sz w:val="22"/>
          <w:szCs w:val="22"/>
        </w:rPr>
        <w:t xml:space="preserve"> (a) to (f) above.</w:t>
      </w:r>
    </w:p>
    <w:p w14:paraId="162B075C" w14:textId="77777777" w:rsidR="00D44F98" w:rsidRDefault="00EB70E0">
      <w:pPr>
        <w:pStyle w:val="NormalWeb"/>
        <w:spacing w:after="120"/>
        <w:jc w:val="both"/>
      </w:pPr>
      <w:r>
        <w:rPr>
          <w:rFonts w:ascii="Calibri" w:hAnsi="Calibri" w:cs="Calibri"/>
          <w:i/>
          <w:iCs/>
          <w:color w:val="000000"/>
          <w:sz w:val="22"/>
          <w:szCs w:val="22"/>
        </w:rPr>
        <w:lastRenderedPageBreak/>
        <w:t>Condition three (Arrangements are admitted, or subject to litigation/prosecution or identified in a published list (Spotlights))</w:t>
      </w:r>
    </w:p>
    <w:p w14:paraId="0BC602F5" w14:textId="77777777" w:rsidR="00D44F98" w:rsidRDefault="00EB70E0">
      <w:pPr>
        <w:pStyle w:val="NormalWeb"/>
        <w:numPr>
          <w:ilvl w:val="0"/>
          <w:numId w:val="33"/>
        </w:numPr>
        <w:suppressAutoHyphens w:val="0"/>
        <w:spacing w:before="0" w:after="0"/>
        <w:jc w:val="both"/>
      </w:pPr>
      <w:r>
        <w:rPr>
          <w:rFonts w:ascii="Calibri" w:hAnsi="Calibri" w:cs="Calibri"/>
          <w:color w:val="000000"/>
          <w:sz w:val="22"/>
          <w:szCs w:val="22"/>
        </w:rPr>
        <w:t xml:space="preserve">X’s activity in </w:t>
      </w:r>
      <w:r>
        <w:rPr>
          <w:rFonts w:ascii="Calibri" w:hAnsi="Calibri" w:cs="Calibri"/>
          <w:i/>
          <w:color w:val="000000"/>
          <w:sz w:val="22"/>
          <w:szCs w:val="22"/>
        </w:rPr>
        <w:t>Condition 2</w:t>
      </w:r>
      <w:r>
        <w:rPr>
          <w:rFonts w:ascii="Calibri" w:hAnsi="Calibri" w:cs="Calibri"/>
          <w:color w:val="000000"/>
          <w:sz w:val="22"/>
          <w:szCs w:val="22"/>
        </w:rPr>
        <w:t xml:space="preserve"> is, where applicable, subject to dispute and/or litigation as follows:</w:t>
      </w:r>
    </w:p>
    <w:p w14:paraId="466C1CC3" w14:textId="77777777" w:rsidR="00D44F98" w:rsidRDefault="00D44F98">
      <w:pPr>
        <w:pStyle w:val="NormalWeb"/>
        <w:spacing w:after="0"/>
        <w:ind w:firstLine="60"/>
        <w:rPr>
          <w:rFonts w:ascii="Calibri" w:hAnsi="Calibri" w:cs="Calibri"/>
          <w:sz w:val="22"/>
          <w:szCs w:val="22"/>
        </w:rPr>
      </w:pPr>
    </w:p>
    <w:p w14:paraId="3C9841AD" w14:textId="77777777" w:rsidR="00D44F98" w:rsidRDefault="00EB70E0">
      <w:pPr>
        <w:pStyle w:val="NormalWeb"/>
        <w:numPr>
          <w:ilvl w:val="1"/>
          <w:numId w:val="36"/>
        </w:numPr>
        <w:tabs>
          <w:tab w:val="left" w:pos="1440"/>
        </w:tabs>
        <w:suppressAutoHyphens w:val="0"/>
        <w:spacing w:before="0" w:after="0"/>
        <w:ind w:left="709" w:hanging="283"/>
        <w:jc w:val="both"/>
        <w:rPr>
          <w:rFonts w:ascii="Calibri" w:hAnsi="Calibri" w:cs="Calibri"/>
          <w:color w:val="000000"/>
          <w:sz w:val="22"/>
          <w:szCs w:val="22"/>
        </w:rPr>
      </w:pPr>
      <w:r>
        <w:rPr>
          <w:rFonts w:ascii="Calibri" w:hAnsi="Calibri" w:cs="Calibri"/>
          <w:color w:val="000000"/>
          <w:sz w:val="22"/>
          <w:szCs w:val="22"/>
        </w:rPr>
        <w:t>In respect of (a), either X:</w:t>
      </w:r>
    </w:p>
    <w:p w14:paraId="381C65B6" w14:textId="77777777" w:rsidR="00D44F98" w:rsidRDefault="00EB70E0">
      <w:pPr>
        <w:pStyle w:val="NormalWeb"/>
        <w:numPr>
          <w:ilvl w:val="2"/>
          <w:numId w:val="36"/>
        </w:numPr>
        <w:tabs>
          <w:tab w:val="left" w:pos="1418"/>
        </w:tabs>
        <w:suppressAutoHyphens w:val="0"/>
        <w:spacing w:before="0" w:after="0"/>
        <w:ind w:left="1418" w:hanging="425"/>
        <w:jc w:val="both"/>
      </w:pPr>
      <w:r>
        <w:rPr>
          <w:rFonts w:ascii="Calibri" w:hAnsi="Calibri" w:cs="Calibri"/>
          <w:color w:val="000000"/>
          <w:sz w:val="22"/>
          <w:szCs w:val="22"/>
        </w:rPr>
        <w:t>Has accepted the terms of an offer made under a Contractual Disclosure Facility (CDF) pursuant to the Code of Practice 9 (COP9) procedure</w:t>
      </w:r>
      <w:r>
        <w:rPr>
          <w:rStyle w:val="FootnoteReference"/>
          <w:rFonts w:ascii="Calibri" w:hAnsi="Calibri" w:cs="Calibri"/>
          <w:color w:val="000000"/>
          <w:sz w:val="22"/>
          <w:szCs w:val="22"/>
        </w:rPr>
        <w:footnoteReference w:id="8"/>
      </w:r>
      <w:r>
        <w:rPr>
          <w:rFonts w:ascii="Calibri" w:hAnsi="Calibri" w:cs="Calibri"/>
          <w:color w:val="000000"/>
          <w:sz w:val="22"/>
          <w:szCs w:val="22"/>
        </w:rPr>
        <w:t>; or,</w:t>
      </w:r>
    </w:p>
    <w:p w14:paraId="3476C51E" w14:textId="77777777" w:rsidR="00D44F98" w:rsidRDefault="00EB70E0">
      <w:pPr>
        <w:pStyle w:val="NormalWeb"/>
        <w:numPr>
          <w:ilvl w:val="2"/>
          <w:numId w:val="36"/>
        </w:numPr>
        <w:tabs>
          <w:tab w:val="left" w:pos="1418"/>
          <w:tab w:val="left" w:pos="2160"/>
        </w:tabs>
        <w:suppressAutoHyphens w:val="0"/>
        <w:spacing w:before="0" w:after="0"/>
        <w:ind w:left="1418" w:hanging="425"/>
        <w:jc w:val="both"/>
        <w:rPr>
          <w:rFonts w:ascii="Calibri" w:hAnsi="Calibri" w:cs="Calibri"/>
          <w:color w:val="000000"/>
          <w:sz w:val="22"/>
          <w:szCs w:val="22"/>
        </w:rPr>
      </w:pPr>
      <w:r>
        <w:rPr>
          <w:rFonts w:ascii="Calibri" w:hAnsi="Calibri" w:cs="Calibri"/>
          <w:color w:val="000000"/>
          <w:sz w:val="22"/>
          <w:szCs w:val="22"/>
        </w:rPr>
        <w:t xml:space="preserve">Has been charged with an offence of fraudulent evasion. </w:t>
      </w:r>
    </w:p>
    <w:p w14:paraId="4B74ED1C" w14:textId="77777777" w:rsidR="00D44F98" w:rsidRDefault="00EB70E0">
      <w:pPr>
        <w:pStyle w:val="NormalWeb"/>
        <w:numPr>
          <w:ilvl w:val="1"/>
          <w:numId w:val="36"/>
        </w:numPr>
        <w:tabs>
          <w:tab w:val="left" w:pos="1440"/>
        </w:tabs>
        <w:suppressAutoHyphens w:val="0"/>
        <w:spacing w:before="0" w:after="0"/>
        <w:ind w:left="709" w:hanging="283"/>
        <w:jc w:val="both"/>
        <w:rPr>
          <w:rFonts w:ascii="Calibri" w:hAnsi="Calibri" w:cs="Calibri"/>
          <w:color w:val="000000"/>
          <w:sz w:val="22"/>
          <w:szCs w:val="22"/>
        </w:rPr>
      </w:pPr>
      <w:r>
        <w:rPr>
          <w:rFonts w:ascii="Calibri" w:hAnsi="Calibri" w:cs="Calibri"/>
          <w:color w:val="000000"/>
          <w:sz w:val="22"/>
          <w:szCs w:val="22"/>
        </w:rPr>
        <w:t>In respect of (b) to (e</w:t>
      </w:r>
      <w:proofErr w:type="gramStart"/>
      <w:r>
        <w:rPr>
          <w:rFonts w:ascii="Calibri" w:hAnsi="Calibri" w:cs="Calibri"/>
          <w:color w:val="000000"/>
          <w:sz w:val="22"/>
          <w:szCs w:val="22"/>
        </w:rPr>
        <w:t>), once</w:t>
      </w:r>
      <w:proofErr w:type="gramEnd"/>
      <w:r>
        <w:rPr>
          <w:rFonts w:ascii="Calibri" w:hAnsi="Calibri" w:cs="Calibri"/>
          <w:color w:val="000000"/>
          <w:sz w:val="22"/>
          <w:szCs w:val="22"/>
        </w:rPr>
        <w:t xml:space="preserve"> X has commenced the statutory appeal process by filing a Notice of Appeal and the appeal process is ongoing including where the appeal is stayed or listed behind a lead case (either formally or informally). NB Judicial reviews are not part of the statutory appeal </w:t>
      </w:r>
      <w:proofErr w:type="gramStart"/>
      <w:r>
        <w:rPr>
          <w:rFonts w:ascii="Calibri" w:hAnsi="Calibri" w:cs="Calibri"/>
          <w:color w:val="000000"/>
          <w:sz w:val="22"/>
          <w:szCs w:val="22"/>
        </w:rPr>
        <w:t>process</w:t>
      </w:r>
      <w:proofErr w:type="gramEnd"/>
      <w:r>
        <w:rPr>
          <w:rFonts w:ascii="Calibri" w:hAnsi="Calibri" w:cs="Calibri"/>
          <w:color w:val="000000"/>
          <w:sz w:val="22"/>
          <w:szCs w:val="22"/>
        </w:rPr>
        <w:t xml:space="preserve"> and no supplier would be excluded merely because they are applying for judicial review of an HMRC or HMT decision relating to tax or national insurance.</w:t>
      </w:r>
    </w:p>
    <w:p w14:paraId="5FB92383" w14:textId="77777777" w:rsidR="00D44F98" w:rsidRDefault="00EB70E0">
      <w:pPr>
        <w:pStyle w:val="NormalWeb"/>
        <w:numPr>
          <w:ilvl w:val="1"/>
          <w:numId w:val="36"/>
        </w:numPr>
        <w:tabs>
          <w:tab w:val="left" w:pos="1440"/>
        </w:tabs>
        <w:suppressAutoHyphens w:val="0"/>
        <w:spacing w:before="0" w:after="0"/>
        <w:ind w:left="709" w:hanging="283"/>
        <w:jc w:val="both"/>
        <w:rPr>
          <w:rFonts w:ascii="Calibri" w:hAnsi="Calibri" w:cs="Calibri"/>
          <w:color w:val="000000"/>
          <w:sz w:val="22"/>
          <w:szCs w:val="22"/>
        </w:rPr>
      </w:pPr>
      <w:r>
        <w:rPr>
          <w:rFonts w:ascii="Calibri" w:hAnsi="Calibri" w:cs="Calibri"/>
          <w:color w:val="000000"/>
          <w:sz w:val="22"/>
          <w:szCs w:val="22"/>
        </w:rPr>
        <w:t xml:space="preserve">In respect of (b) to (e), during an HMRC enquiry, if it has been agreed between HMRC and X that there is a pause with the enquiry </w:t>
      </w:r>
      <w:proofErr w:type="gramStart"/>
      <w:r>
        <w:rPr>
          <w:rFonts w:ascii="Calibri" w:hAnsi="Calibri" w:cs="Calibri"/>
          <w:color w:val="000000"/>
          <w:sz w:val="22"/>
          <w:szCs w:val="22"/>
        </w:rPr>
        <w:t>in order to</w:t>
      </w:r>
      <w:proofErr w:type="gramEnd"/>
      <w:r>
        <w:rPr>
          <w:rFonts w:ascii="Calibri" w:hAnsi="Calibri" w:cs="Calibri"/>
          <w:color w:val="000000"/>
          <w:sz w:val="22"/>
          <w:szCs w:val="22"/>
        </w:rPr>
        <w:t xml:space="preserve"> await the outcome of related litigation.</w:t>
      </w:r>
    </w:p>
    <w:p w14:paraId="5C943859" w14:textId="77777777" w:rsidR="00D44F98" w:rsidRDefault="00EB70E0">
      <w:pPr>
        <w:pStyle w:val="NormalWeb"/>
        <w:numPr>
          <w:ilvl w:val="1"/>
          <w:numId w:val="36"/>
        </w:numPr>
        <w:tabs>
          <w:tab w:val="left" w:pos="1440"/>
        </w:tabs>
        <w:suppressAutoHyphens w:val="0"/>
        <w:spacing w:before="0" w:after="0"/>
        <w:ind w:left="709" w:hanging="283"/>
        <w:jc w:val="both"/>
        <w:rPr>
          <w:rFonts w:ascii="Calibri" w:hAnsi="Calibri" w:cs="Calibri"/>
          <w:color w:val="000000"/>
          <w:sz w:val="22"/>
          <w:szCs w:val="22"/>
        </w:rPr>
      </w:pPr>
      <w:r>
        <w:rPr>
          <w:rFonts w:ascii="Calibri" w:hAnsi="Calibri" w:cs="Calibri"/>
          <w:color w:val="000000"/>
          <w:sz w:val="22"/>
          <w:szCs w:val="22"/>
        </w:rPr>
        <w:t>In respect of (f) this condition is satisfied without any further steps being taken.</w:t>
      </w:r>
    </w:p>
    <w:p w14:paraId="3D428D6B" w14:textId="77777777" w:rsidR="00D44F98" w:rsidRDefault="00EB70E0">
      <w:pPr>
        <w:pStyle w:val="NormalWeb"/>
        <w:numPr>
          <w:ilvl w:val="1"/>
          <w:numId w:val="36"/>
        </w:numPr>
        <w:tabs>
          <w:tab w:val="left" w:pos="1440"/>
        </w:tabs>
        <w:suppressAutoHyphens w:val="0"/>
        <w:spacing w:before="0" w:after="0"/>
        <w:ind w:left="709" w:hanging="283"/>
        <w:jc w:val="both"/>
        <w:rPr>
          <w:rFonts w:ascii="Calibri" w:hAnsi="Calibri" w:cs="Calibri"/>
          <w:color w:val="000000"/>
          <w:sz w:val="22"/>
          <w:szCs w:val="22"/>
        </w:rPr>
      </w:pPr>
      <w:r>
        <w:rPr>
          <w:rFonts w:ascii="Calibri" w:hAnsi="Calibri" w:cs="Calibri"/>
          <w:color w:val="000000"/>
          <w:sz w:val="22"/>
          <w:szCs w:val="22"/>
        </w:rPr>
        <w:t>In respect of (g) the foreign equivalent to each of the corresponding steps set out above in (</w:t>
      </w:r>
      <w:proofErr w:type="spellStart"/>
      <w:r>
        <w:rPr>
          <w:rFonts w:ascii="Calibri" w:hAnsi="Calibri" w:cs="Calibri"/>
          <w:color w:val="000000"/>
          <w:sz w:val="22"/>
          <w:szCs w:val="22"/>
        </w:rPr>
        <w:t>i</w:t>
      </w:r>
      <w:proofErr w:type="spellEnd"/>
      <w:r>
        <w:rPr>
          <w:rFonts w:ascii="Calibri" w:hAnsi="Calibri" w:cs="Calibri"/>
          <w:color w:val="000000"/>
          <w:sz w:val="22"/>
          <w:szCs w:val="22"/>
        </w:rPr>
        <w:t>) to (iii).</w:t>
      </w:r>
    </w:p>
    <w:p w14:paraId="3D38089B" w14:textId="77777777" w:rsidR="00D44F98" w:rsidRDefault="00EB70E0">
      <w:pPr>
        <w:pStyle w:val="NormalWeb"/>
        <w:spacing w:after="120"/>
        <w:jc w:val="both"/>
        <w:rPr>
          <w:rFonts w:ascii="Calibri" w:hAnsi="Calibri" w:cs="Calibri"/>
          <w:sz w:val="22"/>
          <w:szCs w:val="22"/>
        </w:rPr>
      </w:pPr>
      <w:r>
        <w:rPr>
          <w:rFonts w:ascii="Calibri" w:hAnsi="Calibri" w:cs="Calibri"/>
          <w:sz w:val="22"/>
          <w:szCs w:val="22"/>
        </w:rPr>
        <w:t> </w:t>
      </w:r>
    </w:p>
    <w:p w14:paraId="29AEE7C5" w14:textId="77777777" w:rsidR="00D44F98" w:rsidRDefault="00EB70E0">
      <w:pPr>
        <w:pStyle w:val="Heading3"/>
        <w:keepNext w:val="0"/>
        <w:keepLines w:val="0"/>
        <w:tabs>
          <w:tab w:val="left" w:pos="1701"/>
        </w:tabs>
        <w:spacing w:before="0" w:after="220" w:line="240" w:lineRule="auto"/>
        <w:jc w:val="both"/>
        <w:rPr>
          <w:rFonts w:ascii="Calibri" w:hAnsi="Calibri" w:cs="Calibri"/>
          <w:color w:val="auto"/>
          <w:sz w:val="22"/>
          <w:szCs w:val="22"/>
        </w:rPr>
      </w:pPr>
      <w:r>
        <w:rPr>
          <w:rFonts w:ascii="Calibri" w:hAnsi="Calibri" w:cs="Calibri"/>
          <w:color w:val="auto"/>
          <w:sz w:val="22"/>
          <w:szCs w:val="22"/>
        </w:rPr>
        <w:t>For the avoidance of doubt, any reference in this Annex 1 to any Law includes a reference to that Law as amended, extended, consolidated or re</w:t>
      </w:r>
      <w:r>
        <w:rPr>
          <w:rFonts w:ascii="Calibri" w:hAnsi="Calibri" w:cs="Calibri"/>
          <w:color w:val="auto"/>
          <w:sz w:val="22"/>
          <w:szCs w:val="22"/>
        </w:rPr>
        <w:noBreakHyphen/>
        <w:t xml:space="preserve">enacted from time to time including any implementing or successor legislation. </w:t>
      </w:r>
    </w:p>
    <w:p w14:paraId="35FE32A7" w14:textId="77777777" w:rsidR="00D44F98" w:rsidRDefault="00D44F98">
      <w:pPr>
        <w:pageBreakBefore/>
        <w:rPr>
          <w:rFonts w:cs="Calibri"/>
        </w:rPr>
      </w:pPr>
    </w:p>
    <w:p w14:paraId="73EA1272" w14:textId="77777777" w:rsidR="00D44F98" w:rsidRDefault="00EB70E0">
      <w:pPr>
        <w:jc w:val="center"/>
        <w:rPr>
          <w:rFonts w:cs="Calibri"/>
          <w:b/>
        </w:rPr>
      </w:pPr>
      <w:r>
        <w:rPr>
          <w:rFonts w:cs="Calibri"/>
          <w:b/>
        </w:rPr>
        <w:t xml:space="preserve">Annex 2 Form </w:t>
      </w:r>
    </w:p>
    <w:p w14:paraId="75D2A130" w14:textId="77777777" w:rsidR="00D44F98" w:rsidRDefault="00EB70E0">
      <w:pPr>
        <w:jc w:val="center"/>
        <w:rPr>
          <w:rFonts w:cs="Calibri"/>
          <w:b/>
        </w:rPr>
      </w:pPr>
      <w:r>
        <w:rPr>
          <w:rFonts w:cs="Calibri"/>
          <w:b/>
        </w:rPr>
        <w:t xml:space="preserve">CONFIDENTIALITY DECLARATION </w:t>
      </w:r>
    </w:p>
    <w:p w14:paraId="2C7E9F5B" w14:textId="77777777" w:rsidR="00D44F98" w:rsidRDefault="00EB70E0">
      <w:pPr>
        <w:jc w:val="both"/>
      </w:pPr>
      <w:r>
        <w:rPr>
          <w:rFonts w:cs="Calibri"/>
        </w:rPr>
        <w:t xml:space="preserve">CONTRACT REFERENCE: </w:t>
      </w:r>
      <w:r>
        <w:t>SR1088476830</w:t>
      </w:r>
      <w:r>
        <w:rPr>
          <w:rFonts w:cs="Calibri"/>
        </w:rPr>
        <w:t xml:space="preserve"> Data Quality (‘the Agreement’)</w:t>
      </w:r>
    </w:p>
    <w:p w14:paraId="10B435B6" w14:textId="77777777" w:rsidR="00D44F98" w:rsidRDefault="00EB70E0">
      <w:pPr>
        <w:jc w:val="both"/>
        <w:rPr>
          <w:rFonts w:cs="Calibri"/>
        </w:rPr>
      </w:pPr>
      <w:r>
        <w:rPr>
          <w:rFonts w:cs="Calibri"/>
        </w:rPr>
        <w:t>DECLARATION:</w:t>
      </w:r>
    </w:p>
    <w:p w14:paraId="6C7D3DD0" w14:textId="77777777" w:rsidR="00D44F98" w:rsidRDefault="00EB70E0">
      <w:pPr>
        <w:jc w:val="both"/>
        <w:rPr>
          <w:rFonts w:cs="Calibri"/>
        </w:rPr>
      </w:pPr>
      <w:r>
        <w:rPr>
          <w:rFonts w:cs="Calibri"/>
        </w:rPr>
        <w:t xml:space="preserve">I solemnly declare that: </w:t>
      </w:r>
    </w:p>
    <w:p w14:paraId="1BB94555" w14:textId="77777777" w:rsidR="00D44F98" w:rsidRDefault="00EB70E0">
      <w:pPr>
        <w:pStyle w:val="ListParagraph"/>
        <w:numPr>
          <w:ilvl w:val="0"/>
          <w:numId w:val="37"/>
        </w:numPr>
        <w:suppressAutoHyphens w:val="0"/>
        <w:spacing w:after="160"/>
        <w:ind w:left="426" w:hanging="426"/>
        <w:contextualSpacing/>
        <w:jc w:val="both"/>
        <w:textAlignment w:val="auto"/>
      </w:pPr>
      <w:r>
        <w:rPr>
          <w:rFonts w:cs="Calibri"/>
        </w:rPr>
        <w:t xml:space="preserve">I am aware that the duty of confidentiality imposed by section 18 of the Commissioners for Revenue and Customs Act 2005 applies to </w:t>
      </w:r>
      <w:r>
        <w:t xml:space="preserve">Authority Data (as defined in the Agreement) </w:t>
      </w:r>
      <w:r>
        <w:rPr>
          <w:rFonts w:cs="Calibri"/>
        </w:rPr>
        <w:t>that has been or will be provided to me in accordance with the Agreement.</w:t>
      </w:r>
    </w:p>
    <w:p w14:paraId="2DA58F98" w14:textId="77777777" w:rsidR="00D44F98" w:rsidRDefault="00EB70E0">
      <w:pPr>
        <w:pStyle w:val="ListParagraph"/>
        <w:numPr>
          <w:ilvl w:val="0"/>
          <w:numId w:val="37"/>
        </w:numPr>
        <w:suppressAutoHyphens w:val="0"/>
        <w:spacing w:after="160"/>
        <w:ind w:left="426" w:hanging="426"/>
        <w:contextualSpacing/>
        <w:jc w:val="both"/>
        <w:textAlignment w:val="auto"/>
        <w:rPr>
          <w:rFonts w:cs="Calibri"/>
        </w:rPr>
      </w:pPr>
      <w:r>
        <w:rPr>
          <w:rFonts w:cs="Calibri"/>
        </w:rPr>
        <w:t xml:space="preserve">I understand and acknowledge that under Section 19 of the Commissioners for Revenue and Customs Act 2005 it may be a criminal offence to disclose any Authority Data provided to me. </w:t>
      </w:r>
    </w:p>
    <w:p w14:paraId="43827929" w14:textId="77777777" w:rsidR="00D44F98" w:rsidRDefault="00D44F98">
      <w:pPr>
        <w:pStyle w:val="ListParagraph"/>
        <w:ind w:left="426"/>
        <w:jc w:val="both"/>
        <w:rPr>
          <w:rFonts w:cs="Calibri"/>
        </w:rPr>
      </w:pPr>
    </w:p>
    <w:tbl>
      <w:tblPr>
        <w:tblW w:w="5670" w:type="dxa"/>
        <w:tblInd w:w="421" w:type="dxa"/>
        <w:tblCellMar>
          <w:left w:w="10" w:type="dxa"/>
          <w:right w:w="10" w:type="dxa"/>
        </w:tblCellMar>
        <w:tblLook w:val="0000" w:firstRow="0" w:lastRow="0" w:firstColumn="0" w:lastColumn="0" w:noHBand="0" w:noVBand="0"/>
      </w:tblPr>
      <w:tblGrid>
        <w:gridCol w:w="5670"/>
      </w:tblGrid>
      <w:tr w:rsidR="00D44F98" w14:paraId="5C1C60E7"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E38C" w14:textId="77777777" w:rsidR="00D44F98" w:rsidRDefault="00EB70E0">
            <w:pPr>
              <w:spacing w:line="360" w:lineRule="auto"/>
              <w:textAlignment w:val="auto"/>
              <w:rPr>
                <w:rFonts w:ascii="Calibri" w:eastAsia="Calibri" w:hAnsi="Calibri" w:cs="Calibri"/>
                <w:lang w:eastAsia="en-US"/>
              </w:rPr>
            </w:pPr>
            <w:r>
              <w:rPr>
                <w:rFonts w:ascii="Calibri" w:eastAsia="Calibri" w:hAnsi="Calibri" w:cs="Calibri"/>
                <w:lang w:eastAsia="en-US"/>
              </w:rPr>
              <w:t>SIGNED:</w:t>
            </w:r>
          </w:p>
        </w:tc>
      </w:tr>
      <w:tr w:rsidR="00D44F98" w14:paraId="6D58F237"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E5F40" w14:textId="77777777" w:rsidR="00D44F98" w:rsidRDefault="00EB70E0">
            <w:pPr>
              <w:spacing w:line="360" w:lineRule="auto"/>
              <w:textAlignment w:val="auto"/>
              <w:rPr>
                <w:rFonts w:ascii="Calibri" w:eastAsia="Calibri" w:hAnsi="Calibri" w:cs="Calibri"/>
                <w:lang w:eastAsia="en-US"/>
              </w:rPr>
            </w:pPr>
            <w:r>
              <w:rPr>
                <w:rFonts w:ascii="Calibri" w:eastAsia="Calibri" w:hAnsi="Calibri" w:cs="Calibri"/>
                <w:lang w:eastAsia="en-US"/>
              </w:rPr>
              <w:t>FULL NAME:</w:t>
            </w:r>
          </w:p>
        </w:tc>
      </w:tr>
      <w:tr w:rsidR="00D44F98" w14:paraId="2829D6BE"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10B44" w14:textId="77777777" w:rsidR="00D44F98" w:rsidRDefault="00EB70E0">
            <w:pPr>
              <w:spacing w:line="360" w:lineRule="auto"/>
              <w:textAlignment w:val="auto"/>
              <w:rPr>
                <w:rFonts w:ascii="Calibri" w:eastAsia="Calibri" w:hAnsi="Calibri" w:cs="Calibri"/>
                <w:lang w:eastAsia="en-US"/>
              </w:rPr>
            </w:pPr>
            <w:r>
              <w:rPr>
                <w:rFonts w:ascii="Calibri" w:eastAsia="Calibri" w:hAnsi="Calibri" w:cs="Calibri"/>
                <w:lang w:eastAsia="en-US"/>
              </w:rPr>
              <w:t>POSITION:</w:t>
            </w:r>
          </w:p>
        </w:tc>
      </w:tr>
      <w:tr w:rsidR="00D44F98" w14:paraId="2F1A3824"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02D9" w14:textId="77777777" w:rsidR="00D44F98" w:rsidRDefault="00EB70E0">
            <w:pPr>
              <w:spacing w:line="360" w:lineRule="auto"/>
              <w:textAlignment w:val="auto"/>
              <w:rPr>
                <w:rFonts w:ascii="Calibri" w:eastAsia="Calibri" w:hAnsi="Calibri" w:cs="Calibri"/>
                <w:lang w:eastAsia="en-US"/>
              </w:rPr>
            </w:pPr>
            <w:r>
              <w:rPr>
                <w:rFonts w:ascii="Calibri" w:eastAsia="Calibri" w:hAnsi="Calibri" w:cs="Calibri"/>
                <w:lang w:eastAsia="en-US"/>
              </w:rPr>
              <w:t xml:space="preserve">COMPANY: </w:t>
            </w:r>
          </w:p>
        </w:tc>
      </w:tr>
      <w:tr w:rsidR="00D44F98" w14:paraId="4562A200"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899D8" w14:textId="77777777" w:rsidR="00D44F98" w:rsidRDefault="00EB70E0">
            <w:pPr>
              <w:spacing w:line="360" w:lineRule="auto"/>
              <w:textAlignment w:val="auto"/>
              <w:rPr>
                <w:rFonts w:ascii="Calibri" w:eastAsia="Calibri" w:hAnsi="Calibri" w:cs="Times New Roman"/>
                <w:lang w:eastAsia="en-US"/>
              </w:rPr>
            </w:pPr>
            <w:r>
              <w:rPr>
                <w:rFonts w:ascii="Calibri" w:eastAsia="Calibri" w:hAnsi="Calibri" w:cs="Times New Roman"/>
                <w:lang w:eastAsia="en-US"/>
              </w:rPr>
              <w:t xml:space="preserve">DATE OF SIGNATURE: </w:t>
            </w:r>
          </w:p>
        </w:tc>
      </w:tr>
    </w:tbl>
    <w:p w14:paraId="73EDAC1E" w14:textId="77777777" w:rsidR="00D44F98" w:rsidRDefault="00D44F98">
      <w:pPr>
        <w:rPr>
          <w:rFonts w:cs="Calibri"/>
        </w:rPr>
      </w:pPr>
    </w:p>
    <w:p w14:paraId="7FF0FE18" w14:textId="77777777" w:rsidR="00D44F98" w:rsidRDefault="00D44F98">
      <w:pPr>
        <w:rPr>
          <w:rFonts w:cs="Calibri"/>
        </w:rPr>
      </w:pPr>
    </w:p>
    <w:p w14:paraId="5B50E105" w14:textId="77777777" w:rsidR="00D44F98" w:rsidRDefault="00D44F98">
      <w:pPr>
        <w:rPr>
          <w:rFonts w:cs="Calibri"/>
        </w:rPr>
      </w:pPr>
    </w:p>
    <w:p w14:paraId="48D551DC" w14:textId="77777777" w:rsidR="00D44F98" w:rsidRDefault="00D44F98">
      <w:pPr>
        <w:jc w:val="right"/>
        <w:rPr>
          <w:rFonts w:cs="Calibri"/>
        </w:rPr>
      </w:pPr>
    </w:p>
    <w:p w14:paraId="3AB244FB" w14:textId="77777777" w:rsidR="00D44F98" w:rsidRDefault="00D44F98"/>
    <w:sectPr w:rsidR="00D44F98">
      <w:headerReference w:type="even" r:id="rId35"/>
      <w:headerReference w:type="default" r:id="rId36"/>
      <w:footerReference w:type="even" r:id="rId37"/>
      <w:footerReference w:type="default" r:id="rId38"/>
      <w:headerReference w:type="first" r:id="rId39"/>
      <w:footerReference w:type="first" r:id="rId40"/>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B3C85" w14:textId="77777777" w:rsidR="00792480" w:rsidRDefault="00EB70E0">
      <w:pPr>
        <w:spacing w:line="240" w:lineRule="auto"/>
      </w:pPr>
      <w:r>
        <w:separator/>
      </w:r>
    </w:p>
  </w:endnote>
  <w:endnote w:type="continuationSeparator" w:id="0">
    <w:p w14:paraId="3DBC4450" w14:textId="77777777" w:rsidR="00792480" w:rsidRDefault="00EB70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MT">
    <w:altName w:val="Arial"/>
    <w:charset w:val="00"/>
    <w:family w:val="auto"/>
    <w:pitch w:val="default"/>
  </w:font>
  <w:font w:name="&amp;quot">
    <w:altName w:val="Cambria"/>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3DF2B" w14:textId="77777777" w:rsidR="00014F75" w:rsidRDefault="00014F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44D8" w14:textId="77777777" w:rsidR="00691F07" w:rsidRDefault="00EB70E0">
    <w:pPr>
      <w:pStyle w:val="Footer"/>
      <w:ind w:right="360"/>
    </w:pPr>
    <w:r>
      <w:rPr>
        <w:noProof/>
      </w:rPr>
      <mc:AlternateContent>
        <mc:Choice Requires="wps">
          <w:drawing>
            <wp:anchor distT="0" distB="0" distL="114300" distR="114300" simplePos="0" relativeHeight="251660288" behindDoc="0" locked="0" layoutInCell="1" allowOverlap="1" wp14:anchorId="3FBD9892" wp14:editId="6792EBC2">
              <wp:simplePos x="0" y="0"/>
              <wp:positionH relativeFrom="page">
                <wp:posOffset>0</wp:posOffset>
              </wp:positionH>
              <wp:positionV relativeFrom="page">
                <wp:posOffset>10225406</wp:posOffset>
              </wp:positionV>
              <wp:extent cx="7562216" cy="272418"/>
              <wp:effectExtent l="0" t="0" r="0" b="13332"/>
              <wp:wrapNone/>
              <wp:docPr id="1" name="MSIPCMb7b34aeabe76e7890fdae65e"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6" cy="272418"/>
                      </a:xfrm>
                      <a:prstGeom prst="rect">
                        <a:avLst/>
                      </a:prstGeom>
                      <a:noFill/>
                      <a:ln>
                        <a:noFill/>
                        <a:prstDash/>
                      </a:ln>
                    </wps:spPr>
                    <wps:txbx>
                      <w:txbxContent>
                        <w:p w14:paraId="41CB1894" w14:textId="77777777" w:rsidR="00691F07" w:rsidRDefault="00EB70E0">
                          <w:pPr>
                            <w:jc w:val="center"/>
                            <w:rPr>
                              <w:rFonts w:ascii="Calibri" w:hAnsi="Calibri" w:cs="Calibri"/>
                              <w:color w:val="000000"/>
                              <w:sz w:val="20"/>
                            </w:rPr>
                          </w:pPr>
                          <w:r>
                            <w:rPr>
                              <w:rFonts w:ascii="Calibri" w:hAnsi="Calibri" w:cs="Calibri"/>
                              <w:color w:val="000000"/>
                              <w:sz w:val="20"/>
                            </w:rPr>
                            <w:t>OFFICIAL</w:t>
                          </w:r>
                        </w:p>
                      </w:txbxContent>
                    </wps:txbx>
                    <wps:bodyPr vert="horz" wrap="square" lIns="91440" tIns="0" rIns="91440" bIns="0" anchor="b" anchorCtr="0" compatLnSpc="1">
                      <a:noAutofit/>
                    </wps:bodyPr>
                  </wps:wsp>
                </a:graphicData>
              </a:graphic>
            </wp:anchor>
          </w:drawing>
        </mc:Choice>
        <mc:Fallback>
          <w:pict>
            <v:shapetype w14:anchorId="3FBD9892" id="_x0000_t202" coordsize="21600,21600" o:spt="202" path="m,l,21600r21600,l21600,xe">
              <v:stroke joinstyle="miter"/>
              <v:path gradientshapeok="t" o:connecttype="rect"/>
            </v:shapetype>
            <v:shape id="MSIPCMb7b34aeabe76e7890fdae65e" o:spid="_x0000_s1026" type="#_x0000_t202" alt="{&quot;HashCode&quot;:-1264847310,&quot;Height&quot;:841.0,&quot;Width&quot;:595.0,&quot;Placement&quot;:&quot;Footer&quot;,&quot;Index&quot;:&quot;Primary&quot;,&quot;Section&quot;:1,&quot;Top&quot;:0.0,&quot;Left&quot;:0.0}" style="position:absolute;margin-left:0;margin-top:805.15pt;width:595.45pt;height:21.4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" filled="f" stroked="f">
              <v:textbox inset=",0,,0">
                <w:txbxContent>
                  <w:p w14:paraId="41CB1894" w14:textId="77777777" w:rsidR="00691F07" w:rsidRDefault="00EB70E0">
                    <w:pPr>
                      <w:jc w:val="center"/>
                      <w:rPr>
                        <w:rFonts w:ascii="Calibri" w:hAnsi="Calibri" w:cs="Calibri"/>
                        <w:color w:val="000000"/>
                        <w:sz w:val="20"/>
                      </w:rPr>
                    </w:pPr>
                    <w:r>
                      <w:rPr>
                        <w:rFonts w:ascii="Calibri" w:hAnsi="Calibri" w:cs="Calibri"/>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0A6B5FB3" wp14:editId="544310EC">
              <wp:simplePos x="0" y="0"/>
              <wp:positionH relativeFrom="margin">
                <wp:align>right</wp:align>
              </wp:positionH>
              <wp:positionV relativeFrom="paragraph">
                <wp:posOffset>548</wp:posOffset>
              </wp:positionV>
              <wp:extent cx="0" cy="0"/>
              <wp:effectExtent l="0" t="0" r="0" b="0"/>
              <wp:wrapTopAndBottom/>
              <wp:docPr id="2"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2A0FDAC0" w14:textId="77777777" w:rsidR="00691F07" w:rsidRDefault="00EB70E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vert="horz" wrap="none" lIns="0" tIns="0" rIns="0" bIns="0" anchor="t" anchorCtr="0" compatLnSpc="0">
                      <a:spAutoFit/>
                    </wps:bodyPr>
                  </wps:wsp>
                </a:graphicData>
              </a:graphic>
            </wp:anchor>
          </w:drawing>
        </mc:Choice>
        <mc:Fallback>
          <w:pict>
            <v:shape w14:anchorId="0A6B5FB3" id="Text Box 1" o:spid="_x0000_s1027"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811pgEAAFY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" filled="f" stroked="f">
              <v:textbox style="mso-fit-shape-to-text:t" inset="0,0,0,0">
                <w:txbxContent>
                  <w:p w14:paraId="2A0FDAC0" w14:textId="77777777" w:rsidR="00691F07" w:rsidRDefault="00EB70E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topAndBottom"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AAC9A" w14:textId="77777777" w:rsidR="00014F75" w:rsidRDefault="00014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A410A" w14:textId="77777777" w:rsidR="00792480" w:rsidRDefault="00EB70E0">
      <w:pPr>
        <w:spacing w:line="240" w:lineRule="auto"/>
      </w:pPr>
      <w:r>
        <w:rPr>
          <w:color w:val="000000"/>
        </w:rPr>
        <w:separator/>
      </w:r>
    </w:p>
  </w:footnote>
  <w:footnote w:type="continuationSeparator" w:id="0">
    <w:p w14:paraId="674437C3" w14:textId="77777777" w:rsidR="00792480" w:rsidRDefault="00EB70E0">
      <w:pPr>
        <w:spacing w:line="240" w:lineRule="auto"/>
      </w:pPr>
      <w:r>
        <w:continuationSeparator/>
      </w:r>
    </w:p>
  </w:footnote>
  <w:footnote w:id="1">
    <w:p w14:paraId="2BECFEBC" w14:textId="77777777" w:rsidR="00D44F98" w:rsidRDefault="00EB70E0">
      <w:pPr>
        <w:pStyle w:val="FootnoteText"/>
      </w:pPr>
      <w:r>
        <w:rPr>
          <w:rStyle w:val="FootnoteReference"/>
        </w:rPr>
        <w:footnoteRef/>
      </w:r>
      <w:r>
        <w:t xml:space="preserve"> </w:t>
      </w:r>
      <w:hyperlink r:id="rId1" w:history="1">
        <w:r>
          <w:rPr>
            <w:rStyle w:val="Hyperlink"/>
          </w:rPr>
          <w:t>https://www.iasplus.com/en/standards/ifrs/ifrs10</w:t>
        </w:r>
      </w:hyperlink>
      <w:r>
        <w:t xml:space="preserve"> </w:t>
      </w:r>
    </w:p>
  </w:footnote>
  <w:footnote w:id="2">
    <w:p w14:paraId="3DF53356" w14:textId="77777777" w:rsidR="00D44F98" w:rsidRDefault="00EB70E0">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02BF3733" w14:textId="77777777" w:rsidR="00D44F98" w:rsidRDefault="00EB70E0">
      <w:pPr>
        <w:pStyle w:val="FootnoteText"/>
        <w:jc w:val="both"/>
      </w:pPr>
      <w:r>
        <w:rPr>
          <w:rStyle w:val="FootnoteReference"/>
        </w:rPr>
        <w:footnoteRef/>
      </w:r>
      <w:r>
        <w:t xml:space="preserve"> “General Anti-Abuse Rule” means (a) the legislation in Part 5 of the Finance Act 2013; and (b) any</w:t>
      </w:r>
    </w:p>
    <w:p w14:paraId="7CB5418B" w14:textId="77777777" w:rsidR="00D44F98" w:rsidRDefault="00EB70E0">
      <w:pPr>
        <w:pStyle w:val="FootnoteText"/>
        <w:jc w:val="both"/>
      </w:pPr>
      <w:r>
        <w:t>future legislation introduced into Parliament to counteract tax advantages arising from abusive</w:t>
      </w:r>
    </w:p>
    <w:p w14:paraId="50A05D2B" w14:textId="77777777" w:rsidR="00D44F98" w:rsidRDefault="00EB70E0">
      <w:pPr>
        <w:pStyle w:val="FootnoteText"/>
      </w:pPr>
      <w:r>
        <w:t>arrangements to avoid national insurance contributions</w:t>
      </w:r>
    </w:p>
  </w:footnote>
  <w:footnote w:id="4">
    <w:p w14:paraId="33232C23" w14:textId="77777777" w:rsidR="00D44F98" w:rsidRDefault="00EB70E0">
      <w:pPr>
        <w:pStyle w:val="FootnoteText"/>
      </w:pPr>
      <w:r>
        <w:rPr>
          <w:rStyle w:val="FootnoteReference"/>
        </w:rPr>
        <w:footnoteRef/>
      </w:r>
      <w:r>
        <w:t xml:space="preserve"> “Halifax Abuse Principle” means the principle explained in the CJEU Case C-255/02 Halifax and others</w:t>
      </w:r>
    </w:p>
  </w:footnote>
  <w:footnote w:id="5">
    <w:p w14:paraId="67611BAC" w14:textId="77777777" w:rsidR="00D44F98" w:rsidRDefault="00EB70E0">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136F70FA" w14:textId="77777777" w:rsidR="00D44F98" w:rsidRDefault="00EB70E0">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7">
    <w:p w14:paraId="354DD1FB" w14:textId="77777777" w:rsidR="00D44F98" w:rsidRDefault="00EB70E0">
      <w:pPr>
        <w:pStyle w:val="FootnoteText"/>
        <w:jc w:val="both"/>
      </w:pPr>
      <w:r>
        <w:rPr>
          <w:rStyle w:val="FootnoteReference"/>
        </w:rPr>
        <w:footnoteRef/>
      </w:r>
      <w:r>
        <w:t xml:space="preserve"> Targeted list of tax avoidance schemes that HMRC believes are being used to avoid paying tax due and which are listed on the Spotlight website: </w:t>
      </w:r>
      <w:hyperlink r:id="rId2" w:history="1">
        <w:r>
          <w:rPr>
            <w:rStyle w:val="Hyperlink"/>
          </w:rPr>
          <w:t>https://www.gov.uk/government/collections/tax-avoidance-schemes-currently-in-the-spotlight</w:t>
        </w:r>
      </w:hyperlink>
      <w:r>
        <w:t xml:space="preserve">  </w:t>
      </w:r>
    </w:p>
  </w:footnote>
  <w:footnote w:id="8">
    <w:p w14:paraId="057D55A4" w14:textId="77777777" w:rsidR="00D44F98" w:rsidRDefault="00EB70E0">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4161A" w14:textId="77777777" w:rsidR="00014F75" w:rsidRDefault="00014F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FCB69" w14:textId="77777777" w:rsidR="00014F75" w:rsidRDefault="00014F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85B32" w14:textId="77777777" w:rsidR="00014F75" w:rsidRDefault="00014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7DD1"/>
    <w:multiLevelType w:val="multilevel"/>
    <w:tmpl w:val="06706E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8E7AA8"/>
    <w:multiLevelType w:val="multilevel"/>
    <w:tmpl w:val="8BA4A11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273EC"/>
    <w:multiLevelType w:val="multilevel"/>
    <w:tmpl w:val="D026C206"/>
    <w:lvl w:ilvl="0">
      <w:start w:val="1"/>
      <w:numFmt w:val="lowerLetter"/>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826DD4"/>
    <w:multiLevelType w:val="multilevel"/>
    <w:tmpl w:val="758E60DA"/>
    <w:lvl w:ilvl="0">
      <w:numFmt w:val="bullet"/>
      <w:lvlText w:val="•"/>
      <w:lvlJc w:val="left"/>
      <w:pPr>
        <w:ind w:left="862" w:hanging="720"/>
      </w:pPr>
      <w:rPr>
        <w:rFonts w:ascii="Calibri" w:eastAsia="Calibri" w:hAnsi="Calibri" w:cs="Calibri"/>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4" w15:restartNumberingAfterBreak="0">
    <w:nsid w:val="12E228F3"/>
    <w:multiLevelType w:val="multilevel"/>
    <w:tmpl w:val="68B43AB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33B023D"/>
    <w:multiLevelType w:val="multilevel"/>
    <w:tmpl w:val="1AB039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8AD6A85"/>
    <w:multiLevelType w:val="multilevel"/>
    <w:tmpl w:val="80084B8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19EE0739"/>
    <w:multiLevelType w:val="multilevel"/>
    <w:tmpl w:val="694287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D8775E8"/>
    <w:multiLevelType w:val="multilevel"/>
    <w:tmpl w:val="2EC22A9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23181722"/>
    <w:multiLevelType w:val="multilevel"/>
    <w:tmpl w:val="427E55D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48D6AEF"/>
    <w:multiLevelType w:val="multilevel"/>
    <w:tmpl w:val="27A2E08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CA02C74"/>
    <w:multiLevelType w:val="multilevel"/>
    <w:tmpl w:val="147AF9B2"/>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DA020ED"/>
    <w:multiLevelType w:val="multilevel"/>
    <w:tmpl w:val="C36EF6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1D61A4C"/>
    <w:multiLevelType w:val="multilevel"/>
    <w:tmpl w:val="11C2B05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411B6E09"/>
    <w:multiLevelType w:val="multilevel"/>
    <w:tmpl w:val="1EB8B888"/>
    <w:lvl w:ilvl="0">
      <w:start w:val="1"/>
      <w:numFmt w:val="lowerLetter"/>
      <w:lvlText w:val="(%1)"/>
      <w:lvlJc w:val="left"/>
      <w:pPr>
        <w:ind w:left="432" w:hanging="432"/>
      </w:pPr>
      <w:rPr>
        <w:rFonts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341C97"/>
    <w:multiLevelType w:val="multilevel"/>
    <w:tmpl w:val="01CAE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7001F5C"/>
    <w:multiLevelType w:val="multilevel"/>
    <w:tmpl w:val="724EAF92"/>
    <w:lvl w:ilvl="0">
      <w:start w:val="1"/>
      <w:numFmt w:val="lowerLetter"/>
      <w:lvlText w:val="(%1)"/>
      <w:lvlJc w:val="left"/>
      <w:pPr>
        <w:ind w:left="1647" w:hanging="360"/>
      </w:pPr>
      <w:rPr>
        <w:b/>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17" w15:restartNumberingAfterBreak="0">
    <w:nsid w:val="48B0459B"/>
    <w:multiLevelType w:val="multilevel"/>
    <w:tmpl w:val="338E23A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4EF421B3"/>
    <w:multiLevelType w:val="multilevel"/>
    <w:tmpl w:val="27A2E9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EFF4982"/>
    <w:multiLevelType w:val="multilevel"/>
    <w:tmpl w:val="839EBA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55445DA6"/>
    <w:multiLevelType w:val="multilevel"/>
    <w:tmpl w:val="0478D92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59AF47ED"/>
    <w:multiLevelType w:val="multilevel"/>
    <w:tmpl w:val="3E1AE96C"/>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2" w15:restartNumberingAfterBreak="0">
    <w:nsid w:val="5A8D14E6"/>
    <w:multiLevelType w:val="multilevel"/>
    <w:tmpl w:val="FE14DD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BDC535A"/>
    <w:multiLevelType w:val="multilevel"/>
    <w:tmpl w:val="F7982FF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5E3901B5"/>
    <w:multiLevelType w:val="multilevel"/>
    <w:tmpl w:val="45704F96"/>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695"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25" w15:restartNumberingAfterBreak="0">
    <w:nsid w:val="5F213EC3"/>
    <w:multiLevelType w:val="multilevel"/>
    <w:tmpl w:val="03808A24"/>
    <w:lvl w:ilvl="0">
      <w:start w:val="1"/>
      <w:numFmt w:val="decimal"/>
      <w:lvlText w:val="%1."/>
      <w:lvlJc w:val="left"/>
    </w:lvl>
    <w:lvl w:ilvl="1">
      <w:start w:val="1"/>
      <w:numFmt w:val="lowerLetter"/>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619E336B"/>
    <w:multiLevelType w:val="multilevel"/>
    <w:tmpl w:val="9210DF16"/>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373736E"/>
    <w:multiLevelType w:val="multilevel"/>
    <w:tmpl w:val="26364E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65CA5350"/>
    <w:multiLevelType w:val="multilevel"/>
    <w:tmpl w:val="F6A000CA"/>
    <w:lvl w:ilvl="0">
      <w:start w:val="1"/>
      <w:numFmt w:val="decimal"/>
      <w:lvlText w:val="%1."/>
      <w:lvlJc w:val="left"/>
      <w:pPr>
        <w:ind w:left="1287" w:hanging="360"/>
      </w:pPr>
      <w:rPr>
        <w:rFonts w:ascii="Calibri" w:hAnsi="Calibri" w:cs="Calibri"/>
        <w:b/>
        <w:sz w:val="22"/>
        <w:szCs w:val="22"/>
      </w:rPr>
    </w:lvl>
    <w:lvl w:ilvl="1">
      <w:start w:val="1"/>
      <w:numFmt w:val="decimal"/>
      <w:lvlText w:val="%1.%2"/>
      <w:lvlJc w:val="left"/>
      <w:pPr>
        <w:ind w:left="1287" w:hanging="360"/>
      </w:pPr>
      <w:rPr>
        <w:rFonts w:ascii="Calibri" w:hAnsi="Calibri" w:cs="Calibri"/>
        <w:b/>
        <w:sz w:val="22"/>
        <w:szCs w:val="22"/>
      </w:rPr>
    </w:lvl>
    <w:lvl w:ilvl="2">
      <w:start w:val="1"/>
      <w:numFmt w:val="decimal"/>
      <w:lvlText w:val="%1.%2.%3"/>
      <w:lvlJc w:val="left"/>
      <w:pPr>
        <w:ind w:left="1647" w:hanging="720"/>
      </w:pPr>
      <w:rPr>
        <w:rFonts w:ascii="Calibri" w:hAnsi="Calibri" w:cs="Calibri"/>
        <w:b/>
        <w:sz w:val="22"/>
        <w:szCs w:val="22"/>
      </w:r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367" w:hanging="1440"/>
      </w:pPr>
    </w:lvl>
  </w:abstractNum>
  <w:abstractNum w:abstractNumId="29" w15:restartNumberingAfterBreak="0">
    <w:nsid w:val="68217530"/>
    <w:multiLevelType w:val="multilevel"/>
    <w:tmpl w:val="20801178"/>
    <w:lvl w:ilvl="0">
      <w:start w:val="1"/>
      <w:numFmt w:val="lowerLetter"/>
      <w:lvlText w:val="(%1)"/>
      <w:lvlJc w:val="left"/>
      <w:pPr>
        <w:ind w:left="432" w:hanging="432"/>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A13684"/>
    <w:multiLevelType w:val="multilevel"/>
    <w:tmpl w:val="23A00D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9104C2F"/>
    <w:multiLevelType w:val="multilevel"/>
    <w:tmpl w:val="B55066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8B581F"/>
    <w:multiLevelType w:val="multilevel"/>
    <w:tmpl w:val="EF0A1CB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71910E4B"/>
    <w:multiLevelType w:val="multilevel"/>
    <w:tmpl w:val="FAA67B06"/>
    <w:lvl w:ilvl="0">
      <w:start w:val="5"/>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4" w15:restartNumberingAfterBreak="0">
    <w:nsid w:val="73861FA0"/>
    <w:multiLevelType w:val="multilevel"/>
    <w:tmpl w:val="090C54B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778D2697"/>
    <w:multiLevelType w:val="multilevel"/>
    <w:tmpl w:val="2BCEF48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F5D734C"/>
    <w:multiLevelType w:val="multilevel"/>
    <w:tmpl w:val="19623F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17"/>
  </w:num>
  <w:num w:numId="3">
    <w:abstractNumId w:val="6"/>
  </w:num>
  <w:num w:numId="4">
    <w:abstractNumId w:val="30"/>
  </w:num>
  <w:num w:numId="5">
    <w:abstractNumId w:val="3"/>
  </w:num>
  <w:num w:numId="6">
    <w:abstractNumId w:val="22"/>
  </w:num>
  <w:num w:numId="7">
    <w:abstractNumId w:val="11"/>
  </w:num>
  <w:num w:numId="8">
    <w:abstractNumId w:val="23"/>
  </w:num>
  <w:num w:numId="9">
    <w:abstractNumId w:val="15"/>
  </w:num>
  <w:num w:numId="10">
    <w:abstractNumId w:val="0"/>
  </w:num>
  <w:num w:numId="11">
    <w:abstractNumId w:val="18"/>
  </w:num>
  <w:num w:numId="12">
    <w:abstractNumId w:val="9"/>
  </w:num>
  <w:num w:numId="13">
    <w:abstractNumId w:val="10"/>
  </w:num>
  <w:num w:numId="14">
    <w:abstractNumId w:val="34"/>
  </w:num>
  <w:num w:numId="15">
    <w:abstractNumId w:val="27"/>
  </w:num>
  <w:num w:numId="16">
    <w:abstractNumId w:val="8"/>
  </w:num>
  <w:num w:numId="17">
    <w:abstractNumId w:val="32"/>
  </w:num>
  <w:num w:numId="18">
    <w:abstractNumId w:val="19"/>
  </w:num>
  <w:num w:numId="19">
    <w:abstractNumId w:val="20"/>
  </w:num>
  <w:num w:numId="20">
    <w:abstractNumId w:val="7"/>
  </w:num>
  <w:num w:numId="21">
    <w:abstractNumId w:val="4"/>
  </w:num>
  <w:num w:numId="22">
    <w:abstractNumId w:val="13"/>
  </w:num>
  <w:num w:numId="23">
    <w:abstractNumId w:val="35"/>
  </w:num>
  <w:num w:numId="24">
    <w:abstractNumId w:val="28"/>
  </w:num>
  <w:num w:numId="25">
    <w:abstractNumId w:val="24"/>
  </w:num>
  <w:num w:numId="26">
    <w:abstractNumId w:val="26"/>
  </w:num>
  <w:num w:numId="27">
    <w:abstractNumId w:val="29"/>
  </w:num>
  <w:num w:numId="28">
    <w:abstractNumId w:val="14"/>
  </w:num>
  <w:num w:numId="29">
    <w:abstractNumId w:val="21"/>
  </w:num>
  <w:num w:numId="30">
    <w:abstractNumId w:val="16"/>
  </w:num>
  <w:num w:numId="31">
    <w:abstractNumId w:val="33"/>
  </w:num>
  <w:num w:numId="32">
    <w:abstractNumId w:val="2"/>
  </w:num>
  <w:num w:numId="33">
    <w:abstractNumId w:val="31"/>
  </w:num>
  <w:num w:numId="34">
    <w:abstractNumId w:val="12"/>
  </w:num>
  <w:num w:numId="35">
    <w:abstractNumId w:val="25"/>
  </w:num>
  <w:num w:numId="36">
    <w:abstractNumId w:val="36"/>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F98"/>
    <w:rsid w:val="00014F75"/>
    <w:rsid w:val="00792480"/>
    <w:rsid w:val="00A3102B"/>
    <w:rsid w:val="00D44F98"/>
    <w:rsid w:val="00EB70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B56303"/>
  <w15:docId w15:val="{A6832A4E-E1A7-419D-ACAE-941D2EE6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character" w:styleId="UnresolvedMention">
    <w:name w:val="Unresolved Mention"/>
    <w:basedOn w:val="DefaultParagraphFont"/>
    <w:rPr>
      <w:color w:val="605E5C"/>
      <w:shd w:val="clear" w:color="auto" w:fill="E1DFDD"/>
    </w:rPr>
  </w:style>
  <w:style w:type="paragraph" w:customStyle="1" w:styleId="Body2">
    <w:name w:val="Body2"/>
    <w:basedOn w:val="Normal"/>
    <w:pPr>
      <w:suppressAutoHyphens w:val="0"/>
      <w:spacing w:after="220" w:line="240" w:lineRule="auto"/>
      <w:ind w:left="709"/>
      <w:jc w:val="both"/>
      <w:textAlignment w:val="auto"/>
    </w:pPr>
    <w:rPr>
      <w:rFonts w:ascii="Trebuchet MS" w:eastAsia="Times New Roman" w:hAnsi="Trebuchet MS" w:cs="Times New Roman"/>
      <w:sz w:val="20"/>
      <w:szCs w:val="20"/>
      <w:lang w:eastAsia="en-US"/>
    </w:rPr>
  </w:style>
  <w:style w:type="paragraph" w:styleId="BodyText">
    <w:name w:val="Body Text"/>
    <w:basedOn w:val="Normal"/>
    <w:pPr>
      <w:suppressAutoHyphens w:val="0"/>
      <w:spacing w:after="120" w:line="240" w:lineRule="auto"/>
      <w:textAlignment w:val="auto"/>
    </w:pPr>
    <w:rPr>
      <w:rFonts w:ascii="Times New Roman" w:eastAsia="Times New Roman" w:hAnsi="Times New Roman" w:cs="Times New Roman"/>
      <w:sz w:val="24"/>
      <w:szCs w:val="24"/>
    </w:rPr>
  </w:style>
  <w:style w:type="character" w:customStyle="1" w:styleId="BodyTextChar">
    <w:name w:val="Body Text Char"/>
    <w:basedOn w:val="DefaultParagraphFont"/>
    <w:rPr>
      <w:rFonts w:ascii="Times New Roman" w:eastAsia="Times New Roman" w:hAnsi="Times New Roman" w:cs="Times New Roman"/>
      <w:sz w:val="24"/>
      <w:szCs w:val="24"/>
    </w:rPr>
  </w:style>
  <w:style w:type="character" w:customStyle="1" w:styleId="Heading2Char">
    <w:name w:val="Heading 2 Char"/>
    <w:basedOn w:val="DefaultParagraphFont"/>
    <w:rPr>
      <w:sz w:val="32"/>
      <w:szCs w:val="32"/>
    </w:rPr>
  </w:style>
  <w:style w:type="paragraph" w:styleId="FootnoteText">
    <w:name w:val="footnote text"/>
    <w:basedOn w:val="Normal"/>
    <w:pPr>
      <w:suppressAutoHyphens w:val="0"/>
      <w:spacing w:line="240" w:lineRule="auto"/>
      <w:textAlignment w:val="auto"/>
    </w:pPr>
    <w:rPr>
      <w:rFonts w:ascii="Calibri" w:eastAsia="Calibri" w:hAnsi="Calibri" w:cs="Times New Roman"/>
      <w:sz w:val="20"/>
      <w:szCs w:val="20"/>
      <w:lang w:eastAsia="en-US"/>
    </w:rPr>
  </w:style>
  <w:style w:type="character" w:customStyle="1" w:styleId="FootnoteTextChar">
    <w:name w:val="Footnote Text Char"/>
    <w:basedOn w:val="DefaultParagraphFont"/>
    <w:rPr>
      <w:rFonts w:ascii="Calibri" w:eastAsia="Calibri" w:hAnsi="Calibri" w:cs="Times New Roman"/>
      <w:sz w:val="20"/>
      <w:szCs w:val="20"/>
      <w:lang w:eastAsia="en-US"/>
    </w:rPr>
  </w:style>
  <w:style w:type="character" w:styleId="FootnoteReference">
    <w:name w:val="footnote reference"/>
    <w:rPr>
      <w:position w:val="0"/>
      <w:vertAlign w:val="superscript"/>
    </w:rPr>
  </w:style>
  <w:style w:type="paragraph" w:customStyle="1" w:styleId="paragraph">
    <w:name w:val="paragraph"/>
    <w:basedOn w:val="Normal"/>
    <w:pPr>
      <w:suppressAutoHyphens w:val="0"/>
      <w:spacing w:line="240" w:lineRule="auto"/>
      <w:textAlignment w:val="auto"/>
    </w:pPr>
    <w:rPr>
      <w:rFonts w:ascii="Times New Roman" w:eastAsia="Times New Roman" w:hAnsi="Times New Roman" w:cs="Times New Roman"/>
      <w:sz w:val="24"/>
      <w:szCs w:val="24"/>
    </w:rPr>
  </w:style>
  <w:style w:type="character" w:customStyle="1" w:styleId="normaltextrun1">
    <w:name w:val="normaltextrun1"/>
    <w:basedOn w:val="DefaultParagraphFont"/>
  </w:style>
  <w:style w:type="character" w:customStyle="1" w:styleId="Heading3Char">
    <w:name w:val="Heading 3 Char"/>
    <w:basedOn w:val="DefaultParagraphFont"/>
    <w:rPr>
      <w:color w:val="434343"/>
      <w:sz w:val="28"/>
      <w:szCs w:val="28"/>
    </w:rPr>
  </w:style>
  <w:style w:type="character" w:customStyle="1" w:styleId="normaltextrun">
    <w:name w:val="normaltextrun"/>
    <w:basedOn w:val="DefaultParagraphFont"/>
  </w:style>
  <w:style w:type="character" w:styleId="FollowedHyperlink">
    <w:name w:val="FollowedHyperlink"/>
    <w:basedOn w:val="DefaultParagraphFont"/>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digitalmarketplace.service.gov.uk/g-cloud/services/780885135640884" TargetMode="External"/><Relationship Id="rId13" Type="http://schemas.openxmlformats.org/officeDocument/2006/relationships/hyperlink" Target="https://www.sas.com/en_gb/software/data-quality.html" TargetMode="External"/><Relationship Id="rId18" Type="http://schemas.openxmlformats.org/officeDocument/2006/relationships/hyperlink" Target="https://www.cpni.gov.uk/content/adopt-risk-management-approach"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ncsc.gov.uk/collection/risk-management-collection" TargetMode="External"/><Relationship Id="rId34" Type="http://schemas.openxmlformats.org/officeDocument/2006/relationships/image" Target="media/image2.jpeg"/><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gov.uk/guidance/the-technology-code-of-practice" TargetMode="External"/><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cpni.gov.uk/protection-sensitive-information-and-assets" TargetMode="External"/><Relationship Id="rId29" Type="http://schemas.openxmlformats.org/officeDocument/2006/relationships/hyperlink" Target="https://www.ncsc.gov.uk/guidance/10-steps-cyber-security"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3.safelinks.protection.outlook.com/?url=https%3A%2F%2Fwww.digitalmarketplace.service.gov.uk%2Fg-cloud%2Fservices%2F333710484611412&amp;data=05|01|zeeshan.ahmed2%40hmrc.gov.uk|3eef5ba04df144da4cdb08dacc7536e6|ac52f73cfd1a4a9a8e7a4a248f3139e1|0|0|638047101039694517|Unknown|TWFpbGZsb3d8eyJWIjoiMC4wLjAwMDAiLCJQIjoiV2luMzIiLCJBTiI6Ik1haWwiLCJXVCI6Mn0%3D|3000|||&amp;sdata=K7dYCYZ%2F9gnXCuTESKvrZNQXeCw3L3w13a%2BEtyS7Tw8%3D&amp;reserved=0" TargetMode="External"/><Relationship Id="rId24" Type="http://schemas.openxmlformats.org/officeDocument/2006/relationships/hyperlink" Target="https://www.ncsc.gov.uk/guidance/implementing-cloud-security-principles"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ncsc.gov.uk/guidance/10-steps-cyber-security" TargetMode="External"/><Relationship Id="rId36" Type="http://schemas.openxmlformats.org/officeDocument/2006/relationships/header" Target="header2.xml"/><Relationship Id="rId10" Type="http://schemas.openxmlformats.org/officeDocument/2006/relationships/hyperlink" Target="https://www.digitalmarketplace.service.gov.uk/g-cloud/services/780885135640884" TargetMode="Externa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guidance/check-employment-status-for-tax" TargetMode="External"/><Relationship Id="rId4" Type="http://schemas.openxmlformats.org/officeDocument/2006/relationships/webSettings" Target="webSettings.xml"/><Relationship Id="rId9" Type="http://schemas.openxmlformats.org/officeDocument/2006/relationships/hyperlink" Target="https://eur03.safelinks.protection.outlook.com/?url=https%3A%2F%2Fwww.digitalmarketplace.service.gov.uk%2Fg-cloud%2Fservices%2F333710484611412&amp;data=05|01|zeeshan.ahmed2%40hmrc.gov.uk|3eef5ba04df144da4cdb08dacc7536e6|ac52f73cfd1a4a9a8e7a4a248f3139e1|0|0|638047101039694517|Unknown|TWFpbGZsb3d8eyJWIjoiMC4wLjAwMDAiLCJQIjoiV2luMzIiLCJBTiI6Ik1haWwiLCJXVCI6Mn0%3D|3000|||&amp;sdata=K7dYCYZ%2F9gnXCuTESKvrZNQXeCw3L3w13a%2BEtyS7Tw8%3D&amp;reserved=0" TargetMode="External"/><Relationship Id="rId14" Type="http://schemas.openxmlformats.org/officeDocument/2006/relationships/hyperlink" Target="https://docs.google.com/forms/d/e/1FAIpQLSfQ3VeAMCIYNur4FoZxzn1F5BDkOTxFNK-4qbTlHVcyGqTgpw/viewform"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digitalmarketplace.service.gov.uk/"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60</Pages>
  <Words>15592</Words>
  <Characters>88878</Characters>
  <Application>Microsoft Office Word</Application>
  <DocSecurity>0</DocSecurity>
  <Lines>740</Lines>
  <Paragraphs>208</Paragraphs>
  <ScaleCrop>false</ScaleCrop>
  <Company/>
  <LinksUpToDate>false</LinksUpToDate>
  <CharactersWithSpaces>104262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Ahmed, Zeeshan (Commercial)</cp:lastModifiedBy>
  <cp:revision>2</cp:revision>
  <cp:lastPrinted>2020-06-10T10:41:00Z</cp:lastPrinted>
  <dcterms:created xsi:type="dcterms:W3CDTF">2022-11-24T11:16:00Z</dcterms:created>
  <dcterms:modified xsi:type="dcterms:W3CDTF">2022-11-24T11:16:00Z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2022-11-02T10:19:39Z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70186dcb-e1a4-4a1c-9bbb-2ffd8a344109</vt:lpwstr>
  </property>
  <property fmtid="{D5CDD505-2E9C-101B-9397-08002B2CF9AE}" pid="8" name="MSIP_Label_f9af038e-07b4-4369-a678-c835687cb272_ContentBits">
    <vt:lpwstr>2</vt:lpwstr>
  </property>
</Properties>
</file>