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AC888" w14:textId="77777777" w:rsidR="00E85EA6" w:rsidRDefault="00E85EA6" w:rsidP="00961622">
      <w:pPr>
        <w:autoSpaceDE w:val="0"/>
        <w:autoSpaceDN w:val="0"/>
        <w:adjustRightInd w:val="0"/>
        <w:spacing w:after="0" w:line="240" w:lineRule="auto"/>
        <w:rPr>
          <w:rFonts w:ascii="Arial" w:hAnsi="Arial" w:cs="Arial"/>
          <w:b/>
          <w:color w:val="000000"/>
          <w:sz w:val="24"/>
          <w:szCs w:val="24"/>
        </w:rPr>
      </w:pPr>
    </w:p>
    <w:p w14:paraId="157BCECB" w14:textId="77777777" w:rsidR="00452443" w:rsidRDefault="00452443" w:rsidP="00452443">
      <w:pPr>
        <w:spacing w:after="0"/>
        <w:jc w:val="center"/>
        <w:rPr>
          <w:b/>
          <w:sz w:val="36"/>
          <w:szCs w:val="36"/>
          <w:lang w:eastAsia="en-GB"/>
        </w:rPr>
      </w:pPr>
      <w:r w:rsidRPr="003C61AA">
        <w:rPr>
          <w:b/>
          <w:sz w:val="36"/>
          <w:szCs w:val="36"/>
          <w:lang w:eastAsia="en-GB"/>
        </w:rPr>
        <w:t>REQUEST FOR QUOTATION</w:t>
      </w:r>
      <w:r>
        <w:rPr>
          <w:b/>
          <w:sz w:val="36"/>
          <w:szCs w:val="36"/>
          <w:lang w:eastAsia="en-GB"/>
        </w:rPr>
        <w:t xml:space="preserve"> (RFQ)</w:t>
      </w:r>
    </w:p>
    <w:p w14:paraId="49B8FCDD" w14:textId="77777777" w:rsidR="00452443" w:rsidRPr="003C61AA" w:rsidRDefault="00452443" w:rsidP="00452443">
      <w:pPr>
        <w:spacing w:after="0"/>
        <w:jc w:val="center"/>
        <w:rPr>
          <w:b/>
          <w:sz w:val="36"/>
          <w:szCs w:val="36"/>
          <w:lang w:eastAsia="en-GB"/>
        </w:rPr>
      </w:pPr>
    </w:p>
    <w:p w14:paraId="58C99030" w14:textId="28326EF2" w:rsidR="00452443" w:rsidRDefault="00886C53" w:rsidP="00452443">
      <w:pPr>
        <w:spacing w:after="0"/>
        <w:jc w:val="center"/>
        <w:rPr>
          <w:b/>
          <w:sz w:val="28"/>
          <w:szCs w:val="28"/>
          <w:lang w:eastAsia="en-GB"/>
        </w:rPr>
      </w:pPr>
      <w:r>
        <w:rPr>
          <w:b/>
          <w:sz w:val="28"/>
          <w:szCs w:val="28"/>
          <w:lang w:eastAsia="en-GB"/>
        </w:rPr>
        <w:t>MAPPING SUPPORT FOR SMES</w:t>
      </w:r>
    </w:p>
    <w:p w14:paraId="47AD5C7A" w14:textId="77777777" w:rsidR="00452443" w:rsidRDefault="00452443" w:rsidP="00452443">
      <w:pPr>
        <w:spacing w:after="0"/>
        <w:jc w:val="center"/>
        <w:rPr>
          <w:b/>
          <w:sz w:val="28"/>
          <w:szCs w:val="28"/>
          <w:lang w:eastAsia="en-GB"/>
        </w:rPr>
      </w:pPr>
    </w:p>
    <w:p w14:paraId="60C18265" w14:textId="70219F16" w:rsidR="00452443" w:rsidRPr="00416292" w:rsidRDefault="00452443" w:rsidP="00452443">
      <w:pPr>
        <w:spacing w:after="0"/>
        <w:jc w:val="center"/>
        <w:rPr>
          <w:b/>
          <w:color w:val="000000" w:themeColor="text1"/>
          <w:sz w:val="28"/>
          <w:szCs w:val="28"/>
          <w:lang w:eastAsia="en-GB"/>
        </w:rPr>
      </w:pPr>
      <w:r w:rsidRPr="00416292">
        <w:rPr>
          <w:b/>
          <w:color w:val="000000" w:themeColor="text1"/>
          <w:sz w:val="28"/>
          <w:szCs w:val="28"/>
          <w:lang w:eastAsia="en-GB"/>
        </w:rPr>
        <w:t xml:space="preserve">Ref: </w:t>
      </w:r>
      <w:r w:rsidR="008D77AD">
        <w:rPr>
          <w:b/>
          <w:color w:val="000000" w:themeColor="text1"/>
          <w:sz w:val="28"/>
          <w:szCs w:val="28"/>
          <w:lang w:eastAsia="en-GB"/>
        </w:rPr>
        <w:t>16/006/3</w:t>
      </w:r>
    </w:p>
    <w:p w14:paraId="7AB440DE" w14:textId="77777777" w:rsidR="00452443" w:rsidRPr="0025682E" w:rsidRDefault="00452443" w:rsidP="00452443">
      <w:pPr>
        <w:spacing w:after="0"/>
        <w:jc w:val="center"/>
        <w:rPr>
          <w:b/>
          <w:sz w:val="28"/>
          <w:szCs w:val="28"/>
          <w:lang w:eastAsia="en-GB"/>
        </w:rPr>
      </w:pPr>
    </w:p>
    <w:p w14:paraId="70297F3A" w14:textId="77777777" w:rsidR="00452443" w:rsidRPr="00DC1163" w:rsidRDefault="00452443" w:rsidP="00452443">
      <w:pPr>
        <w:spacing w:after="0"/>
        <w:jc w:val="center"/>
        <w:rPr>
          <w:b/>
          <w:i/>
          <w:color w:val="FF0000"/>
          <w:lang w:eastAsia="en-GB"/>
        </w:rPr>
      </w:pPr>
    </w:p>
    <w:p w14:paraId="0302DA92" w14:textId="120C75A9" w:rsidR="00452443" w:rsidRPr="0080369E" w:rsidRDefault="008D77AD" w:rsidP="00452443">
      <w:pPr>
        <w:spacing w:after="0"/>
        <w:jc w:val="center"/>
        <w:rPr>
          <w:b/>
          <w:sz w:val="28"/>
          <w:szCs w:val="28"/>
          <w:lang w:eastAsia="en-GB"/>
        </w:rPr>
      </w:pPr>
      <w:r>
        <w:rPr>
          <w:b/>
          <w:sz w:val="28"/>
          <w:szCs w:val="28"/>
          <w:lang w:eastAsia="en-GB"/>
        </w:rPr>
        <w:t>13</w:t>
      </w:r>
      <w:r w:rsidRPr="008D77AD">
        <w:rPr>
          <w:b/>
          <w:sz w:val="28"/>
          <w:szCs w:val="28"/>
          <w:vertAlign w:val="superscript"/>
          <w:lang w:eastAsia="en-GB"/>
        </w:rPr>
        <w:t>th</w:t>
      </w:r>
      <w:r>
        <w:rPr>
          <w:b/>
          <w:sz w:val="28"/>
          <w:szCs w:val="28"/>
          <w:lang w:eastAsia="en-GB"/>
        </w:rPr>
        <w:t xml:space="preserve"> March 2017</w:t>
      </w:r>
    </w:p>
    <w:p w14:paraId="1F87C851" w14:textId="77777777" w:rsidR="00452443" w:rsidRDefault="00452443" w:rsidP="00452443">
      <w:pPr>
        <w:spacing w:after="0"/>
        <w:jc w:val="both"/>
        <w:rPr>
          <w:b/>
          <w:i/>
          <w:lang w:eastAsia="en-GB"/>
        </w:rPr>
      </w:pPr>
      <w:r>
        <w:rPr>
          <w:b/>
          <w:i/>
          <w:lang w:eastAsia="en-GB"/>
        </w:rPr>
        <w:br w:type="page"/>
      </w:r>
    </w:p>
    <w:p w14:paraId="371C8486" w14:textId="77777777" w:rsidR="00DD0CF0" w:rsidRDefault="00452443" w:rsidP="00DD0CF0">
      <w:pPr>
        <w:pStyle w:val="ListParagraph"/>
        <w:numPr>
          <w:ilvl w:val="0"/>
          <w:numId w:val="12"/>
        </w:numPr>
        <w:spacing w:after="0" w:line="276" w:lineRule="auto"/>
        <w:jc w:val="both"/>
        <w:rPr>
          <w:b/>
          <w:lang w:eastAsia="en-GB"/>
        </w:rPr>
      </w:pPr>
      <w:r>
        <w:rPr>
          <w:b/>
          <w:lang w:eastAsia="en-GB"/>
        </w:rPr>
        <w:lastRenderedPageBreak/>
        <w:t>Introduction</w:t>
      </w:r>
    </w:p>
    <w:p w14:paraId="5C14E2E4" w14:textId="77777777" w:rsidR="00DD0CF0" w:rsidRPr="00DD0CF0" w:rsidRDefault="00DD0CF0" w:rsidP="00DD0CF0">
      <w:pPr>
        <w:spacing w:after="0" w:line="276" w:lineRule="auto"/>
        <w:ind w:left="360"/>
        <w:jc w:val="both"/>
        <w:rPr>
          <w:b/>
          <w:lang w:eastAsia="en-GB"/>
        </w:rPr>
      </w:pPr>
    </w:p>
    <w:p w14:paraId="28513958" w14:textId="4AAC2920" w:rsidR="00452443" w:rsidRDefault="00452443" w:rsidP="00452443">
      <w:pPr>
        <w:spacing w:after="0" w:line="240" w:lineRule="auto"/>
        <w:jc w:val="both"/>
        <w:rPr>
          <w:lang w:eastAsia="en-GB"/>
        </w:rPr>
      </w:pPr>
      <w:r w:rsidRPr="00F2552F">
        <w:rPr>
          <w:lang w:eastAsia="en-GB"/>
        </w:rPr>
        <w:t>London South Bank University</w:t>
      </w:r>
      <w:r w:rsidR="00886C53">
        <w:rPr>
          <w:lang w:eastAsia="en-GB"/>
        </w:rPr>
        <w:t xml:space="preserve"> (LSBU)</w:t>
      </w:r>
      <w:r w:rsidRPr="00F2552F">
        <w:rPr>
          <w:lang w:eastAsia="en-GB"/>
        </w:rPr>
        <w:t xml:space="preserve"> would like to invite your organisation to </w:t>
      </w:r>
      <w:r>
        <w:rPr>
          <w:lang w:eastAsia="en-GB"/>
        </w:rPr>
        <w:t xml:space="preserve">provide a quotation for the procurement </w:t>
      </w:r>
      <w:r w:rsidR="00886C53">
        <w:rPr>
          <w:lang w:eastAsia="en-GB"/>
        </w:rPr>
        <w:t>of mapping support for SMEs</w:t>
      </w:r>
      <w:r w:rsidR="00437EB8">
        <w:rPr>
          <w:lang w:eastAsia="en-GB"/>
        </w:rPr>
        <w:t xml:space="preserve"> </w:t>
      </w:r>
      <w:r w:rsidR="00886C53">
        <w:rPr>
          <w:lang w:eastAsia="en-GB"/>
        </w:rPr>
        <w:t xml:space="preserve">for </w:t>
      </w:r>
      <w:r w:rsidR="00437EB8">
        <w:rPr>
          <w:lang w:eastAsia="en-GB"/>
        </w:rPr>
        <w:t xml:space="preserve">the European Regional </w:t>
      </w:r>
      <w:r w:rsidR="00886C53">
        <w:rPr>
          <w:lang w:eastAsia="en-GB"/>
        </w:rPr>
        <w:t>Development Fund (ERDF) project</w:t>
      </w:r>
      <w:r w:rsidR="00F123EF">
        <w:rPr>
          <w:lang w:eastAsia="en-GB"/>
        </w:rPr>
        <w:t>s</w:t>
      </w:r>
      <w:r w:rsidR="00437EB8">
        <w:rPr>
          <w:lang w:eastAsia="en-GB"/>
        </w:rPr>
        <w:t xml:space="preserve"> </w:t>
      </w:r>
      <w:r w:rsidR="00344B9C" w:rsidRPr="00344B9C">
        <w:rPr>
          <w:lang w:eastAsia="en-GB"/>
        </w:rPr>
        <w:t>Simul</w:t>
      </w:r>
      <w:r w:rsidR="00886C53">
        <w:rPr>
          <w:lang w:eastAsia="en-GB"/>
        </w:rPr>
        <w:t>ation for Digital Health (SimDh</w:t>
      </w:r>
      <w:r w:rsidR="00344B9C" w:rsidRPr="00344B9C">
        <w:rPr>
          <w:lang w:eastAsia="en-GB"/>
        </w:rPr>
        <w:t>)</w:t>
      </w:r>
      <w:r w:rsidR="00C852EA">
        <w:rPr>
          <w:lang w:eastAsia="en-GB"/>
        </w:rPr>
        <w:t xml:space="preserve"> and Access to Innovation (A2i)</w:t>
      </w:r>
      <w:r w:rsidR="00344B9C">
        <w:rPr>
          <w:lang w:eastAsia="en-GB"/>
        </w:rPr>
        <w:t>.</w:t>
      </w:r>
    </w:p>
    <w:p w14:paraId="4F11A9C1" w14:textId="77777777" w:rsidR="00452443" w:rsidRPr="00F2552F" w:rsidRDefault="00452443" w:rsidP="00452443">
      <w:pPr>
        <w:spacing w:after="0" w:line="240" w:lineRule="auto"/>
        <w:jc w:val="both"/>
        <w:rPr>
          <w:lang w:eastAsia="en-GB"/>
        </w:rPr>
      </w:pPr>
    </w:p>
    <w:p w14:paraId="73AA2135" w14:textId="77777777" w:rsidR="00452443" w:rsidRPr="00F2552F" w:rsidRDefault="00452443" w:rsidP="00452443">
      <w:pPr>
        <w:spacing w:after="0" w:line="240" w:lineRule="auto"/>
        <w:jc w:val="both"/>
        <w:rPr>
          <w:lang w:eastAsia="en-GB"/>
        </w:rPr>
      </w:pPr>
      <w:r w:rsidRPr="00F2552F">
        <w:rPr>
          <w:lang w:eastAsia="en-GB"/>
        </w:rPr>
        <w:t>By following the information and guidance available on the e-tendering portal you will be able to:</w:t>
      </w:r>
    </w:p>
    <w:p w14:paraId="60C8F520" w14:textId="77777777" w:rsidR="00452443" w:rsidRPr="00F2552F" w:rsidRDefault="00452443" w:rsidP="00452443">
      <w:pPr>
        <w:spacing w:after="0" w:line="240" w:lineRule="auto"/>
        <w:jc w:val="both"/>
        <w:rPr>
          <w:lang w:eastAsia="en-GB"/>
        </w:rPr>
      </w:pPr>
    </w:p>
    <w:p w14:paraId="1870A4AB" w14:textId="77777777" w:rsidR="00452443" w:rsidRPr="00F2552F" w:rsidRDefault="00452443" w:rsidP="00452443">
      <w:pPr>
        <w:numPr>
          <w:ilvl w:val="0"/>
          <w:numId w:val="17"/>
        </w:numPr>
        <w:spacing w:after="0" w:line="240" w:lineRule="auto"/>
        <w:jc w:val="both"/>
        <w:rPr>
          <w:b/>
          <w:lang w:eastAsia="en-GB"/>
        </w:rPr>
      </w:pPr>
      <w:r w:rsidRPr="00F2552F">
        <w:rPr>
          <w:b/>
          <w:lang w:eastAsia="en-GB"/>
        </w:rPr>
        <w:t>Download the tender documents</w:t>
      </w:r>
      <w:r>
        <w:rPr>
          <w:b/>
          <w:lang w:eastAsia="en-GB"/>
        </w:rPr>
        <w:t>:</w:t>
      </w:r>
    </w:p>
    <w:p w14:paraId="3469F802" w14:textId="77777777" w:rsidR="00452443" w:rsidRPr="00F2552F" w:rsidRDefault="00452443" w:rsidP="00452443">
      <w:pPr>
        <w:numPr>
          <w:ilvl w:val="0"/>
          <w:numId w:val="17"/>
        </w:numPr>
        <w:spacing w:after="0" w:line="240" w:lineRule="auto"/>
        <w:jc w:val="both"/>
        <w:rPr>
          <w:b/>
          <w:lang w:eastAsia="en-GB"/>
        </w:rPr>
      </w:pPr>
      <w:r w:rsidRPr="00F2552F">
        <w:rPr>
          <w:b/>
          <w:lang w:eastAsia="en-GB"/>
        </w:rPr>
        <w:t>Complete them in electronic format</w:t>
      </w:r>
      <w:r>
        <w:rPr>
          <w:b/>
          <w:lang w:eastAsia="en-GB"/>
        </w:rPr>
        <w:t>:</w:t>
      </w:r>
    </w:p>
    <w:p w14:paraId="605C2DEE" w14:textId="77777777" w:rsidR="00452443" w:rsidRPr="00F2552F" w:rsidRDefault="00452443" w:rsidP="00452443">
      <w:pPr>
        <w:numPr>
          <w:ilvl w:val="0"/>
          <w:numId w:val="17"/>
        </w:numPr>
        <w:spacing w:after="0" w:line="240" w:lineRule="auto"/>
        <w:jc w:val="both"/>
        <w:rPr>
          <w:b/>
          <w:lang w:eastAsia="en-GB"/>
        </w:rPr>
      </w:pPr>
      <w:r w:rsidRPr="00F2552F">
        <w:rPr>
          <w:b/>
          <w:lang w:eastAsia="en-GB"/>
        </w:rPr>
        <w:t>Upload your electronic documents by “submitting” them back to the website by the stated deadline</w:t>
      </w:r>
      <w:r>
        <w:rPr>
          <w:b/>
          <w:lang w:eastAsia="en-GB"/>
        </w:rPr>
        <w:t>.</w:t>
      </w:r>
    </w:p>
    <w:p w14:paraId="4B5AEF0F" w14:textId="77777777" w:rsidR="00452443" w:rsidRPr="00F2552F" w:rsidRDefault="00452443" w:rsidP="00452443">
      <w:pPr>
        <w:spacing w:after="0" w:line="240" w:lineRule="auto"/>
        <w:jc w:val="both"/>
        <w:rPr>
          <w:lang w:eastAsia="en-GB"/>
        </w:rPr>
      </w:pPr>
    </w:p>
    <w:p w14:paraId="7A91E5FE" w14:textId="77777777" w:rsidR="00452443" w:rsidRPr="00F2552F" w:rsidRDefault="00452443" w:rsidP="00452443">
      <w:pPr>
        <w:spacing w:after="0" w:line="240" w:lineRule="auto"/>
        <w:jc w:val="both"/>
        <w:rPr>
          <w:lang w:eastAsia="en-GB"/>
        </w:rPr>
      </w:pPr>
      <w:r w:rsidRPr="00F2552F">
        <w:rPr>
          <w:lang w:eastAsia="en-GB"/>
        </w:rPr>
        <w:t>There is no need to submit a hard copy version of your tender. Unless otherwise specified all information to be provided should be submitted in electronic format.</w:t>
      </w:r>
    </w:p>
    <w:p w14:paraId="4A312F6B" w14:textId="77777777" w:rsidR="00452443" w:rsidRPr="00F2552F" w:rsidRDefault="00452443" w:rsidP="00452443">
      <w:pPr>
        <w:spacing w:after="0" w:line="240" w:lineRule="auto"/>
        <w:jc w:val="both"/>
        <w:rPr>
          <w:lang w:eastAsia="en-GB"/>
        </w:rPr>
      </w:pPr>
    </w:p>
    <w:p w14:paraId="5BF4F64F" w14:textId="5D0C3227" w:rsidR="00452443" w:rsidRPr="008D77AD" w:rsidRDefault="00452443" w:rsidP="00452443">
      <w:pPr>
        <w:spacing w:after="0" w:line="240" w:lineRule="auto"/>
        <w:jc w:val="both"/>
        <w:rPr>
          <w:b/>
          <w:i/>
          <w:sz w:val="24"/>
          <w:szCs w:val="24"/>
          <w:lang w:eastAsia="en-GB"/>
        </w:rPr>
      </w:pPr>
      <w:r w:rsidRPr="008D77AD">
        <w:rPr>
          <w:b/>
          <w:sz w:val="24"/>
          <w:szCs w:val="24"/>
          <w:lang w:eastAsia="en-GB"/>
        </w:rPr>
        <w:t xml:space="preserve">The deadline for electronic return of tender is </w:t>
      </w:r>
      <w:r w:rsidR="008D77AD">
        <w:rPr>
          <w:b/>
          <w:sz w:val="24"/>
          <w:szCs w:val="24"/>
          <w:lang w:eastAsia="en-GB"/>
        </w:rPr>
        <w:t>Wednes</w:t>
      </w:r>
      <w:r w:rsidR="008D77AD" w:rsidRPr="008D77AD">
        <w:rPr>
          <w:b/>
          <w:sz w:val="24"/>
          <w:szCs w:val="24"/>
          <w:lang w:eastAsia="en-GB"/>
        </w:rPr>
        <w:t>day 2</w:t>
      </w:r>
      <w:r w:rsidR="008D77AD">
        <w:rPr>
          <w:b/>
          <w:sz w:val="24"/>
          <w:szCs w:val="24"/>
          <w:lang w:eastAsia="en-GB"/>
        </w:rPr>
        <w:t>9</w:t>
      </w:r>
      <w:bookmarkStart w:id="0" w:name="_GoBack"/>
      <w:bookmarkEnd w:id="0"/>
      <w:r w:rsidR="008D77AD" w:rsidRPr="008D77AD">
        <w:rPr>
          <w:b/>
          <w:sz w:val="24"/>
          <w:szCs w:val="24"/>
          <w:vertAlign w:val="superscript"/>
          <w:lang w:eastAsia="en-GB"/>
        </w:rPr>
        <w:t>th</w:t>
      </w:r>
      <w:r w:rsidR="008D77AD" w:rsidRPr="008D77AD">
        <w:rPr>
          <w:b/>
          <w:sz w:val="24"/>
          <w:szCs w:val="24"/>
          <w:lang w:eastAsia="en-GB"/>
        </w:rPr>
        <w:t xml:space="preserve"> March</w:t>
      </w:r>
      <w:r w:rsidR="00886C53" w:rsidRPr="008D77AD">
        <w:rPr>
          <w:b/>
          <w:sz w:val="24"/>
          <w:szCs w:val="24"/>
          <w:lang w:eastAsia="en-GB"/>
        </w:rPr>
        <w:t xml:space="preserve"> </w:t>
      </w:r>
      <w:r w:rsidR="008D77AD" w:rsidRPr="008D77AD">
        <w:rPr>
          <w:b/>
          <w:sz w:val="24"/>
          <w:szCs w:val="24"/>
          <w:lang w:eastAsia="en-GB"/>
        </w:rPr>
        <w:t>at</w:t>
      </w:r>
      <w:r w:rsidR="00886C53" w:rsidRPr="008D77AD">
        <w:rPr>
          <w:b/>
          <w:sz w:val="24"/>
          <w:szCs w:val="24"/>
          <w:lang w:eastAsia="en-GB"/>
        </w:rPr>
        <w:t xml:space="preserve"> </w:t>
      </w:r>
      <w:r w:rsidR="008D77AD" w:rsidRPr="008D77AD">
        <w:rPr>
          <w:b/>
          <w:sz w:val="24"/>
          <w:szCs w:val="24"/>
          <w:lang w:eastAsia="en-GB"/>
        </w:rPr>
        <w:t>1200</w:t>
      </w:r>
      <w:r w:rsidR="005D636A" w:rsidRPr="008D77AD">
        <w:rPr>
          <w:b/>
          <w:sz w:val="24"/>
          <w:szCs w:val="24"/>
          <w:lang w:eastAsia="en-GB"/>
        </w:rPr>
        <w:t xml:space="preserve"> hours</w:t>
      </w:r>
      <w:r w:rsidRPr="008D77AD">
        <w:rPr>
          <w:b/>
          <w:sz w:val="24"/>
          <w:szCs w:val="24"/>
          <w:lang w:eastAsia="en-GB"/>
        </w:rPr>
        <w:t>.</w:t>
      </w:r>
    </w:p>
    <w:p w14:paraId="5F9A17C1" w14:textId="77777777" w:rsidR="00452443" w:rsidRPr="00F2552F" w:rsidRDefault="00452443" w:rsidP="00452443">
      <w:pPr>
        <w:spacing w:after="0" w:line="240" w:lineRule="auto"/>
        <w:jc w:val="both"/>
        <w:rPr>
          <w:b/>
          <w:i/>
          <w:lang w:eastAsia="en-GB"/>
        </w:rPr>
      </w:pPr>
    </w:p>
    <w:p w14:paraId="358E25E6" w14:textId="77777777" w:rsidR="00452443" w:rsidRPr="00F2552F" w:rsidRDefault="00452443" w:rsidP="00452443">
      <w:pPr>
        <w:spacing w:after="0" w:line="240" w:lineRule="auto"/>
        <w:jc w:val="both"/>
        <w:rPr>
          <w:lang w:eastAsia="en-GB"/>
        </w:rPr>
      </w:pPr>
      <w:r w:rsidRPr="00F2552F">
        <w:rPr>
          <w:lang w:eastAsia="en-GB"/>
        </w:rPr>
        <w:t xml:space="preserve">All written correspondence and enquiries must be transmitted using the “Messages” function within the Bravosolution web portal and will </w:t>
      </w:r>
      <w:r>
        <w:rPr>
          <w:lang w:eastAsia="en-GB"/>
        </w:rPr>
        <w:t xml:space="preserve">be dealt with by </w:t>
      </w:r>
      <w:r w:rsidR="00763BC4">
        <w:rPr>
          <w:lang w:eastAsia="en-GB"/>
        </w:rPr>
        <w:t>Robert Ag</w:t>
      </w:r>
      <w:r w:rsidR="0069027A">
        <w:rPr>
          <w:lang w:eastAsia="en-GB"/>
        </w:rPr>
        <w:t>e</w:t>
      </w:r>
      <w:r w:rsidR="00763BC4">
        <w:rPr>
          <w:lang w:eastAsia="en-GB"/>
        </w:rPr>
        <w:t>r</w:t>
      </w:r>
      <w:r w:rsidRPr="00F2552F">
        <w:rPr>
          <w:lang w:eastAsia="en-GB"/>
        </w:rPr>
        <w:t xml:space="preserve"> in the LSBU Procurement team.</w:t>
      </w:r>
    </w:p>
    <w:p w14:paraId="2950B9C7" w14:textId="77777777" w:rsidR="00452443" w:rsidRPr="00F2552F" w:rsidRDefault="00452443" w:rsidP="00452443">
      <w:pPr>
        <w:spacing w:after="0" w:line="240" w:lineRule="auto"/>
        <w:jc w:val="both"/>
        <w:rPr>
          <w:lang w:eastAsia="en-GB"/>
        </w:rPr>
      </w:pPr>
    </w:p>
    <w:p w14:paraId="18F3DD3D" w14:textId="77777777" w:rsidR="00452443" w:rsidRPr="00F2552F" w:rsidRDefault="00452443" w:rsidP="00452443">
      <w:pPr>
        <w:spacing w:after="0" w:line="240" w:lineRule="auto"/>
        <w:jc w:val="both"/>
        <w:rPr>
          <w:lang w:eastAsia="en-GB"/>
        </w:rPr>
      </w:pPr>
      <w:r w:rsidRPr="00F2552F">
        <w:rPr>
          <w:lang w:eastAsia="en-GB"/>
        </w:rPr>
        <w:t xml:space="preserve">You may receive email correspondence regarding this </w:t>
      </w:r>
      <w:r>
        <w:rPr>
          <w:lang w:eastAsia="en-GB"/>
        </w:rPr>
        <w:t>Request for Quotation</w:t>
      </w:r>
      <w:r w:rsidRPr="00F2552F">
        <w:rPr>
          <w:lang w:eastAsia="en-GB"/>
        </w:rPr>
        <w:t xml:space="preserve"> which will have been issued by LSBU through the Bravosolution web portal.</w:t>
      </w:r>
    </w:p>
    <w:p w14:paraId="5E7B2DBF" w14:textId="77777777" w:rsidR="00452443" w:rsidRPr="00F2552F" w:rsidRDefault="00452443" w:rsidP="00452443">
      <w:pPr>
        <w:spacing w:after="0" w:line="240" w:lineRule="auto"/>
        <w:jc w:val="both"/>
        <w:rPr>
          <w:b/>
          <w:i/>
          <w:lang w:eastAsia="en-GB"/>
        </w:rPr>
      </w:pPr>
    </w:p>
    <w:p w14:paraId="3696E841" w14:textId="77777777" w:rsidR="00452443" w:rsidRPr="00E62E5B" w:rsidRDefault="00452443" w:rsidP="00452443">
      <w:pPr>
        <w:spacing w:after="0" w:line="240" w:lineRule="auto"/>
        <w:jc w:val="both"/>
        <w:rPr>
          <w:b/>
          <w:i/>
          <w:lang w:eastAsia="en-GB"/>
        </w:rPr>
      </w:pPr>
      <w:r w:rsidRPr="00F2552F">
        <w:rPr>
          <w:b/>
          <w:i/>
          <w:lang w:eastAsia="en-GB"/>
        </w:rPr>
        <w:t>Do not use your email “reply” function to respond to that email. The ‘reply’ will be received by the system host, not the LSBU sender.</w:t>
      </w:r>
      <w:r>
        <w:rPr>
          <w:b/>
          <w:i/>
          <w:lang w:eastAsia="en-GB"/>
        </w:rPr>
        <w:t xml:space="preserve"> </w:t>
      </w:r>
    </w:p>
    <w:p w14:paraId="5658E6B8" w14:textId="77777777" w:rsidR="00452443" w:rsidRPr="00066851" w:rsidRDefault="00452443" w:rsidP="00452443">
      <w:pPr>
        <w:spacing w:after="0" w:line="240" w:lineRule="auto"/>
        <w:jc w:val="both"/>
        <w:rPr>
          <w:lang w:eastAsia="en-GB"/>
        </w:rPr>
      </w:pPr>
    </w:p>
    <w:p w14:paraId="2B980A45" w14:textId="77777777" w:rsidR="00452443" w:rsidRPr="00BD542A" w:rsidRDefault="00452443" w:rsidP="00452443">
      <w:pPr>
        <w:pStyle w:val="ListParagraph"/>
        <w:numPr>
          <w:ilvl w:val="0"/>
          <w:numId w:val="13"/>
        </w:numPr>
        <w:spacing w:after="0" w:line="240" w:lineRule="auto"/>
        <w:jc w:val="both"/>
        <w:rPr>
          <w:b/>
          <w:lang w:eastAsia="en-GB"/>
        </w:rPr>
      </w:pPr>
      <w:r w:rsidRPr="00BD542A">
        <w:rPr>
          <w:b/>
          <w:lang w:eastAsia="en-GB"/>
        </w:rPr>
        <w:t>Introduction to University</w:t>
      </w:r>
    </w:p>
    <w:p w14:paraId="02CEC25A" w14:textId="77777777" w:rsidR="00452443" w:rsidRDefault="00452443" w:rsidP="00452443">
      <w:pPr>
        <w:pStyle w:val="Default"/>
        <w:jc w:val="both"/>
      </w:pPr>
    </w:p>
    <w:p w14:paraId="51029C89" w14:textId="77777777" w:rsidR="0069027A" w:rsidRPr="00EC5700" w:rsidRDefault="0069027A" w:rsidP="00990627">
      <w:pPr>
        <w:shd w:val="clear" w:color="auto" w:fill="FFFFFF"/>
        <w:spacing w:after="150"/>
        <w:textAlignment w:val="center"/>
        <w:rPr>
          <w:color w:val="231F20"/>
          <w:lang w:val="en"/>
        </w:rPr>
      </w:pPr>
      <w:r w:rsidRPr="00EC5700">
        <w:rPr>
          <w:color w:val="231F20"/>
          <w:lang w:val="en"/>
        </w:rPr>
        <w:t>London South Bank University is one of London's largest and oldest universities. It has been providing vocationally-relevant, accredited and professionally recognised education since 1892. Established as the Borough Polytechnic Institute in 1892, the original aim of London South Bank University (LSBU) was 'to promote the industrial skill, general knowledge, health and well-being of young men and women', which remains remarkably similar today.</w:t>
      </w:r>
    </w:p>
    <w:p w14:paraId="6C3C0332" w14:textId="77777777" w:rsidR="0069027A" w:rsidRPr="00EC5700" w:rsidRDefault="0069027A" w:rsidP="00990627">
      <w:pPr>
        <w:rPr>
          <w:color w:val="231F20"/>
          <w:lang w:val="en"/>
        </w:rPr>
      </w:pPr>
      <w:r w:rsidRPr="00EC5700">
        <w:rPr>
          <w:color w:val="231F20"/>
          <w:lang w:val="en"/>
        </w:rPr>
        <w:t xml:space="preserve">Today it is a cosmopolitan university with over 18,000 students drawn from over 130 countries. The university received the highest possible rating for the quality of its education from the independent Quality Assurance Agency </w:t>
      </w:r>
      <w:r w:rsidR="00990627">
        <w:rPr>
          <w:color w:val="231F20"/>
          <w:lang w:val="en"/>
        </w:rPr>
        <w:t>(QAA).</w:t>
      </w:r>
    </w:p>
    <w:p w14:paraId="55537452" w14:textId="77777777" w:rsidR="00452443" w:rsidRPr="007861ED" w:rsidRDefault="00452443" w:rsidP="00452443">
      <w:pPr>
        <w:pStyle w:val="ListParagraph"/>
        <w:numPr>
          <w:ilvl w:val="0"/>
          <w:numId w:val="13"/>
        </w:numPr>
        <w:spacing w:after="0" w:line="240" w:lineRule="auto"/>
        <w:jc w:val="both"/>
        <w:rPr>
          <w:b/>
          <w:lang w:eastAsia="en-GB"/>
        </w:rPr>
      </w:pPr>
      <w:r w:rsidRPr="00BD542A">
        <w:rPr>
          <w:b/>
          <w:lang w:eastAsia="en-GB"/>
        </w:rPr>
        <w:t>Scope of Project</w:t>
      </w:r>
    </w:p>
    <w:p w14:paraId="7DA26200" w14:textId="77777777" w:rsidR="00452443" w:rsidRPr="00F5764F" w:rsidRDefault="00452443" w:rsidP="00452443">
      <w:pPr>
        <w:pStyle w:val="ListParagraph"/>
        <w:spacing w:after="0" w:line="240" w:lineRule="auto"/>
        <w:jc w:val="both"/>
        <w:rPr>
          <w:b/>
          <w:lang w:eastAsia="en-GB"/>
        </w:rPr>
      </w:pPr>
    </w:p>
    <w:p w14:paraId="59968FA3" w14:textId="77777777" w:rsidR="00452443" w:rsidRDefault="00452443" w:rsidP="00452443">
      <w:pPr>
        <w:pStyle w:val="ListParagraph"/>
        <w:spacing w:after="0" w:line="240" w:lineRule="auto"/>
        <w:ind w:left="0"/>
        <w:jc w:val="both"/>
        <w:rPr>
          <w:b/>
          <w:lang w:eastAsia="en-GB"/>
        </w:rPr>
      </w:pPr>
      <w:r w:rsidRPr="00BD7A4D">
        <w:rPr>
          <w:b/>
          <w:lang w:eastAsia="en-GB"/>
        </w:rPr>
        <w:t>Background</w:t>
      </w:r>
    </w:p>
    <w:p w14:paraId="001140F4" w14:textId="77777777" w:rsidR="00344B9C" w:rsidRDefault="00344B9C" w:rsidP="00452443">
      <w:pPr>
        <w:pStyle w:val="ListParagraph"/>
        <w:spacing w:after="0" w:line="240" w:lineRule="auto"/>
        <w:ind w:left="0"/>
        <w:jc w:val="both"/>
        <w:rPr>
          <w:b/>
          <w:lang w:eastAsia="en-GB"/>
        </w:rPr>
      </w:pPr>
    </w:p>
    <w:p w14:paraId="30F570DC" w14:textId="77777777" w:rsidR="00AF08F4" w:rsidRPr="00990627" w:rsidRDefault="00AF08F4" w:rsidP="00516AD3">
      <w:pPr>
        <w:spacing w:line="240" w:lineRule="auto"/>
        <w:rPr>
          <w:color w:val="231F20"/>
          <w:lang w:val="en"/>
        </w:rPr>
      </w:pPr>
      <w:r w:rsidRPr="00990627">
        <w:rPr>
          <w:color w:val="231F20"/>
          <w:lang w:val="en"/>
        </w:rPr>
        <w:t>Simulation for Digital Health (SimDh) will support innovative health SMEs, start-ups or mid-size organisations to develop and deliver novel products, processes or services by giving them access to state of the art facilities, in order to test their novel ideas in a ‘realistic’ virtual/ simulated environment and therefore fast track the development and uptake of their novel products/ processes and/or services. Companies will be able to gain expert (professional and academic) insights and engage with a variety of user groups/demographics to understand the impact of their product/processes/services (PPSs) on the ultimate ‘end-user’ or recipient, to help inform future design and development.</w:t>
      </w:r>
    </w:p>
    <w:p w14:paraId="52F785CF" w14:textId="77777777" w:rsidR="00763BC4" w:rsidRPr="00990627" w:rsidRDefault="00AF08F4" w:rsidP="00516AD3">
      <w:pPr>
        <w:spacing w:line="240" w:lineRule="auto"/>
        <w:rPr>
          <w:color w:val="231F20"/>
          <w:lang w:val="en"/>
        </w:rPr>
      </w:pPr>
      <w:r w:rsidRPr="00990627">
        <w:rPr>
          <w:color w:val="231F20"/>
          <w:lang w:val="en"/>
        </w:rPr>
        <w:t>The project’s outputs will be:</w:t>
      </w:r>
    </w:p>
    <w:p w14:paraId="7CD52E29" w14:textId="77777777" w:rsidR="00763BC4" w:rsidRPr="00990627" w:rsidRDefault="00AF08F4" w:rsidP="00516AD3">
      <w:pPr>
        <w:pStyle w:val="ListParagraph"/>
        <w:numPr>
          <w:ilvl w:val="0"/>
          <w:numId w:val="22"/>
        </w:numPr>
        <w:spacing w:line="240" w:lineRule="auto"/>
        <w:rPr>
          <w:color w:val="231F20"/>
          <w:lang w:val="en"/>
        </w:rPr>
      </w:pPr>
      <w:r w:rsidRPr="00990627">
        <w:rPr>
          <w:color w:val="231F20"/>
          <w:lang w:val="en"/>
        </w:rPr>
        <w:t>120 e</w:t>
      </w:r>
      <w:r w:rsidR="00763BC4" w:rsidRPr="00990627">
        <w:rPr>
          <w:color w:val="231F20"/>
          <w:lang w:val="en"/>
        </w:rPr>
        <w:t>nterprises engaged and supported</w:t>
      </w:r>
    </w:p>
    <w:p w14:paraId="1958E48A" w14:textId="77777777" w:rsidR="00763BC4" w:rsidRPr="00990627" w:rsidRDefault="00763BC4" w:rsidP="00516AD3">
      <w:pPr>
        <w:pStyle w:val="ListParagraph"/>
        <w:numPr>
          <w:ilvl w:val="0"/>
          <w:numId w:val="22"/>
        </w:numPr>
        <w:spacing w:line="240" w:lineRule="auto"/>
        <w:rPr>
          <w:color w:val="231F20"/>
          <w:lang w:val="en"/>
        </w:rPr>
      </w:pPr>
      <w:r w:rsidRPr="00990627">
        <w:rPr>
          <w:color w:val="231F20"/>
          <w:lang w:val="en"/>
        </w:rPr>
        <w:t>120 enterprises receiving non-financial support</w:t>
      </w:r>
    </w:p>
    <w:p w14:paraId="02444F8A" w14:textId="77777777" w:rsidR="00AF08F4" w:rsidRPr="00990627" w:rsidRDefault="00763BC4" w:rsidP="00516AD3">
      <w:pPr>
        <w:pStyle w:val="ListParagraph"/>
        <w:numPr>
          <w:ilvl w:val="0"/>
          <w:numId w:val="22"/>
        </w:numPr>
        <w:spacing w:line="240" w:lineRule="auto"/>
        <w:rPr>
          <w:color w:val="231F20"/>
          <w:lang w:val="en"/>
        </w:rPr>
      </w:pPr>
      <w:r w:rsidRPr="00990627">
        <w:rPr>
          <w:color w:val="231F20"/>
          <w:lang w:val="en"/>
        </w:rPr>
        <w:lastRenderedPageBreak/>
        <w:t>1</w:t>
      </w:r>
      <w:r w:rsidR="00AF08F4" w:rsidRPr="00990627">
        <w:rPr>
          <w:color w:val="231F20"/>
          <w:lang w:val="en"/>
        </w:rPr>
        <w:t>4 new enterprises supported</w:t>
      </w:r>
    </w:p>
    <w:p w14:paraId="11AC069A" w14:textId="77777777" w:rsidR="00763BC4" w:rsidRPr="00990627" w:rsidRDefault="00763BC4" w:rsidP="00516AD3">
      <w:pPr>
        <w:pStyle w:val="ListParagraph"/>
        <w:numPr>
          <w:ilvl w:val="0"/>
          <w:numId w:val="22"/>
        </w:numPr>
        <w:spacing w:line="240" w:lineRule="auto"/>
        <w:rPr>
          <w:color w:val="231F20"/>
          <w:lang w:val="en"/>
        </w:rPr>
      </w:pPr>
      <w:r w:rsidRPr="00990627">
        <w:rPr>
          <w:color w:val="231F20"/>
          <w:lang w:val="en"/>
        </w:rPr>
        <w:t>8 enterprises support to introduce new to the market products</w:t>
      </w:r>
    </w:p>
    <w:p w14:paraId="7F7A64E3" w14:textId="7E8A82C0" w:rsidR="00901FDA" w:rsidRPr="00662D45" w:rsidRDefault="00763BC4" w:rsidP="00901FDA">
      <w:pPr>
        <w:pStyle w:val="ListParagraph"/>
        <w:numPr>
          <w:ilvl w:val="0"/>
          <w:numId w:val="22"/>
        </w:numPr>
        <w:spacing w:line="240" w:lineRule="auto"/>
        <w:rPr>
          <w:color w:val="231F20"/>
          <w:lang w:val="en"/>
        </w:rPr>
      </w:pPr>
      <w:r w:rsidRPr="00990627">
        <w:rPr>
          <w:color w:val="231F20"/>
          <w:lang w:val="en"/>
        </w:rPr>
        <w:t>15</w:t>
      </w:r>
      <w:r w:rsidR="00AF08F4" w:rsidRPr="00990627">
        <w:rPr>
          <w:color w:val="231F20"/>
          <w:lang w:val="en"/>
        </w:rPr>
        <w:t xml:space="preserve"> enterprises assisted to develop or launch new to the firm products or services</w:t>
      </w:r>
    </w:p>
    <w:p w14:paraId="67E22AC2" w14:textId="77777777" w:rsidR="00901FDA" w:rsidRDefault="00901FDA" w:rsidP="00901FDA">
      <w:pPr>
        <w:pStyle w:val="ListParagraph"/>
        <w:spacing w:after="0"/>
        <w:jc w:val="both"/>
        <w:rPr>
          <w:lang w:eastAsia="en-GB"/>
        </w:rPr>
      </w:pPr>
    </w:p>
    <w:p w14:paraId="67881989" w14:textId="77777777" w:rsidR="00901FDA" w:rsidRDefault="00901FDA" w:rsidP="00662D45">
      <w:pPr>
        <w:spacing w:after="0"/>
        <w:jc w:val="both"/>
        <w:rPr>
          <w:lang w:eastAsia="en-GB"/>
        </w:rPr>
      </w:pPr>
      <w:r w:rsidRPr="00901FDA">
        <w:rPr>
          <w:lang w:eastAsia="en-GB"/>
        </w:rPr>
        <w:t xml:space="preserve">Greentech Access to Innovation (Greentech A2i) will empower SMEs to develop and commercialise innovative low carbon technologies rapidly and at low cost and low risk to the enterprise. It will do so by offering them a unique combination of advanced equipment and testing facilities, specialised technical expertise and business skills and networking opportunities in the low carbon and tech sectors. </w:t>
      </w:r>
    </w:p>
    <w:p w14:paraId="270A9FDD" w14:textId="77777777" w:rsidR="00901FDA" w:rsidRPr="00901FDA" w:rsidRDefault="00901FDA" w:rsidP="00901FDA">
      <w:pPr>
        <w:pStyle w:val="ListParagraph"/>
        <w:spacing w:after="0"/>
        <w:jc w:val="both"/>
        <w:rPr>
          <w:lang w:eastAsia="en-GB"/>
        </w:rPr>
      </w:pPr>
    </w:p>
    <w:p w14:paraId="6B489A7F" w14:textId="77777777" w:rsidR="00901FDA" w:rsidRDefault="00901FDA" w:rsidP="00662D45">
      <w:pPr>
        <w:spacing w:after="0"/>
        <w:jc w:val="both"/>
        <w:rPr>
          <w:lang w:eastAsia="en-GB"/>
        </w:rPr>
      </w:pPr>
      <w:r w:rsidRPr="00901FDA">
        <w:rPr>
          <w:lang w:eastAsia="en-GB"/>
        </w:rPr>
        <w:t>The project’s outputs will be:</w:t>
      </w:r>
    </w:p>
    <w:p w14:paraId="5DA396EF" w14:textId="77777777" w:rsidR="00901FDA" w:rsidRPr="00901FDA" w:rsidRDefault="00901FDA" w:rsidP="00901FDA">
      <w:pPr>
        <w:pStyle w:val="ListParagraph"/>
        <w:spacing w:after="0"/>
        <w:jc w:val="both"/>
        <w:rPr>
          <w:lang w:eastAsia="en-GB"/>
        </w:rPr>
      </w:pPr>
    </w:p>
    <w:p w14:paraId="5B5BF265" w14:textId="77777777" w:rsidR="00901FDA" w:rsidRPr="00901FDA" w:rsidRDefault="00901FDA" w:rsidP="00901FDA">
      <w:pPr>
        <w:pStyle w:val="ListParagraph"/>
        <w:numPr>
          <w:ilvl w:val="0"/>
          <w:numId w:val="21"/>
        </w:numPr>
        <w:spacing w:after="0"/>
        <w:jc w:val="both"/>
        <w:rPr>
          <w:lang w:eastAsia="en-GB"/>
        </w:rPr>
      </w:pPr>
      <w:r w:rsidRPr="00901FDA">
        <w:rPr>
          <w:lang w:eastAsia="en-GB"/>
        </w:rPr>
        <w:t>120 enterprises engaged and supported</w:t>
      </w:r>
    </w:p>
    <w:p w14:paraId="716EFB0F" w14:textId="77777777" w:rsidR="00901FDA" w:rsidRPr="00901FDA" w:rsidRDefault="00901FDA" w:rsidP="00901FDA">
      <w:pPr>
        <w:pStyle w:val="ListParagraph"/>
        <w:numPr>
          <w:ilvl w:val="0"/>
          <w:numId w:val="21"/>
        </w:numPr>
        <w:spacing w:after="0"/>
        <w:jc w:val="both"/>
        <w:rPr>
          <w:lang w:eastAsia="en-GB"/>
        </w:rPr>
      </w:pPr>
      <w:r w:rsidRPr="00901FDA">
        <w:rPr>
          <w:lang w:eastAsia="en-GB"/>
        </w:rPr>
        <w:t>24 new enterprises supported</w:t>
      </w:r>
    </w:p>
    <w:p w14:paraId="49A25DA4" w14:textId="77777777" w:rsidR="00901FDA" w:rsidRPr="00901FDA" w:rsidRDefault="00901FDA" w:rsidP="00901FDA">
      <w:pPr>
        <w:pStyle w:val="ListParagraph"/>
        <w:numPr>
          <w:ilvl w:val="0"/>
          <w:numId w:val="21"/>
        </w:numPr>
        <w:spacing w:after="0"/>
        <w:jc w:val="both"/>
        <w:rPr>
          <w:lang w:eastAsia="en-GB"/>
        </w:rPr>
      </w:pPr>
      <w:r w:rsidRPr="00901FDA">
        <w:rPr>
          <w:lang w:eastAsia="en-GB"/>
        </w:rPr>
        <w:t>50 enterprises cooperating with research institutions</w:t>
      </w:r>
    </w:p>
    <w:p w14:paraId="74EF4BB2" w14:textId="77777777" w:rsidR="00901FDA" w:rsidRPr="00901FDA" w:rsidRDefault="00901FDA" w:rsidP="00901FDA">
      <w:pPr>
        <w:pStyle w:val="ListParagraph"/>
        <w:numPr>
          <w:ilvl w:val="0"/>
          <w:numId w:val="21"/>
        </w:numPr>
        <w:spacing w:after="0"/>
        <w:jc w:val="both"/>
        <w:rPr>
          <w:lang w:eastAsia="en-GB"/>
        </w:rPr>
      </w:pPr>
      <w:r w:rsidRPr="00901FDA">
        <w:rPr>
          <w:lang w:eastAsia="en-GB"/>
        </w:rPr>
        <w:t>30 enterprises assisted to develop or launch new to the firm products or services</w:t>
      </w:r>
    </w:p>
    <w:p w14:paraId="1B37D3D1" w14:textId="77777777" w:rsidR="00901FDA" w:rsidRPr="00901FDA" w:rsidRDefault="00901FDA" w:rsidP="00901FDA">
      <w:pPr>
        <w:pStyle w:val="ListParagraph"/>
        <w:numPr>
          <w:ilvl w:val="0"/>
          <w:numId w:val="21"/>
        </w:numPr>
        <w:spacing w:after="0"/>
        <w:jc w:val="both"/>
        <w:rPr>
          <w:lang w:eastAsia="en-GB"/>
        </w:rPr>
      </w:pPr>
      <w:r w:rsidRPr="00901FDA">
        <w:rPr>
          <w:lang w:eastAsia="en-GB"/>
        </w:rPr>
        <w:t>Annual CO2e savings of 2800 tonnes</w:t>
      </w:r>
    </w:p>
    <w:p w14:paraId="4647D18B" w14:textId="77777777" w:rsidR="00901FDA" w:rsidRDefault="00901FDA" w:rsidP="00452443">
      <w:pPr>
        <w:pStyle w:val="ListParagraph"/>
        <w:spacing w:after="0" w:line="240" w:lineRule="auto"/>
        <w:ind w:left="0"/>
        <w:jc w:val="both"/>
        <w:rPr>
          <w:lang w:eastAsia="en-GB"/>
        </w:rPr>
      </w:pPr>
    </w:p>
    <w:p w14:paraId="1FB8C958" w14:textId="77777777" w:rsidR="00965224" w:rsidRDefault="00886C53" w:rsidP="00886C53">
      <w:pPr>
        <w:pStyle w:val="NoSpacing"/>
        <w:rPr>
          <w:b/>
          <w:lang w:eastAsia="en-GB"/>
        </w:rPr>
      </w:pPr>
      <w:r w:rsidRPr="00886C53">
        <w:rPr>
          <w:b/>
          <w:lang w:eastAsia="en-GB"/>
        </w:rPr>
        <w:t xml:space="preserve">Mapping support </w:t>
      </w:r>
    </w:p>
    <w:p w14:paraId="69DB0023" w14:textId="77777777" w:rsidR="00965224" w:rsidRDefault="00965224" w:rsidP="00886C53">
      <w:pPr>
        <w:pStyle w:val="NoSpacing"/>
        <w:rPr>
          <w:b/>
          <w:lang w:eastAsia="en-GB"/>
        </w:rPr>
      </w:pPr>
    </w:p>
    <w:p w14:paraId="195E504F" w14:textId="3DDD16B6" w:rsidR="00965224" w:rsidRPr="00662D45" w:rsidRDefault="00292A77" w:rsidP="00886C53">
      <w:pPr>
        <w:pStyle w:val="NoSpacing"/>
        <w:rPr>
          <w:lang w:eastAsia="en-GB"/>
        </w:rPr>
      </w:pPr>
      <w:r w:rsidRPr="00662D45">
        <w:rPr>
          <w:lang w:eastAsia="en-GB"/>
        </w:rPr>
        <w:t>Both SimDH and A2i are designed to complement existing SME support programmes that exist or are in development. To understand the eco-system for start-ups and SMEs seeking additional support outside of our programmes, we are tendering for a consultancy project to explore and map this information. The output of this project will be three diagrammatic pathway docum</w:t>
      </w:r>
      <w:r w:rsidRPr="00292A77">
        <w:rPr>
          <w:lang w:eastAsia="en-GB"/>
        </w:rPr>
        <w:t xml:space="preserve">ents to illustrate the </w:t>
      </w:r>
      <w:r>
        <w:rPr>
          <w:lang w:eastAsia="en-GB"/>
        </w:rPr>
        <w:t xml:space="preserve">support, for digital health SMEs, low carbon technology SMEs and SMEs who do not fall into either of these sector categories. </w:t>
      </w:r>
    </w:p>
    <w:p w14:paraId="6F7324C4" w14:textId="77777777" w:rsidR="0030143F" w:rsidRDefault="0030143F" w:rsidP="00886C53">
      <w:pPr>
        <w:pStyle w:val="NoSpacing"/>
        <w:rPr>
          <w:b/>
          <w:lang w:eastAsia="en-GB"/>
        </w:rPr>
      </w:pPr>
    </w:p>
    <w:p w14:paraId="05EB6508" w14:textId="29EE6A5A" w:rsidR="00886C53" w:rsidRPr="00886C53" w:rsidRDefault="00965224" w:rsidP="00886C53">
      <w:pPr>
        <w:pStyle w:val="NoSpacing"/>
        <w:rPr>
          <w:b/>
          <w:lang w:eastAsia="en-GB"/>
        </w:rPr>
      </w:pPr>
      <w:r>
        <w:rPr>
          <w:b/>
          <w:lang w:eastAsia="en-GB"/>
        </w:rPr>
        <w:t>F</w:t>
      </w:r>
      <w:r w:rsidR="00886C53" w:rsidRPr="00886C53">
        <w:rPr>
          <w:b/>
          <w:lang w:eastAsia="en-GB"/>
        </w:rPr>
        <w:t>or digital health SMEs</w:t>
      </w:r>
    </w:p>
    <w:p w14:paraId="328F907D" w14:textId="77777777" w:rsidR="00516AD3" w:rsidRDefault="00516AD3" w:rsidP="00516AD3">
      <w:pPr>
        <w:pStyle w:val="NoSpacing"/>
        <w:rPr>
          <w:lang w:eastAsia="en-GB"/>
        </w:rPr>
      </w:pPr>
    </w:p>
    <w:p w14:paraId="2F98EDDC" w14:textId="3D5B8949" w:rsidR="00886C53" w:rsidRPr="00886C53" w:rsidRDefault="00886C53" w:rsidP="00886C53">
      <w:pPr>
        <w:pStyle w:val="ListParagraph"/>
        <w:numPr>
          <w:ilvl w:val="0"/>
          <w:numId w:val="23"/>
        </w:numPr>
        <w:jc w:val="both"/>
        <w:rPr>
          <w:lang w:eastAsia="en-GB"/>
        </w:rPr>
      </w:pPr>
      <w:r w:rsidRPr="00886C53">
        <w:rPr>
          <w:lang w:eastAsia="en-GB"/>
        </w:rPr>
        <w:t xml:space="preserve">Conduct desk based research to scope as many of the relevant support programmes available to digital health SMEs in London (sources of support may not be restricted to London and may extend internationally) </w:t>
      </w:r>
    </w:p>
    <w:p w14:paraId="18E9EDC3" w14:textId="77777777" w:rsidR="00886C53" w:rsidRPr="00886C53" w:rsidRDefault="00886C53" w:rsidP="00886C53">
      <w:pPr>
        <w:pStyle w:val="ListParagraph"/>
        <w:numPr>
          <w:ilvl w:val="0"/>
          <w:numId w:val="23"/>
        </w:numPr>
        <w:jc w:val="both"/>
        <w:rPr>
          <w:lang w:eastAsia="en-GB"/>
        </w:rPr>
      </w:pPr>
      <w:r w:rsidRPr="00886C53">
        <w:rPr>
          <w:lang w:eastAsia="en-GB"/>
        </w:rPr>
        <w:t xml:space="preserve">Group these programmes and source of support by type  </w:t>
      </w:r>
    </w:p>
    <w:p w14:paraId="61530756" w14:textId="77777777" w:rsidR="00886C53" w:rsidRPr="00886C53" w:rsidRDefault="00886C53" w:rsidP="00886C53">
      <w:pPr>
        <w:pStyle w:val="ListParagraph"/>
        <w:numPr>
          <w:ilvl w:val="0"/>
          <w:numId w:val="23"/>
        </w:numPr>
        <w:jc w:val="both"/>
        <w:rPr>
          <w:lang w:eastAsia="en-GB"/>
        </w:rPr>
      </w:pPr>
      <w:r w:rsidRPr="00886C53">
        <w:rPr>
          <w:lang w:eastAsia="en-GB"/>
        </w:rPr>
        <w:t>Outline whether the support has any specific criteria, i.e. suitable for start-ups and/or established SMEs</w:t>
      </w:r>
    </w:p>
    <w:p w14:paraId="24159F2C" w14:textId="710A4644" w:rsidR="00901FDA" w:rsidRDefault="00CE5003" w:rsidP="00901FDA">
      <w:pPr>
        <w:pStyle w:val="ListParagraph"/>
        <w:numPr>
          <w:ilvl w:val="0"/>
          <w:numId w:val="23"/>
        </w:numPr>
        <w:jc w:val="both"/>
        <w:rPr>
          <w:lang w:eastAsia="en-GB"/>
        </w:rPr>
      </w:pPr>
      <w:r>
        <w:rPr>
          <w:lang w:eastAsia="en-GB"/>
        </w:rPr>
        <w:t xml:space="preserve">Create </w:t>
      </w:r>
      <w:r w:rsidR="00F123EF">
        <w:rPr>
          <w:lang w:eastAsia="en-GB"/>
        </w:rPr>
        <w:t xml:space="preserve">a </w:t>
      </w:r>
      <w:r w:rsidR="00886C53" w:rsidRPr="00886C53">
        <w:rPr>
          <w:lang w:eastAsia="en-GB"/>
        </w:rPr>
        <w:t>diagrammatic pathway document for</w:t>
      </w:r>
      <w:r w:rsidR="00F123EF">
        <w:rPr>
          <w:lang w:eastAsia="en-GB"/>
        </w:rPr>
        <w:t xml:space="preserve"> digital health</w:t>
      </w:r>
      <w:r w:rsidR="00886C53" w:rsidRPr="00886C53">
        <w:rPr>
          <w:lang w:eastAsia="en-GB"/>
        </w:rPr>
        <w:t xml:space="preserve"> SMEs</w:t>
      </w:r>
      <w:r w:rsidR="0008509B">
        <w:rPr>
          <w:lang w:eastAsia="en-GB"/>
        </w:rPr>
        <w:t xml:space="preserve"> </w:t>
      </w:r>
      <w:r w:rsidR="00886C53" w:rsidRPr="00886C53">
        <w:rPr>
          <w:lang w:eastAsia="en-GB"/>
        </w:rPr>
        <w:t xml:space="preserve">to help them navigate complementary support programmes and exploit other opportunities available to them </w:t>
      </w:r>
    </w:p>
    <w:p w14:paraId="7233F34A" w14:textId="32369564" w:rsidR="003774A5" w:rsidRPr="00886C53" w:rsidRDefault="00965224" w:rsidP="003774A5">
      <w:pPr>
        <w:pStyle w:val="NoSpacing"/>
        <w:rPr>
          <w:b/>
          <w:lang w:eastAsia="en-GB"/>
        </w:rPr>
      </w:pPr>
      <w:r>
        <w:rPr>
          <w:b/>
          <w:lang w:eastAsia="en-GB"/>
        </w:rPr>
        <w:t>For</w:t>
      </w:r>
      <w:r w:rsidR="003774A5" w:rsidRPr="00886C53">
        <w:rPr>
          <w:b/>
          <w:lang w:eastAsia="en-GB"/>
        </w:rPr>
        <w:t xml:space="preserve"> </w:t>
      </w:r>
      <w:r w:rsidR="003774A5">
        <w:rPr>
          <w:b/>
          <w:lang w:eastAsia="en-GB"/>
        </w:rPr>
        <w:t>low carbon technology</w:t>
      </w:r>
      <w:r w:rsidR="003774A5" w:rsidRPr="00886C53">
        <w:rPr>
          <w:b/>
          <w:lang w:eastAsia="en-GB"/>
        </w:rPr>
        <w:t xml:space="preserve"> SMEs</w:t>
      </w:r>
    </w:p>
    <w:p w14:paraId="4E09473B" w14:textId="77777777" w:rsidR="003774A5" w:rsidRDefault="003774A5" w:rsidP="003774A5">
      <w:pPr>
        <w:pStyle w:val="NoSpacing"/>
        <w:rPr>
          <w:lang w:eastAsia="en-GB"/>
        </w:rPr>
      </w:pPr>
    </w:p>
    <w:p w14:paraId="30A087F8" w14:textId="77777777" w:rsidR="003774A5" w:rsidRPr="00886C53" w:rsidRDefault="003774A5" w:rsidP="003774A5">
      <w:pPr>
        <w:pStyle w:val="ListParagraph"/>
        <w:numPr>
          <w:ilvl w:val="0"/>
          <w:numId w:val="24"/>
        </w:numPr>
        <w:jc w:val="both"/>
        <w:rPr>
          <w:lang w:eastAsia="en-GB"/>
        </w:rPr>
      </w:pPr>
      <w:r w:rsidRPr="00886C53">
        <w:rPr>
          <w:lang w:eastAsia="en-GB"/>
        </w:rPr>
        <w:t xml:space="preserve">Conduct desk based research to scope as many of the relevant support programmes available to </w:t>
      </w:r>
      <w:r>
        <w:rPr>
          <w:lang w:eastAsia="en-GB"/>
        </w:rPr>
        <w:t>low carbon</w:t>
      </w:r>
      <w:r w:rsidRPr="00886C53">
        <w:rPr>
          <w:lang w:eastAsia="en-GB"/>
        </w:rPr>
        <w:t xml:space="preserve"> start-ups and SMEs in London (sources of support may not be restricted to London and may extend internationally) </w:t>
      </w:r>
    </w:p>
    <w:p w14:paraId="198D0186" w14:textId="77777777" w:rsidR="003774A5" w:rsidRPr="00886C53" w:rsidRDefault="003774A5" w:rsidP="003774A5">
      <w:pPr>
        <w:pStyle w:val="ListParagraph"/>
        <w:numPr>
          <w:ilvl w:val="0"/>
          <w:numId w:val="24"/>
        </w:numPr>
        <w:jc w:val="both"/>
        <w:rPr>
          <w:lang w:eastAsia="en-GB"/>
        </w:rPr>
      </w:pPr>
      <w:r w:rsidRPr="00886C53">
        <w:rPr>
          <w:lang w:eastAsia="en-GB"/>
        </w:rPr>
        <w:t xml:space="preserve">Group these programmes and source of support by type  </w:t>
      </w:r>
    </w:p>
    <w:p w14:paraId="51802FA5" w14:textId="77777777" w:rsidR="003774A5" w:rsidRPr="00886C53" w:rsidRDefault="003774A5" w:rsidP="003774A5">
      <w:pPr>
        <w:pStyle w:val="ListParagraph"/>
        <w:numPr>
          <w:ilvl w:val="0"/>
          <w:numId w:val="24"/>
        </w:numPr>
        <w:jc w:val="both"/>
        <w:rPr>
          <w:lang w:eastAsia="en-GB"/>
        </w:rPr>
      </w:pPr>
      <w:r w:rsidRPr="00886C53">
        <w:rPr>
          <w:lang w:eastAsia="en-GB"/>
        </w:rPr>
        <w:t>Outline whether the support has any specific criteria, i.e. suitable for start-ups and/or established SMEs</w:t>
      </w:r>
    </w:p>
    <w:p w14:paraId="3DB0AF19" w14:textId="77777777" w:rsidR="003774A5" w:rsidRDefault="003774A5" w:rsidP="003774A5">
      <w:pPr>
        <w:pStyle w:val="ListParagraph"/>
        <w:numPr>
          <w:ilvl w:val="0"/>
          <w:numId w:val="24"/>
        </w:numPr>
        <w:jc w:val="both"/>
        <w:rPr>
          <w:lang w:eastAsia="en-GB"/>
        </w:rPr>
      </w:pPr>
      <w:r w:rsidRPr="00886C53">
        <w:rPr>
          <w:lang w:eastAsia="en-GB"/>
        </w:rPr>
        <w:t xml:space="preserve">Create a diagrammatic pathway document for SMEs to help them navigate complementary support programmes and exploit other opportunities available to them </w:t>
      </w:r>
    </w:p>
    <w:p w14:paraId="3DD9114E" w14:textId="7077D12F" w:rsidR="00380FA1" w:rsidRDefault="00965224" w:rsidP="00662D45">
      <w:pPr>
        <w:jc w:val="both"/>
        <w:rPr>
          <w:lang w:eastAsia="en-GB"/>
        </w:rPr>
      </w:pPr>
      <w:r>
        <w:rPr>
          <w:b/>
          <w:lang w:eastAsia="en-GB"/>
        </w:rPr>
        <w:t>For</w:t>
      </w:r>
      <w:r w:rsidR="00F123EF" w:rsidRPr="00662D45">
        <w:rPr>
          <w:b/>
          <w:lang w:eastAsia="en-GB"/>
        </w:rPr>
        <w:t xml:space="preserve"> </w:t>
      </w:r>
      <w:r w:rsidR="00380FA1" w:rsidRPr="00662D45">
        <w:rPr>
          <w:b/>
          <w:lang w:eastAsia="en-GB"/>
        </w:rPr>
        <w:t>all SMEs</w:t>
      </w:r>
    </w:p>
    <w:p w14:paraId="3BAD60F9" w14:textId="293273F2" w:rsidR="003774A5" w:rsidRDefault="00380FA1" w:rsidP="00662D45">
      <w:pPr>
        <w:jc w:val="both"/>
        <w:rPr>
          <w:lang w:eastAsia="en-GB"/>
        </w:rPr>
      </w:pPr>
      <w:r>
        <w:rPr>
          <w:lang w:eastAsia="en-GB"/>
        </w:rPr>
        <w:t>There is non-sector specific</w:t>
      </w:r>
      <w:r w:rsidR="00AB477E">
        <w:rPr>
          <w:lang w:eastAsia="en-GB"/>
        </w:rPr>
        <w:t xml:space="preserve"> support</w:t>
      </w:r>
      <w:r>
        <w:rPr>
          <w:lang w:eastAsia="en-GB"/>
        </w:rPr>
        <w:t xml:space="preserve"> available to start-ups and SMEs, which should be </w:t>
      </w:r>
      <w:r w:rsidR="00AB477E">
        <w:rPr>
          <w:lang w:eastAsia="en-GB"/>
        </w:rPr>
        <w:t>incorporated in the pathway</w:t>
      </w:r>
      <w:r>
        <w:rPr>
          <w:lang w:eastAsia="en-GB"/>
        </w:rPr>
        <w:t xml:space="preserve"> documents</w:t>
      </w:r>
      <w:r w:rsidR="00AB477E">
        <w:rPr>
          <w:lang w:eastAsia="en-GB"/>
        </w:rPr>
        <w:t xml:space="preserve"> for both digital health and low carbon SMEs</w:t>
      </w:r>
      <w:r>
        <w:rPr>
          <w:lang w:eastAsia="en-GB"/>
        </w:rPr>
        <w:t xml:space="preserve">. </w:t>
      </w:r>
      <w:r w:rsidR="00AB477E">
        <w:rPr>
          <w:lang w:eastAsia="en-GB"/>
        </w:rPr>
        <w:t xml:space="preserve">The ‘generic’ programmes should also filtered and be illustrated </w:t>
      </w:r>
      <w:r w:rsidR="00AB477E">
        <w:rPr>
          <w:lang w:eastAsia="en-GB"/>
        </w:rPr>
        <w:lastRenderedPageBreak/>
        <w:t xml:space="preserve">as a standalone pathway document so it’s accessible to SMEs who are not operating in the digital health or low carbon sectors. </w:t>
      </w:r>
      <w:r>
        <w:rPr>
          <w:lang w:eastAsia="en-GB"/>
        </w:rPr>
        <w:t xml:space="preserve"> </w:t>
      </w:r>
    </w:p>
    <w:p w14:paraId="50CB8C8B" w14:textId="77777777" w:rsidR="00FA0500" w:rsidRDefault="00FA0500" w:rsidP="00662D45">
      <w:pPr>
        <w:jc w:val="both"/>
        <w:rPr>
          <w:lang w:eastAsia="en-GB"/>
        </w:rPr>
      </w:pPr>
    </w:p>
    <w:p w14:paraId="05C7CA40" w14:textId="77777777" w:rsidR="00901FDA" w:rsidRPr="00901FDA" w:rsidRDefault="00901FDA" w:rsidP="00901FDA">
      <w:pPr>
        <w:jc w:val="both"/>
        <w:rPr>
          <w:b/>
          <w:lang w:eastAsia="en-GB"/>
        </w:rPr>
      </w:pPr>
      <w:r w:rsidRPr="00901FDA">
        <w:rPr>
          <w:b/>
          <w:lang w:eastAsia="en-GB"/>
        </w:rPr>
        <w:t>Invoicing &amp; Costs</w:t>
      </w:r>
    </w:p>
    <w:p w14:paraId="4473F556" w14:textId="0D153DCA" w:rsidR="00901FDA" w:rsidRDefault="00901FDA" w:rsidP="00FA0500">
      <w:pPr>
        <w:jc w:val="both"/>
        <w:rPr>
          <w:lang w:eastAsia="en-GB"/>
        </w:rPr>
      </w:pPr>
      <w:r w:rsidRPr="00901FDA">
        <w:rPr>
          <w:lang w:eastAsia="en-GB"/>
        </w:rPr>
        <w:t xml:space="preserve">As A2i and SimDh are separate projects, we will require the entire contract value to be split 50:50 between both projects (A2i and SimDh) and invoiced accordingly. </w:t>
      </w:r>
    </w:p>
    <w:p w14:paraId="02F01E6A" w14:textId="77777777" w:rsidR="00FA0500" w:rsidRDefault="00FA0500" w:rsidP="00FA0500">
      <w:pPr>
        <w:jc w:val="both"/>
        <w:rPr>
          <w:lang w:eastAsia="en-GB"/>
        </w:rPr>
      </w:pPr>
    </w:p>
    <w:p w14:paraId="1FC313A9" w14:textId="77777777" w:rsidR="00452443" w:rsidRDefault="00452443" w:rsidP="00452443">
      <w:pPr>
        <w:pStyle w:val="ListParagraph"/>
        <w:numPr>
          <w:ilvl w:val="0"/>
          <w:numId w:val="13"/>
        </w:numPr>
        <w:spacing w:after="0" w:line="276" w:lineRule="auto"/>
        <w:jc w:val="both"/>
        <w:rPr>
          <w:b/>
          <w:lang w:eastAsia="en-GB"/>
        </w:rPr>
      </w:pPr>
      <w:r w:rsidRPr="000122C3">
        <w:rPr>
          <w:b/>
          <w:lang w:eastAsia="en-GB"/>
        </w:rPr>
        <w:t>Terms and Conditions</w:t>
      </w:r>
    </w:p>
    <w:p w14:paraId="19D5F3CB" w14:textId="77777777" w:rsidR="00452443" w:rsidRPr="000122C3" w:rsidRDefault="00452443" w:rsidP="00452443">
      <w:pPr>
        <w:pStyle w:val="ListParagraph"/>
        <w:spacing w:after="0"/>
        <w:jc w:val="both"/>
        <w:rPr>
          <w:b/>
          <w:lang w:eastAsia="en-GB"/>
        </w:rPr>
      </w:pPr>
    </w:p>
    <w:p w14:paraId="3FF66B78" w14:textId="77777777" w:rsidR="00452443" w:rsidRDefault="00452443" w:rsidP="00452443">
      <w:pPr>
        <w:spacing w:after="0"/>
        <w:jc w:val="both"/>
        <w:rPr>
          <w:lang w:eastAsia="en-GB"/>
        </w:rPr>
      </w:pPr>
      <w:r>
        <w:rPr>
          <w:lang w:eastAsia="en-GB"/>
        </w:rPr>
        <w:t xml:space="preserve">This agreement will be governed by London South Bank University’s General Conditions of Contract for Goods and Services, which are </w:t>
      </w:r>
      <w:r w:rsidRPr="00A069D1">
        <w:rPr>
          <w:lang w:eastAsia="en-GB"/>
        </w:rPr>
        <w:t xml:space="preserve">available on </w:t>
      </w:r>
      <w:r>
        <w:rPr>
          <w:lang w:eastAsia="en-GB"/>
        </w:rPr>
        <w:t xml:space="preserve">request. </w:t>
      </w:r>
    </w:p>
    <w:p w14:paraId="6B85A153" w14:textId="77777777" w:rsidR="00452443" w:rsidRPr="0042094E" w:rsidRDefault="00452443" w:rsidP="00452443">
      <w:pPr>
        <w:spacing w:after="0"/>
        <w:jc w:val="both"/>
        <w:rPr>
          <w:b/>
          <w:color w:val="FF0000"/>
          <w:lang w:eastAsia="en-GB"/>
        </w:rPr>
      </w:pPr>
    </w:p>
    <w:p w14:paraId="008AD8FA" w14:textId="77777777" w:rsidR="00452443" w:rsidRDefault="00452443" w:rsidP="00452443">
      <w:pPr>
        <w:pStyle w:val="ListParagraph"/>
        <w:numPr>
          <w:ilvl w:val="0"/>
          <w:numId w:val="13"/>
        </w:numPr>
        <w:spacing w:after="0" w:line="276" w:lineRule="auto"/>
        <w:jc w:val="both"/>
        <w:rPr>
          <w:b/>
          <w:lang w:eastAsia="en-GB"/>
        </w:rPr>
      </w:pPr>
      <w:r w:rsidRPr="00E82C4B">
        <w:rPr>
          <w:b/>
          <w:lang w:eastAsia="en-GB"/>
        </w:rPr>
        <w:t>Evaluation Criteria</w:t>
      </w:r>
    </w:p>
    <w:p w14:paraId="69B2B0FB" w14:textId="77777777" w:rsidR="00452443" w:rsidRDefault="00452443" w:rsidP="00452443">
      <w:pPr>
        <w:pStyle w:val="ListParagraph"/>
        <w:spacing w:after="0"/>
        <w:jc w:val="both"/>
        <w:rPr>
          <w:b/>
          <w:lang w:eastAsia="en-GB"/>
        </w:rPr>
      </w:pPr>
    </w:p>
    <w:p w14:paraId="073C75F0" w14:textId="77777777" w:rsidR="00452443" w:rsidRDefault="00452443" w:rsidP="00452443">
      <w:pPr>
        <w:suppressAutoHyphens/>
        <w:spacing w:after="0"/>
        <w:jc w:val="both"/>
        <w:rPr>
          <w:b/>
          <w:spacing w:val="-3"/>
        </w:rPr>
      </w:pPr>
      <w:r w:rsidRPr="002F755F">
        <w:t xml:space="preserve">Following the opening of Tender Offers, the contract shall be awarded, if at all, to the </w:t>
      </w:r>
      <w:r>
        <w:t>applicant</w:t>
      </w:r>
      <w:r w:rsidRPr="002F755F">
        <w:t xml:space="preserve"> who </w:t>
      </w:r>
      <w:r w:rsidRPr="002F755F">
        <w:rPr>
          <w:spacing w:val="-3"/>
        </w:rPr>
        <w:t xml:space="preserve">in the judgment of LSBU is able to offer </w:t>
      </w:r>
      <w:r w:rsidRPr="002F755F">
        <w:rPr>
          <w:b/>
          <w:spacing w:val="-3"/>
        </w:rPr>
        <w:t xml:space="preserve">the most economically advantageous offer in terms of the </w:t>
      </w:r>
      <w:r>
        <w:rPr>
          <w:b/>
          <w:spacing w:val="-3"/>
        </w:rPr>
        <w:t>Award Criteria as detailed below:</w:t>
      </w:r>
    </w:p>
    <w:p w14:paraId="35853495" w14:textId="77777777" w:rsidR="0080369E" w:rsidRDefault="0080369E" w:rsidP="00452443">
      <w:pPr>
        <w:suppressAutoHyphens/>
        <w:spacing w:after="0"/>
        <w:jc w:val="both"/>
        <w:rPr>
          <w:b/>
          <w:spacing w:val="-3"/>
        </w:rPr>
      </w:pPr>
    </w:p>
    <w:p w14:paraId="523EFB0A" w14:textId="77777777" w:rsidR="0080369E" w:rsidRDefault="0080369E" w:rsidP="00452443">
      <w:pPr>
        <w:suppressAutoHyphens/>
        <w:spacing w:after="0"/>
        <w:jc w:val="both"/>
        <w:rPr>
          <w:b/>
          <w:spacing w:val="-3"/>
        </w:rPr>
      </w:pPr>
    </w:p>
    <w:tbl>
      <w:tblPr>
        <w:tblStyle w:val="TableGrid1"/>
        <w:tblW w:w="0" w:type="auto"/>
        <w:tblLook w:val="04A0" w:firstRow="1" w:lastRow="0" w:firstColumn="1" w:lastColumn="0" w:noHBand="0" w:noVBand="1"/>
      </w:tblPr>
      <w:tblGrid>
        <w:gridCol w:w="3080"/>
        <w:gridCol w:w="4258"/>
        <w:gridCol w:w="1904"/>
      </w:tblGrid>
      <w:tr w:rsidR="00452443" w:rsidRPr="00143A08" w14:paraId="34CB5341" w14:textId="77777777" w:rsidTr="00344B9C">
        <w:trPr>
          <w:trHeight w:val="510"/>
        </w:trPr>
        <w:tc>
          <w:tcPr>
            <w:tcW w:w="3080" w:type="dxa"/>
            <w:vAlign w:val="center"/>
          </w:tcPr>
          <w:p w14:paraId="55319057" w14:textId="77777777" w:rsidR="00452443" w:rsidRPr="00143A08" w:rsidRDefault="00452443" w:rsidP="00344B9C">
            <w:pPr>
              <w:rPr>
                <w:rFonts w:ascii="Arial" w:hAnsi="Arial" w:cs="Arial"/>
              </w:rPr>
            </w:pPr>
            <w:r w:rsidRPr="00143A08">
              <w:rPr>
                <w:b/>
                <w:i/>
                <w:lang w:eastAsia="en-GB"/>
              </w:rPr>
              <w:t>Criteria</w:t>
            </w:r>
          </w:p>
        </w:tc>
        <w:tc>
          <w:tcPr>
            <w:tcW w:w="4258" w:type="dxa"/>
            <w:vAlign w:val="center"/>
          </w:tcPr>
          <w:p w14:paraId="697B2E0C" w14:textId="77777777" w:rsidR="00452443" w:rsidRPr="00143A08" w:rsidRDefault="00452443" w:rsidP="00344B9C">
            <w:pPr>
              <w:rPr>
                <w:rFonts w:ascii="Arial" w:hAnsi="Arial" w:cs="Arial"/>
              </w:rPr>
            </w:pPr>
            <w:r w:rsidRPr="00143A08">
              <w:rPr>
                <w:b/>
                <w:i/>
                <w:lang w:eastAsia="en-GB"/>
              </w:rPr>
              <w:t>Sub Criteria</w:t>
            </w:r>
          </w:p>
        </w:tc>
        <w:tc>
          <w:tcPr>
            <w:tcW w:w="1904" w:type="dxa"/>
            <w:vAlign w:val="center"/>
          </w:tcPr>
          <w:p w14:paraId="35A27766" w14:textId="77777777" w:rsidR="00452443" w:rsidRPr="00143A08" w:rsidRDefault="00452443" w:rsidP="00344B9C">
            <w:pPr>
              <w:rPr>
                <w:rFonts w:ascii="Arial" w:hAnsi="Arial" w:cs="Arial"/>
              </w:rPr>
            </w:pPr>
            <w:r w:rsidRPr="00143A08">
              <w:rPr>
                <w:b/>
                <w:i/>
                <w:lang w:eastAsia="en-GB"/>
              </w:rPr>
              <w:t>Weighting</w:t>
            </w:r>
          </w:p>
        </w:tc>
      </w:tr>
      <w:tr w:rsidR="00452443" w:rsidRPr="00143A08" w14:paraId="070E8322" w14:textId="77777777" w:rsidTr="00344B9C">
        <w:trPr>
          <w:trHeight w:val="510"/>
        </w:trPr>
        <w:tc>
          <w:tcPr>
            <w:tcW w:w="3080" w:type="dxa"/>
            <w:vAlign w:val="center"/>
          </w:tcPr>
          <w:p w14:paraId="7745BE39" w14:textId="77777777" w:rsidR="00452443" w:rsidRPr="00143A08" w:rsidRDefault="00452443" w:rsidP="00344B9C">
            <w:pPr>
              <w:rPr>
                <w:rFonts w:cstheme="minorHAnsi"/>
              </w:rPr>
            </w:pPr>
            <w:r w:rsidRPr="00143A08">
              <w:rPr>
                <w:rFonts w:cstheme="minorHAnsi"/>
              </w:rPr>
              <w:t>Cost Effectiveness</w:t>
            </w:r>
          </w:p>
        </w:tc>
        <w:tc>
          <w:tcPr>
            <w:tcW w:w="4258" w:type="dxa"/>
            <w:vAlign w:val="center"/>
          </w:tcPr>
          <w:p w14:paraId="499F9A33" w14:textId="77777777" w:rsidR="00452443" w:rsidRPr="00143A08" w:rsidRDefault="00452443" w:rsidP="00344B9C">
            <w:pPr>
              <w:rPr>
                <w:rFonts w:cstheme="minorHAnsi"/>
              </w:rPr>
            </w:pPr>
            <w:r w:rsidRPr="00143A08">
              <w:rPr>
                <w:rFonts w:cstheme="minorHAnsi"/>
              </w:rPr>
              <w:t>As per Price Schedule</w:t>
            </w:r>
          </w:p>
        </w:tc>
        <w:tc>
          <w:tcPr>
            <w:tcW w:w="1904" w:type="dxa"/>
            <w:vAlign w:val="center"/>
          </w:tcPr>
          <w:p w14:paraId="0AEB7C5C" w14:textId="3FA0FECC" w:rsidR="00452443" w:rsidRPr="00FA0500" w:rsidRDefault="00602F30" w:rsidP="00344B9C">
            <w:pPr>
              <w:rPr>
                <w:rFonts w:cstheme="minorHAnsi"/>
              </w:rPr>
            </w:pPr>
            <w:r w:rsidRPr="00FA0500">
              <w:rPr>
                <w:rFonts w:cstheme="minorHAnsi"/>
              </w:rPr>
              <w:t>40</w:t>
            </w:r>
            <w:r w:rsidR="00DD0CF0" w:rsidRPr="00FA0500">
              <w:rPr>
                <w:rFonts w:cstheme="minorHAnsi"/>
              </w:rPr>
              <w:t>%</w:t>
            </w:r>
          </w:p>
        </w:tc>
      </w:tr>
      <w:tr w:rsidR="00452443" w:rsidRPr="00143A08" w14:paraId="3DEB7A4A" w14:textId="77777777" w:rsidTr="00344B9C">
        <w:trPr>
          <w:trHeight w:val="510"/>
        </w:trPr>
        <w:tc>
          <w:tcPr>
            <w:tcW w:w="3080" w:type="dxa"/>
            <w:vMerge w:val="restart"/>
            <w:vAlign w:val="center"/>
          </w:tcPr>
          <w:p w14:paraId="52C95B2F" w14:textId="77777777" w:rsidR="00452443" w:rsidRPr="00143A08" w:rsidRDefault="00452443" w:rsidP="00344B9C">
            <w:pPr>
              <w:rPr>
                <w:rFonts w:cstheme="minorHAnsi"/>
              </w:rPr>
            </w:pPr>
            <w:r w:rsidRPr="00143A08">
              <w:rPr>
                <w:rFonts w:cstheme="minorHAnsi"/>
              </w:rPr>
              <w:t>Quality</w:t>
            </w:r>
          </w:p>
        </w:tc>
        <w:tc>
          <w:tcPr>
            <w:tcW w:w="4258" w:type="dxa"/>
            <w:vAlign w:val="center"/>
          </w:tcPr>
          <w:p w14:paraId="11BBFDE2" w14:textId="77777777" w:rsidR="00200503" w:rsidRPr="00217462" w:rsidRDefault="00200503" w:rsidP="00344B9C">
            <w:pPr>
              <w:rPr>
                <w:rFonts w:cstheme="minorHAnsi"/>
              </w:rPr>
            </w:pPr>
            <w:r>
              <w:rPr>
                <w:rFonts w:cstheme="minorHAnsi"/>
              </w:rPr>
              <w:t>Previous experience</w:t>
            </w:r>
          </w:p>
          <w:p w14:paraId="7407787A" w14:textId="77777777" w:rsidR="00452443" w:rsidRPr="00217462" w:rsidRDefault="00452443" w:rsidP="00DD0CF0">
            <w:pPr>
              <w:rPr>
                <w:rFonts w:cstheme="minorHAnsi"/>
              </w:rPr>
            </w:pPr>
          </w:p>
        </w:tc>
        <w:tc>
          <w:tcPr>
            <w:tcW w:w="1904" w:type="dxa"/>
            <w:vAlign w:val="center"/>
          </w:tcPr>
          <w:p w14:paraId="5DA5D50F" w14:textId="1E5BA25E" w:rsidR="00452443" w:rsidRPr="00FA0500" w:rsidRDefault="00602F30" w:rsidP="00344B9C">
            <w:pPr>
              <w:rPr>
                <w:rFonts w:cstheme="minorHAnsi"/>
              </w:rPr>
            </w:pPr>
            <w:r w:rsidRPr="00FA0500">
              <w:rPr>
                <w:rFonts w:cstheme="minorHAnsi"/>
              </w:rPr>
              <w:t>30</w:t>
            </w:r>
            <w:r w:rsidR="00DD0CF0" w:rsidRPr="00FA0500">
              <w:rPr>
                <w:rFonts w:cstheme="minorHAnsi"/>
              </w:rPr>
              <w:t>%</w:t>
            </w:r>
          </w:p>
        </w:tc>
      </w:tr>
      <w:tr w:rsidR="00452443" w:rsidRPr="00143A08" w14:paraId="4A06EB1D" w14:textId="77777777" w:rsidTr="00344B9C">
        <w:trPr>
          <w:trHeight w:val="510"/>
        </w:trPr>
        <w:tc>
          <w:tcPr>
            <w:tcW w:w="3080" w:type="dxa"/>
            <w:vMerge/>
            <w:vAlign w:val="center"/>
          </w:tcPr>
          <w:p w14:paraId="0DBF3A8F" w14:textId="77777777" w:rsidR="00452443" w:rsidRPr="00143A08" w:rsidRDefault="00452443" w:rsidP="00344B9C">
            <w:pPr>
              <w:rPr>
                <w:rFonts w:ascii="Arial" w:hAnsi="Arial" w:cs="Arial"/>
              </w:rPr>
            </w:pPr>
          </w:p>
        </w:tc>
        <w:tc>
          <w:tcPr>
            <w:tcW w:w="4258" w:type="dxa"/>
            <w:vAlign w:val="center"/>
          </w:tcPr>
          <w:p w14:paraId="7C3632F9" w14:textId="77777777" w:rsidR="00452443" w:rsidRPr="00217462" w:rsidRDefault="00800751" w:rsidP="00DD0CF0">
            <w:pPr>
              <w:rPr>
                <w:rFonts w:cstheme="minorHAnsi"/>
              </w:rPr>
            </w:pPr>
            <w:r>
              <w:rPr>
                <w:rFonts w:cstheme="minorHAnsi"/>
              </w:rPr>
              <w:t>D</w:t>
            </w:r>
            <w:r w:rsidRPr="00800751">
              <w:rPr>
                <w:rFonts w:cstheme="minorHAnsi"/>
              </w:rPr>
              <w:t xml:space="preserve">elivery of requirements </w:t>
            </w:r>
          </w:p>
        </w:tc>
        <w:tc>
          <w:tcPr>
            <w:tcW w:w="1904" w:type="dxa"/>
            <w:vAlign w:val="center"/>
          </w:tcPr>
          <w:p w14:paraId="464E6F0C" w14:textId="3C70A3D9" w:rsidR="00452443" w:rsidRPr="00FA0500" w:rsidRDefault="00602F30" w:rsidP="00344B9C">
            <w:pPr>
              <w:rPr>
                <w:rFonts w:cstheme="minorHAnsi"/>
              </w:rPr>
            </w:pPr>
            <w:r w:rsidRPr="00FA0500">
              <w:rPr>
                <w:rFonts w:cstheme="minorHAnsi"/>
              </w:rPr>
              <w:t>30</w:t>
            </w:r>
            <w:r w:rsidR="00DD0CF0" w:rsidRPr="00FA0500">
              <w:rPr>
                <w:rFonts w:cstheme="minorHAnsi"/>
              </w:rPr>
              <w:t>%</w:t>
            </w:r>
          </w:p>
        </w:tc>
      </w:tr>
    </w:tbl>
    <w:p w14:paraId="06768384" w14:textId="77777777" w:rsidR="00452443" w:rsidRPr="00E82C4B" w:rsidRDefault="00452443" w:rsidP="00452443">
      <w:pPr>
        <w:pStyle w:val="ListParagraph"/>
        <w:spacing w:after="0"/>
        <w:ind w:left="0"/>
        <w:jc w:val="both"/>
        <w:rPr>
          <w:lang w:eastAsia="en-GB"/>
        </w:rPr>
      </w:pPr>
    </w:p>
    <w:p w14:paraId="0BA0197A" w14:textId="77777777" w:rsidR="00452443" w:rsidRDefault="00452443" w:rsidP="00452443">
      <w:pPr>
        <w:pStyle w:val="ListParagraph"/>
        <w:spacing w:after="0"/>
        <w:ind w:left="0"/>
        <w:jc w:val="both"/>
        <w:rPr>
          <w:lang w:eastAsia="en-GB"/>
        </w:rPr>
      </w:pPr>
      <w:r>
        <w:rPr>
          <w:lang w:eastAsia="en-GB"/>
        </w:rPr>
        <w:t>All non-mandatory questions contained in the Specification of Requirements, along with the Usability criteria, will be scored on the following basis:</w:t>
      </w:r>
    </w:p>
    <w:p w14:paraId="17FE0B7B" w14:textId="77777777" w:rsidR="00452443" w:rsidRDefault="00452443" w:rsidP="00452443">
      <w:pPr>
        <w:pStyle w:val="ListParagraph"/>
        <w:spacing w:after="0"/>
        <w:ind w:left="0"/>
        <w:jc w:val="both"/>
        <w:rPr>
          <w:lang w:eastAsia="en-GB"/>
        </w:rPr>
      </w:pPr>
    </w:p>
    <w:tbl>
      <w:tblPr>
        <w:tblW w:w="0" w:type="auto"/>
        <w:tblInd w:w="108" w:type="dxa"/>
        <w:tblLook w:val="04A0" w:firstRow="1" w:lastRow="0" w:firstColumn="1" w:lastColumn="0" w:noHBand="0" w:noVBand="1"/>
      </w:tblPr>
      <w:tblGrid>
        <w:gridCol w:w="426"/>
        <w:gridCol w:w="1562"/>
        <w:gridCol w:w="7190"/>
      </w:tblGrid>
      <w:tr w:rsidR="00416292" w:rsidRPr="00757D8C" w14:paraId="38665E0C" w14:textId="77777777" w:rsidTr="00886C53">
        <w:tc>
          <w:tcPr>
            <w:tcW w:w="426" w:type="dxa"/>
            <w:shd w:val="clear" w:color="auto" w:fill="auto"/>
          </w:tcPr>
          <w:p w14:paraId="080B1CF8"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0</w:t>
            </w:r>
          </w:p>
        </w:tc>
        <w:tc>
          <w:tcPr>
            <w:tcW w:w="1562" w:type="dxa"/>
            <w:shd w:val="clear" w:color="auto" w:fill="auto"/>
          </w:tcPr>
          <w:p w14:paraId="2D62FACF"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Unacceptable</w:t>
            </w:r>
          </w:p>
        </w:tc>
        <w:tc>
          <w:tcPr>
            <w:tcW w:w="7190" w:type="dxa"/>
            <w:shd w:val="clear" w:color="auto" w:fill="auto"/>
          </w:tcPr>
          <w:p w14:paraId="493CB130"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(Complete failure to grasp / reflect the core issue)</w:t>
            </w:r>
          </w:p>
        </w:tc>
      </w:tr>
      <w:tr w:rsidR="00416292" w:rsidRPr="00757D8C" w14:paraId="2C27B914" w14:textId="77777777" w:rsidTr="00886C53">
        <w:tc>
          <w:tcPr>
            <w:tcW w:w="426" w:type="dxa"/>
            <w:shd w:val="clear" w:color="auto" w:fill="auto"/>
          </w:tcPr>
          <w:p w14:paraId="4A32C382"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1</w:t>
            </w:r>
          </w:p>
        </w:tc>
        <w:tc>
          <w:tcPr>
            <w:tcW w:w="1562" w:type="dxa"/>
            <w:shd w:val="clear" w:color="auto" w:fill="auto"/>
          </w:tcPr>
          <w:p w14:paraId="18832134"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Poor</w:t>
            </w:r>
          </w:p>
        </w:tc>
        <w:tc>
          <w:tcPr>
            <w:tcW w:w="7190" w:type="dxa"/>
            <w:shd w:val="clear" w:color="auto" w:fill="auto"/>
          </w:tcPr>
          <w:p w14:paraId="799D8C99"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(Lower than required reflects limited understanding)</w:t>
            </w:r>
          </w:p>
        </w:tc>
      </w:tr>
      <w:tr w:rsidR="00416292" w:rsidRPr="00757D8C" w14:paraId="5E844F82" w14:textId="77777777" w:rsidTr="00886C53">
        <w:tc>
          <w:tcPr>
            <w:tcW w:w="426" w:type="dxa"/>
            <w:shd w:val="clear" w:color="auto" w:fill="auto"/>
          </w:tcPr>
          <w:p w14:paraId="0AF3F289"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2</w:t>
            </w:r>
          </w:p>
        </w:tc>
        <w:tc>
          <w:tcPr>
            <w:tcW w:w="1562" w:type="dxa"/>
            <w:shd w:val="clear" w:color="auto" w:fill="auto"/>
          </w:tcPr>
          <w:p w14:paraId="4BAC2312"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Acceptable</w:t>
            </w:r>
          </w:p>
        </w:tc>
        <w:tc>
          <w:tcPr>
            <w:tcW w:w="7190" w:type="dxa"/>
            <w:shd w:val="clear" w:color="auto" w:fill="auto"/>
          </w:tcPr>
          <w:p w14:paraId="25CA5750"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(Reflects adequate understanding of all issues and aspects)</w:t>
            </w:r>
          </w:p>
        </w:tc>
      </w:tr>
      <w:tr w:rsidR="00416292" w:rsidRPr="00757D8C" w14:paraId="0A4716EC" w14:textId="77777777" w:rsidTr="00886C53">
        <w:tc>
          <w:tcPr>
            <w:tcW w:w="426" w:type="dxa"/>
            <w:shd w:val="clear" w:color="auto" w:fill="auto"/>
          </w:tcPr>
          <w:p w14:paraId="14EB17F4"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3</w:t>
            </w:r>
          </w:p>
        </w:tc>
        <w:tc>
          <w:tcPr>
            <w:tcW w:w="1562" w:type="dxa"/>
            <w:shd w:val="clear" w:color="auto" w:fill="auto"/>
          </w:tcPr>
          <w:p w14:paraId="1A02AA6F"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Good</w:t>
            </w:r>
          </w:p>
        </w:tc>
        <w:tc>
          <w:tcPr>
            <w:tcW w:w="7190" w:type="dxa"/>
            <w:shd w:val="clear" w:color="auto" w:fill="auto"/>
          </w:tcPr>
          <w:p w14:paraId="7351200A"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(Reflects good understanding and interpretation of requirements)</w:t>
            </w:r>
          </w:p>
        </w:tc>
      </w:tr>
      <w:tr w:rsidR="00416292" w:rsidRPr="00757D8C" w14:paraId="03304981" w14:textId="77777777" w:rsidTr="00886C53">
        <w:tc>
          <w:tcPr>
            <w:tcW w:w="426" w:type="dxa"/>
            <w:shd w:val="clear" w:color="auto" w:fill="auto"/>
          </w:tcPr>
          <w:p w14:paraId="644715CD"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4</w:t>
            </w:r>
          </w:p>
        </w:tc>
        <w:tc>
          <w:tcPr>
            <w:tcW w:w="1562" w:type="dxa"/>
            <w:shd w:val="clear" w:color="auto" w:fill="auto"/>
          </w:tcPr>
          <w:p w14:paraId="161C50E9"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Very Good</w:t>
            </w:r>
          </w:p>
        </w:tc>
        <w:tc>
          <w:tcPr>
            <w:tcW w:w="7190" w:type="dxa"/>
            <w:shd w:val="clear" w:color="auto" w:fill="auto"/>
          </w:tcPr>
          <w:p w14:paraId="5758C2A6"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(Reflects very good understanding and interpretation, with some innovative ideas)</w:t>
            </w:r>
          </w:p>
        </w:tc>
      </w:tr>
      <w:tr w:rsidR="00416292" w:rsidRPr="00757D8C" w14:paraId="134EE03D" w14:textId="77777777" w:rsidTr="00886C53">
        <w:tc>
          <w:tcPr>
            <w:tcW w:w="426" w:type="dxa"/>
            <w:shd w:val="clear" w:color="auto" w:fill="auto"/>
          </w:tcPr>
          <w:p w14:paraId="6E807C41"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5</w:t>
            </w:r>
          </w:p>
        </w:tc>
        <w:tc>
          <w:tcPr>
            <w:tcW w:w="1562" w:type="dxa"/>
            <w:shd w:val="clear" w:color="auto" w:fill="auto"/>
          </w:tcPr>
          <w:p w14:paraId="522BB1C4"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Excellent</w:t>
            </w:r>
          </w:p>
        </w:tc>
        <w:tc>
          <w:tcPr>
            <w:tcW w:w="7190" w:type="dxa"/>
            <w:shd w:val="clear" w:color="auto" w:fill="auto"/>
          </w:tcPr>
          <w:p w14:paraId="714F8930" w14:textId="77777777" w:rsidR="00416292" w:rsidRPr="00757D8C" w:rsidRDefault="00416292" w:rsidP="00886C53">
            <w:pPr>
              <w:pStyle w:val="EndnoteText"/>
              <w:rPr>
                <w:rFonts w:ascii="Calibri" w:hAnsi="Calibri" w:cs="Calibri"/>
                <w:bCs/>
                <w:i/>
                <w:sz w:val="22"/>
                <w:szCs w:val="22"/>
              </w:rPr>
            </w:pPr>
            <w:r w:rsidRPr="00757D8C">
              <w:rPr>
                <w:rFonts w:ascii="Calibri" w:hAnsi="Calibri" w:cs="Calibri"/>
                <w:bCs/>
                <w:i/>
                <w:sz w:val="22"/>
                <w:szCs w:val="22"/>
              </w:rPr>
              <w:t>(Reflects excellent understanding and interpretation, innovative and proactive with sound strategy)</w:t>
            </w:r>
          </w:p>
        </w:tc>
      </w:tr>
    </w:tbl>
    <w:p w14:paraId="53FD49EB" w14:textId="77777777" w:rsidR="00452443" w:rsidRPr="00012156" w:rsidRDefault="00452443" w:rsidP="00452443">
      <w:pPr>
        <w:pStyle w:val="ListParagraph"/>
        <w:spacing w:after="0"/>
        <w:ind w:left="1080"/>
        <w:jc w:val="both"/>
        <w:rPr>
          <w:lang w:eastAsia="en-GB"/>
        </w:rPr>
      </w:pPr>
    </w:p>
    <w:p w14:paraId="37099A55" w14:textId="77777777" w:rsidR="00452443" w:rsidRPr="00012156" w:rsidRDefault="00452443" w:rsidP="00452443">
      <w:pPr>
        <w:spacing w:after="0"/>
        <w:rPr>
          <w:bCs/>
          <w:lang w:val="en-US"/>
        </w:rPr>
      </w:pPr>
      <w:r w:rsidRPr="00012156">
        <w:rPr>
          <w:bCs/>
        </w:rPr>
        <w:t xml:space="preserve">The award criteria will be used for the purpose of selecting the most economically advantageous offer. </w:t>
      </w:r>
      <w:r w:rsidRPr="00012156">
        <w:rPr>
          <w:bCs/>
          <w:lang w:val="en-US"/>
        </w:rPr>
        <w:t>The evaluation panel anticipates the following activity:</w:t>
      </w:r>
    </w:p>
    <w:p w14:paraId="0672802E" w14:textId="77777777" w:rsidR="00452443" w:rsidRPr="00012156" w:rsidRDefault="00452443" w:rsidP="00452443">
      <w:pPr>
        <w:spacing w:after="0"/>
        <w:rPr>
          <w:bCs/>
          <w:lang w:val="en-US"/>
        </w:rPr>
      </w:pPr>
    </w:p>
    <w:p w14:paraId="71AC1B42" w14:textId="77777777" w:rsidR="00452443" w:rsidRPr="00012156" w:rsidRDefault="00452443" w:rsidP="00452443">
      <w:pPr>
        <w:numPr>
          <w:ilvl w:val="0"/>
          <w:numId w:val="15"/>
        </w:numPr>
        <w:spacing w:after="0" w:line="240" w:lineRule="auto"/>
        <w:jc w:val="both"/>
        <w:rPr>
          <w:bCs/>
          <w:lang w:val="en-US"/>
        </w:rPr>
      </w:pPr>
      <w:r w:rsidRPr="00012156">
        <w:rPr>
          <w:bCs/>
          <w:lang w:val="en-US"/>
        </w:rPr>
        <w:t xml:space="preserve">Initially a paper-based evaluation of the tender submissions with the evaluation panel scoring each quality criterion out of </w:t>
      </w:r>
      <w:r w:rsidR="00416292">
        <w:rPr>
          <w:bCs/>
          <w:lang w:val="en-US"/>
        </w:rPr>
        <w:t>5</w:t>
      </w:r>
      <w:r w:rsidRPr="00012156">
        <w:rPr>
          <w:bCs/>
          <w:lang w:val="en-US"/>
        </w:rPr>
        <w:t>.</w:t>
      </w:r>
    </w:p>
    <w:p w14:paraId="729E95CE" w14:textId="77777777" w:rsidR="00452443" w:rsidRPr="00FA7CA2" w:rsidRDefault="00452443" w:rsidP="00452443">
      <w:pPr>
        <w:spacing w:after="0" w:line="240" w:lineRule="auto"/>
        <w:ind w:left="720"/>
        <w:jc w:val="both"/>
        <w:rPr>
          <w:bCs/>
          <w:lang w:val="en-US"/>
        </w:rPr>
      </w:pPr>
    </w:p>
    <w:p w14:paraId="48E5F027" w14:textId="77777777" w:rsidR="00452443" w:rsidRDefault="00452443" w:rsidP="00452443">
      <w:pPr>
        <w:numPr>
          <w:ilvl w:val="0"/>
          <w:numId w:val="15"/>
        </w:numPr>
        <w:spacing w:after="0" w:line="240" w:lineRule="auto"/>
        <w:jc w:val="both"/>
        <w:rPr>
          <w:bCs/>
          <w:lang w:val="en-US"/>
        </w:rPr>
      </w:pPr>
      <w:r w:rsidRPr="00B66961">
        <w:rPr>
          <w:bCs/>
        </w:rPr>
        <w:lastRenderedPageBreak/>
        <w:t xml:space="preserve">The tender costs for each </w:t>
      </w:r>
      <w:r>
        <w:rPr>
          <w:bCs/>
        </w:rPr>
        <w:t>tenderer</w:t>
      </w:r>
      <w:r w:rsidRPr="00B66961">
        <w:rPr>
          <w:bCs/>
        </w:rPr>
        <w:t xml:space="preserve"> shall be compared against the lowest tender price submitted. </w:t>
      </w:r>
      <w:r w:rsidRPr="00B66961">
        <w:rPr>
          <w:bCs/>
          <w:lang w:val="en-US"/>
        </w:rPr>
        <w:t xml:space="preserve">A maximum score will be given to the lowest tendered price with any percentage difference equating to point deductions for the other </w:t>
      </w:r>
      <w:r>
        <w:rPr>
          <w:bCs/>
          <w:lang w:val="en-US"/>
        </w:rPr>
        <w:t>tenderers</w:t>
      </w:r>
      <w:r w:rsidRPr="00B66961">
        <w:rPr>
          <w:bCs/>
          <w:lang w:val="en-US"/>
        </w:rPr>
        <w:t>. Total cost will be considered including any additional costing implication for LSBU internal costs, if applicable, and additional supplies or services that may be required as a result of each tender proposal.</w:t>
      </w:r>
    </w:p>
    <w:p w14:paraId="383AECCC" w14:textId="77777777" w:rsidR="00452443" w:rsidRDefault="00452443" w:rsidP="00452443">
      <w:pPr>
        <w:pStyle w:val="ListParagraph"/>
        <w:spacing w:after="0"/>
        <w:rPr>
          <w:bCs/>
          <w:lang w:val="en-US"/>
        </w:rPr>
      </w:pPr>
    </w:p>
    <w:p w14:paraId="479B25C6" w14:textId="77777777" w:rsidR="00452443" w:rsidRDefault="00452443" w:rsidP="00452443">
      <w:pPr>
        <w:numPr>
          <w:ilvl w:val="0"/>
          <w:numId w:val="15"/>
        </w:numPr>
        <w:spacing w:after="0" w:line="240" w:lineRule="auto"/>
        <w:jc w:val="both"/>
        <w:rPr>
          <w:rFonts w:ascii="Calibri" w:hAnsi="Calibri" w:cs="Calibri"/>
          <w:bCs/>
          <w:lang w:val="en-US"/>
        </w:rPr>
      </w:pPr>
      <w:r w:rsidRPr="00BE6166">
        <w:rPr>
          <w:rFonts w:ascii="Calibri" w:hAnsi="Calibri" w:cs="Calibri"/>
          <w:bCs/>
          <w:lang w:val="en-US"/>
        </w:rPr>
        <w:t xml:space="preserve">Tenderers may be required to demonstrate their ability to </w:t>
      </w:r>
      <w:r>
        <w:rPr>
          <w:rFonts w:ascii="Calibri" w:hAnsi="Calibri" w:cs="Calibri"/>
          <w:bCs/>
          <w:lang w:val="en-US"/>
        </w:rPr>
        <w:t xml:space="preserve">meet </w:t>
      </w:r>
      <w:r w:rsidRPr="00BE6166">
        <w:rPr>
          <w:rFonts w:ascii="Calibri" w:hAnsi="Calibri" w:cs="Calibri"/>
          <w:bCs/>
          <w:lang w:val="en-US"/>
        </w:rPr>
        <w:t>LSBU’s requirements and it may be necessary for LSBU staff to v</w:t>
      </w:r>
      <w:r>
        <w:rPr>
          <w:rFonts w:ascii="Calibri" w:hAnsi="Calibri" w:cs="Calibri"/>
          <w:bCs/>
          <w:lang w:val="en-US"/>
        </w:rPr>
        <w:t>isit the Tenderer’</w:t>
      </w:r>
      <w:r w:rsidRPr="00BE6166">
        <w:rPr>
          <w:rFonts w:ascii="Calibri" w:hAnsi="Calibri" w:cs="Calibri"/>
          <w:bCs/>
          <w:lang w:val="en-US"/>
        </w:rPr>
        <w:t xml:space="preserve">s offices, reference sites or interview the Tenderer during the evaluation process. </w:t>
      </w:r>
    </w:p>
    <w:p w14:paraId="26050AB4" w14:textId="77777777" w:rsidR="00452443" w:rsidRPr="00BE6166" w:rsidRDefault="00452443" w:rsidP="00452443">
      <w:pPr>
        <w:spacing w:after="0" w:line="240" w:lineRule="auto"/>
        <w:ind w:left="714"/>
        <w:jc w:val="both"/>
        <w:rPr>
          <w:rFonts w:ascii="Calibri" w:hAnsi="Calibri" w:cs="Calibri"/>
          <w:bCs/>
          <w:lang w:val="en-US"/>
        </w:rPr>
      </w:pPr>
    </w:p>
    <w:p w14:paraId="2A7852D7" w14:textId="77777777" w:rsidR="00452443" w:rsidRPr="00BE6166" w:rsidRDefault="00452443" w:rsidP="00452443">
      <w:pPr>
        <w:pStyle w:val="ListParagraph"/>
        <w:numPr>
          <w:ilvl w:val="0"/>
          <w:numId w:val="15"/>
        </w:numPr>
        <w:spacing w:after="0" w:line="240" w:lineRule="auto"/>
        <w:contextualSpacing w:val="0"/>
        <w:jc w:val="both"/>
        <w:rPr>
          <w:rFonts w:ascii="Calibri" w:hAnsi="Calibri" w:cs="Calibri"/>
        </w:rPr>
      </w:pPr>
      <w:r w:rsidRPr="00BE6166">
        <w:rPr>
          <w:rFonts w:ascii="Calibri" w:hAnsi="Calibri" w:cs="Calibri"/>
          <w:bCs/>
          <w:lang w:val="en-US"/>
        </w:rPr>
        <w:t xml:space="preserve">If required, the final evaluation stage will be clarification of tender details. Clarifications may be sought in writing or through </w:t>
      </w:r>
      <w:r w:rsidR="001B089B" w:rsidRPr="00BE6166">
        <w:rPr>
          <w:rFonts w:ascii="Calibri" w:hAnsi="Calibri" w:cs="Calibri"/>
          <w:bCs/>
          <w:lang w:val="en-US"/>
        </w:rPr>
        <w:t>face-to-face</w:t>
      </w:r>
      <w:r w:rsidRPr="00BE6166">
        <w:rPr>
          <w:rFonts w:ascii="Calibri" w:hAnsi="Calibri" w:cs="Calibri"/>
          <w:bCs/>
          <w:lang w:val="en-US"/>
        </w:rPr>
        <w:t xml:space="preserve"> meetings and interviews, which may include demonstrations. Initial tender scores may be reviewed and adjusted by consensus of the panel as a result of information provided at the clarification stage.</w:t>
      </w:r>
    </w:p>
    <w:p w14:paraId="650EC577" w14:textId="77777777" w:rsidR="00452443" w:rsidRPr="005E5700" w:rsidRDefault="00452443" w:rsidP="00452443">
      <w:pPr>
        <w:pStyle w:val="ListParagraph"/>
        <w:spacing w:after="0"/>
        <w:ind w:left="0"/>
        <w:jc w:val="both"/>
        <w:rPr>
          <w:lang w:eastAsia="en-GB"/>
        </w:rPr>
      </w:pPr>
    </w:p>
    <w:p w14:paraId="02BA4B63" w14:textId="77777777" w:rsidR="001B089B" w:rsidRDefault="00452443" w:rsidP="001B089B">
      <w:pPr>
        <w:pStyle w:val="ListParagraph"/>
        <w:numPr>
          <w:ilvl w:val="0"/>
          <w:numId w:val="13"/>
        </w:numPr>
        <w:spacing w:after="0" w:line="276" w:lineRule="auto"/>
        <w:jc w:val="both"/>
        <w:rPr>
          <w:b/>
          <w:lang w:eastAsia="en-GB"/>
        </w:rPr>
      </w:pPr>
      <w:r>
        <w:rPr>
          <w:b/>
          <w:lang w:eastAsia="en-GB"/>
        </w:rPr>
        <w:t>Response Requirements</w:t>
      </w:r>
    </w:p>
    <w:p w14:paraId="3FEAD0AF" w14:textId="77777777" w:rsidR="001B089B" w:rsidRPr="001B089B" w:rsidRDefault="001B089B" w:rsidP="001B089B">
      <w:pPr>
        <w:spacing w:after="0" w:line="276" w:lineRule="auto"/>
        <w:jc w:val="both"/>
        <w:rPr>
          <w:b/>
          <w:lang w:eastAsia="en-GB"/>
        </w:rPr>
      </w:pPr>
    </w:p>
    <w:p w14:paraId="2E549A80" w14:textId="77777777" w:rsidR="001B089B" w:rsidRDefault="001B089B" w:rsidP="001B089B">
      <w:pPr>
        <w:spacing w:after="0" w:line="240" w:lineRule="auto"/>
        <w:jc w:val="both"/>
        <w:rPr>
          <w:lang w:eastAsia="en-GB"/>
        </w:rPr>
      </w:pPr>
      <w:r w:rsidRPr="001B089B">
        <w:rPr>
          <w:lang w:eastAsia="en-GB"/>
        </w:rPr>
        <w:t>Tenderers are required to submit the following documentation online through the Bravosolution web portal:</w:t>
      </w:r>
    </w:p>
    <w:p w14:paraId="7EB7F192" w14:textId="77777777" w:rsidR="001B089B" w:rsidRPr="001B089B" w:rsidRDefault="001B089B" w:rsidP="001B089B">
      <w:pPr>
        <w:spacing w:after="0" w:line="240" w:lineRule="auto"/>
        <w:jc w:val="both"/>
        <w:rPr>
          <w:lang w:eastAsia="en-GB"/>
        </w:rPr>
      </w:pPr>
    </w:p>
    <w:p w14:paraId="71BB5C68" w14:textId="2CC29960" w:rsidR="001B089B" w:rsidRDefault="000E4A9A" w:rsidP="00990627">
      <w:pPr>
        <w:pStyle w:val="ListParagraph"/>
        <w:numPr>
          <w:ilvl w:val="0"/>
          <w:numId w:val="17"/>
        </w:numPr>
        <w:spacing w:after="0" w:line="240" w:lineRule="auto"/>
        <w:jc w:val="both"/>
        <w:rPr>
          <w:lang w:eastAsia="en-GB"/>
        </w:rPr>
      </w:pPr>
      <w:r>
        <w:rPr>
          <w:lang w:eastAsia="en-GB"/>
        </w:rPr>
        <w:t>Full Proposal including</w:t>
      </w:r>
      <w:r w:rsidR="00800751">
        <w:rPr>
          <w:lang w:eastAsia="en-GB"/>
        </w:rPr>
        <w:t xml:space="preserve"> (as a mini</w:t>
      </w:r>
      <w:r w:rsidR="006C78D2">
        <w:rPr>
          <w:lang w:eastAsia="en-GB"/>
        </w:rPr>
        <w:t>mu</w:t>
      </w:r>
      <w:r w:rsidR="00800751">
        <w:rPr>
          <w:lang w:eastAsia="en-GB"/>
        </w:rPr>
        <w:t>m) –</w:t>
      </w:r>
      <w:r w:rsidR="00901FDA">
        <w:rPr>
          <w:lang w:eastAsia="en-GB"/>
        </w:rPr>
        <w:t xml:space="preserve"> CV</w:t>
      </w:r>
      <w:r w:rsidR="00C63027">
        <w:rPr>
          <w:lang w:eastAsia="en-GB"/>
        </w:rPr>
        <w:t xml:space="preserve"> of principal consultant(s) intending to work on this project,</w:t>
      </w:r>
      <w:r w:rsidR="00800751">
        <w:rPr>
          <w:lang w:eastAsia="en-GB"/>
        </w:rPr>
        <w:t xml:space="preserve"> </w:t>
      </w:r>
      <w:r w:rsidR="00C63027">
        <w:rPr>
          <w:lang w:eastAsia="en-GB"/>
        </w:rPr>
        <w:t>including examples of previous, relevant work and demonstrated understanding of start-ups and the entrepreneurship eco-system,</w:t>
      </w:r>
      <w:r>
        <w:rPr>
          <w:lang w:eastAsia="en-GB"/>
        </w:rPr>
        <w:t xml:space="preserve"> price s</w:t>
      </w:r>
      <w:r w:rsidR="001B089B" w:rsidRPr="001B089B">
        <w:rPr>
          <w:lang w:eastAsia="en-GB"/>
        </w:rPr>
        <w:t>chedule</w:t>
      </w:r>
      <w:r w:rsidR="00800751">
        <w:rPr>
          <w:lang w:eastAsia="en-GB"/>
        </w:rPr>
        <w:t xml:space="preserve"> against key milestones and</w:t>
      </w:r>
      <w:r>
        <w:rPr>
          <w:lang w:eastAsia="en-GB"/>
        </w:rPr>
        <w:t xml:space="preserve"> </w:t>
      </w:r>
      <w:r w:rsidR="00C63027">
        <w:rPr>
          <w:lang w:eastAsia="en-GB"/>
        </w:rPr>
        <w:t xml:space="preserve">outline </w:t>
      </w:r>
      <w:r w:rsidR="00200503">
        <w:rPr>
          <w:lang w:eastAsia="en-GB"/>
        </w:rPr>
        <w:t>project plan (including milestones)</w:t>
      </w:r>
      <w:r w:rsidR="001B089B" w:rsidRPr="001B089B">
        <w:rPr>
          <w:lang w:eastAsia="en-GB"/>
        </w:rPr>
        <w:t xml:space="preserve"> </w:t>
      </w:r>
    </w:p>
    <w:p w14:paraId="3BD4F10D" w14:textId="77777777" w:rsidR="006C78D2" w:rsidRDefault="006C78D2" w:rsidP="006C78D2">
      <w:pPr>
        <w:spacing w:after="0" w:line="240" w:lineRule="auto"/>
        <w:jc w:val="both"/>
        <w:rPr>
          <w:lang w:eastAsia="en-GB"/>
        </w:rPr>
      </w:pPr>
    </w:p>
    <w:p w14:paraId="73304F85" w14:textId="77777777" w:rsidR="006C78D2" w:rsidRPr="001B089B" w:rsidRDefault="006C78D2" w:rsidP="006C78D2">
      <w:pPr>
        <w:spacing w:after="0" w:line="240" w:lineRule="auto"/>
        <w:jc w:val="both"/>
        <w:rPr>
          <w:lang w:eastAsia="en-GB"/>
        </w:rPr>
      </w:pPr>
      <w:r>
        <w:rPr>
          <w:lang w:eastAsia="en-GB"/>
        </w:rPr>
        <w:t>A follow up interview may be required.</w:t>
      </w:r>
    </w:p>
    <w:p w14:paraId="1F678C51" w14:textId="77777777" w:rsidR="00452443" w:rsidRDefault="00452443" w:rsidP="00452443">
      <w:pPr>
        <w:spacing w:after="0"/>
        <w:jc w:val="both"/>
        <w:rPr>
          <w:b/>
          <w:lang w:eastAsia="en-GB"/>
        </w:rPr>
      </w:pPr>
    </w:p>
    <w:p w14:paraId="627EC196" w14:textId="77777777" w:rsidR="003009BC" w:rsidRDefault="003009BC"/>
    <w:sectPr w:rsidR="003009BC" w:rsidSect="003009BC">
      <w:headerReference w:type="default" r:id="rId8"/>
      <w:pgSz w:w="12240" w:h="16340"/>
      <w:pgMar w:top="1702" w:right="580" w:bottom="908" w:left="848" w:header="720" w:footer="720"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8690D1" w15:done="0"/>
  <w15:commentEx w15:paraId="51DB8403" w15:done="0"/>
  <w15:commentEx w15:paraId="05F1A0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428C8" w14:textId="77777777" w:rsidR="009676D3" w:rsidRDefault="009676D3" w:rsidP="00E85EA6">
      <w:pPr>
        <w:spacing w:after="0" w:line="240" w:lineRule="auto"/>
      </w:pPr>
      <w:r>
        <w:separator/>
      </w:r>
    </w:p>
  </w:endnote>
  <w:endnote w:type="continuationSeparator" w:id="0">
    <w:p w14:paraId="4CC35E3B" w14:textId="77777777" w:rsidR="009676D3" w:rsidRDefault="009676D3" w:rsidP="00E8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D231F" w14:textId="77777777" w:rsidR="009676D3" w:rsidRDefault="009676D3" w:rsidP="00E85EA6">
      <w:pPr>
        <w:spacing w:after="0" w:line="240" w:lineRule="auto"/>
      </w:pPr>
      <w:r>
        <w:separator/>
      </w:r>
    </w:p>
  </w:footnote>
  <w:footnote w:type="continuationSeparator" w:id="0">
    <w:p w14:paraId="7AAC4BCD" w14:textId="77777777" w:rsidR="009676D3" w:rsidRDefault="009676D3" w:rsidP="00E85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6F5A8" w14:textId="77777777" w:rsidR="008127B0" w:rsidRDefault="008127B0" w:rsidP="00E85EA6">
    <w:pPr>
      <w:pStyle w:val="Header"/>
      <w:jc w:val="right"/>
    </w:pPr>
    <w:r>
      <w:rPr>
        <w:noProof/>
        <w:lang w:eastAsia="en-GB"/>
      </w:rPr>
      <w:drawing>
        <wp:anchor distT="0" distB="0" distL="114300" distR="114300" simplePos="0" relativeHeight="251659264" behindDoc="1" locked="0" layoutInCell="1" allowOverlap="1" wp14:anchorId="2AD0D073" wp14:editId="27D9A1DF">
          <wp:simplePos x="0" y="0"/>
          <wp:positionH relativeFrom="column">
            <wp:posOffset>-405130</wp:posOffset>
          </wp:positionH>
          <wp:positionV relativeFrom="paragraph">
            <wp:posOffset>-283210</wp:posOffset>
          </wp:positionV>
          <wp:extent cx="1774190" cy="817245"/>
          <wp:effectExtent l="0" t="0" r="0" b="1905"/>
          <wp:wrapTight wrapText="bothSides">
            <wp:wrapPolygon edited="0">
              <wp:start x="0" y="0"/>
              <wp:lineTo x="0" y="21147"/>
              <wp:lineTo x="21337" y="21147"/>
              <wp:lineTo x="213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817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6323B689" wp14:editId="6C1E8D65">
          <wp:simplePos x="0" y="0"/>
          <wp:positionH relativeFrom="column">
            <wp:posOffset>4195445</wp:posOffset>
          </wp:positionH>
          <wp:positionV relativeFrom="paragraph">
            <wp:posOffset>-286385</wp:posOffset>
          </wp:positionV>
          <wp:extent cx="3000375" cy="656590"/>
          <wp:effectExtent l="0" t="0" r="9525" b="0"/>
          <wp:wrapTight wrapText="bothSides">
            <wp:wrapPolygon edited="0">
              <wp:start x="0" y="0"/>
              <wp:lineTo x="0" y="20681"/>
              <wp:lineTo x="21531" y="20681"/>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00375" cy="656590"/>
                  </a:xfrm>
                  <a:prstGeom prst="rect">
                    <a:avLst/>
                  </a:prstGeom>
                  <a:noFill/>
                </pic:spPr>
              </pic:pic>
            </a:graphicData>
          </a:graphic>
          <wp14:sizeRelH relativeFrom="page">
            <wp14:pctWidth>0</wp14:pctWidth>
          </wp14:sizeRelH>
          <wp14:sizeRelV relativeFrom="page">
            <wp14:pctHeight>0</wp14:pctHeight>
          </wp14:sizeRelV>
        </wp:anchor>
      </w:drawing>
    </w:r>
  </w:p>
  <w:p w14:paraId="2E6B0FD0" w14:textId="77777777" w:rsidR="008127B0" w:rsidRDefault="008127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942C8D"/>
    <w:multiLevelType w:val="hybridMultilevel"/>
    <w:tmpl w:val="249998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4611B"/>
    <w:multiLevelType w:val="hybridMultilevel"/>
    <w:tmpl w:val="2D30DE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6F814D2"/>
    <w:multiLevelType w:val="hybridMultilevel"/>
    <w:tmpl w:val="C78E1E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20005797"/>
    <w:multiLevelType w:val="hybridMultilevel"/>
    <w:tmpl w:val="2C46E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E5523D4"/>
    <w:multiLevelType w:val="hybridMultilevel"/>
    <w:tmpl w:val="A82A0086"/>
    <w:lvl w:ilvl="0" w:tplc="08090017">
      <w:start w:val="1"/>
      <w:numFmt w:val="lowerLetter"/>
      <w:lvlText w:val="%1)"/>
      <w:lvlJc w:val="left"/>
      <w:pPr>
        <w:tabs>
          <w:tab w:val="num" w:pos="720"/>
        </w:tabs>
        <w:ind w:left="720" w:hanging="360"/>
      </w:pPr>
      <w:rPr>
        <w:rFonts w:hint="default"/>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6EA653B"/>
    <w:multiLevelType w:val="hybridMultilevel"/>
    <w:tmpl w:val="BF0EEC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9605527"/>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nsid w:val="3E395868"/>
    <w:multiLevelType w:val="hybridMultilevel"/>
    <w:tmpl w:val="BF0EECB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D35247"/>
    <w:multiLevelType w:val="hybridMultilevel"/>
    <w:tmpl w:val="8452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4F48CC"/>
    <w:multiLevelType w:val="hybridMultilevel"/>
    <w:tmpl w:val="E842DC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4517DE"/>
    <w:multiLevelType w:val="hybridMultilevel"/>
    <w:tmpl w:val="CDD858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4EFB2815"/>
    <w:multiLevelType w:val="hybridMultilevel"/>
    <w:tmpl w:val="38821A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D47504"/>
    <w:multiLevelType w:val="hybridMultilevel"/>
    <w:tmpl w:val="C0A89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38B5040"/>
    <w:multiLevelType w:val="hybridMultilevel"/>
    <w:tmpl w:val="FE8A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D4CEA"/>
    <w:multiLevelType w:val="hybridMultilevel"/>
    <w:tmpl w:val="79D517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85329BA"/>
    <w:multiLevelType w:val="hybridMultilevel"/>
    <w:tmpl w:val="293E7E90"/>
    <w:lvl w:ilvl="0" w:tplc="C0BC66AA">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AA71112"/>
    <w:multiLevelType w:val="hybridMultilevel"/>
    <w:tmpl w:val="84925DB4"/>
    <w:lvl w:ilvl="0" w:tplc="C50C186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5AE1351C"/>
    <w:multiLevelType w:val="hybridMultilevel"/>
    <w:tmpl w:val="5C12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C907F0"/>
    <w:multiLevelType w:val="hybridMultilevel"/>
    <w:tmpl w:val="863AED6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656A5BDA"/>
    <w:multiLevelType w:val="hybridMultilevel"/>
    <w:tmpl w:val="27460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644EE7"/>
    <w:multiLevelType w:val="hybridMultilevel"/>
    <w:tmpl w:val="6EB695EE"/>
    <w:lvl w:ilvl="0" w:tplc="6A940A60">
      <w:start w:val="1"/>
      <w:numFmt w:val="bullet"/>
      <w:lvlText w:val="•"/>
      <w:lvlJc w:val="left"/>
      <w:pPr>
        <w:tabs>
          <w:tab w:val="num" w:pos="720"/>
        </w:tabs>
        <w:ind w:left="720" w:hanging="360"/>
      </w:pPr>
      <w:rPr>
        <w:rFonts w:ascii="Arial" w:hAnsi="Arial" w:hint="default"/>
      </w:rPr>
    </w:lvl>
    <w:lvl w:ilvl="1" w:tplc="54DE47F4" w:tentative="1">
      <w:start w:val="1"/>
      <w:numFmt w:val="bullet"/>
      <w:lvlText w:val="•"/>
      <w:lvlJc w:val="left"/>
      <w:pPr>
        <w:tabs>
          <w:tab w:val="num" w:pos="1440"/>
        </w:tabs>
        <w:ind w:left="1440" w:hanging="360"/>
      </w:pPr>
      <w:rPr>
        <w:rFonts w:ascii="Arial" w:hAnsi="Arial" w:hint="default"/>
      </w:rPr>
    </w:lvl>
    <w:lvl w:ilvl="2" w:tplc="E9643C50" w:tentative="1">
      <w:start w:val="1"/>
      <w:numFmt w:val="bullet"/>
      <w:lvlText w:val="•"/>
      <w:lvlJc w:val="left"/>
      <w:pPr>
        <w:tabs>
          <w:tab w:val="num" w:pos="2160"/>
        </w:tabs>
        <w:ind w:left="2160" w:hanging="360"/>
      </w:pPr>
      <w:rPr>
        <w:rFonts w:ascii="Arial" w:hAnsi="Arial" w:hint="default"/>
      </w:rPr>
    </w:lvl>
    <w:lvl w:ilvl="3" w:tplc="146A780A" w:tentative="1">
      <w:start w:val="1"/>
      <w:numFmt w:val="bullet"/>
      <w:lvlText w:val="•"/>
      <w:lvlJc w:val="left"/>
      <w:pPr>
        <w:tabs>
          <w:tab w:val="num" w:pos="2880"/>
        </w:tabs>
        <w:ind w:left="2880" w:hanging="360"/>
      </w:pPr>
      <w:rPr>
        <w:rFonts w:ascii="Arial" w:hAnsi="Arial" w:hint="default"/>
      </w:rPr>
    </w:lvl>
    <w:lvl w:ilvl="4" w:tplc="8A38286E" w:tentative="1">
      <w:start w:val="1"/>
      <w:numFmt w:val="bullet"/>
      <w:lvlText w:val="•"/>
      <w:lvlJc w:val="left"/>
      <w:pPr>
        <w:tabs>
          <w:tab w:val="num" w:pos="3600"/>
        </w:tabs>
        <w:ind w:left="3600" w:hanging="360"/>
      </w:pPr>
      <w:rPr>
        <w:rFonts w:ascii="Arial" w:hAnsi="Arial" w:hint="default"/>
      </w:rPr>
    </w:lvl>
    <w:lvl w:ilvl="5" w:tplc="75BC51BA" w:tentative="1">
      <w:start w:val="1"/>
      <w:numFmt w:val="bullet"/>
      <w:lvlText w:val="•"/>
      <w:lvlJc w:val="left"/>
      <w:pPr>
        <w:tabs>
          <w:tab w:val="num" w:pos="4320"/>
        </w:tabs>
        <w:ind w:left="4320" w:hanging="360"/>
      </w:pPr>
      <w:rPr>
        <w:rFonts w:ascii="Arial" w:hAnsi="Arial" w:hint="default"/>
      </w:rPr>
    </w:lvl>
    <w:lvl w:ilvl="6" w:tplc="CDC0C4DC" w:tentative="1">
      <w:start w:val="1"/>
      <w:numFmt w:val="bullet"/>
      <w:lvlText w:val="•"/>
      <w:lvlJc w:val="left"/>
      <w:pPr>
        <w:tabs>
          <w:tab w:val="num" w:pos="5040"/>
        </w:tabs>
        <w:ind w:left="5040" w:hanging="360"/>
      </w:pPr>
      <w:rPr>
        <w:rFonts w:ascii="Arial" w:hAnsi="Arial" w:hint="default"/>
      </w:rPr>
    </w:lvl>
    <w:lvl w:ilvl="7" w:tplc="E81E4DCE" w:tentative="1">
      <w:start w:val="1"/>
      <w:numFmt w:val="bullet"/>
      <w:lvlText w:val="•"/>
      <w:lvlJc w:val="left"/>
      <w:pPr>
        <w:tabs>
          <w:tab w:val="num" w:pos="5760"/>
        </w:tabs>
        <w:ind w:left="5760" w:hanging="360"/>
      </w:pPr>
      <w:rPr>
        <w:rFonts w:ascii="Arial" w:hAnsi="Arial" w:hint="default"/>
      </w:rPr>
    </w:lvl>
    <w:lvl w:ilvl="8" w:tplc="25D6CA94" w:tentative="1">
      <w:start w:val="1"/>
      <w:numFmt w:val="bullet"/>
      <w:lvlText w:val="•"/>
      <w:lvlJc w:val="left"/>
      <w:pPr>
        <w:tabs>
          <w:tab w:val="num" w:pos="6480"/>
        </w:tabs>
        <w:ind w:left="6480" w:hanging="360"/>
      </w:pPr>
      <w:rPr>
        <w:rFonts w:ascii="Arial" w:hAnsi="Arial" w:hint="default"/>
      </w:rPr>
    </w:lvl>
  </w:abstractNum>
  <w:abstractNum w:abstractNumId="21">
    <w:nsid w:val="68AB228C"/>
    <w:multiLevelType w:val="hybridMultilevel"/>
    <w:tmpl w:val="179E4B06"/>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nsid w:val="698A2E39"/>
    <w:multiLevelType w:val="hybridMultilevel"/>
    <w:tmpl w:val="D9AC5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695CB0"/>
    <w:multiLevelType w:val="hybridMultilevel"/>
    <w:tmpl w:val="078C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43027E"/>
    <w:multiLevelType w:val="multilevel"/>
    <w:tmpl w:val="E6FE2B46"/>
    <w:lvl w:ilvl="0">
      <w:start w:val="2"/>
      <w:numFmt w:val="decimal"/>
      <w:lvlText w:val="%1."/>
      <w:lvlJc w:val="left"/>
      <w:pPr>
        <w:ind w:left="720" w:hanging="360"/>
      </w:pPr>
      <w:rPr>
        <w:rFonts w:hint="default"/>
        <w:i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14"/>
  </w:num>
  <w:num w:numId="2">
    <w:abstractNumId w:val="0"/>
  </w:num>
  <w:num w:numId="3">
    <w:abstractNumId w:val="11"/>
  </w:num>
  <w:num w:numId="4">
    <w:abstractNumId w:val="20"/>
  </w:num>
  <w:num w:numId="5">
    <w:abstractNumId w:val="1"/>
  </w:num>
  <w:num w:numId="6">
    <w:abstractNumId w:val="10"/>
  </w:num>
  <w:num w:numId="7">
    <w:abstractNumId w:val="2"/>
  </w:num>
  <w:num w:numId="8">
    <w:abstractNumId w:val="16"/>
  </w:num>
  <w:num w:numId="9">
    <w:abstractNumId w:val="6"/>
  </w:num>
  <w:num w:numId="10">
    <w:abstractNumId w:val="22"/>
  </w:num>
  <w:num w:numId="11">
    <w:abstractNumId w:val="19"/>
  </w:num>
  <w:num w:numId="12">
    <w:abstractNumId w:val="12"/>
  </w:num>
  <w:num w:numId="13">
    <w:abstractNumId w:val="24"/>
  </w:num>
  <w:num w:numId="14">
    <w:abstractNumId w:val="15"/>
  </w:num>
  <w:num w:numId="15">
    <w:abstractNumId w:val="4"/>
  </w:num>
  <w:num w:numId="16">
    <w:abstractNumId w:val="18"/>
  </w:num>
  <w:num w:numId="17">
    <w:abstractNumId w:val="21"/>
  </w:num>
  <w:num w:numId="18">
    <w:abstractNumId w:val="8"/>
  </w:num>
  <w:num w:numId="19">
    <w:abstractNumId w:val="13"/>
  </w:num>
  <w:num w:numId="20">
    <w:abstractNumId w:val="3"/>
  </w:num>
  <w:num w:numId="21">
    <w:abstractNumId w:val="23"/>
  </w:num>
  <w:num w:numId="22">
    <w:abstractNumId w:val="17"/>
  </w:num>
  <w:num w:numId="23">
    <w:abstractNumId w:val="5"/>
  </w:num>
  <w:num w:numId="24">
    <w:abstractNumId w:val="7"/>
  </w:num>
  <w:num w:numId="25">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mma Wan">
    <w15:presenceInfo w15:providerId="None" w15:userId="Gemma W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22"/>
    <w:rsid w:val="000316E2"/>
    <w:rsid w:val="0004102C"/>
    <w:rsid w:val="0008208B"/>
    <w:rsid w:val="0008509B"/>
    <w:rsid w:val="000A2A56"/>
    <w:rsid w:val="000C6298"/>
    <w:rsid w:val="000D1944"/>
    <w:rsid w:val="000E4A9A"/>
    <w:rsid w:val="000E6B61"/>
    <w:rsid w:val="000E7931"/>
    <w:rsid w:val="0010639A"/>
    <w:rsid w:val="00111315"/>
    <w:rsid w:val="0012182C"/>
    <w:rsid w:val="001413D3"/>
    <w:rsid w:val="00145A0C"/>
    <w:rsid w:val="00172B45"/>
    <w:rsid w:val="001B089B"/>
    <w:rsid w:val="001B2F97"/>
    <w:rsid w:val="001E495A"/>
    <w:rsid w:val="001F71E1"/>
    <w:rsid w:val="00200503"/>
    <w:rsid w:val="00247C75"/>
    <w:rsid w:val="00254708"/>
    <w:rsid w:val="002632D4"/>
    <w:rsid w:val="00271519"/>
    <w:rsid w:val="00275671"/>
    <w:rsid w:val="00292A77"/>
    <w:rsid w:val="002948C6"/>
    <w:rsid w:val="002C03DB"/>
    <w:rsid w:val="002D2F81"/>
    <w:rsid w:val="003009BC"/>
    <w:rsid w:val="0030143F"/>
    <w:rsid w:val="00334645"/>
    <w:rsid w:val="003349C0"/>
    <w:rsid w:val="00342406"/>
    <w:rsid w:val="00344B9C"/>
    <w:rsid w:val="00367C8F"/>
    <w:rsid w:val="003706E1"/>
    <w:rsid w:val="003716FC"/>
    <w:rsid w:val="003774A5"/>
    <w:rsid w:val="00380FA1"/>
    <w:rsid w:val="00396BDE"/>
    <w:rsid w:val="003C5C77"/>
    <w:rsid w:val="003C7578"/>
    <w:rsid w:val="00416292"/>
    <w:rsid w:val="00432F05"/>
    <w:rsid w:val="00437EB8"/>
    <w:rsid w:val="00446850"/>
    <w:rsid w:val="00452443"/>
    <w:rsid w:val="00474660"/>
    <w:rsid w:val="004A0A7D"/>
    <w:rsid w:val="004D5B9F"/>
    <w:rsid w:val="004F131C"/>
    <w:rsid w:val="005007AF"/>
    <w:rsid w:val="005040E7"/>
    <w:rsid w:val="00516AD3"/>
    <w:rsid w:val="00527B90"/>
    <w:rsid w:val="00532CF1"/>
    <w:rsid w:val="0053727D"/>
    <w:rsid w:val="005477BC"/>
    <w:rsid w:val="005551FE"/>
    <w:rsid w:val="00563AEC"/>
    <w:rsid w:val="00571F9C"/>
    <w:rsid w:val="005A11E9"/>
    <w:rsid w:val="005A4CF5"/>
    <w:rsid w:val="005D636A"/>
    <w:rsid w:val="005F35D5"/>
    <w:rsid w:val="00602F30"/>
    <w:rsid w:val="00616620"/>
    <w:rsid w:val="00634305"/>
    <w:rsid w:val="00646F29"/>
    <w:rsid w:val="006512B6"/>
    <w:rsid w:val="00662D45"/>
    <w:rsid w:val="0069027A"/>
    <w:rsid w:val="00690CD2"/>
    <w:rsid w:val="006A31D9"/>
    <w:rsid w:val="006C78D2"/>
    <w:rsid w:val="006D373C"/>
    <w:rsid w:val="006F24EF"/>
    <w:rsid w:val="006F5152"/>
    <w:rsid w:val="0070324B"/>
    <w:rsid w:val="007245EB"/>
    <w:rsid w:val="00745BFA"/>
    <w:rsid w:val="00763BC4"/>
    <w:rsid w:val="00776F1C"/>
    <w:rsid w:val="00796093"/>
    <w:rsid w:val="007C1D88"/>
    <w:rsid w:val="007D7C32"/>
    <w:rsid w:val="007E07D2"/>
    <w:rsid w:val="007F393B"/>
    <w:rsid w:val="00800751"/>
    <w:rsid w:val="0080369E"/>
    <w:rsid w:val="008127B0"/>
    <w:rsid w:val="00886C53"/>
    <w:rsid w:val="008902F4"/>
    <w:rsid w:val="008C2085"/>
    <w:rsid w:val="008C4FF0"/>
    <w:rsid w:val="008D154F"/>
    <w:rsid w:val="008D77AD"/>
    <w:rsid w:val="008E6C3B"/>
    <w:rsid w:val="00901FDA"/>
    <w:rsid w:val="009026AB"/>
    <w:rsid w:val="00907422"/>
    <w:rsid w:val="00915131"/>
    <w:rsid w:val="009205BC"/>
    <w:rsid w:val="00961622"/>
    <w:rsid w:val="00965224"/>
    <w:rsid w:val="009676D3"/>
    <w:rsid w:val="00990627"/>
    <w:rsid w:val="009A2F7A"/>
    <w:rsid w:val="009B5267"/>
    <w:rsid w:val="009E5CFB"/>
    <w:rsid w:val="00A03600"/>
    <w:rsid w:val="00A03780"/>
    <w:rsid w:val="00A17368"/>
    <w:rsid w:val="00A661DF"/>
    <w:rsid w:val="00A9199D"/>
    <w:rsid w:val="00AB477E"/>
    <w:rsid w:val="00AE3114"/>
    <w:rsid w:val="00AF08F4"/>
    <w:rsid w:val="00AF206C"/>
    <w:rsid w:val="00B20E56"/>
    <w:rsid w:val="00B25E41"/>
    <w:rsid w:val="00B46677"/>
    <w:rsid w:val="00B56AB0"/>
    <w:rsid w:val="00B75B25"/>
    <w:rsid w:val="00BB304A"/>
    <w:rsid w:val="00C00129"/>
    <w:rsid w:val="00C63027"/>
    <w:rsid w:val="00C852EA"/>
    <w:rsid w:val="00CA7918"/>
    <w:rsid w:val="00CB4738"/>
    <w:rsid w:val="00CC581F"/>
    <w:rsid w:val="00CE5003"/>
    <w:rsid w:val="00CF6028"/>
    <w:rsid w:val="00D14037"/>
    <w:rsid w:val="00D2240E"/>
    <w:rsid w:val="00D66F2C"/>
    <w:rsid w:val="00D76A99"/>
    <w:rsid w:val="00D90F53"/>
    <w:rsid w:val="00D942C6"/>
    <w:rsid w:val="00DD0CF0"/>
    <w:rsid w:val="00DD74D4"/>
    <w:rsid w:val="00DE7FEF"/>
    <w:rsid w:val="00E04E22"/>
    <w:rsid w:val="00E31789"/>
    <w:rsid w:val="00E5511F"/>
    <w:rsid w:val="00E85EA6"/>
    <w:rsid w:val="00EA2C3C"/>
    <w:rsid w:val="00F123EF"/>
    <w:rsid w:val="00F37739"/>
    <w:rsid w:val="00F624A0"/>
    <w:rsid w:val="00F96ADC"/>
    <w:rsid w:val="00FA0500"/>
    <w:rsid w:val="00FB0FDD"/>
    <w:rsid w:val="00FB32D0"/>
    <w:rsid w:val="00FC1014"/>
    <w:rsid w:val="00FD0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FD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16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E7FEF"/>
    <w:pPr>
      <w:ind w:left="720"/>
      <w:contextualSpacing/>
    </w:pPr>
  </w:style>
  <w:style w:type="paragraph" w:styleId="BalloonText">
    <w:name w:val="Balloon Text"/>
    <w:basedOn w:val="Normal"/>
    <w:link w:val="BalloonTextChar"/>
    <w:uiPriority w:val="99"/>
    <w:semiHidden/>
    <w:unhideWhenUsed/>
    <w:rsid w:val="0054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7BC"/>
    <w:rPr>
      <w:rFonts w:ascii="Tahoma" w:hAnsi="Tahoma" w:cs="Tahoma"/>
      <w:sz w:val="16"/>
      <w:szCs w:val="16"/>
    </w:rPr>
  </w:style>
  <w:style w:type="paragraph" w:styleId="Header">
    <w:name w:val="header"/>
    <w:basedOn w:val="Normal"/>
    <w:link w:val="HeaderChar"/>
    <w:uiPriority w:val="99"/>
    <w:unhideWhenUsed/>
    <w:rsid w:val="00E85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EA6"/>
  </w:style>
  <w:style w:type="paragraph" w:styleId="Footer">
    <w:name w:val="footer"/>
    <w:basedOn w:val="Normal"/>
    <w:link w:val="FooterChar"/>
    <w:uiPriority w:val="99"/>
    <w:unhideWhenUsed/>
    <w:rsid w:val="00E85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EA6"/>
  </w:style>
  <w:style w:type="table" w:customStyle="1" w:styleId="TableGrid1">
    <w:name w:val="Table Grid1"/>
    <w:basedOn w:val="TableNormal"/>
    <w:next w:val="TableGrid"/>
    <w:uiPriority w:val="59"/>
    <w:rsid w:val="0045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5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63BC4"/>
    <w:pPr>
      <w:spacing w:after="0" w:line="240" w:lineRule="auto"/>
    </w:pPr>
  </w:style>
  <w:style w:type="paragraph" w:styleId="EndnoteText">
    <w:name w:val="endnote text"/>
    <w:basedOn w:val="Normal"/>
    <w:link w:val="EndnoteTextChar"/>
    <w:rsid w:val="00416292"/>
    <w:pPr>
      <w:tabs>
        <w:tab w:val="left" w:pos="-720"/>
      </w:tabs>
      <w:suppressAutoHyphens/>
      <w:spacing w:after="0" w:line="240" w:lineRule="auto"/>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rsid w:val="00416292"/>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C852EA"/>
    <w:rPr>
      <w:sz w:val="18"/>
      <w:szCs w:val="18"/>
    </w:rPr>
  </w:style>
  <w:style w:type="paragraph" w:styleId="CommentText">
    <w:name w:val="annotation text"/>
    <w:basedOn w:val="Normal"/>
    <w:link w:val="CommentTextChar"/>
    <w:uiPriority w:val="99"/>
    <w:semiHidden/>
    <w:unhideWhenUsed/>
    <w:rsid w:val="00C852EA"/>
    <w:pPr>
      <w:spacing w:line="240" w:lineRule="auto"/>
    </w:pPr>
    <w:rPr>
      <w:sz w:val="24"/>
      <w:szCs w:val="24"/>
    </w:rPr>
  </w:style>
  <w:style w:type="character" w:customStyle="1" w:styleId="CommentTextChar">
    <w:name w:val="Comment Text Char"/>
    <w:basedOn w:val="DefaultParagraphFont"/>
    <w:link w:val="CommentText"/>
    <w:uiPriority w:val="99"/>
    <w:semiHidden/>
    <w:rsid w:val="00C852EA"/>
    <w:rPr>
      <w:sz w:val="24"/>
      <w:szCs w:val="24"/>
    </w:rPr>
  </w:style>
  <w:style w:type="paragraph" w:styleId="CommentSubject">
    <w:name w:val="annotation subject"/>
    <w:basedOn w:val="CommentText"/>
    <w:next w:val="CommentText"/>
    <w:link w:val="CommentSubjectChar"/>
    <w:uiPriority w:val="99"/>
    <w:semiHidden/>
    <w:unhideWhenUsed/>
    <w:rsid w:val="00C852EA"/>
    <w:rPr>
      <w:b/>
      <w:bCs/>
      <w:sz w:val="20"/>
      <w:szCs w:val="20"/>
    </w:rPr>
  </w:style>
  <w:style w:type="character" w:customStyle="1" w:styleId="CommentSubjectChar">
    <w:name w:val="Comment Subject Char"/>
    <w:basedOn w:val="CommentTextChar"/>
    <w:link w:val="CommentSubject"/>
    <w:uiPriority w:val="99"/>
    <w:semiHidden/>
    <w:rsid w:val="00C852E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162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E7FEF"/>
    <w:pPr>
      <w:ind w:left="720"/>
      <w:contextualSpacing/>
    </w:pPr>
  </w:style>
  <w:style w:type="paragraph" w:styleId="BalloonText">
    <w:name w:val="Balloon Text"/>
    <w:basedOn w:val="Normal"/>
    <w:link w:val="BalloonTextChar"/>
    <w:uiPriority w:val="99"/>
    <w:semiHidden/>
    <w:unhideWhenUsed/>
    <w:rsid w:val="00547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7BC"/>
    <w:rPr>
      <w:rFonts w:ascii="Tahoma" w:hAnsi="Tahoma" w:cs="Tahoma"/>
      <w:sz w:val="16"/>
      <w:szCs w:val="16"/>
    </w:rPr>
  </w:style>
  <w:style w:type="paragraph" w:styleId="Header">
    <w:name w:val="header"/>
    <w:basedOn w:val="Normal"/>
    <w:link w:val="HeaderChar"/>
    <w:uiPriority w:val="99"/>
    <w:unhideWhenUsed/>
    <w:rsid w:val="00E85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EA6"/>
  </w:style>
  <w:style w:type="paragraph" w:styleId="Footer">
    <w:name w:val="footer"/>
    <w:basedOn w:val="Normal"/>
    <w:link w:val="FooterChar"/>
    <w:uiPriority w:val="99"/>
    <w:unhideWhenUsed/>
    <w:rsid w:val="00E85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EA6"/>
  </w:style>
  <w:style w:type="table" w:customStyle="1" w:styleId="TableGrid1">
    <w:name w:val="Table Grid1"/>
    <w:basedOn w:val="TableNormal"/>
    <w:next w:val="TableGrid"/>
    <w:uiPriority w:val="59"/>
    <w:rsid w:val="0045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5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63BC4"/>
    <w:pPr>
      <w:spacing w:after="0" w:line="240" w:lineRule="auto"/>
    </w:pPr>
  </w:style>
  <w:style w:type="paragraph" w:styleId="EndnoteText">
    <w:name w:val="endnote text"/>
    <w:basedOn w:val="Normal"/>
    <w:link w:val="EndnoteTextChar"/>
    <w:rsid w:val="00416292"/>
    <w:pPr>
      <w:tabs>
        <w:tab w:val="left" w:pos="-720"/>
      </w:tabs>
      <w:suppressAutoHyphens/>
      <w:spacing w:after="0" w:line="240" w:lineRule="auto"/>
    </w:pPr>
    <w:rPr>
      <w:rFonts w:ascii="Times New Roman" w:eastAsia="Times New Roman" w:hAnsi="Times New Roman" w:cs="Times New Roman"/>
      <w:sz w:val="24"/>
      <w:szCs w:val="20"/>
      <w:lang w:val="en-US"/>
    </w:rPr>
  </w:style>
  <w:style w:type="character" w:customStyle="1" w:styleId="EndnoteTextChar">
    <w:name w:val="Endnote Text Char"/>
    <w:basedOn w:val="DefaultParagraphFont"/>
    <w:link w:val="EndnoteText"/>
    <w:rsid w:val="00416292"/>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C852EA"/>
    <w:rPr>
      <w:sz w:val="18"/>
      <w:szCs w:val="18"/>
    </w:rPr>
  </w:style>
  <w:style w:type="paragraph" w:styleId="CommentText">
    <w:name w:val="annotation text"/>
    <w:basedOn w:val="Normal"/>
    <w:link w:val="CommentTextChar"/>
    <w:uiPriority w:val="99"/>
    <w:semiHidden/>
    <w:unhideWhenUsed/>
    <w:rsid w:val="00C852EA"/>
    <w:pPr>
      <w:spacing w:line="240" w:lineRule="auto"/>
    </w:pPr>
    <w:rPr>
      <w:sz w:val="24"/>
      <w:szCs w:val="24"/>
    </w:rPr>
  </w:style>
  <w:style w:type="character" w:customStyle="1" w:styleId="CommentTextChar">
    <w:name w:val="Comment Text Char"/>
    <w:basedOn w:val="DefaultParagraphFont"/>
    <w:link w:val="CommentText"/>
    <w:uiPriority w:val="99"/>
    <w:semiHidden/>
    <w:rsid w:val="00C852EA"/>
    <w:rPr>
      <w:sz w:val="24"/>
      <w:szCs w:val="24"/>
    </w:rPr>
  </w:style>
  <w:style w:type="paragraph" w:styleId="CommentSubject">
    <w:name w:val="annotation subject"/>
    <w:basedOn w:val="CommentText"/>
    <w:next w:val="CommentText"/>
    <w:link w:val="CommentSubjectChar"/>
    <w:uiPriority w:val="99"/>
    <w:semiHidden/>
    <w:unhideWhenUsed/>
    <w:rsid w:val="00C852EA"/>
    <w:rPr>
      <w:b/>
      <w:bCs/>
      <w:sz w:val="20"/>
      <w:szCs w:val="20"/>
    </w:rPr>
  </w:style>
  <w:style w:type="character" w:customStyle="1" w:styleId="CommentSubjectChar">
    <w:name w:val="Comment Subject Char"/>
    <w:basedOn w:val="CommentTextChar"/>
    <w:link w:val="CommentSubject"/>
    <w:uiPriority w:val="99"/>
    <w:semiHidden/>
    <w:rsid w:val="00C85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9546">
      <w:bodyDiv w:val="1"/>
      <w:marLeft w:val="0"/>
      <w:marRight w:val="0"/>
      <w:marTop w:val="0"/>
      <w:marBottom w:val="0"/>
      <w:divBdr>
        <w:top w:val="none" w:sz="0" w:space="0" w:color="auto"/>
        <w:left w:val="none" w:sz="0" w:space="0" w:color="auto"/>
        <w:bottom w:val="none" w:sz="0" w:space="0" w:color="auto"/>
        <w:right w:val="none" w:sz="0" w:space="0" w:color="auto"/>
      </w:divBdr>
    </w:div>
    <w:div w:id="86314128">
      <w:bodyDiv w:val="1"/>
      <w:marLeft w:val="0"/>
      <w:marRight w:val="0"/>
      <w:marTop w:val="0"/>
      <w:marBottom w:val="0"/>
      <w:divBdr>
        <w:top w:val="none" w:sz="0" w:space="0" w:color="auto"/>
        <w:left w:val="none" w:sz="0" w:space="0" w:color="auto"/>
        <w:bottom w:val="none" w:sz="0" w:space="0" w:color="auto"/>
        <w:right w:val="none" w:sz="0" w:space="0" w:color="auto"/>
      </w:divBdr>
      <w:divsChild>
        <w:div w:id="1860006673">
          <w:marLeft w:val="547"/>
          <w:marRight w:val="0"/>
          <w:marTop w:val="0"/>
          <w:marBottom w:val="0"/>
          <w:divBdr>
            <w:top w:val="none" w:sz="0" w:space="0" w:color="auto"/>
            <w:left w:val="none" w:sz="0" w:space="0" w:color="auto"/>
            <w:bottom w:val="none" w:sz="0" w:space="0" w:color="auto"/>
            <w:right w:val="none" w:sz="0" w:space="0" w:color="auto"/>
          </w:divBdr>
        </w:div>
      </w:divsChild>
    </w:div>
    <w:div w:id="450561183">
      <w:bodyDiv w:val="1"/>
      <w:marLeft w:val="0"/>
      <w:marRight w:val="0"/>
      <w:marTop w:val="0"/>
      <w:marBottom w:val="0"/>
      <w:divBdr>
        <w:top w:val="none" w:sz="0" w:space="0" w:color="auto"/>
        <w:left w:val="none" w:sz="0" w:space="0" w:color="auto"/>
        <w:bottom w:val="none" w:sz="0" w:space="0" w:color="auto"/>
        <w:right w:val="none" w:sz="0" w:space="0" w:color="auto"/>
      </w:divBdr>
    </w:div>
    <w:div w:id="543753777">
      <w:bodyDiv w:val="1"/>
      <w:marLeft w:val="0"/>
      <w:marRight w:val="0"/>
      <w:marTop w:val="0"/>
      <w:marBottom w:val="0"/>
      <w:divBdr>
        <w:top w:val="none" w:sz="0" w:space="0" w:color="auto"/>
        <w:left w:val="none" w:sz="0" w:space="0" w:color="auto"/>
        <w:bottom w:val="none" w:sz="0" w:space="0" w:color="auto"/>
        <w:right w:val="none" w:sz="0" w:space="0" w:color="auto"/>
      </w:divBdr>
    </w:div>
    <w:div w:id="950824695">
      <w:bodyDiv w:val="1"/>
      <w:marLeft w:val="0"/>
      <w:marRight w:val="0"/>
      <w:marTop w:val="0"/>
      <w:marBottom w:val="0"/>
      <w:divBdr>
        <w:top w:val="none" w:sz="0" w:space="0" w:color="auto"/>
        <w:left w:val="none" w:sz="0" w:space="0" w:color="auto"/>
        <w:bottom w:val="none" w:sz="0" w:space="0" w:color="auto"/>
        <w:right w:val="none" w:sz="0" w:space="0" w:color="auto"/>
      </w:divBdr>
    </w:div>
    <w:div w:id="1110779505">
      <w:bodyDiv w:val="1"/>
      <w:marLeft w:val="0"/>
      <w:marRight w:val="0"/>
      <w:marTop w:val="0"/>
      <w:marBottom w:val="0"/>
      <w:divBdr>
        <w:top w:val="none" w:sz="0" w:space="0" w:color="auto"/>
        <w:left w:val="none" w:sz="0" w:space="0" w:color="auto"/>
        <w:bottom w:val="none" w:sz="0" w:space="0" w:color="auto"/>
        <w:right w:val="none" w:sz="0" w:space="0" w:color="auto"/>
      </w:divBdr>
    </w:div>
    <w:div w:id="1519470510">
      <w:bodyDiv w:val="1"/>
      <w:marLeft w:val="0"/>
      <w:marRight w:val="0"/>
      <w:marTop w:val="0"/>
      <w:marBottom w:val="0"/>
      <w:divBdr>
        <w:top w:val="none" w:sz="0" w:space="0" w:color="auto"/>
        <w:left w:val="none" w:sz="0" w:space="0" w:color="auto"/>
        <w:bottom w:val="none" w:sz="0" w:space="0" w:color="auto"/>
        <w:right w:val="none" w:sz="0" w:space="0" w:color="auto"/>
      </w:divBdr>
    </w:div>
    <w:div w:id="1611089019">
      <w:bodyDiv w:val="1"/>
      <w:marLeft w:val="0"/>
      <w:marRight w:val="0"/>
      <w:marTop w:val="0"/>
      <w:marBottom w:val="0"/>
      <w:divBdr>
        <w:top w:val="none" w:sz="0" w:space="0" w:color="auto"/>
        <w:left w:val="none" w:sz="0" w:space="0" w:color="auto"/>
        <w:bottom w:val="none" w:sz="0" w:space="0" w:color="auto"/>
        <w:right w:val="none" w:sz="0" w:space="0" w:color="auto"/>
      </w:divBdr>
    </w:div>
    <w:div w:id="1857378271">
      <w:bodyDiv w:val="1"/>
      <w:marLeft w:val="0"/>
      <w:marRight w:val="0"/>
      <w:marTop w:val="0"/>
      <w:marBottom w:val="0"/>
      <w:divBdr>
        <w:top w:val="none" w:sz="0" w:space="0" w:color="auto"/>
        <w:left w:val="none" w:sz="0" w:space="0" w:color="auto"/>
        <w:bottom w:val="none" w:sz="0" w:space="0" w:color="auto"/>
        <w:right w:val="none" w:sz="0" w:space="0" w:color="auto"/>
      </w:divBdr>
    </w:div>
    <w:div w:id="1862427985">
      <w:bodyDiv w:val="1"/>
      <w:marLeft w:val="0"/>
      <w:marRight w:val="0"/>
      <w:marTop w:val="0"/>
      <w:marBottom w:val="0"/>
      <w:divBdr>
        <w:top w:val="none" w:sz="0" w:space="0" w:color="auto"/>
        <w:left w:val="none" w:sz="0" w:space="0" w:color="auto"/>
        <w:bottom w:val="none" w:sz="0" w:space="0" w:color="auto"/>
        <w:right w:val="none" w:sz="0" w:space="0" w:color="auto"/>
      </w:divBdr>
    </w:div>
    <w:div w:id="19475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London Southbank University</Company>
  <LinksUpToDate>false</LinksUpToDate>
  <CharactersWithSpaces>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Harvey</dc:creator>
  <cp:lastModifiedBy>Ager, Robert</cp:lastModifiedBy>
  <cp:revision>3</cp:revision>
  <cp:lastPrinted>2017-03-10T12:01:00Z</cp:lastPrinted>
  <dcterms:created xsi:type="dcterms:W3CDTF">2017-03-10T12:02:00Z</dcterms:created>
  <dcterms:modified xsi:type="dcterms:W3CDTF">2017-03-10T12:26:00Z</dcterms:modified>
</cp:coreProperties>
</file>