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55" w:rsidRDefault="00870744">
      <w:pPr>
        <w:jc w:val="center"/>
      </w:pPr>
      <w:bookmarkStart w:id="0" w:name="_GoBack"/>
      <w:bookmarkEnd w:id="0"/>
      <w:r>
        <w:rPr>
          <w:rFonts w:ascii="Calibri" w:eastAsia="Calibri" w:hAnsi="Calibri" w:cs="Calibri"/>
          <w:b/>
          <w:sz w:val="24"/>
          <w:szCs w:val="24"/>
        </w:rPr>
        <w:t xml:space="preserve">Mental Health &amp; Emotional Wellbeing Tender Provider Event </w:t>
      </w:r>
    </w:p>
    <w:p w:rsidR="00DE7D55" w:rsidRDefault="00DE7D55">
      <w:pPr>
        <w:jc w:val="center"/>
      </w:pPr>
    </w:p>
    <w:p w:rsidR="00DE7D55" w:rsidRDefault="00870744">
      <w:r>
        <w:rPr>
          <w:rFonts w:ascii="Calibri" w:eastAsia="Calibri" w:hAnsi="Calibri" w:cs="Calibri"/>
          <w:b/>
        </w:rPr>
        <w:t>Attendees</w:t>
      </w:r>
    </w:p>
    <w:p w:rsidR="00DE7D55" w:rsidRDefault="00DE7D55"/>
    <w:tbl>
      <w:tblPr>
        <w:tblStyle w:val="a"/>
        <w:tblW w:w="1530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60"/>
        <w:gridCol w:w="7365"/>
        <w:gridCol w:w="4365"/>
      </w:tblGrid>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Jo Melvin (Presenter)</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JM</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Public Health Commissioner (PCC)</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 xml:space="preserve">joanne.melvin@peterborough.gov.uk </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Holly Hodge (Presenter)</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HH</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Public Health Manager (CCC)</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 xml:space="preserve">holly.hodge@cambridgeshire.gov.uk </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Helen Andrews (Presenter)</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HA</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Marketing Manager (CCC)</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 xml:space="preserve">helen.andrews@cambridgeshire.gov.uk </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Kathryn Goose</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KG</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Children and Maternity Project Manager (CCG)</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 xml:space="preserve">kathryn.goose@nhs.net </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 xml:space="preserve">Zoe Redfern-Nichols </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ZRN</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Assistant Commissioner (PCC)</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zoe.redfern-nichols@peterborough.gov.uk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Lisa McClearn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LM</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Head of Projects </w:t>
            </w:r>
            <w:r>
              <w:rPr>
                <w:rFonts w:ascii="Calibri" w:eastAsia="Calibri" w:hAnsi="Calibri" w:cs="Calibri"/>
              </w:rPr>
              <w:t>(YMCA)</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lisa.mclean@theymca.org.uk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Rod Allerton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RA</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Director of Development </w:t>
            </w:r>
            <w:r>
              <w:rPr>
                <w:rFonts w:ascii="Calibri" w:eastAsia="Calibri" w:hAnsi="Calibri" w:cs="Calibri"/>
              </w:rPr>
              <w:t>(YMCA)</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 rod.allerton@theymca.org.uk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David Culley</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DC</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Chair (Talk to Stars)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david.culley@talktostars.org.uk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AnnMarie Kiernan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AK</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Counsellor (Talk to Stars)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TBC</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Michelle Kukielka</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MK</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Assistant Director Children’s Services </w:t>
            </w:r>
            <w:r>
              <w:rPr>
                <w:rFonts w:ascii="Calibri" w:eastAsia="Calibri" w:hAnsi="Calibri" w:cs="Calibri"/>
              </w:rPr>
              <w:t>(Barnardos)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seabdu@barnardos.org.uk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Ian Hands</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IH</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Bid Consultant </w:t>
            </w:r>
            <w:r>
              <w:rPr>
                <w:rFonts w:ascii="Calibri" w:eastAsia="Calibri" w:hAnsi="Calibri" w:cs="Calibri"/>
              </w:rPr>
              <w:t>(Barnardos)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seabdu@barnardos.org.uk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Beth Green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BG</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Executive Director </w:t>
            </w:r>
            <w:r>
              <w:rPr>
                <w:rFonts w:ascii="Calibri" w:eastAsia="Calibri" w:hAnsi="Calibri" w:cs="Calibri"/>
              </w:rPr>
              <w:t>(Centre 33)</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Beth@centre33.org.uk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Eva Acs</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EA</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Director of Operations </w:t>
            </w:r>
            <w:r>
              <w:rPr>
                <w:rFonts w:ascii="Calibri" w:eastAsia="Calibri" w:hAnsi="Calibri" w:cs="Calibri"/>
              </w:rPr>
              <w:t>(Centre 33)</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Eva@centre33.org.uk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Ellen Roberts</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ER</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Lead Manager for Mental Health &amp; Counselling </w:t>
            </w:r>
            <w:r>
              <w:rPr>
                <w:rFonts w:ascii="Calibri" w:eastAsia="Calibri" w:hAnsi="Calibri" w:cs="Calibri"/>
              </w:rPr>
              <w:t>(Centre 33)</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ellen@centre33.org.uk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Emily Gray</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EG</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Merger Project Manager </w:t>
            </w:r>
            <w:r>
              <w:rPr>
                <w:rFonts w:ascii="Calibri" w:eastAsia="Calibri" w:hAnsi="Calibri" w:cs="Calibri"/>
              </w:rPr>
              <w:t>(P&amp;F Mind)</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emily.Gray@pfmind.org.uk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lastRenderedPageBreak/>
              <w:t>Aly Anderson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AA</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Chief Executive  </w:t>
            </w:r>
            <w:r>
              <w:rPr>
                <w:rFonts w:ascii="Calibri" w:eastAsia="Calibri" w:hAnsi="Calibri" w:cs="Calibri"/>
              </w:rPr>
              <w:t>(P&amp;F Mind)</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Aly.Anderson@mindincambs.org.uk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Sam Ball</w:t>
            </w:r>
          </w:p>
        </w:tc>
        <w:tc>
          <w:tcPr>
            <w:tcW w:w="660" w:type="dxa"/>
            <w:tcMar>
              <w:top w:w="100" w:type="dxa"/>
              <w:left w:w="100" w:type="dxa"/>
              <w:bottom w:w="100" w:type="dxa"/>
              <w:right w:w="100" w:type="dxa"/>
            </w:tcMar>
          </w:tcPr>
          <w:p w:rsidR="00DE7D55" w:rsidRDefault="00870744">
            <w:pPr>
              <w:widowControl w:val="0"/>
              <w:spacing w:line="240" w:lineRule="auto"/>
              <w:jc w:val="both"/>
            </w:pPr>
            <w:r>
              <w:rPr>
                <w:rFonts w:ascii="Calibri" w:eastAsia="Calibri" w:hAnsi="Calibri" w:cs="Calibri"/>
                <w:highlight w:val="white"/>
              </w:rPr>
              <w:t>SB</w:t>
            </w:r>
          </w:p>
        </w:tc>
        <w:tc>
          <w:tcPr>
            <w:tcW w:w="7365" w:type="dxa"/>
            <w:tcMar>
              <w:top w:w="100" w:type="dxa"/>
              <w:left w:w="100" w:type="dxa"/>
              <w:bottom w:w="100" w:type="dxa"/>
              <w:right w:w="100" w:type="dxa"/>
            </w:tcMar>
          </w:tcPr>
          <w:p w:rsidR="00DE7D55" w:rsidRDefault="00870744">
            <w:pPr>
              <w:widowControl w:val="0"/>
              <w:spacing w:line="240" w:lineRule="auto"/>
              <w:jc w:val="both"/>
            </w:pPr>
            <w:r>
              <w:rPr>
                <w:rFonts w:ascii="Calibri" w:eastAsia="Calibri" w:hAnsi="Calibri" w:cs="Calibri"/>
                <w:highlight w:val="white"/>
              </w:rPr>
              <w:t xml:space="preserve">National Senior Business Development Manager </w:t>
            </w:r>
            <w:r>
              <w:rPr>
                <w:rFonts w:ascii="Calibri" w:eastAsia="Calibri" w:hAnsi="Calibri" w:cs="Calibri"/>
              </w:rPr>
              <w:t>(CGL)</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Sam.Ball@cgl.org.uk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Dawn Hewitt</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DH</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CEO (CHUMS)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 dawn.hewitt@chums.uk.com</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Rob Gill</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RG</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(CHUMS)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As above</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Russell Hurn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RH</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Clinical Lead for Chums Mental Health and Emotional Wellbeing </w:t>
            </w:r>
            <w:r>
              <w:rPr>
                <w:rFonts w:ascii="Calibri" w:eastAsia="Calibri" w:hAnsi="Calibri" w:cs="Calibri"/>
              </w:rPr>
              <w:t>(CHUMS)</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As above</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Bruce Luter</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BL</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Assistant Director of Business Development, Contracts and Strategy (</w:t>
            </w:r>
            <w:r>
              <w:rPr>
                <w:rFonts w:ascii="Calibri" w:eastAsia="Calibri" w:hAnsi="Calibri" w:cs="Calibri"/>
              </w:rPr>
              <w:t>CCS NHST)</w:t>
            </w:r>
          </w:p>
        </w:tc>
        <w:tc>
          <w:tcPr>
            <w:tcW w:w="4365" w:type="dxa"/>
            <w:tcMar>
              <w:top w:w="100" w:type="dxa"/>
              <w:left w:w="100" w:type="dxa"/>
              <w:bottom w:w="100" w:type="dxa"/>
              <w:right w:w="100" w:type="dxa"/>
            </w:tcMar>
          </w:tcPr>
          <w:p w:rsidR="00DE7D55" w:rsidRDefault="00DE7D55">
            <w:pPr>
              <w:widowControl w:val="0"/>
              <w:spacing w:line="240" w:lineRule="auto"/>
            </w:pP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Christina Massey</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CM</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Service Manager (</w:t>
            </w:r>
            <w:r>
              <w:rPr>
                <w:rFonts w:ascii="Calibri" w:eastAsia="Calibri" w:hAnsi="Calibri" w:cs="Calibri"/>
              </w:rPr>
              <w:t>CPFT)</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 christina.massey@cpft.nhs.uk </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Giles Lanham</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GL</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 Business Development Lead </w:t>
            </w:r>
            <w:r>
              <w:rPr>
                <w:rFonts w:ascii="Calibri" w:eastAsia="Calibri" w:hAnsi="Calibri" w:cs="Calibri"/>
              </w:rPr>
              <w:t>(CPFT)</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Giles.Lanham@cpft.nhs.uk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Jo Holmes</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JH</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 xml:space="preserve">Consultant Child and Adolescent Psychiatrist </w:t>
            </w:r>
            <w:r>
              <w:rPr>
                <w:rFonts w:ascii="Calibri" w:eastAsia="Calibri" w:hAnsi="Calibri" w:cs="Calibri"/>
              </w:rPr>
              <w:t>(CPFT)</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Joanne.Holmes@cpft.nhs.uk</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Rebecca Wood</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RW</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Chief Executive (</w:t>
            </w:r>
            <w:r>
              <w:rPr>
                <w:rFonts w:ascii="Calibri" w:eastAsia="Calibri" w:hAnsi="Calibri" w:cs="Calibri"/>
              </w:rPr>
              <w:t>Blue Smile)</w:t>
            </w:r>
          </w:p>
        </w:tc>
        <w:tc>
          <w:tcPr>
            <w:tcW w:w="4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rebecca.wood@bluesmileproject.org</w:t>
            </w: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Robert Neale</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RN</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Transformation Project Manager (</w:t>
            </w:r>
            <w:r>
              <w:rPr>
                <w:rFonts w:ascii="Calibri" w:eastAsia="Calibri" w:hAnsi="Calibri" w:cs="Calibri"/>
              </w:rPr>
              <w:t xml:space="preserve">NELFT) </w:t>
            </w:r>
          </w:p>
        </w:tc>
        <w:tc>
          <w:tcPr>
            <w:tcW w:w="4365" w:type="dxa"/>
            <w:tcMar>
              <w:top w:w="100" w:type="dxa"/>
              <w:left w:w="100" w:type="dxa"/>
              <w:bottom w:w="100" w:type="dxa"/>
              <w:right w:w="100" w:type="dxa"/>
            </w:tcMar>
          </w:tcPr>
          <w:p w:rsidR="00DE7D55" w:rsidRDefault="00DE7D55">
            <w:pPr>
              <w:widowControl w:val="0"/>
              <w:spacing w:line="240" w:lineRule="auto"/>
            </w:pP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Diane Fenner</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DF</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Development Manager, Education Wellbeing Team (</w:t>
            </w:r>
            <w:r>
              <w:rPr>
                <w:rFonts w:ascii="Calibri" w:eastAsia="Calibri" w:hAnsi="Calibri" w:cs="Calibri"/>
              </w:rPr>
              <w:t>CCC)</w:t>
            </w:r>
          </w:p>
        </w:tc>
        <w:tc>
          <w:tcPr>
            <w:tcW w:w="4365" w:type="dxa"/>
            <w:tcMar>
              <w:top w:w="100" w:type="dxa"/>
              <w:left w:w="100" w:type="dxa"/>
              <w:bottom w:w="100" w:type="dxa"/>
              <w:right w:w="100" w:type="dxa"/>
            </w:tcMar>
          </w:tcPr>
          <w:p w:rsidR="00DE7D55" w:rsidRDefault="00DE7D55">
            <w:pPr>
              <w:widowControl w:val="0"/>
              <w:spacing w:line="240" w:lineRule="auto"/>
            </w:pPr>
          </w:p>
        </w:tc>
      </w:tr>
      <w:tr w:rsidR="00DE7D55">
        <w:tc>
          <w:tcPr>
            <w:tcW w:w="291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rPr>
              <w:t>Ruth Brown</w:t>
            </w:r>
          </w:p>
        </w:tc>
        <w:tc>
          <w:tcPr>
            <w:tcW w:w="660"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RB</w:t>
            </w:r>
          </w:p>
        </w:tc>
        <w:tc>
          <w:tcPr>
            <w:tcW w:w="7365" w:type="dxa"/>
            <w:tcMar>
              <w:top w:w="100" w:type="dxa"/>
              <w:left w:w="100" w:type="dxa"/>
              <w:bottom w:w="100" w:type="dxa"/>
              <w:right w:w="100" w:type="dxa"/>
            </w:tcMar>
          </w:tcPr>
          <w:p w:rsidR="00DE7D55" w:rsidRDefault="00870744">
            <w:pPr>
              <w:widowControl w:val="0"/>
              <w:spacing w:line="240" w:lineRule="auto"/>
            </w:pPr>
            <w:r>
              <w:rPr>
                <w:rFonts w:ascii="Calibri" w:eastAsia="Calibri" w:hAnsi="Calibri" w:cs="Calibri"/>
                <w:highlight w:val="white"/>
              </w:rPr>
              <w:t>Training Manager (</w:t>
            </w:r>
            <w:r>
              <w:rPr>
                <w:rFonts w:ascii="Calibri" w:eastAsia="Calibri" w:hAnsi="Calibri" w:cs="Calibri"/>
              </w:rPr>
              <w:t>Cambridgeshire MIND)</w:t>
            </w:r>
          </w:p>
        </w:tc>
        <w:tc>
          <w:tcPr>
            <w:tcW w:w="4365" w:type="dxa"/>
            <w:tcMar>
              <w:top w:w="100" w:type="dxa"/>
              <w:left w:w="100" w:type="dxa"/>
              <w:bottom w:w="100" w:type="dxa"/>
              <w:right w:w="100" w:type="dxa"/>
            </w:tcMar>
          </w:tcPr>
          <w:p w:rsidR="00DE7D55" w:rsidRDefault="00DE7D55">
            <w:pPr>
              <w:widowControl w:val="0"/>
              <w:spacing w:line="240" w:lineRule="auto"/>
            </w:pPr>
          </w:p>
        </w:tc>
      </w:tr>
    </w:tbl>
    <w:p w:rsidR="00DE7D55" w:rsidRDefault="00DE7D55"/>
    <w:p w:rsidR="00DE7D55" w:rsidRDefault="00DE7D55"/>
    <w:p w:rsidR="00DE7D55" w:rsidRDefault="00870744">
      <w:r>
        <w:rPr>
          <w:rFonts w:ascii="Calibri" w:eastAsia="Calibri" w:hAnsi="Calibri" w:cs="Calibri"/>
        </w:rPr>
        <w:t xml:space="preserve">JM explained that, following discussions around inclusion, the total worth of the tender had increased to approximately 740,000k. Regarding the timeline, JM explained that mobilisation over the Christmas period had been decided against particularly due to the vulnerabilities of the service users in question.  </w:t>
      </w:r>
    </w:p>
    <w:p w:rsidR="00DE7D55" w:rsidRDefault="00DE7D55"/>
    <w:p w:rsidR="00DE7D55" w:rsidRDefault="00870744">
      <w:r>
        <w:rPr>
          <w:rFonts w:ascii="Calibri" w:eastAsia="Calibri" w:hAnsi="Calibri" w:cs="Calibri"/>
          <w:b/>
        </w:rPr>
        <w:t xml:space="preserve">Key Drivers </w:t>
      </w:r>
    </w:p>
    <w:p w:rsidR="00DE7D55" w:rsidRDefault="00870744">
      <w:r>
        <w:rPr>
          <w:rFonts w:ascii="Calibri" w:eastAsia="Calibri" w:hAnsi="Calibri" w:cs="Calibri"/>
        </w:rPr>
        <w:t xml:space="preserve">JM explained that the focus of the tender was on meeting unmet need rather than savings efficiencies. She added that the extra £340,000 within the resource envelope from PCC, CCC and the CCG was aiming to meet the NHS target of increasing access by 35% by 2020. </w:t>
      </w:r>
    </w:p>
    <w:p w:rsidR="00DE7D55" w:rsidRDefault="00DE7D55"/>
    <w:p w:rsidR="00DE7D55" w:rsidRDefault="00870744">
      <w:r>
        <w:rPr>
          <w:rFonts w:ascii="Calibri" w:eastAsia="Calibri" w:hAnsi="Calibri" w:cs="Calibri"/>
          <w:b/>
        </w:rPr>
        <w:t xml:space="preserve">Our Requirement </w:t>
      </w:r>
    </w:p>
    <w:p w:rsidR="00DE7D55" w:rsidRDefault="00870744">
      <w:r>
        <w:rPr>
          <w:rFonts w:ascii="Calibri" w:eastAsia="Calibri" w:hAnsi="Calibri" w:cs="Calibri"/>
        </w:rPr>
        <w:t xml:space="preserve">JM confirmed that the specification would be outcomes based and thus not prescriptive or include specific treatment modalities or places of delivery. JM emphasised the need for creative freedom within the service model. However, it was also noted that the main bulk of the service would be evidence based talking therapies, alongside promotion of mental health literacy. JM stated that there was a different picture of need across Cambridgeshire and Peterborough. </w:t>
      </w:r>
    </w:p>
    <w:p w:rsidR="00DE7D55" w:rsidRDefault="00DE7D55"/>
    <w:p w:rsidR="00DE7D55" w:rsidRDefault="00870744">
      <w:r>
        <w:rPr>
          <w:rFonts w:ascii="Calibri" w:eastAsia="Calibri" w:hAnsi="Calibri" w:cs="Calibri"/>
          <w:b/>
        </w:rPr>
        <w:t>Summary of Needs</w:t>
      </w:r>
      <w:r>
        <w:rPr>
          <w:rFonts w:ascii="Calibri" w:eastAsia="Calibri" w:hAnsi="Calibri" w:cs="Calibri"/>
        </w:rPr>
        <w:t xml:space="preserve"> - HH stated that there would be a more detailed summary within the tender documentation, along with the current JSNA. HH also noted upon the rural/urban mix across Cambridgeshire and Peterborough; she added that the rural areas would bring different challenges. HH went on to note upon the areas of deprivation notably within the centre and east of Peterborough and north of Cambridgeshire. </w:t>
      </w:r>
    </w:p>
    <w:p w:rsidR="00DE7D55" w:rsidRDefault="00DE7D55"/>
    <w:p w:rsidR="00DE7D55" w:rsidRDefault="00870744">
      <w:r>
        <w:rPr>
          <w:rFonts w:ascii="Calibri" w:eastAsia="Calibri" w:hAnsi="Calibri" w:cs="Calibri"/>
          <w:b/>
        </w:rPr>
        <w:t>Additional services</w:t>
      </w:r>
    </w:p>
    <w:p w:rsidR="00DE7D55" w:rsidRDefault="00870744">
      <w:r>
        <w:rPr>
          <w:rFonts w:ascii="Calibri" w:eastAsia="Calibri" w:hAnsi="Calibri" w:cs="Calibri"/>
        </w:rPr>
        <w:t xml:space="preserve">Additional Services were also mentioned, notably those counselling services commissioning by many schools, along with more general universal services. JM noted the discrepancy on activity figures for Peterborough in 2015/6 between the  data within the presentation slides and those within the SMQ; she confirmed that the specification would clarify exact figures. </w:t>
      </w:r>
    </w:p>
    <w:p w:rsidR="00DE7D55" w:rsidRDefault="00DE7D55"/>
    <w:p w:rsidR="00DE7D55" w:rsidRDefault="00870744">
      <w:r>
        <w:rPr>
          <w:rFonts w:ascii="Calibri" w:eastAsia="Calibri" w:hAnsi="Calibri" w:cs="Calibri"/>
        </w:rPr>
        <w:t>JM advised of updates to the scope of the service since the SMQ was issued in November.  Parenting initially out of scope but  clear feedback from the market recommended inclusion of some degree of parental involvement or support particularly in the case of  primary school aged children. JM confirmed that a systems approach to work with parents was in scope including parenting advice/guidance and support. Evidenced-based parenting  programmes are still considered out of scope as these are commissioned separately  through Early Help and Behaviour pathways. JM went on to note that workforce development was also within scope, particularly in relation to the focus on mental health literacy training for the wider workforce including school staff.</w:t>
      </w:r>
    </w:p>
    <w:p w:rsidR="00DE7D55" w:rsidRDefault="00DE7D55"/>
    <w:p w:rsidR="00DE7D55" w:rsidRDefault="00870744">
      <w:r>
        <w:rPr>
          <w:rFonts w:ascii="Calibri" w:eastAsia="Calibri" w:hAnsi="Calibri" w:cs="Calibri"/>
          <w:b/>
        </w:rPr>
        <w:t xml:space="preserve">Key service outcomes (table) </w:t>
      </w:r>
    </w:p>
    <w:p w:rsidR="00DE7D55" w:rsidRDefault="00870744">
      <w:r>
        <w:rPr>
          <w:rFonts w:ascii="Calibri" w:eastAsia="Calibri" w:hAnsi="Calibri" w:cs="Calibri"/>
        </w:rPr>
        <w:t xml:space="preserve">The contribution of the service to the wider system was noted though JM explained that the wider system was still transforming. The importance of seeing each child and young person quickly and at the right level was noted, to avoid a high level of inappropriate referrals to specialist CAMHS services. </w:t>
      </w:r>
    </w:p>
    <w:p w:rsidR="00DE7D55" w:rsidRDefault="00DE7D55"/>
    <w:p w:rsidR="00DE7D55" w:rsidRDefault="00870744">
      <w:r>
        <w:rPr>
          <w:rFonts w:ascii="Calibri" w:eastAsia="Calibri" w:hAnsi="Calibri" w:cs="Calibri"/>
        </w:rPr>
        <w:t xml:space="preserve">JM noted that there would need to be a focus on prevention to avoid further need for interventions. There was a query regarding innovative intervention ideas; JM confirmed that the commissioning team would be very much open to new ideas. HH explained that there had been a great deal of work </w:t>
      </w:r>
      <w:r>
        <w:rPr>
          <w:rFonts w:ascii="Calibri" w:eastAsia="Calibri" w:hAnsi="Calibri" w:cs="Calibri"/>
        </w:rPr>
        <w:lastRenderedPageBreak/>
        <w:t>completed in relation to the iThrive model, noting that a focus on PSHE and mental health literacy was linked to reducing stigma, along with a focus on interventions. The Kooth website developed 2016 was mentioned, in relation to this ‘self help’ aspect.</w:t>
      </w:r>
    </w:p>
    <w:p w:rsidR="00DE7D55" w:rsidRDefault="00DE7D55"/>
    <w:p w:rsidR="00DE7D55" w:rsidRDefault="00870744">
      <w:r>
        <w:rPr>
          <w:rFonts w:ascii="Calibri" w:eastAsia="Calibri" w:hAnsi="Calibri" w:cs="Calibri"/>
        </w:rPr>
        <w:t>JM requested feedback around the outcomes presented. RW noted the differences between the iThrive and tiered model. She also commented upon those seen within CAMHS i.e. at a higher threshold and expressed concern that some children would not reach this threshold yet were unlikely to respond to brief interventions. RW added that those children aged 3-13 may take longer to ‘play out’ and examine their emotions. It was also noted that talking therapies may be better for older age groups. JM queried the timeframe recommended; RW explained that there may be an average of 20 sessions over two terms. JM stated that the model would not be prescribed due to these issues, adding that there was a lack of evidence based for those primary aged. JM also added that ‘brief’ would not be defined in the specification in recognition that the service will be delivering bereavement support and interventions with younger children neither of which may fit neatly into a ‘6 session’ clinical model for example. However, JM  emphasised the importance of balance, seeing as though the main focus of the service will be provision of brief talking therapies.</w:t>
      </w:r>
    </w:p>
    <w:p w:rsidR="00DE7D55" w:rsidRDefault="00DE7D55"/>
    <w:p w:rsidR="00DE7D55" w:rsidRDefault="00870744">
      <w:r>
        <w:rPr>
          <w:rFonts w:ascii="Calibri" w:eastAsia="Calibri" w:hAnsi="Calibri" w:cs="Calibri"/>
          <w:b/>
        </w:rPr>
        <w:t>Core Elements</w:t>
      </w:r>
      <w:r>
        <w:rPr>
          <w:rFonts w:ascii="Calibri" w:eastAsia="Calibri" w:hAnsi="Calibri" w:cs="Calibri"/>
        </w:rPr>
        <w:t xml:space="preserve"> </w:t>
      </w:r>
    </w:p>
    <w:p w:rsidR="00DE7D55" w:rsidRDefault="00870744">
      <w:r>
        <w:rPr>
          <w:rFonts w:ascii="Calibri" w:eastAsia="Calibri" w:hAnsi="Calibri" w:cs="Calibri"/>
        </w:rPr>
        <w:t xml:space="preserve">JM explained that the Project Board had met with the clinical director and service director for children’s mental health who had encouraged the introduction of a multi-agency meeting to enable interface between specialist CAMHS and the future service. Risk support within the iThrive perspective was noted, JM explained that the future service may see those requiring risk support but under supervision of specialist CAMHS. It was however noted that some services had been holding cases with too much of a risk element, JM stated that this sentiment had been echoed by the clinical director from specialist CAMHS. </w:t>
      </w:r>
    </w:p>
    <w:p w:rsidR="00DE7D55" w:rsidRDefault="00DE7D55"/>
    <w:p w:rsidR="00DE7D55" w:rsidRDefault="00870744">
      <w:r>
        <w:rPr>
          <w:rFonts w:ascii="Calibri" w:eastAsia="Calibri" w:hAnsi="Calibri" w:cs="Calibri"/>
        </w:rPr>
        <w:t>The interface with CAMHS was discussed, along with collaborative working with other statutory services. It was noted that the winning bidder would need to work closely with CAMHS and access the Mental Health dataset .. It was also noted that, as the service developed, the social impact and outcomes may change the services dynamics. JM explained that, at an operational level, the service would liaise with the Early Help hubs alongside the Peterborough multi agency support group (MASG). These operational groups were mentioned alongside the more strategic Emotional Wellbeing Steering Group and Project Board; KG mentioned the more system wide outcome and the effect on referrals to other services. The need to collaboratively utilise data was noted; KG stated that NHS guidance would require the data from the future service to be fed into the Mental Health data set.</w:t>
      </w:r>
    </w:p>
    <w:p w:rsidR="00DE7D55" w:rsidRDefault="00DE7D55"/>
    <w:p w:rsidR="00DE7D55" w:rsidRDefault="00870744">
      <w:r>
        <w:rPr>
          <w:rFonts w:ascii="Calibri" w:eastAsia="Calibri" w:hAnsi="Calibri" w:cs="Calibri"/>
        </w:rPr>
        <w:t xml:space="preserve">JH CPFT queried if those children and young people with developmental disorders and or/ASD would be users within the new service. JM explained that built into the eligibility would be those with LD from 0-25. It was also noted that those with challenging behaviour associated with emotional issues rather </w:t>
      </w:r>
      <w:r>
        <w:rPr>
          <w:rFonts w:ascii="Calibri" w:eastAsia="Calibri" w:hAnsi="Calibri" w:cs="Calibri"/>
        </w:rPr>
        <w:lastRenderedPageBreak/>
        <w:t>than neurodevelopmental issues would be expected to access the service. Thus, those children and young people with a diagnosis of ASD or ADHD would not be out of scope. KG concurred that, if the service user’s outcomes could be met through the service, then they would be eligible.</w:t>
      </w:r>
    </w:p>
    <w:p w:rsidR="00DE7D55" w:rsidRDefault="00DE7D55"/>
    <w:p w:rsidR="00DE7D55" w:rsidRDefault="00870744">
      <w:r>
        <w:rPr>
          <w:rFonts w:ascii="Calibri" w:eastAsia="Calibri" w:hAnsi="Calibri" w:cs="Calibri"/>
          <w:b/>
        </w:rPr>
        <w:t>Supplier Views</w:t>
      </w:r>
      <w:r>
        <w:rPr>
          <w:rFonts w:ascii="Calibri" w:eastAsia="Calibri" w:hAnsi="Calibri" w:cs="Calibri"/>
        </w:rPr>
        <w:t xml:space="preserve"> </w:t>
      </w:r>
    </w:p>
    <w:p w:rsidR="00DE7D55" w:rsidRDefault="00870744">
      <w:r>
        <w:rPr>
          <w:rFonts w:ascii="Calibri" w:eastAsia="Calibri" w:hAnsi="Calibri" w:cs="Calibri"/>
        </w:rPr>
        <w:t>Psychological Wellbeing Practitioners (PWPs)</w:t>
      </w:r>
    </w:p>
    <w:p w:rsidR="00DE7D55" w:rsidRDefault="00870744">
      <w:r>
        <w:rPr>
          <w:rFonts w:ascii="Calibri" w:eastAsia="Calibri" w:hAnsi="Calibri" w:cs="Calibri"/>
        </w:rPr>
        <w:t xml:space="preserve">JM explained that there would be 4 FTE children and young people’s PWPs available; she added that these staff would be trained and be contracted within CPFT until 2018 until completion of their training. She queried if these staff would be desirable to the provider or cause cost pressures. KG explained that their training would be funded by Health Education England; thus they would be paid at a Band 4 whilst training and become Band 5 at a later date. It was noted that their training was due to commence in April of 2017. RG queried the sustainability of the training model. KG explained that different models were being looked at; she mentioned the national recognition of the difficulty recruiting specialist mental health workers and the subsequent need to upscale. The PWPs were said to be an asset and thus take of other costs, along with their focused intervention training. GL queried if the PWPs’ salaries were inside of the budget; KG confirmed this. JM remarked that, as the PWPs’ training would not be complete until April 2018, there would be an interim period without the resource. Some of the providers expressed concern regarding the costs associated; JM suggested that the PWPs, or a certain number of them, could be an option to be included. KG confirmed that the PWPs would be trained for a range of ages to do short term early interventions i.e. 6 sessions focusing on anxiety, low mood and behaviour. KG also noted that the job descriptions would be available to share later in the year.  </w:t>
      </w:r>
    </w:p>
    <w:p w:rsidR="00DE7D55" w:rsidRDefault="00DE7D55"/>
    <w:p w:rsidR="00DE7D55" w:rsidRDefault="00870744">
      <w:r>
        <w:rPr>
          <w:rFonts w:ascii="Calibri" w:eastAsia="Calibri" w:hAnsi="Calibri" w:cs="Calibri"/>
        </w:rPr>
        <w:t xml:space="preserve">With regards to Information Governance (IG) requirements, ISOs and NHS IG toolkits were mentioned. JM queried what the fiscal and timing implications would be for the providers. JM confirmed she would liaise with the IG lead at the CCG regarding if a lead provider’s cover would apply to sub providers. It was noted that applying these requirements to all providers within the supply chain would be more difficult/challenging.  It was suggested that the providers work towards these if they were not already doing so. </w:t>
      </w:r>
    </w:p>
    <w:p w:rsidR="00DE7D55" w:rsidRDefault="00DE7D55"/>
    <w:p w:rsidR="00DE7D55" w:rsidRDefault="00870744">
      <w:r>
        <w:rPr>
          <w:rFonts w:ascii="Calibri" w:eastAsia="Calibri" w:hAnsi="Calibri" w:cs="Calibri"/>
          <w:b/>
        </w:rPr>
        <w:t>IT/Data Requirements</w:t>
      </w:r>
      <w:r>
        <w:rPr>
          <w:rFonts w:ascii="Calibri" w:eastAsia="Calibri" w:hAnsi="Calibri" w:cs="Calibri"/>
        </w:rPr>
        <w:t xml:space="preserve"> - </w:t>
      </w:r>
    </w:p>
    <w:p w:rsidR="00DE7D55" w:rsidRDefault="00870744">
      <w:r>
        <w:rPr>
          <w:rFonts w:ascii="Calibri" w:eastAsia="Calibri" w:hAnsi="Calibri" w:cs="Calibri"/>
        </w:rPr>
        <w:t>Regarding to data requirements, the attendees discussed the possibility of sending the data straight to the Mental Health dataset or passporting it to specialist CAMHS to upload. SB stated that there would be a variety of solutions and queried if sending the data via CAMHS would be an unnecessary layer. It was also suggested that the solution may vary for voluntary sector providers. GL noted the IT protocol dependents, JM noted that this would need to be considered further. KG explained that the CCG funding was from the CAMHS transformation fund and thus the provider would need to evidence improved access to evidence based interventions. KG added that there would be cost implications with regards to the necessary IT data connection. A discussion ensured regarding whether the implementation of these connections would be feasible for voluntary sector providers. JM suggested that the provider would need to develop the necessary pathway to enable data to be uploaded.</w:t>
      </w:r>
    </w:p>
    <w:p w:rsidR="00DE7D55" w:rsidRDefault="00DE7D55"/>
    <w:p w:rsidR="00DE7D55" w:rsidRDefault="00870744">
      <w:r>
        <w:rPr>
          <w:rFonts w:ascii="Calibri" w:eastAsia="Calibri" w:hAnsi="Calibri" w:cs="Calibri"/>
        </w:rPr>
        <w:t>Contributions to risk support were discussed. CM noted that, alongside mental health risks, young people could have more social risks; she queried if this had been considered. JM explained that the Project Group had focused on the iThrive definition of risk i.e. challenging at risk cases but would be keen to examine from different perspectives. SB stated that both safeguarding and social risk should be considered by all. JM stated that these discussions had been had with the clinical director who had promoted the ambit model wherein specialist services could be used as part of wider support.</w:t>
      </w:r>
    </w:p>
    <w:p w:rsidR="00DE7D55" w:rsidRDefault="00DE7D55"/>
    <w:p w:rsidR="00DE7D55" w:rsidRDefault="00870744">
      <w:r>
        <w:rPr>
          <w:rFonts w:ascii="Calibri" w:eastAsia="Calibri" w:hAnsi="Calibri" w:cs="Calibri"/>
        </w:rPr>
        <w:t xml:space="preserve">With regards to supporting information, JM confirmed that the TUPE information would be distributed as part of the ITT. JM explained that Serco support PCC’s procurement and thus had many established processes. JM also confirmed that the providers could have information regarding what the incumbent providers use for record systems. </w:t>
      </w:r>
    </w:p>
    <w:p w:rsidR="00DE7D55" w:rsidRDefault="00DE7D55"/>
    <w:p w:rsidR="00DE7D55" w:rsidRDefault="00870744">
      <w:r>
        <w:rPr>
          <w:rFonts w:ascii="Calibri" w:eastAsia="Calibri" w:hAnsi="Calibri" w:cs="Calibri"/>
          <w:b/>
        </w:rPr>
        <w:t>How could we measure quality?</w:t>
      </w:r>
    </w:p>
    <w:p w:rsidR="00DE7D55" w:rsidRDefault="00870744">
      <w:r>
        <w:rPr>
          <w:rFonts w:ascii="Calibri" w:eastAsia="Calibri" w:hAnsi="Calibri" w:cs="Calibri"/>
        </w:rPr>
        <w:t>JH noted that some providers would utilise the IAPT toolkit process. She explained that this focused on client experience, according to their needs e.g. including a post evaluation.</w:t>
      </w:r>
      <w:r>
        <w:rPr>
          <w:rFonts w:ascii="Calibri" w:eastAsia="Calibri" w:hAnsi="Calibri" w:cs="Calibri"/>
          <w:color w:val="FF0000"/>
        </w:rPr>
        <w:t xml:space="preserve"> </w:t>
      </w:r>
      <w:r>
        <w:rPr>
          <w:rFonts w:ascii="Calibri" w:eastAsia="Calibri" w:hAnsi="Calibri" w:cs="Calibri"/>
        </w:rPr>
        <w:t xml:space="preserve">IH queried whether this would examine quality or effectiveness; JM explained it would examine both with self reported outcomes and distance travelled quantitative data. The strengths and difficulties questionnaire was mentioned, along with more goal based measures. RW noted that those aged may provide more narrative response. It was noted that goal based monitoring was more in line with the iThrive model. There following a discussion regarding the examination of the whole operation e.g. including key elements such as admin IT, staff, progression and development. SB stated that the national standards translated into aspirations and suggested looking at the overall environment i.e. delivering services in a respectful, relevant; whole system approach including record keeping. The importance of relating back to the care plan was also noted. </w:t>
      </w:r>
    </w:p>
    <w:p w:rsidR="00DE7D55" w:rsidRDefault="00DE7D55"/>
    <w:p w:rsidR="00DE7D55" w:rsidRDefault="00870744">
      <w:r>
        <w:rPr>
          <w:rFonts w:ascii="Calibri" w:eastAsia="Calibri" w:hAnsi="Calibri" w:cs="Calibri"/>
        </w:rPr>
        <w:t xml:space="preserve">Meeting quotas and waiting times were discussed; though it was noted that there would only be a finite amount of money. JM mentioned the importance of DNA rates, service user experience, time assessment and interventions. RW stated that referring cases on did not represent a failure but a joined up overall service model. KG concurred that NHS guidance recommended measuring by the second session though added that one session could be enough and thus arbitrary metrics should not affect this. RW noted that there would need to be support in place for follow ups. Accreditation was also discussed, alongside the importance of practitioners having appropriate experience to deliver the service. GL mentioned that challenges of finding staff real challenge; JM mentioned the inclusion of the PWPs. </w:t>
      </w:r>
    </w:p>
    <w:p w:rsidR="00DE7D55" w:rsidRDefault="00DE7D55"/>
    <w:p w:rsidR="00DE7D55" w:rsidRDefault="00870744">
      <w:r>
        <w:rPr>
          <w:rFonts w:ascii="Calibri" w:eastAsia="Calibri" w:hAnsi="Calibri" w:cs="Calibri"/>
          <w:b/>
        </w:rPr>
        <w:t xml:space="preserve">Hints &amp; Tips </w:t>
      </w:r>
    </w:p>
    <w:p w:rsidR="00DE7D55" w:rsidRDefault="00870744">
      <w:r>
        <w:rPr>
          <w:rFonts w:ascii="Calibri" w:eastAsia="Calibri" w:hAnsi="Calibri" w:cs="Calibri"/>
        </w:rPr>
        <w:t xml:space="preserve">HA emphasised the importance of demonstrating local knowledge, ideas and experience. She also noted that marks would be provided for those with a comprehensive understanding of how to meet the requirements. It was noted that the questions would be straightforward  and request documentation </w:t>
      </w:r>
      <w:r>
        <w:rPr>
          <w:rFonts w:ascii="Calibri" w:eastAsia="Calibri" w:hAnsi="Calibri" w:cs="Calibri"/>
        </w:rPr>
        <w:lastRenderedPageBreak/>
        <w:t xml:space="preserve">such as implementation plans, staffing matrixes and organisational structures. HA explained that the questions would veer away from asking bidders to ‘describe’ or ‘detail’ in an effort to keep answers concise. </w:t>
      </w:r>
    </w:p>
    <w:p w:rsidR="00DE7D55" w:rsidRDefault="00DE7D55"/>
    <w:p w:rsidR="00DE7D55" w:rsidRDefault="00870744">
      <w:r>
        <w:rPr>
          <w:rFonts w:ascii="Calibri" w:eastAsia="Calibri" w:hAnsi="Calibri" w:cs="Calibri"/>
        </w:rPr>
        <w:t>Regarding the evaluation criteria, HA stated that this would be either restricted by page numbers of the number of words. She also advising the bidders to ensure they were familiar with the scoring matrix. HA went on to note that the evaluators would be looking for clear and concise answers which lead the reader using evidence and pictures where required. HA confirmed that most of the marks would be for quality rather than price, with a smaller amount for the presentation. RW queried the content of the presentation; it was noted that this would be specified at a later date. HA confirmed that the questions would be specific to the services, with some more generic questions e.g. those relating to issues and challenges. HA also confirmed that there would be instructions regarding the supplying of additional documentation</w:t>
      </w:r>
    </w:p>
    <w:p w:rsidR="00DE7D55" w:rsidRDefault="00870744">
      <w:r>
        <w:rPr>
          <w:rFonts w:ascii="Calibri" w:eastAsia="Calibri" w:hAnsi="Calibri" w:cs="Calibri"/>
        </w:rPr>
        <w:t xml:space="preserve">JM noted that PCC used supplierforce. HA confirmed that clarification questions would be responded to quickly. It was also noted that details would be circulated, with the consent of the providers to enable liaisons regarding consortiums and partnerships. JM explained that, answers representing a consortium or partnership would need to demonstrate the service on behalf of the whole supply chain. JM also welcomed any feedback following the event. </w:t>
      </w:r>
    </w:p>
    <w:p w:rsidR="00DE7D55" w:rsidRDefault="00DE7D55"/>
    <w:p w:rsidR="00DE7D55" w:rsidRDefault="00DE7D55"/>
    <w:p w:rsidR="00DE7D55" w:rsidRDefault="00DE7D55"/>
    <w:p w:rsidR="00DE7D55" w:rsidRDefault="00DE7D55"/>
    <w:p w:rsidR="00DE7D55" w:rsidRDefault="00DE7D55"/>
    <w:p w:rsidR="00DE7D55" w:rsidRDefault="00DE7D55"/>
    <w:sectPr w:rsidR="00DE7D55">
      <w:headerReference w:type="default" r:id="rId6"/>
      <w:footerReference w:type="default" r:id="rId7"/>
      <w:headerReference w:type="first" r:id="rId8"/>
      <w:footerReference w:type="first" r:id="rId9"/>
      <w:pgSz w:w="16838" w:h="11906"/>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B86" w:rsidRDefault="00834B86">
      <w:pPr>
        <w:spacing w:line="240" w:lineRule="auto"/>
      </w:pPr>
      <w:r>
        <w:separator/>
      </w:r>
    </w:p>
  </w:endnote>
  <w:endnote w:type="continuationSeparator" w:id="0">
    <w:p w:rsidR="00834B86" w:rsidRDefault="0083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55" w:rsidRDefault="00870744">
    <w:pPr>
      <w:jc w:val="right"/>
    </w:pPr>
    <w:r>
      <w:fldChar w:fldCharType="begin"/>
    </w:r>
    <w:r>
      <w:instrText>PAGE</w:instrText>
    </w:r>
    <w:r>
      <w:fldChar w:fldCharType="separate"/>
    </w:r>
    <w:r w:rsidR="00841058">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55" w:rsidRDefault="00DE7D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B86" w:rsidRDefault="00834B86">
      <w:pPr>
        <w:spacing w:line="240" w:lineRule="auto"/>
      </w:pPr>
      <w:r>
        <w:separator/>
      </w:r>
    </w:p>
  </w:footnote>
  <w:footnote w:type="continuationSeparator" w:id="0">
    <w:p w:rsidR="00834B86" w:rsidRDefault="00834B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55" w:rsidRDefault="00DE7D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55" w:rsidRDefault="00870744">
    <w:r>
      <w:rPr>
        <w:noProof/>
      </w:rPr>
      <w:drawing>
        <wp:anchor distT="19050" distB="19050" distL="19050" distR="19050" simplePos="0" relativeHeight="251658240" behindDoc="0" locked="0" layoutInCell="0" hidden="0" allowOverlap="1">
          <wp:simplePos x="0" y="0"/>
          <wp:positionH relativeFrom="margin">
            <wp:posOffset>6781800</wp:posOffset>
          </wp:positionH>
          <wp:positionV relativeFrom="paragraph">
            <wp:posOffset>66675</wp:posOffset>
          </wp:positionV>
          <wp:extent cx="2857500" cy="647700"/>
          <wp:effectExtent l="0" t="0" r="0" b="0"/>
          <wp:wrapSquare wrapText="bothSides" distT="19050" distB="19050" distL="19050" distR="1905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2857500" cy="647700"/>
                  </a:xfrm>
                  <a:prstGeom prst="rect">
                    <a:avLst/>
                  </a:prstGeom>
                  <a:ln/>
                </pic:spPr>
              </pic:pic>
            </a:graphicData>
          </a:graphic>
        </wp:anchor>
      </w:drawing>
    </w:r>
    <w:r>
      <w:rPr>
        <w:noProof/>
      </w:rPr>
      <w:drawing>
        <wp:anchor distT="19050" distB="19050" distL="19050" distR="19050" simplePos="0" relativeHeight="251659264" behindDoc="0" locked="0" layoutInCell="0" hidden="0" allowOverlap="1">
          <wp:simplePos x="0" y="0"/>
          <wp:positionH relativeFrom="margin">
            <wp:posOffset>2990850</wp:posOffset>
          </wp:positionH>
          <wp:positionV relativeFrom="paragraph">
            <wp:posOffset>38100</wp:posOffset>
          </wp:positionV>
          <wp:extent cx="1960700" cy="701400"/>
          <wp:effectExtent l="0" t="0" r="0" b="0"/>
          <wp:wrapSquare wrapText="bothSides" distT="19050" distB="19050" distL="19050" distR="1905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960700" cy="701400"/>
                  </a:xfrm>
                  <a:prstGeom prst="rect">
                    <a:avLst/>
                  </a:prstGeom>
                  <a:ln/>
                </pic:spPr>
              </pic:pic>
            </a:graphicData>
          </a:graphic>
        </wp:anchor>
      </w:drawing>
    </w:r>
    <w:r>
      <w:rPr>
        <w:noProof/>
      </w:rPr>
      <w:drawing>
        <wp:anchor distT="19050" distB="19050" distL="19050" distR="19050" simplePos="0" relativeHeight="251660288" behindDoc="0" locked="0" layoutInCell="0" hidden="0" allowOverlap="1">
          <wp:simplePos x="0" y="0"/>
          <wp:positionH relativeFrom="margin">
            <wp:posOffset>-704849</wp:posOffset>
          </wp:positionH>
          <wp:positionV relativeFrom="paragraph">
            <wp:posOffset>-66674</wp:posOffset>
          </wp:positionV>
          <wp:extent cx="1378225" cy="972725"/>
          <wp:effectExtent l="0" t="0" r="0" b="0"/>
          <wp:wrapSquare wrapText="bothSides" distT="19050" distB="19050" distL="19050" distR="190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3"/>
                  <a:srcRect/>
                  <a:stretch>
                    <a:fillRect/>
                  </a:stretch>
                </pic:blipFill>
                <pic:spPr>
                  <a:xfrm>
                    <a:off x="0" y="0"/>
                    <a:ext cx="1378225" cy="9727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55"/>
    <w:rsid w:val="001A02C7"/>
    <w:rsid w:val="00834B86"/>
    <w:rsid w:val="00841058"/>
    <w:rsid w:val="00870744"/>
    <w:rsid w:val="00DE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9E0D3-C445-40DC-8D29-623CDC52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Redfern-Nichols Zoe</dc:creator>
  <cp:lastModifiedBy>Stott Wayne</cp:lastModifiedBy>
  <cp:revision>2</cp:revision>
  <dcterms:created xsi:type="dcterms:W3CDTF">2017-02-14T08:46:00Z</dcterms:created>
  <dcterms:modified xsi:type="dcterms:W3CDTF">2017-02-14T08:46:00Z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2dcf32e0-4fd8-4796-a356-e4b151252550</vt:lpwstr>
  </property>
  <property fmtid="{D5CDD505-2E9C-101B-9397-08002B2CF9AE}" pid="3" name="SercoClassification">
    <vt:lpwstr>Not a Serco document (No visible marking)</vt:lpwstr>
  </property>
</Properties>
</file>