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2CAB" w:rsidRPr="002D7018" w:rsidRDefault="003F2CAB" w:rsidP="003F2CAB">
      <w:pPr>
        <w:pStyle w:val="NormalWeb"/>
        <w:rPr>
          <w:rFonts w:asciiTheme="minorHAnsi" w:hAnsiTheme="minorHAnsi"/>
          <w:b/>
          <w:sz w:val="22"/>
          <w:szCs w:val="22"/>
        </w:rPr>
      </w:pPr>
      <w:r w:rsidRPr="002D7018">
        <w:rPr>
          <w:rFonts w:asciiTheme="minorHAnsi" w:hAnsiTheme="minorHAnsi"/>
          <w:b/>
          <w:sz w:val="22"/>
          <w:szCs w:val="22"/>
        </w:rPr>
        <w:t>Wandsworth is commissioning organisations to provide the Children’s Continuing Care servic</w:t>
      </w:r>
      <w:r w:rsidR="002D7018" w:rsidRPr="002D7018">
        <w:rPr>
          <w:rFonts w:asciiTheme="minorHAnsi" w:hAnsiTheme="minorHAnsi"/>
          <w:b/>
          <w:sz w:val="22"/>
          <w:szCs w:val="22"/>
        </w:rPr>
        <w:t>e</w:t>
      </w:r>
    </w:p>
    <w:p w:rsidR="003F2CAB" w:rsidRPr="002D7018" w:rsidRDefault="003F2CAB" w:rsidP="002D7018">
      <w:pPr>
        <w:pStyle w:val="NormalWeb"/>
        <w:numPr>
          <w:ilvl w:val="0"/>
          <w:numId w:val="1"/>
        </w:numPr>
        <w:rPr>
          <w:rFonts w:asciiTheme="minorHAnsi" w:hAnsiTheme="minorHAnsi"/>
          <w:sz w:val="22"/>
          <w:szCs w:val="22"/>
        </w:rPr>
      </w:pPr>
      <w:r w:rsidRPr="002D7018">
        <w:rPr>
          <w:rFonts w:asciiTheme="minorHAnsi" w:hAnsiTheme="minorHAnsi"/>
          <w:sz w:val="22"/>
          <w:szCs w:val="22"/>
        </w:rPr>
        <w:t xml:space="preserve">This service provides support to a small number of families within Wandsworth, currently around 27 families </w:t>
      </w:r>
    </w:p>
    <w:p w:rsidR="003F2CAB" w:rsidRPr="002D7018" w:rsidRDefault="003F2CAB" w:rsidP="002D7018">
      <w:pPr>
        <w:pStyle w:val="NormalWeb"/>
        <w:numPr>
          <w:ilvl w:val="0"/>
          <w:numId w:val="1"/>
        </w:numPr>
        <w:rPr>
          <w:rFonts w:asciiTheme="minorHAnsi" w:hAnsiTheme="minorHAnsi"/>
          <w:sz w:val="22"/>
          <w:szCs w:val="22"/>
        </w:rPr>
      </w:pPr>
      <w:r w:rsidRPr="002D7018">
        <w:rPr>
          <w:rFonts w:asciiTheme="minorHAnsi" w:hAnsiTheme="minorHAnsi"/>
          <w:sz w:val="22"/>
          <w:szCs w:val="22"/>
        </w:rPr>
        <w:t xml:space="preserve">The continuing care package is required for a child or young person with complex health needs arising from disability, accident or illness that cannot be met by existing or specialist services alone.  The team works to ensure that families are supported and care is provided according to defined assessed needs.  </w:t>
      </w:r>
    </w:p>
    <w:p w:rsidR="003F2CAB" w:rsidRPr="002D7018" w:rsidRDefault="003F2CAB" w:rsidP="002D7018">
      <w:pPr>
        <w:pStyle w:val="NormalWeb"/>
        <w:numPr>
          <w:ilvl w:val="0"/>
          <w:numId w:val="1"/>
        </w:numPr>
        <w:rPr>
          <w:rFonts w:asciiTheme="minorHAnsi" w:hAnsiTheme="minorHAnsi"/>
          <w:sz w:val="22"/>
          <w:szCs w:val="22"/>
        </w:rPr>
      </w:pPr>
      <w:r w:rsidRPr="002D7018">
        <w:rPr>
          <w:rFonts w:asciiTheme="minorHAnsi" w:hAnsiTheme="minorHAnsi"/>
          <w:sz w:val="22"/>
          <w:szCs w:val="22"/>
        </w:rPr>
        <w:t xml:space="preserve">The Children’s Continuing Care services provides bespoke packages of care predominately in the home. </w:t>
      </w:r>
    </w:p>
    <w:p w:rsidR="003F2CAB" w:rsidRPr="002D7018" w:rsidRDefault="003F2CAB" w:rsidP="002D7018">
      <w:pPr>
        <w:pStyle w:val="NormalWeb"/>
        <w:numPr>
          <w:ilvl w:val="0"/>
          <w:numId w:val="1"/>
        </w:numPr>
        <w:rPr>
          <w:rFonts w:asciiTheme="minorHAnsi" w:hAnsiTheme="minorHAnsi"/>
          <w:sz w:val="22"/>
          <w:szCs w:val="22"/>
        </w:rPr>
      </w:pPr>
      <w:r w:rsidRPr="002D7018">
        <w:rPr>
          <w:rFonts w:asciiTheme="minorHAnsi" w:hAnsiTheme="minorHAnsi"/>
          <w:sz w:val="22"/>
          <w:szCs w:val="22"/>
        </w:rPr>
        <w:t>The Children’s Continuing Care Service uses a skill mix team comprising of healthcare assistants and nurses working together to provide care 24 hours, seven days a week over 365 days per year.</w:t>
      </w:r>
    </w:p>
    <w:p w:rsidR="003F2CAB" w:rsidRPr="002D7018" w:rsidRDefault="003F2CAB" w:rsidP="002D7018">
      <w:pPr>
        <w:pStyle w:val="NormalWeb"/>
        <w:numPr>
          <w:ilvl w:val="0"/>
          <w:numId w:val="1"/>
        </w:numPr>
        <w:rPr>
          <w:rFonts w:asciiTheme="minorHAnsi" w:hAnsiTheme="minorHAnsi"/>
          <w:sz w:val="22"/>
          <w:szCs w:val="22"/>
        </w:rPr>
      </w:pPr>
      <w:r w:rsidRPr="002D7018">
        <w:rPr>
          <w:rFonts w:asciiTheme="minorHAnsi" w:hAnsiTheme="minorHAnsi"/>
          <w:sz w:val="22"/>
          <w:szCs w:val="22"/>
        </w:rPr>
        <w:t>The service provider</w:t>
      </w:r>
      <w:r w:rsidR="002D7018" w:rsidRPr="002D7018">
        <w:rPr>
          <w:rFonts w:asciiTheme="minorHAnsi" w:hAnsiTheme="minorHAnsi"/>
          <w:sz w:val="22"/>
          <w:szCs w:val="22"/>
        </w:rPr>
        <w:t>/</w:t>
      </w:r>
      <w:r w:rsidRPr="002D7018">
        <w:rPr>
          <w:rFonts w:asciiTheme="minorHAnsi" w:hAnsiTheme="minorHAnsi"/>
          <w:sz w:val="22"/>
          <w:szCs w:val="22"/>
        </w:rPr>
        <w:t>s need to be experienced in providing one or both elements of Healthcare Assistants or Nursing professionals. The majority of the staff needed would be Healthcare Assistants.</w:t>
      </w:r>
    </w:p>
    <w:p w:rsidR="003F2CAB" w:rsidRPr="002D7018" w:rsidRDefault="003F2CAB" w:rsidP="002D7018">
      <w:pPr>
        <w:pStyle w:val="NormalWeb"/>
        <w:numPr>
          <w:ilvl w:val="0"/>
          <w:numId w:val="1"/>
        </w:numPr>
        <w:rPr>
          <w:rFonts w:asciiTheme="minorHAnsi" w:hAnsiTheme="minorHAnsi"/>
          <w:sz w:val="22"/>
          <w:szCs w:val="22"/>
        </w:rPr>
      </w:pPr>
      <w:r w:rsidRPr="002D7018">
        <w:rPr>
          <w:rFonts w:asciiTheme="minorHAnsi" w:hAnsiTheme="minorHAnsi"/>
          <w:sz w:val="22"/>
          <w:szCs w:val="22"/>
        </w:rPr>
        <w:t>The service is changing as more families are using Personal Health budget</w:t>
      </w:r>
      <w:r w:rsidR="002D7018" w:rsidRPr="002D7018">
        <w:rPr>
          <w:rFonts w:asciiTheme="minorHAnsi" w:hAnsiTheme="minorHAnsi"/>
          <w:sz w:val="22"/>
          <w:szCs w:val="22"/>
        </w:rPr>
        <w:t xml:space="preserve"> and we want providers that are supportive of this approach</w:t>
      </w:r>
      <w:r w:rsidRPr="002D7018">
        <w:rPr>
          <w:rFonts w:asciiTheme="minorHAnsi" w:hAnsiTheme="minorHAnsi"/>
          <w:sz w:val="22"/>
          <w:szCs w:val="22"/>
        </w:rPr>
        <w:t>.</w:t>
      </w:r>
    </w:p>
    <w:p w:rsidR="003F2CAB" w:rsidRPr="002D7018" w:rsidRDefault="003F2CAB" w:rsidP="002D7018">
      <w:pPr>
        <w:pStyle w:val="NormalWeb"/>
        <w:numPr>
          <w:ilvl w:val="0"/>
          <w:numId w:val="1"/>
        </w:numPr>
        <w:rPr>
          <w:rFonts w:asciiTheme="minorHAnsi" w:hAnsiTheme="minorHAnsi"/>
          <w:sz w:val="22"/>
          <w:szCs w:val="22"/>
        </w:rPr>
      </w:pPr>
      <w:r w:rsidRPr="002D7018">
        <w:rPr>
          <w:rFonts w:asciiTheme="minorHAnsi" w:hAnsiTheme="minorHAnsi"/>
          <w:sz w:val="22"/>
          <w:szCs w:val="22"/>
        </w:rPr>
        <w:t>The service provider/s would work with other Health providers including St Georges who provide the Children’s Community Nursing Service.</w:t>
      </w:r>
    </w:p>
    <w:p w:rsidR="003F2CAB" w:rsidRPr="002D7018" w:rsidRDefault="003F2CAB" w:rsidP="002D7018">
      <w:pPr>
        <w:pStyle w:val="NormalWeb"/>
        <w:numPr>
          <w:ilvl w:val="0"/>
          <w:numId w:val="1"/>
        </w:numPr>
        <w:rPr>
          <w:rFonts w:asciiTheme="minorHAnsi" w:hAnsiTheme="minorHAnsi"/>
          <w:sz w:val="22"/>
          <w:szCs w:val="22"/>
        </w:rPr>
      </w:pPr>
      <w:r w:rsidRPr="002D7018">
        <w:rPr>
          <w:rFonts w:asciiTheme="minorHAnsi" w:hAnsiTheme="minorHAnsi"/>
          <w:sz w:val="22"/>
          <w:szCs w:val="22"/>
        </w:rPr>
        <w:t xml:space="preserve">The process for </w:t>
      </w:r>
      <w:r w:rsidR="002D7018" w:rsidRPr="002D7018">
        <w:rPr>
          <w:rFonts w:asciiTheme="minorHAnsi" w:hAnsiTheme="minorHAnsi"/>
          <w:sz w:val="22"/>
          <w:szCs w:val="22"/>
        </w:rPr>
        <w:t xml:space="preserve">the </w:t>
      </w:r>
      <w:r w:rsidRPr="002D7018">
        <w:rPr>
          <w:rFonts w:asciiTheme="minorHAnsi" w:hAnsiTheme="minorHAnsi"/>
          <w:sz w:val="22"/>
          <w:szCs w:val="22"/>
        </w:rPr>
        <w:t>provision</w:t>
      </w:r>
      <w:r w:rsidR="002D7018" w:rsidRPr="002D7018">
        <w:rPr>
          <w:rFonts w:asciiTheme="minorHAnsi" w:hAnsiTheme="minorHAnsi"/>
          <w:sz w:val="22"/>
          <w:szCs w:val="22"/>
        </w:rPr>
        <w:t xml:space="preserve"> of children’s continuing healthcare</w:t>
      </w:r>
      <w:r w:rsidRPr="002D7018">
        <w:rPr>
          <w:rFonts w:asciiTheme="minorHAnsi" w:hAnsiTheme="minorHAnsi"/>
          <w:sz w:val="22"/>
          <w:szCs w:val="22"/>
        </w:rPr>
        <w:t xml:space="preserve"> is outlined below:</w:t>
      </w:r>
    </w:p>
    <w:p w:rsidR="003F2CAB" w:rsidRPr="002D7018" w:rsidRDefault="003F2CAB" w:rsidP="003F2CAB">
      <w:pPr>
        <w:pStyle w:val="NormalWeb"/>
        <w:rPr>
          <w:rFonts w:asciiTheme="minorHAnsi" w:hAnsiTheme="minorHAnsi"/>
          <w:sz w:val="22"/>
          <w:szCs w:val="22"/>
        </w:rPr>
      </w:pPr>
      <w:r w:rsidRPr="002D7018">
        <w:rPr>
          <w:rFonts w:asciiTheme="minorHAnsi" w:hAnsiTheme="minorHAnsi"/>
          <w:noProof/>
          <w:sz w:val="22"/>
          <w:szCs w:val="22"/>
        </w:rPr>
        <w:drawing>
          <wp:inline distT="0" distB="0" distL="0" distR="0" wp14:anchorId="337E26DC" wp14:editId="09A59DAB">
            <wp:extent cx="5731510" cy="1990725"/>
            <wp:effectExtent l="0" t="38100" r="0" b="66675"/>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rsidR="00407307" w:rsidRPr="002D7018" w:rsidRDefault="003F2CAB">
      <w:r w:rsidRPr="002D7018">
        <w:t>The service needed is a flexible, professional and competent that works in partnership with Children and Young People, Parents and Carers to make a difference.</w:t>
      </w:r>
    </w:p>
    <w:p w:rsidR="003F2CAB" w:rsidRDefault="003F2CAB">
      <w:bookmarkStart w:id="0" w:name="_GoBack"/>
      <w:bookmarkEnd w:id="0"/>
    </w:p>
    <w:sectPr w:rsidR="003F2CA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B62255"/>
    <w:multiLevelType w:val="hybridMultilevel"/>
    <w:tmpl w:val="8C226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CAB"/>
    <w:rsid w:val="000D0E46"/>
    <w:rsid w:val="002D7018"/>
    <w:rsid w:val="003F2CAB"/>
    <w:rsid w:val="004B1681"/>
    <w:rsid w:val="00CA39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F2CA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CA39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394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F2CA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CA39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394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9538074">
      <w:bodyDiv w:val="1"/>
      <w:marLeft w:val="0"/>
      <w:marRight w:val="0"/>
      <w:marTop w:val="0"/>
      <w:marBottom w:val="0"/>
      <w:divBdr>
        <w:top w:val="none" w:sz="0" w:space="0" w:color="auto"/>
        <w:left w:val="none" w:sz="0" w:space="0" w:color="auto"/>
        <w:bottom w:val="none" w:sz="0" w:space="0" w:color="auto"/>
        <w:right w:val="none" w:sz="0" w:space="0" w:color="auto"/>
      </w:divBdr>
    </w:div>
    <w:div w:id="1179854089">
      <w:bodyDiv w:val="1"/>
      <w:marLeft w:val="0"/>
      <w:marRight w:val="0"/>
      <w:marTop w:val="0"/>
      <w:marBottom w:val="0"/>
      <w:divBdr>
        <w:top w:val="none" w:sz="0" w:space="0" w:color="auto"/>
        <w:left w:val="none" w:sz="0" w:space="0" w:color="auto"/>
        <w:bottom w:val="none" w:sz="0" w:space="0" w:color="auto"/>
        <w:right w:val="none" w:sz="0" w:space="0" w:color="auto"/>
      </w:divBdr>
    </w:div>
    <w:div w:id="1696614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3" Type="http://schemas.microsoft.com/office/2007/relationships/stylesWithEffects" Target="stylesWithEffects.xml"/><Relationship Id="rId7" Type="http://schemas.openxmlformats.org/officeDocument/2006/relationships/diagramLayout" Target="diagrams/layout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Data" Target="diagrams/data1.xml"/><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07/relationships/diagramDrawing" Target="diagrams/drawing1.xml"/><Relationship Id="rId4" Type="http://schemas.openxmlformats.org/officeDocument/2006/relationships/settings" Target="settings.xml"/><Relationship Id="rId9"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8036044-F96C-45E2-95B7-D20B640F1434}" type="doc">
      <dgm:prSet loTypeId="urn:microsoft.com/office/officeart/2005/8/layout/process1" loCatId="process" qsTypeId="urn:microsoft.com/office/officeart/2005/8/quickstyle/simple1" qsCatId="simple" csTypeId="urn:microsoft.com/office/officeart/2005/8/colors/accent1_2" csCatId="accent1" phldr="1"/>
      <dgm:spPr/>
    </dgm:pt>
    <dgm:pt modelId="{69728977-3ED2-40F1-A929-FF9DEBA24D96}">
      <dgm:prSet phldrT="[Text]"/>
      <dgm:spPr>
        <a:xfrm>
          <a:off x="4085" y="203929"/>
          <a:ext cx="1266613" cy="1793050"/>
        </a:xfrm>
      </dgm:spPr>
      <dgm:t>
        <a:bodyPr/>
        <a:lstStyle/>
        <a:p>
          <a:r>
            <a:rPr lang="en-GB"/>
            <a:t>Identification of need</a:t>
          </a:r>
        </a:p>
        <a:p>
          <a:r>
            <a:rPr lang="en-GB"/>
            <a:t>(Multi Agency Professionals)</a:t>
          </a:r>
        </a:p>
      </dgm:t>
    </dgm:pt>
    <dgm:pt modelId="{AE932AF1-06C2-4204-9BE9-EAB482CE4F39}" type="parTrans" cxnId="{2B22315B-6E24-4C15-9051-71D58B7BF834}">
      <dgm:prSet/>
      <dgm:spPr/>
      <dgm:t>
        <a:bodyPr/>
        <a:lstStyle/>
        <a:p>
          <a:endParaRPr lang="en-GB"/>
        </a:p>
      </dgm:t>
    </dgm:pt>
    <dgm:pt modelId="{25C87DF0-BC34-4124-AE0D-273688CF02D9}" type="sibTrans" cxnId="{2B22315B-6E24-4C15-9051-71D58B7BF834}">
      <dgm:prSet/>
      <dgm:spPr>
        <a:xfrm>
          <a:off x="1397361" y="943394"/>
          <a:ext cx="268522" cy="314120"/>
        </a:xfrm>
      </dgm:spPr>
      <dgm:t>
        <a:bodyPr/>
        <a:lstStyle/>
        <a:p>
          <a:endParaRPr lang="en-GB"/>
        </a:p>
      </dgm:t>
    </dgm:pt>
    <dgm:pt modelId="{E329D78F-D1D8-454B-AE1F-55B6AF318977}">
      <dgm:prSet phldrT="[Text]" custT="1"/>
      <dgm:spPr>
        <a:xfrm>
          <a:off x="1777345" y="203929"/>
          <a:ext cx="1266613" cy="1793050"/>
        </a:xfrm>
      </dgm:spPr>
      <dgm:t>
        <a:bodyPr/>
        <a:lstStyle/>
        <a:p>
          <a:r>
            <a:rPr lang="en-GB" sz="900"/>
            <a:t>Integrated Assessment</a:t>
          </a:r>
        </a:p>
        <a:p>
          <a:endParaRPr lang="en-GB" sz="900"/>
        </a:p>
        <a:p>
          <a:r>
            <a:rPr lang="en-GB" sz="900"/>
            <a:t> Using FACE (Resource Allocation Tool)</a:t>
          </a:r>
        </a:p>
        <a:p>
          <a:endParaRPr lang="en-GB" sz="900"/>
        </a:p>
        <a:p>
          <a:r>
            <a:rPr lang="en-GB" sz="900"/>
            <a:t>(CCG Children's Continuing Healthcare Assessor/With input from Children's Social Care</a:t>
          </a:r>
        </a:p>
      </dgm:t>
    </dgm:pt>
    <dgm:pt modelId="{13159E79-3F9A-473F-80B4-373D24ED5FB9}" type="parTrans" cxnId="{6FA21EAF-63CD-4787-B6D6-331AE4A733F0}">
      <dgm:prSet/>
      <dgm:spPr/>
      <dgm:t>
        <a:bodyPr/>
        <a:lstStyle/>
        <a:p>
          <a:endParaRPr lang="en-GB"/>
        </a:p>
      </dgm:t>
    </dgm:pt>
    <dgm:pt modelId="{41FC330B-E7F8-4974-AD09-136158D07080}" type="sibTrans" cxnId="{6FA21EAF-63CD-4787-B6D6-331AE4A733F0}">
      <dgm:prSet/>
      <dgm:spPr>
        <a:xfrm>
          <a:off x="3170620" y="943394"/>
          <a:ext cx="268522" cy="314120"/>
        </a:xfrm>
      </dgm:spPr>
      <dgm:t>
        <a:bodyPr/>
        <a:lstStyle/>
        <a:p>
          <a:endParaRPr lang="en-GB"/>
        </a:p>
      </dgm:t>
    </dgm:pt>
    <dgm:pt modelId="{F255884A-E536-498A-B793-A9A71F2582D5}">
      <dgm:prSet phldrT="[Text]" custT="1"/>
      <dgm:spPr>
        <a:xfrm>
          <a:off x="3550605" y="203929"/>
          <a:ext cx="1266613" cy="1793050"/>
        </a:xfrm>
      </dgm:spPr>
      <dgm:t>
        <a:bodyPr/>
        <a:lstStyle/>
        <a:p>
          <a:r>
            <a:rPr lang="en-GB" sz="900"/>
            <a:t>EHC Panel</a:t>
          </a:r>
        </a:p>
        <a:p>
          <a:endParaRPr lang="en-GB" sz="900"/>
        </a:p>
        <a:p>
          <a:r>
            <a:rPr lang="en-GB" sz="900"/>
            <a:t>(Multi-agency panel, </a:t>
          </a:r>
        </a:p>
        <a:p>
          <a:r>
            <a:rPr lang="en-GB" sz="900"/>
            <a:t>Chaired by Head of SEND and Head of Integrated Commissioning)</a:t>
          </a:r>
        </a:p>
      </dgm:t>
    </dgm:pt>
    <dgm:pt modelId="{D4296CB9-17CC-4E6B-8542-353B0E1F1E2F}" type="parTrans" cxnId="{C946DD66-EA17-47E4-A503-77EAA79B409E}">
      <dgm:prSet/>
      <dgm:spPr/>
      <dgm:t>
        <a:bodyPr/>
        <a:lstStyle/>
        <a:p>
          <a:endParaRPr lang="en-GB"/>
        </a:p>
      </dgm:t>
    </dgm:pt>
    <dgm:pt modelId="{DEBC0DE4-4DAD-496C-9CDA-C0564B65CA6D}" type="sibTrans" cxnId="{C946DD66-EA17-47E4-A503-77EAA79B409E}">
      <dgm:prSet/>
      <dgm:spPr>
        <a:xfrm>
          <a:off x="4943880" y="943394"/>
          <a:ext cx="268522" cy="314120"/>
        </a:xfrm>
      </dgm:spPr>
      <dgm:t>
        <a:bodyPr/>
        <a:lstStyle/>
        <a:p>
          <a:endParaRPr lang="en-GB"/>
        </a:p>
      </dgm:t>
    </dgm:pt>
    <dgm:pt modelId="{EAF0E460-9D4B-4FEF-8B45-73347A83B868}">
      <dgm:prSet custT="1"/>
      <dgm:spPr>
        <a:xfrm>
          <a:off x="5323864" y="203929"/>
          <a:ext cx="1266613" cy="1793050"/>
        </a:xfrm>
      </dgm:spPr>
      <dgm:t>
        <a:bodyPr/>
        <a:lstStyle/>
        <a:p>
          <a:r>
            <a:rPr lang="en-GB" sz="900"/>
            <a:t>Brokerage of additional provision</a:t>
          </a:r>
        </a:p>
        <a:p>
          <a:endParaRPr lang="en-GB" sz="900"/>
        </a:p>
        <a:p>
          <a:endParaRPr lang="en-GB" sz="900"/>
        </a:p>
      </dgm:t>
    </dgm:pt>
    <dgm:pt modelId="{770AD140-3085-4CC5-A3FE-3D8FFD0E8369}" type="parTrans" cxnId="{757E987F-F480-42F4-AD4C-1FAED5CD0D23}">
      <dgm:prSet/>
      <dgm:spPr/>
      <dgm:t>
        <a:bodyPr/>
        <a:lstStyle/>
        <a:p>
          <a:endParaRPr lang="en-GB"/>
        </a:p>
      </dgm:t>
    </dgm:pt>
    <dgm:pt modelId="{20210F28-1C94-4BA2-9F97-798C617CA9B2}" type="sibTrans" cxnId="{757E987F-F480-42F4-AD4C-1FAED5CD0D23}">
      <dgm:prSet/>
      <dgm:spPr>
        <a:xfrm>
          <a:off x="6717139" y="943394"/>
          <a:ext cx="268522" cy="314120"/>
        </a:xfrm>
      </dgm:spPr>
      <dgm:t>
        <a:bodyPr/>
        <a:lstStyle/>
        <a:p>
          <a:endParaRPr lang="en-GB"/>
        </a:p>
      </dgm:t>
    </dgm:pt>
    <dgm:pt modelId="{18DF2948-196E-4AC1-9FB6-14FAE01BB45E}">
      <dgm:prSet custT="1"/>
      <dgm:spPr>
        <a:xfrm>
          <a:off x="7097124" y="203929"/>
          <a:ext cx="1266613" cy="1793050"/>
        </a:xfrm>
      </dgm:spPr>
      <dgm:t>
        <a:bodyPr/>
        <a:lstStyle/>
        <a:p>
          <a:r>
            <a:rPr lang="en-GB" sz="900" baseline="0"/>
            <a:t>Service Provider by AQP</a:t>
          </a:r>
        </a:p>
        <a:p>
          <a:endParaRPr lang="en-GB" sz="900" baseline="0"/>
        </a:p>
        <a:p>
          <a:r>
            <a:rPr lang="en-GB" sz="900" baseline="0"/>
            <a:t>(Provider to be confirmed hrough procurement)</a:t>
          </a:r>
        </a:p>
      </dgm:t>
    </dgm:pt>
    <dgm:pt modelId="{46C0B5C7-9C3E-4E53-BCDF-06D5AC98E40D}" type="parTrans" cxnId="{E3165257-9F2A-4D38-986B-4EABCA2E3A8E}">
      <dgm:prSet/>
      <dgm:spPr/>
      <dgm:t>
        <a:bodyPr/>
        <a:lstStyle/>
        <a:p>
          <a:endParaRPr lang="en-GB"/>
        </a:p>
      </dgm:t>
    </dgm:pt>
    <dgm:pt modelId="{D3B1635A-6592-480C-9CE0-E5ADC1BC8768}" type="sibTrans" cxnId="{E3165257-9F2A-4D38-986B-4EABCA2E3A8E}">
      <dgm:prSet/>
      <dgm:spPr/>
      <dgm:t>
        <a:bodyPr/>
        <a:lstStyle/>
        <a:p>
          <a:endParaRPr lang="en-GB"/>
        </a:p>
      </dgm:t>
    </dgm:pt>
    <dgm:pt modelId="{A718AACC-0F3A-4893-A480-8BCEC774C416}" type="pres">
      <dgm:prSet presAssocID="{38036044-F96C-45E2-95B7-D20B640F1434}" presName="Name0" presStyleCnt="0">
        <dgm:presLayoutVars>
          <dgm:dir/>
          <dgm:resizeHandles val="exact"/>
        </dgm:presLayoutVars>
      </dgm:prSet>
      <dgm:spPr/>
    </dgm:pt>
    <dgm:pt modelId="{9F7EF594-8F65-479D-87D4-8075C655EC6F}" type="pres">
      <dgm:prSet presAssocID="{69728977-3ED2-40F1-A929-FF9DEBA24D96}" presName="node" presStyleLbl="node1" presStyleIdx="0" presStyleCnt="5">
        <dgm:presLayoutVars>
          <dgm:bulletEnabled val="1"/>
        </dgm:presLayoutVars>
      </dgm:prSet>
      <dgm:spPr>
        <a:prstGeom prst="roundRect">
          <a:avLst>
            <a:gd name="adj" fmla="val 10000"/>
          </a:avLst>
        </a:prstGeom>
      </dgm:spPr>
      <dgm:t>
        <a:bodyPr/>
        <a:lstStyle/>
        <a:p>
          <a:endParaRPr lang="en-GB"/>
        </a:p>
      </dgm:t>
    </dgm:pt>
    <dgm:pt modelId="{569DC1E0-7B58-4E03-B47A-C85A2735BBB4}" type="pres">
      <dgm:prSet presAssocID="{25C87DF0-BC34-4124-AE0D-273688CF02D9}" presName="sibTrans" presStyleLbl="sibTrans2D1" presStyleIdx="0" presStyleCnt="4"/>
      <dgm:spPr>
        <a:prstGeom prst="rightArrow">
          <a:avLst>
            <a:gd name="adj1" fmla="val 60000"/>
            <a:gd name="adj2" fmla="val 50000"/>
          </a:avLst>
        </a:prstGeom>
      </dgm:spPr>
      <dgm:t>
        <a:bodyPr/>
        <a:lstStyle/>
        <a:p>
          <a:endParaRPr lang="en-GB"/>
        </a:p>
      </dgm:t>
    </dgm:pt>
    <dgm:pt modelId="{81D489CD-E13F-4192-9890-3FBACCF7C8D8}" type="pres">
      <dgm:prSet presAssocID="{25C87DF0-BC34-4124-AE0D-273688CF02D9}" presName="connectorText" presStyleLbl="sibTrans2D1" presStyleIdx="0" presStyleCnt="4"/>
      <dgm:spPr/>
      <dgm:t>
        <a:bodyPr/>
        <a:lstStyle/>
        <a:p>
          <a:endParaRPr lang="en-GB"/>
        </a:p>
      </dgm:t>
    </dgm:pt>
    <dgm:pt modelId="{958C1DBA-B7E9-4CB9-8E30-21B94EEFEB46}" type="pres">
      <dgm:prSet presAssocID="{E329D78F-D1D8-454B-AE1F-55B6AF318977}" presName="node" presStyleLbl="node1" presStyleIdx="1" presStyleCnt="5" custScaleX="118017" custLinFactNeighborX="-40844">
        <dgm:presLayoutVars>
          <dgm:bulletEnabled val="1"/>
        </dgm:presLayoutVars>
      </dgm:prSet>
      <dgm:spPr>
        <a:prstGeom prst="roundRect">
          <a:avLst>
            <a:gd name="adj" fmla="val 10000"/>
          </a:avLst>
        </a:prstGeom>
      </dgm:spPr>
      <dgm:t>
        <a:bodyPr/>
        <a:lstStyle/>
        <a:p>
          <a:endParaRPr lang="en-GB"/>
        </a:p>
      </dgm:t>
    </dgm:pt>
    <dgm:pt modelId="{7BEF322D-B005-43F4-8109-FEAD1E7BF2BA}" type="pres">
      <dgm:prSet presAssocID="{41FC330B-E7F8-4974-AD09-136158D07080}" presName="sibTrans" presStyleLbl="sibTrans2D1" presStyleIdx="1" presStyleCnt="4"/>
      <dgm:spPr>
        <a:prstGeom prst="rightArrow">
          <a:avLst>
            <a:gd name="adj1" fmla="val 60000"/>
            <a:gd name="adj2" fmla="val 50000"/>
          </a:avLst>
        </a:prstGeom>
      </dgm:spPr>
      <dgm:t>
        <a:bodyPr/>
        <a:lstStyle/>
        <a:p>
          <a:endParaRPr lang="en-GB"/>
        </a:p>
      </dgm:t>
    </dgm:pt>
    <dgm:pt modelId="{B4F3CB05-77DB-4BAC-9C9B-DCA204C17957}" type="pres">
      <dgm:prSet presAssocID="{41FC330B-E7F8-4974-AD09-136158D07080}" presName="connectorText" presStyleLbl="sibTrans2D1" presStyleIdx="1" presStyleCnt="4"/>
      <dgm:spPr/>
      <dgm:t>
        <a:bodyPr/>
        <a:lstStyle/>
        <a:p>
          <a:endParaRPr lang="en-GB"/>
        </a:p>
      </dgm:t>
    </dgm:pt>
    <dgm:pt modelId="{895A50F9-8660-4255-A00D-48FF156924CE}" type="pres">
      <dgm:prSet presAssocID="{F255884A-E536-498A-B793-A9A71F2582D5}" presName="node" presStyleLbl="node1" presStyleIdx="2" presStyleCnt="5" custLinFactNeighborX="-75296" custLinFactNeighborY="3110">
        <dgm:presLayoutVars>
          <dgm:bulletEnabled val="1"/>
        </dgm:presLayoutVars>
      </dgm:prSet>
      <dgm:spPr>
        <a:prstGeom prst="roundRect">
          <a:avLst>
            <a:gd name="adj" fmla="val 10000"/>
          </a:avLst>
        </a:prstGeom>
      </dgm:spPr>
      <dgm:t>
        <a:bodyPr/>
        <a:lstStyle/>
        <a:p>
          <a:endParaRPr lang="en-GB"/>
        </a:p>
      </dgm:t>
    </dgm:pt>
    <dgm:pt modelId="{FD6754AA-06B2-4222-B023-5A0185633E24}" type="pres">
      <dgm:prSet presAssocID="{DEBC0DE4-4DAD-496C-9CDA-C0564B65CA6D}" presName="sibTrans" presStyleLbl="sibTrans2D1" presStyleIdx="2" presStyleCnt="4"/>
      <dgm:spPr>
        <a:prstGeom prst="rightArrow">
          <a:avLst>
            <a:gd name="adj1" fmla="val 60000"/>
            <a:gd name="adj2" fmla="val 50000"/>
          </a:avLst>
        </a:prstGeom>
      </dgm:spPr>
      <dgm:t>
        <a:bodyPr/>
        <a:lstStyle/>
        <a:p>
          <a:endParaRPr lang="en-GB"/>
        </a:p>
      </dgm:t>
    </dgm:pt>
    <dgm:pt modelId="{1C449322-141A-41CF-B6C2-BCF4757ED197}" type="pres">
      <dgm:prSet presAssocID="{DEBC0DE4-4DAD-496C-9CDA-C0564B65CA6D}" presName="connectorText" presStyleLbl="sibTrans2D1" presStyleIdx="2" presStyleCnt="4"/>
      <dgm:spPr/>
      <dgm:t>
        <a:bodyPr/>
        <a:lstStyle/>
        <a:p>
          <a:endParaRPr lang="en-GB"/>
        </a:p>
      </dgm:t>
    </dgm:pt>
    <dgm:pt modelId="{BE187F03-CA95-4917-9C9A-8DD7221B1C5F}" type="pres">
      <dgm:prSet presAssocID="{EAF0E460-9D4B-4FEF-8B45-73347A83B868}" presName="node" presStyleLbl="node1" presStyleIdx="3" presStyleCnt="5" custLinFactX="-8559" custLinFactNeighborX="-100000" custLinFactNeighborY="2949">
        <dgm:presLayoutVars>
          <dgm:bulletEnabled val="1"/>
        </dgm:presLayoutVars>
      </dgm:prSet>
      <dgm:spPr>
        <a:prstGeom prst="roundRect">
          <a:avLst>
            <a:gd name="adj" fmla="val 10000"/>
          </a:avLst>
        </a:prstGeom>
      </dgm:spPr>
      <dgm:t>
        <a:bodyPr/>
        <a:lstStyle/>
        <a:p>
          <a:endParaRPr lang="en-GB"/>
        </a:p>
      </dgm:t>
    </dgm:pt>
    <dgm:pt modelId="{7FCFC2D8-7EA7-40CC-AFCA-D197007E8E12}" type="pres">
      <dgm:prSet presAssocID="{20210F28-1C94-4BA2-9F97-798C617CA9B2}" presName="sibTrans" presStyleLbl="sibTrans2D1" presStyleIdx="3" presStyleCnt="4"/>
      <dgm:spPr>
        <a:prstGeom prst="rightArrow">
          <a:avLst>
            <a:gd name="adj1" fmla="val 60000"/>
            <a:gd name="adj2" fmla="val 50000"/>
          </a:avLst>
        </a:prstGeom>
      </dgm:spPr>
      <dgm:t>
        <a:bodyPr/>
        <a:lstStyle/>
        <a:p>
          <a:endParaRPr lang="en-GB"/>
        </a:p>
      </dgm:t>
    </dgm:pt>
    <dgm:pt modelId="{F46624E4-DA1E-4EEC-846E-1A85D50244F1}" type="pres">
      <dgm:prSet presAssocID="{20210F28-1C94-4BA2-9F97-798C617CA9B2}" presName="connectorText" presStyleLbl="sibTrans2D1" presStyleIdx="3" presStyleCnt="4"/>
      <dgm:spPr/>
      <dgm:t>
        <a:bodyPr/>
        <a:lstStyle/>
        <a:p>
          <a:endParaRPr lang="en-GB"/>
        </a:p>
      </dgm:t>
    </dgm:pt>
    <dgm:pt modelId="{784D5F61-D359-4805-96D3-A1845FB34E46}" type="pres">
      <dgm:prSet presAssocID="{18DF2948-196E-4AC1-9FB6-14FAE01BB45E}" presName="node" presStyleLbl="node1" presStyleIdx="4" presStyleCnt="5" custLinFactX="-15449" custLinFactNeighborX="-100000" custLinFactNeighborY="1180">
        <dgm:presLayoutVars>
          <dgm:bulletEnabled val="1"/>
        </dgm:presLayoutVars>
      </dgm:prSet>
      <dgm:spPr>
        <a:prstGeom prst="roundRect">
          <a:avLst>
            <a:gd name="adj" fmla="val 10000"/>
          </a:avLst>
        </a:prstGeom>
      </dgm:spPr>
      <dgm:t>
        <a:bodyPr/>
        <a:lstStyle/>
        <a:p>
          <a:endParaRPr lang="en-GB"/>
        </a:p>
      </dgm:t>
    </dgm:pt>
  </dgm:ptLst>
  <dgm:cxnLst>
    <dgm:cxn modelId="{2B22315B-6E24-4C15-9051-71D58B7BF834}" srcId="{38036044-F96C-45E2-95B7-D20B640F1434}" destId="{69728977-3ED2-40F1-A929-FF9DEBA24D96}" srcOrd="0" destOrd="0" parTransId="{AE932AF1-06C2-4204-9BE9-EAB482CE4F39}" sibTransId="{25C87DF0-BC34-4124-AE0D-273688CF02D9}"/>
    <dgm:cxn modelId="{E3165257-9F2A-4D38-986B-4EABCA2E3A8E}" srcId="{38036044-F96C-45E2-95B7-D20B640F1434}" destId="{18DF2948-196E-4AC1-9FB6-14FAE01BB45E}" srcOrd="4" destOrd="0" parTransId="{46C0B5C7-9C3E-4E53-BCDF-06D5AC98E40D}" sibTransId="{D3B1635A-6592-480C-9CE0-E5ADC1BC8768}"/>
    <dgm:cxn modelId="{47BD2668-3873-4743-8F84-0B8B5DDB9739}" type="presOf" srcId="{38036044-F96C-45E2-95B7-D20B640F1434}" destId="{A718AACC-0F3A-4893-A480-8BCEC774C416}" srcOrd="0" destOrd="0" presId="urn:microsoft.com/office/officeart/2005/8/layout/process1"/>
    <dgm:cxn modelId="{6FA21EAF-63CD-4787-B6D6-331AE4A733F0}" srcId="{38036044-F96C-45E2-95B7-D20B640F1434}" destId="{E329D78F-D1D8-454B-AE1F-55B6AF318977}" srcOrd="1" destOrd="0" parTransId="{13159E79-3F9A-473F-80B4-373D24ED5FB9}" sibTransId="{41FC330B-E7F8-4974-AD09-136158D07080}"/>
    <dgm:cxn modelId="{3633D2B3-D9E9-4B47-AD04-5F00E9836EF8}" type="presOf" srcId="{DEBC0DE4-4DAD-496C-9CDA-C0564B65CA6D}" destId="{FD6754AA-06B2-4222-B023-5A0185633E24}" srcOrd="0" destOrd="0" presId="urn:microsoft.com/office/officeart/2005/8/layout/process1"/>
    <dgm:cxn modelId="{C946DD66-EA17-47E4-A503-77EAA79B409E}" srcId="{38036044-F96C-45E2-95B7-D20B640F1434}" destId="{F255884A-E536-498A-B793-A9A71F2582D5}" srcOrd="2" destOrd="0" parTransId="{D4296CB9-17CC-4E6B-8542-353B0E1F1E2F}" sibTransId="{DEBC0DE4-4DAD-496C-9CDA-C0564B65CA6D}"/>
    <dgm:cxn modelId="{F541FBBF-D870-4E58-9ADD-FE11F1790A22}" type="presOf" srcId="{F255884A-E536-498A-B793-A9A71F2582D5}" destId="{895A50F9-8660-4255-A00D-48FF156924CE}" srcOrd="0" destOrd="0" presId="urn:microsoft.com/office/officeart/2005/8/layout/process1"/>
    <dgm:cxn modelId="{F7FDC6A8-76B0-4275-A77F-D0D5D0314123}" type="presOf" srcId="{20210F28-1C94-4BA2-9F97-798C617CA9B2}" destId="{F46624E4-DA1E-4EEC-846E-1A85D50244F1}" srcOrd="1" destOrd="0" presId="urn:microsoft.com/office/officeart/2005/8/layout/process1"/>
    <dgm:cxn modelId="{A0406A84-1BDD-448B-ADEA-F8FD3B8B372D}" type="presOf" srcId="{25C87DF0-BC34-4124-AE0D-273688CF02D9}" destId="{569DC1E0-7B58-4E03-B47A-C85A2735BBB4}" srcOrd="0" destOrd="0" presId="urn:microsoft.com/office/officeart/2005/8/layout/process1"/>
    <dgm:cxn modelId="{3848E8FD-AAF4-444D-BAA3-9B509AA1254B}" type="presOf" srcId="{25C87DF0-BC34-4124-AE0D-273688CF02D9}" destId="{81D489CD-E13F-4192-9890-3FBACCF7C8D8}" srcOrd="1" destOrd="0" presId="urn:microsoft.com/office/officeart/2005/8/layout/process1"/>
    <dgm:cxn modelId="{DC8B0D87-0BD7-4B98-8CB4-4E8B6CA7C6B2}" type="presOf" srcId="{41FC330B-E7F8-4974-AD09-136158D07080}" destId="{B4F3CB05-77DB-4BAC-9C9B-DCA204C17957}" srcOrd="1" destOrd="0" presId="urn:microsoft.com/office/officeart/2005/8/layout/process1"/>
    <dgm:cxn modelId="{E14E8895-39E5-407A-A380-2C12FDE7A605}" type="presOf" srcId="{EAF0E460-9D4B-4FEF-8B45-73347A83B868}" destId="{BE187F03-CA95-4917-9C9A-8DD7221B1C5F}" srcOrd="0" destOrd="0" presId="urn:microsoft.com/office/officeart/2005/8/layout/process1"/>
    <dgm:cxn modelId="{C714401E-C320-4975-818D-3CC5E3332D09}" type="presOf" srcId="{41FC330B-E7F8-4974-AD09-136158D07080}" destId="{7BEF322D-B005-43F4-8109-FEAD1E7BF2BA}" srcOrd="0" destOrd="0" presId="urn:microsoft.com/office/officeart/2005/8/layout/process1"/>
    <dgm:cxn modelId="{5564AC5D-44F4-4173-AC82-9CF144AAD725}" type="presOf" srcId="{20210F28-1C94-4BA2-9F97-798C617CA9B2}" destId="{7FCFC2D8-7EA7-40CC-AFCA-D197007E8E12}" srcOrd="0" destOrd="0" presId="urn:microsoft.com/office/officeart/2005/8/layout/process1"/>
    <dgm:cxn modelId="{2A7600EE-1805-40D1-BC98-01270DA8CE18}" type="presOf" srcId="{E329D78F-D1D8-454B-AE1F-55B6AF318977}" destId="{958C1DBA-B7E9-4CB9-8E30-21B94EEFEB46}" srcOrd="0" destOrd="0" presId="urn:microsoft.com/office/officeart/2005/8/layout/process1"/>
    <dgm:cxn modelId="{3487F994-CC3B-4877-B235-97F2DD5AE7CA}" type="presOf" srcId="{DEBC0DE4-4DAD-496C-9CDA-C0564B65CA6D}" destId="{1C449322-141A-41CF-B6C2-BCF4757ED197}" srcOrd="1" destOrd="0" presId="urn:microsoft.com/office/officeart/2005/8/layout/process1"/>
    <dgm:cxn modelId="{E9381FE8-4371-4F53-B065-774417F5B1AF}" type="presOf" srcId="{18DF2948-196E-4AC1-9FB6-14FAE01BB45E}" destId="{784D5F61-D359-4805-96D3-A1845FB34E46}" srcOrd="0" destOrd="0" presId="urn:microsoft.com/office/officeart/2005/8/layout/process1"/>
    <dgm:cxn modelId="{757E987F-F480-42F4-AD4C-1FAED5CD0D23}" srcId="{38036044-F96C-45E2-95B7-D20B640F1434}" destId="{EAF0E460-9D4B-4FEF-8B45-73347A83B868}" srcOrd="3" destOrd="0" parTransId="{770AD140-3085-4CC5-A3FE-3D8FFD0E8369}" sibTransId="{20210F28-1C94-4BA2-9F97-798C617CA9B2}"/>
    <dgm:cxn modelId="{23F9D45D-DB7F-4743-A5D7-B69144E82B13}" type="presOf" srcId="{69728977-3ED2-40F1-A929-FF9DEBA24D96}" destId="{9F7EF594-8F65-479D-87D4-8075C655EC6F}" srcOrd="0" destOrd="0" presId="urn:microsoft.com/office/officeart/2005/8/layout/process1"/>
    <dgm:cxn modelId="{081F01D9-BA23-4AED-84A0-0646C87E661D}" type="presParOf" srcId="{A718AACC-0F3A-4893-A480-8BCEC774C416}" destId="{9F7EF594-8F65-479D-87D4-8075C655EC6F}" srcOrd="0" destOrd="0" presId="urn:microsoft.com/office/officeart/2005/8/layout/process1"/>
    <dgm:cxn modelId="{2DCB546B-FE73-4E01-81C9-AA3E179BFF0E}" type="presParOf" srcId="{A718AACC-0F3A-4893-A480-8BCEC774C416}" destId="{569DC1E0-7B58-4E03-B47A-C85A2735BBB4}" srcOrd="1" destOrd="0" presId="urn:microsoft.com/office/officeart/2005/8/layout/process1"/>
    <dgm:cxn modelId="{B683AA4E-610D-47C8-BD3E-B0D19F546095}" type="presParOf" srcId="{569DC1E0-7B58-4E03-B47A-C85A2735BBB4}" destId="{81D489CD-E13F-4192-9890-3FBACCF7C8D8}" srcOrd="0" destOrd="0" presId="urn:microsoft.com/office/officeart/2005/8/layout/process1"/>
    <dgm:cxn modelId="{10473F13-95A8-4D35-892D-C399B99E3261}" type="presParOf" srcId="{A718AACC-0F3A-4893-A480-8BCEC774C416}" destId="{958C1DBA-B7E9-4CB9-8E30-21B94EEFEB46}" srcOrd="2" destOrd="0" presId="urn:microsoft.com/office/officeart/2005/8/layout/process1"/>
    <dgm:cxn modelId="{BC903A8A-ECC4-440B-96D6-5FEA8C65B716}" type="presParOf" srcId="{A718AACC-0F3A-4893-A480-8BCEC774C416}" destId="{7BEF322D-B005-43F4-8109-FEAD1E7BF2BA}" srcOrd="3" destOrd="0" presId="urn:microsoft.com/office/officeart/2005/8/layout/process1"/>
    <dgm:cxn modelId="{6FCE2238-F500-48FC-B6D1-DE1AE6F1EBCD}" type="presParOf" srcId="{7BEF322D-B005-43F4-8109-FEAD1E7BF2BA}" destId="{B4F3CB05-77DB-4BAC-9C9B-DCA204C17957}" srcOrd="0" destOrd="0" presId="urn:microsoft.com/office/officeart/2005/8/layout/process1"/>
    <dgm:cxn modelId="{633DEA39-5833-4232-8DC8-3BB4C76B2E3E}" type="presParOf" srcId="{A718AACC-0F3A-4893-A480-8BCEC774C416}" destId="{895A50F9-8660-4255-A00D-48FF156924CE}" srcOrd="4" destOrd="0" presId="urn:microsoft.com/office/officeart/2005/8/layout/process1"/>
    <dgm:cxn modelId="{36DDC7E4-09FD-428D-8CD8-2F61D2E92623}" type="presParOf" srcId="{A718AACC-0F3A-4893-A480-8BCEC774C416}" destId="{FD6754AA-06B2-4222-B023-5A0185633E24}" srcOrd="5" destOrd="0" presId="urn:microsoft.com/office/officeart/2005/8/layout/process1"/>
    <dgm:cxn modelId="{0669F855-1C0B-478E-AC19-243689234FB3}" type="presParOf" srcId="{FD6754AA-06B2-4222-B023-5A0185633E24}" destId="{1C449322-141A-41CF-B6C2-BCF4757ED197}" srcOrd="0" destOrd="0" presId="urn:microsoft.com/office/officeart/2005/8/layout/process1"/>
    <dgm:cxn modelId="{428A8F9A-41D8-4673-A1E0-C7DF8CAF2AFD}" type="presParOf" srcId="{A718AACC-0F3A-4893-A480-8BCEC774C416}" destId="{BE187F03-CA95-4917-9C9A-8DD7221B1C5F}" srcOrd="6" destOrd="0" presId="urn:microsoft.com/office/officeart/2005/8/layout/process1"/>
    <dgm:cxn modelId="{57A51627-DF96-4111-A892-A2F34CF3BACA}" type="presParOf" srcId="{A718AACC-0F3A-4893-A480-8BCEC774C416}" destId="{7FCFC2D8-7EA7-40CC-AFCA-D197007E8E12}" srcOrd="7" destOrd="0" presId="urn:microsoft.com/office/officeart/2005/8/layout/process1"/>
    <dgm:cxn modelId="{175A98FF-9482-4EF1-A45E-CC66A2462564}" type="presParOf" srcId="{7FCFC2D8-7EA7-40CC-AFCA-D197007E8E12}" destId="{F46624E4-DA1E-4EEC-846E-1A85D50244F1}" srcOrd="0" destOrd="0" presId="urn:microsoft.com/office/officeart/2005/8/layout/process1"/>
    <dgm:cxn modelId="{6A72A877-7AA3-4361-ABB9-EB6EE03168AD}" type="presParOf" srcId="{A718AACC-0F3A-4893-A480-8BCEC774C416}" destId="{784D5F61-D359-4805-96D3-A1845FB34E46}" srcOrd="8" destOrd="0" presId="urn:microsoft.com/office/officeart/2005/8/layout/process1"/>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F7EF594-8F65-479D-87D4-8075C655EC6F}">
      <dsp:nvSpPr>
        <dsp:cNvPr id="0" name=""/>
        <dsp:cNvSpPr/>
      </dsp:nvSpPr>
      <dsp:spPr>
        <a:xfrm>
          <a:off x="3341" y="0"/>
          <a:ext cx="844348" cy="199072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GB" sz="900" kern="1200"/>
            <a:t>Identification of need</a:t>
          </a:r>
        </a:p>
        <a:p>
          <a:pPr lvl="0" algn="ctr" defTabSz="400050">
            <a:lnSpc>
              <a:spcPct val="90000"/>
            </a:lnSpc>
            <a:spcBef>
              <a:spcPct val="0"/>
            </a:spcBef>
            <a:spcAft>
              <a:spcPct val="35000"/>
            </a:spcAft>
          </a:pPr>
          <a:r>
            <a:rPr lang="en-GB" sz="900" kern="1200"/>
            <a:t>(Multi Agency Professionals)</a:t>
          </a:r>
        </a:p>
      </dsp:txBody>
      <dsp:txXfrm>
        <a:off x="28071" y="24730"/>
        <a:ext cx="794888" cy="1941265"/>
      </dsp:txXfrm>
    </dsp:sp>
    <dsp:sp modelId="{569DC1E0-7B58-4E03-B47A-C85A2735BBB4}">
      <dsp:nvSpPr>
        <dsp:cNvPr id="0" name=""/>
        <dsp:cNvSpPr/>
      </dsp:nvSpPr>
      <dsp:spPr>
        <a:xfrm>
          <a:off x="897638" y="890663"/>
          <a:ext cx="105890" cy="209398"/>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n-GB" sz="800" kern="1200"/>
        </a:p>
      </dsp:txBody>
      <dsp:txXfrm>
        <a:off x="897638" y="932543"/>
        <a:ext cx="74123" cy="125638"/>
      </dsp:txXfrm>
    </dsp:sp>
    <dsp:sp modelId="{958C1DBA-B7E9-4CB9-8E30-21B94EEFEB46}">
      <dsp:nvSpPr>
        <dsp:cNvPr id="0" name=""/>
        <dsp:cNvSpPr/>
      </dsp:nvSpPr>
      <dsp:spPr>
        <a:xfrm>
          <a:off x="1047483" y="0"/>
          <a:ext cx="996474" cy="199072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GB" sz="900" kern="1200"/>
            <a:t>Integrated Assessment</a:t>
          </a:r>
        </a:p>
        <a:p>
          <a:pPr lvl="0" algn="ctr" defTabSz="400050">
            <a:lnSpc>
              <a:spcPct val="90000"/>
            </a:lnSpc>
            <a:spcBef>
              <a:spcPct val="0"/>
            </a:spcBef>
            <a:spcAft>
              <a:spcPct val="35000"/>
            </a:spcAft>
          </a:pPr>
          <a:endParaRPr lang="en-GB" sz="900" kern="1200"/>
        </a:p>
        <a:p>
          <a:pPr lvl="0" algn="ctr" defTabSz="400050">
            <a:lnSpc>
              <a:spcPct val="90000"/>
            </a:lnSpc>
            <a:spcBef>
              <a:spcPct val="0"/>
            </a:spcBef>
            <a:spcAft>
              <a:spcPct val="35000"/>
            </a:spcAft>
          </a:pPr>
          <a:r>
            <a:rPr lang="en-GB" sz="900" kern="1200"/>
            <a:t> Using FACE (Resource Allocation Tool)</a:t>
          </a:r>
        </a:p>
        <a:p>
          <a:pPr lvl="0" algn="ctr" defTabSz="400050">
            <a:lnSpc>
              <a:spcPct val="90000"/>
            </a:lnSpc>
            <a:spcBef>
              <a:spcPct val="0"/>
            </a:spcBef>
            <a:spcAft>
              <a:spcPct val="35000"/>
            </a:spcAft>
          </a:pPr>
          <a:endParaRPr lang="en-GB" sz="900" kern="1200"/>
        </a:p>
        <a:p>
          <a:pPr lvl="0" algn="ctr" defTabSz="400050">
            <a:lnSpc>
              <a:spcPct val="90000"/>
            </a:lnSpc>
            <a:spcBef>
              <a:spcPct val="0"/>
            </a:spcBef>
            <a:spcAft>
              <a:spcPct val="35000"/>
            </a:spcAft>
          </a:pPr>
          <a:r>
            <a:rPr lang="en-GB" sz="900" kern="1200"/>
            <a:t>(CCG Children's Continuing Healthcare Assessor/With input from Children's Social Care</a:t>
          </a:r>
        </a:p>
      </dsp:txBody>
      <dsp:txXfrm>
        <a:off x="1076669" y="29186"/>
        <a:ext cx="938102" cy="1932353"/>
      </dsp:txXfrm>
    </dsp:sp>
    <dsp:sp modelId="{7BEF322D-B005-43F4-8109-FEAD1E7BF2BA}">
      <dsp:nvSpPr>
        <dsp:cNvPr id="0" name=""/>
        <dsp:cNvSpPr/>
      </dsp:nvSpPr>
      <dsp:spPr>
        <a:xfrm>
          <a:off x="2099303" y="890663"/>
          <a:ext cx="117332" cy="209398"/>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n-GB" sz="800" kern="1200"/>
        </a:p>
      </dsp:txBody>
      <dsp:txXfrm>
        <a:off x="2099303" y="932543"/>
        <a:ext cx="82132" cy="125638"/>
      </dsp:txXfrm>
    </dsp:sp>
    <dsp:sp modelId="{895A50F9-8660-4255-A00D-48FF156924CE}">
      <dsp:nvSpPr>
        <dsp:cNvPr id="0" name=""/>
        <dsp:cNvSpPr/>
      </dsp:nvSpPr>
      <dsp:spPr>
        <a:xfrm>
          <a:off x="2265339" y="0"/>
          <a:ext cx="844348" cy="199072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GB" sz="900" kern="1200"/>
            <a:t>EHC Panel</a:t>
          </a:r>
        </a:p>
        <a:p>
          <a:pPr lvl="0" algn="ctr" defTabSz="400050">
            <a:lnSpc>
              <a:spcPct val="90000"/>
            </a:lnSpc>
            <a:spcBef>
              <a:spcPct val="0"/>
            </a:spcBef>
            <a:spcAft>
              <a:spcPct val="35000"/>
            </a:spcAft>
          </a:pPr>
          <a:endParaRPr lang="en-GB" sz="900" kern="1200"/>
        </a:p>
        <a:p>
          <a:pPr lvl="0" algn="ctr" defTabSz="400050">
            <a:lnSpc>
              <a:spcPct val="90000"/>
            </a:lnSpc>
            <a:spcBef>
              <a:spcPct val="0"/>
            </a:spcBef>
            <a:spcAft>
              <a:spcPct val="35000"/>
            </a:spcAft>
          </a:pPr>
          <a:r>
            <a:rPr lang="en-GB" sz="900" kern="1200"/>
            <a:t>(Multi-agency panel, </a:t>
          </a:r>
        </a:p>
        <a:p>
          <a:pPr lvl="0" algn="ctr" defTabSz="400050">
            <a:lnSpc>
              <a:spcPct val="90000"/>
            </a:lnSpc>
            <a:spcBef>
              <a:spcPct val="0"/>
            </a:spcBef>
            <a:spcAft>
              <a:spcPct val="35000"/>
            </a:spcAft>
          </a:pPr>
          <a:r>
            <a:rPr lang="en-GB" sz="900" kern="1200"/>
            <a:t>Chaired by Head of SEND and Head of Integrated Commissioning)</a:t>
          </a:r>
        </a:p>
      </dsp:txBody>
      <dsp:txXfrm>
        <a:off x="2290069" y="24730"/>
        <a:ext cx="794888" cy="1941265"/>
      </dsp:txXfrm>
    </dsp:sp>
    <dsp:sp modelId="{FD6754AA-06B2-4222-B023-5A0185633E24}">
      <dsp:nvSpPr>
        <dsp:cNvPr id="0" name=""/>
        <dsp:cNvSpPr/>
      </dsp:nvSpPr>
      <dsp:spPr>
        <a:xfrm>
          <a:off x="3155197" y="890663"/>
          <a:ext cx="96479" cy="209398"/>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n-GB" sz="800" kern="1200"/>
        </a:p>
      </dsp:txBody>
      <dsp:txXfrm>
        <a:off x="3155197" y="932543"/>
        <a:ext cx="67535" cy="125638"/>
      </dsp:txXfrm>
    </dsp:sp>
    <dsp:sp modelId="{BE187F03-CA95-4917-9C9A-8DD7221B1C5F}">
      <dsp:nvSpPr>
        <dsp:cNvPr id="0" name=""/>
        <dsp:cNvSpPr/>
      </dsp:nvSpPr>
      <dsp:spPr>
        <a:xfrm>
          <a:off x="3291724" y="0"/>
          <a:ext cx="844348" cy="199072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GB" sz="900" kern="1200"/>
            <a:t>Brokerage of additional provision</a:t>
          </a:r>
        </a:p>
        <a:p>
          <a:pPr lvl="0" algn="ctr" defTabSz="400050">
            <a:lnSpc>
              <a:spcPct val="90000"/>
            </a:lnSpc>
            <a:spcBef>
              <a:spcPct val="0"/>
            </a:spcBef>
            <a:spcAft>
              <a:spcPct val="35000"/>
            </a:spcAft>
          </a:pPr>
          <a:endParaRPr lang="en-GB" sz="900" kern="1200"/>
        </a:p>
        <a:p>
          <a:pPr lvl="0" algn="ctr" defTabSz="400050">
            <a:lnSpc>
              <a:spcPct val="90000"/>
            </a:lnSpc>
            <a:spcBef>
              <a:spcPct val="0"/>
            </a:spcBef>
            <a:spcAft>
              <a:spcPct val="35000"/>
            </a:spcAft>
          </a:pPr>
          <a:endParaRPr lang="en-GB" sz="900" kern="1200"/>
        </a:p>
      </dsp:txBody>
      <dsp:txXfrm>
        <a:off x="3316454" y="24730"/>
        <a:ext cx="794888" cy="1941265"/>
      </dsp:txXfrm>
    </dsp:sp>
    <dsp:sp modelId="{7FCFC2D8-7EA7-40CC-AFCA-D197007E8E12}">
      <dsp:nvSpPr>
        <dsp:cNvPr id="0" name=""/>
        <dsp:cNvSpPr/>
      </dsp:nvSpPr>
      <dsp:spPr>
        <a:xfrm>
          <a:off x="4205964" y="890663"/>
          <a:ext cx="148168" cy="209398"/>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n-GB" sz="800" kern="1200"/>
        </a:p>
      </dsp:txBody>
      <dsp:txXfrm>
        <a:off x="4205964" y="932543"/>
        <a:ext cx="103718" cy="125638"/>
      </dsp:txXfrm>
    </dsp:sp>
    <dsp:sp modelId="{784D5F61-D359-4805-96D3-A1845FB34E46}">
      <dsp:nvSpPr>
        <dsp:cNvPr id="0" name=""/>
        <dsp:cNvSpPr/>
      </dsp:nvSpPr>
      <dsp:spPr>
        <a:xfrm>
          <a:off x="4415636" y="0"/>
          <a:ext cx="844348" cy="199072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GB" sz="900" kern="1200" baseline="0"/>
            <a:t>Service Provider by AQP</a:t>
          </a:r>
        </a:p>
        <a:p>
          <a:pPr lvl="0" algn="ctr" defTabSz="400050">
            <a:lnSpc>
              <a:spcPct val="90000"/>
            </a:lnSpc>
            <a:spcBef>
              <a:spcPct val="0"/>
            </a:spcBef>
            <a:spcAft>
              <a:spcPct val="35000"/>
            </a:spcAft>
          </a:pPr>
          <a:endParaRPr lang="en-GB" sz="900" kern="1200" baseline="0"/>
        </a:p>
        <a:p>
          <a:pPr lvl="0" algn="ctr" defTabSz="400050">
            <a:lnSpc>
              <a:spcPct val="90000"/>
            </a:lnSpc>
            <a:spcBef>
              <a:spcPct val="0"/>
            </a:spcBef>
            <a:spcAft>
              <a:spcPct val="35000"/>
            </a:spcAft>
          </a:pPr>
          <a:r>
            <a:rPr lang="en-GB" sz="900" kern="1200" baseline="0"/>
            <a:t>(Provider to be confirmed hrough procurement)</a:t>
          </a:r>
        </a:p>
      </dsp:txBody>
      <dsp:txXfrm>
        <a:off x="4440366" y="24730"/>
        <a:ext cx="794888" cy="1941265"/>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227</Words>
  <Characters>1298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NHS South West London</Company>
  <LinksUpToDate>false</LinksUpToDate>
  <CharactersWithSpaces>1522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Parker Tony (WPCT)</dc:creator>
  <cp:lastModifiedBy>Ekkehard Kugler</cp:lastModifiedBy>
  <cp:revision>2</cp:revision>
  <dcterms:created xsi:type="dcterms:W3CDTF">2016-11-22T10:37:00Z</dcterms:created>
  <dcterms:modified xsi:type="dcterms:W3CDTF">2016-11-22T10:37:00Z</dcterms:modified>
</cp:coreProperties>
</file>