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8A" w:rsidRPr="008A31CF" w:rsidRDefault="00563F36" w:rsidP="00ED00C8">
      <w:pPr>
        <w:pStyle w:val="Default"/>
        <w:jc w:val="center"/>
        <w:rPr>
          <w:b/>
          <w:bCs/>
          <w:color w:val="1F497D" w:themeColor="text2"/>
          <w:sz w:val="28"/>
          <w:szCs w:val="28"/>
          <w:u w:val="single"/>
        </w:rPr>
      </w:pPr>
      <w:r w:rsidRPr="008A31CF">
        <w:rPr>
          <w:b/>
          <w:bCs/>
          <w:color w:val="1F497D" w:themeColor="text2"/>
          <w:sz w:val="28"/>
          <w:szCs w:val="28"/>
          <w:u w:val="single"/>
        </w:rPr>
        <w:t xml:space="preserve">Oxfordshire </w:t>
      </w:r>
      <w:r w:rsidR="00BB659B">
        <w:rPr>
          <w:b/>
          <w:bCs/>
          <w:color w:val="1F497D" w:themeColor="text2"/>
          <w:sz w:val="28"/>
          <w:szCs w:val="28"/>
          <w:u w:val="single"/>
        </w:rPr>
        <w:t xml:space="preserve">Community </w:t>
      </w:r>
      <w:r w:rsidR="00B1388A">
        <w:rPr>
          <w:b/>
          <w:bCs/>
          <w:color w:val="1F497D" w:themeColor="text2"/>
          <w:sz w:val="28"/>
          <w:szCs w:val="28"/>
          <w:u w:val="single"/>
        </w:rPr>
        <w:t>Endoscopy</w:t>
      </w:r>
      <w:r w:rsidR="00757043">
        <w:rPr>
          <w:b/>
          <w:bCs/>
          <w:color w:val="1F497D" w:themeColor="text2"/>
          <w:sz w:val="28"/>
          <w:szCs w:val="28"/>
          <w:u w:val="single"/>
        </w:rPr>
        <w:t xml:space="preserve"> Service</w:t>
      </w:r>
    </w:p>
    <w:p w:rsidR="0072141B" w:rsidRDefault="008A31CF" w:rsidP="008A31CF">
      <w:pPr>
        <w:pStyle w:val="Default"/>
        <w:tabs>
          <w:tab w:val="left" w:pos="1256"/>
        </w:tabs>
        <w:rPr>
          <w:b/>
          <w:bCs/>
          <w:color w:val="1F497D" w:themeColor="text2"/>
          <w:sz w:val="22"/>
          <w:szCs w:val="28"/>
        </w:rPr>
      </w:pPr>
      <w:r>
        <w:rPr>
          <w:b/>
          <w:bCs/>
          <w:color w:val="1F497D" w:themeColor="text2"/>
          <w:sz w:val="22"/>
          <w:szCs w:val="28"/>
        </w:rPr>
        <w:tab/>
      </w:r>
    </w:p>
    <w:p w:rsidR="008A31CF" w:rsidRDefault="008A31CF" w:rsidP="008A31CF">
      <w:pPr>
        <w:pStyle w:val="Default"/>
        <w:tabs>
          <w:tab w:val="left" w:pos="1256"/>
        </w:tabs>
        <w:rPr>
          <w:b/>
          <w:bCs/>
          <w:color w:val="1F497D" w:themeColor="text2"/>
          <w:sz w:val="22"/>
          <w:szCs w:val="28"/>
        </w:rPr>
      </w:pPr>
    </w:p>
    <w:p w:rsidR="00841712" w:rsidRDefault="0084624B" w:rsidP="00841712">
      <w:pPr>
        <w:pStyle w:val="Default"/>
        <w:rPr>
          <w:b/>
          <w:bCs/>
          <w:color w:val="1F497D" w:themeColor="text2"/>
          <w:sz w:val="22"/>
          <w:szCs w:val="28"/>
        </w:rPr>
      </w:pPr>
      <w:r w:rsidRPr="00243C97">
        <w:rPr>
          <w:b/>
          <w:bCs/>
          <w:color w:val="1F497D" w:themeColor="text2"/>
          <w:sz w:val="22"/>
          <w:szCs w:val="28"/>
        </w:rPr>
        <w:t>Background</w:t>
      </w:r>
      <w:r w:rsidR="00841712" w:rsidRPr="00243C97">
        <w:rPr>
          <w:b/>
          <w:bCs/>
          <w:color w:val="1F497D" w:themeColor="text2"/>
          <w:sz w:val="22"/>
          <w:szCs w:val="28"/>
        </w:rPr>
        <w:t xml:space="preserve"> </w:t>
      </w:r>
    </w:p>
    <w:p w:rsidR="00563F36" w:rsidRPr="00DA1860" w:rsidRDefault="00563F36" w:rsidP="00841712">
      <w:pPr>
        <w:pStyle w:val="Default"/>
        <w:rPr>
          <w:color w:val="1F497D" w:themeColor="text2"/>
          <w:sz w:val="8"/>
          <w:szCs w:val="8"/>
        </w:rPr>
      </w:pPr>
    </w:p>
    <w:p w:rsidR="00BB659B" w:rsidRPr="00480F98" w:rsidRDefault="00563F36" w:rsidP="00BB659B">
      <w:pPr>
        <w:pStyle w:val="ListParagraph"/>
        <w:ind w:left="0"/>
        <w:jc w:val="both"/>
        <w:rPr>
          <w:rFonts w:cs="Arial"/>
          <w:lang w:eastAsia="en-GB"/>
        </w:rPr>
      </w:pPr>
      <w:r w:rsidRPr="00480F98">
        <w:rPr>
          <w:rFonts w:cs="Arial"/>
          <w:bCs/>
          <w:szCs w:val="22"/>
          <w:lang w:eastAsia="en-GB"/>
        </w:rPr>
        <w:t xml:space="preserve">Oxfordshire Clinical Commissioning Group (OCCG) is seeking </w:t>
      </w:r>
      <w:r w:rsidR="00757043">
        <w:rPr>
          <w:rFonts w:cs="Arial"/>
          <w:bCs/>
          <w:szCs w:val="22"/>
          <w:lang w:eastAsia="en-GB"/>
        </w:rPr>
        <w:t>tenders from interested parties</w:t>
      </w:r>
      <w:r w:rsidRPr="00480F98">
        <w:rPr>
          <w:rFonts w:cs="Arial"/>
          <w:bCs/>
          <w:szCs w:val="22"/>
          <w:lang w:eastAsia="en-GB"/>
        </w:rPr>
        <w:t xml:space="preserve"> for </w:t>
      </w:r>
      <w:r w:rsidR="00757043">
        <w:rPr>
          <w:rFonts w:cs="Arial"/>
          <w:bCs/>
          <w:szCs w:val="22"/>
          <w:lang w:eastAsia="en-GB"/>
        </w:rPr>
        <w:t xml:space="preserve">a </w:t>
      </w:r>
      <w:r w:rsidR="00BB659B" w:rsidRPr="00480F98">
        <w:rPr>
          <w:rFonts w:cs="Arial"/>
          <w:bCs/>
          <w:szCs w:val="22"/>
          <w:lang w:eastAsia="en-GB"/>
        </w:rPr>
        <w:t xml:space="preserve">community </w:t>
      </w:r>
      <w:r w:rsidR="00757043">
        <w:rPr>
          <w:rFonts w:cs="Arial"/>
          <w:bCs/>
          <w:szCs w:val="22"/>
          <w:lang w:eastAsia="en-GB"/>
        </w:rPr>
        <w:t>endoscopy</w:t>
      </w:r>
      <w:r w:rsidR="00757043" w:rsidRPr="00480F98">
        <w:rPr>
          <w:rFonts w:cs="Arial"/>
          <w:bCs/>
          <w:szCs w:val="22"/>
          <w:lang w:eastAsia="en-GB"/>
        </w:rPr>
        <w:t xml:space="preserve"> </w:t>
      </w:r>
      <w:r w:rsidR="00BB659B" w:rsidRPr="00480F98">
        <w:rPr>
          <w:rFonts w:cs="Arial"/>
          <w:bCs/>
          <w:szCs w:val="22"/>
          <w:lang w:eastAsia="en-GB"/>
        </w:rPr>
        <w:t>service</w:t>
      </w:r>
      <w:r w:rsidR="007A0211">
        <w:rPr>
          <w:rFonts w:cs="Arial"/>
          <w:bCs/>
          <w:szCs w:val="22"/>
          <w:lang w:eastAsia="en-GB"/>
        </w:rPr>
        <w:t xml:space="preserve">. </w:t>
      </w:r>
      <w:r w:rsidR="00B86B75" w:rsidRPr="00480F98">
        <w:rPr>
          <w:rFonts w:cs="Arial"/>
          <w:lang w:eastAsia="en-GB"/>
        </w:rPr>
        <w:t>This service</w:t>
      </w:r>
      <w:r w:rsidR="00BB659B" w:rsidRPr="00480F98">
        <w:rPr>
          <w:rFonts w:cs="Arial"/>
          <w:lang w:eastAsia="en-GB"/>
        </w:rPr>
        <w:t xml:space="preserve"> </w:t>
      </w:r>
      <w:r w:rsidR="00B86B75" w:rsidRPr="00480F98">
        <w:rPr>
          <w:rFonts w:cs="Arial"/>
          <w:lang w:eastAsia="en-GB"/>
        </w:rPr>
        <w:t>is to be</w:t>
      </w:r>
      <w:r w:rsidR="00BB659B" w:rsidRPr="00480F98">
        <w:rPr>
          <w:rFonts w:cs="Arial"/>
          <w:lang w:eastAsia="en-GB"/>
        </w:rPr>
        <w:t xml:space="preserve"> delivered</w:t>
      </w:r>
      <w:r w:rsidR="00757043">
        <w:rPr>
          <w:rFonts w:cs="Arial"/>
          <w:lang w:eastAsia="en-GB"/>
        </w:rPr>
        <w:t xml:space="preserve"> across multiple locations</w:t>
      </w:r>
      <w:r w:rsidR="00BB659B" w:rsidRPr="00480F98">
        <w:rPr>
          <w:rFonts w:cs="Arial"/>
          <w:lang w:eastAsia="en-GB"/>
        </w:rPr>
        <w:t xml:space="preserve"> </w:t>
      </w:r>
      <w:r w:rsidR="00F473DC">
        <w:rPr>
          <w:rFonts w:cs="Arial"/>
          <w:lang w:eastAsia="en-GB"/>
        </w:rPr>
        <w:t xml:space="preserve">and </w:t>
      </w:r>
      <w:r w:rsidR="00BB659B" w:rsidRPr="00480F98">
        <w:rPr>
          <w:rFonts w:cs="Arial"/>
          <w:lang w:eastAsia="en-GB"/>
        </w:rPr>
        <w:t xml:space="preserve">should be </w:t>
      </w:r>
      <w:r w:rsidR="00AF3506" w:rsidRPr="00480F98">
        <w:rPr>
          <w:rFonts w:cs="Arial"/>
          <w:lang w:eastAsia="en-GB"/>
        </w:rPr>
        <w:t>deliver</w:t>
      </w:r>
      <w:r w:rsidR="00AF3506">
        <w:rPr>
          <w:rFonts w:cs="Arial"/>
          <w:lang w:eastAsia="en-GB"/>
        </w:rPr>
        <w:t>ed</w:t>
      </w:r>
      <w:r w:rsidR="00BB659B" w:rsidRPr="00480F98">
        <w:rPr>
          <w:rFonts w:cs="Arial"/>
          <w:lang w:eastAsia="en-GB"/>
        </w:rPr>
        <w:t xml:space="preserve"> </w:t>
      </w:r>
      <w:r w:rsidR="00F473DC">
        <w:rPr>
          <w:rFonts w:cs="Arial"/>
          <w:lang w:eastAsia="en-GB"/>
        </w:rPr>
        <w:t xml:space="preserve">so </w:t>
      </w:r>
      <w:r w:rsidR="00757043">
        <w:rPr>
          <w:rFonts w:cs="Arial"/>
          <w:lang w:eastAsia="en-GB"/>
        </w:rPr>
        <w:t xml:space="preserve">as to be </w:t>
      </w:r>
      <w:r w:rsidR="00AF3506">
        <w:rPr>
          <w:rFonts w:cs="Arial"/>
          <w:lang w:eastAsia="en-GB"/>
        </w:rPr>
        <w:t>easily</w:t>
      </w:r>
      <w:r w:rsidR="00F473DC">
        <w:rPr>
          <w:rFonts w:cs="Arial"/>
          <w:lang w:eastAsia="en-GB"/>
        </w:rPr>
        <w:t xml:space="preserve"> accessible </w:t>
      </w:r>
      <w:r w:rsidR="00BB659B" w:rsidRPr="00480F98">
        <w:rPr>
          <w:rFonts w:cs="Arial"/>
          <w:lang w:eastAsia="en-GB"/>
        </w:rPr>
        <w:t>to the whole of Oxfordshire</w:t>
      </w:r>
      <w:r w:rsidR="00757043">
        <w:rPr>
          <w:rFonts w:cs="Arial"/>
          <w:lang w:eastAsia="en-GB"/>
        </w:rPr>
        <w:t>.</w:t>
      </w:r>
      <w:r w:rsidR="007A0211">
        <w:rPr>
          <w:rFonts w:cs="Arial"/>
          <w:lang w:eastAsia="en-GB"/>
        </w:rPr>
        <w:t xml:space="preserve"> A list of potential locations is</w:t>
      </w:r>
      <w:r w:rsidR="00480F98">
        <w:rPr>
          <w:rFonts w:cs="Arial"/>
          <w:lang w:eastAsia="en-GB"/>
        </w:rPr>
        <w:t xml:space="preserve"> provided </w:t>
      </w:r>
      <w:r w:rsidR="00757043">
        <w:rPr>
          <w:rFonts w:cs="Arial"/>
          <w:lang w:eastAsia="en-GB"/>
        </w:rPr>
        <w:t>within</w:t>
      </w:r>
      <w:r w:rsidR="00480F98">
        <w:rPr>
          <w:rFonts w:cs="Arial"/>
          <w:lang w:eastAsia="en-GB"/>
        </w:rPr>
        <w:t xml:space="preserve"> the ITT documentation</w:t>
      </w:r>
      <w:r w:rsidR="0079795E">
        <w:rPr>
          <w:rFonts w:cs="Arial"/>
          <w:lang w:eastAsia="en-GB"/>
        </w:rPr>
        <w:t xml:space="preserve"> although </w:t>
      </w:r>
      <w:r w:rsidR="00757043">
        <w:rPr>
          <w:rFonts w:cs="Arial"/>
          <w:lang w:eastAsia="en-GB"/>
        </w:rPr>
        <w:t>bidders</w:t>
      </w:r>
      <w:r w:rsidR="0079795E">
        <w:rPr>
          <w:rFonts w:cs="Arial"/>
          <w:lang w:eastAsia="en-GB"/>
        </w:rPr>
        <w:t xml:space="preserve"> </w:t>
      </w:r>
      <w:r w:rsidR="00757043">
        <w:rPr>
          <w:rFonts w:cs="Arial"/>
          <w:lang w:eastAsia="en-GB"/>
        </w:rPr>
        <w:t>are free</w:t>
      </w:r>
      <w:r w:rsidR="0079795E">
        <w:rPr>
          <w:rFonts w:cs="Arial"/>
          <w:lang w:eastAsia="en-GB"/>
        </w:rPr>
        <w:t xml:space="preserve"> to </w:t>
      </w:r>
      <w:r w:rsidR="00757043">
        <w:rPr>
          <w:rFonts w:cs="Arial"/>
          <w:lang w:eastAsia="en-GB"/>
        </w:rPr>
        <w:t xml:space="preserve">propose </w:t>
      </w:r>
      <w:r w:rsidR="0079795E">
        <w:rPr>
          <w:rFonts w:cs="Arial"/>
          <w:lang w:eastAsia="en-GB"/>
        </w:rPr>
        <w:t>their own.</w:t>
      </w:r>
    </w:p>
    <w:p w:rsidR="00E235E6" w:rsidRDefault="00E235E6" w:rsidP="002B6CD0">
      <w:pPr>
        <w:pStyle w:val="ListParagraph"/>
        <w:ind w:left="0"/>
        <w:jc w:val="both"/>
        <w:rPr>
          <w:rFonts w:asciiTheme="minorHAnsi" w:hAnsiTheme="minorHAnsi" w:cs="Arial"/>
          <w:bCs/>
          <w:szCs w:val="22"/>
          <w:lang w:eastAsia="en-GB"/>
        </w:rPr>
      </w:pPr>
    </w:p>
    <w:p w:rsidR="00480F98" w:rsidRDefault="00480F98" w:rsidP="002B6CD0">
      <w:pPr>
        <w:pStyle w:val="ListParagraph"/>
        <w:ind w:left="0"/>
        <w:jc w:val="both"/>
        <w:rPr>
          <w:rFonts w:cs="Arial"/>
        </w:rPr>
      </w:pPr>
      <w:r w:rsidRPr="00A71D2C">
        <w:rPr>
          <w:rFonts w:cs="Arial"/>
        </w:rPr>
        <w:t>Improving access to</w:t>
      </w:r>
      <w:r>
        <w:rPr>
          <w:rFonts w:cs="Arial"/>
        </w:rPr>
        <w:t xml:space="preserve"> </w:t>
      </w:r>
      <w:r w:rsidR="00276685">
        <w:rPr>
          <w:rFonts w:cs="Arial"/>
        </w:rPr>
        <w:t xml:space="preserve">- </w:t>
      </w:r>
      <w:r>
        <w:rPr>
          <w:rFonts w:cs="Arial"/>
        </w:rPr>
        <w:t>and ensuring greater choice of</w:t>
      </w:r>
      <w:r w:rsidR="00276685">
        <w:rPr>
          <w:rFonts w:cs="Arial"/>
        </w:rPr>
        <w:t xml:space="preserve"> -</w:t>
      </w:r>
      <w:r w:rsidRPr="00A71D2C">
        <w:rPr>
          <w:rFonts w:cs="Arial"/>
        </w:rPr>
        <w:t xml:space="preserve"> diagnostic provider</w:t>
      </w:r>
      <w:r>
        <w:rPr>
          <w:rFonts w:cs="Arial"/>
        </w:rPr>
        <w:t>s</w:t>
      </w:r>
      <w:r w:rsidRPr="00A71D2C">
        <w:rPr>
          <w:rFonts w:cs="Arial"/>
        </w:rPr>
        <w:t xml:space="preserve"> are key deliverables of the 2014-2019 Oxfordshire CCG Strategy. Prompt and accurate diagnosis is a key step in the patient pathway to accessing the right care, first time. </w:t>
      </w:r>
      <w:r>
        <w:rPr>
          <w:rFonts w:cs="Arial"/>
        </w:rPr>
        <w:t xml:space="preserve">Community provision plays an important role in ensuring patients can access services quickly and close to home. </w:t>
      </w:r>
    </w:p>
    <w:p w:rsidR="00480F98" w:rsidRDefault="00480F98" w:rsidP="002B6CD0">
      <w:pPr>
        <w:pStyle w:val="ListParagraph"/>
        <w:ind w:left="0"/>
        <w:jc w:val="both"/>
        <w:rPr>
          <w:rFonts w:cs="Arial"/>
        </w:rPr>
      </w:pPr>
    </w:p>
    <w:p w:rsidR="00480F98" w:rsidRPr="00CA6D10" w:rsidRDefault="00480F98" w:rsidP="00480F98">
      <w:pPr>
        <w:rPr>
          <w:rFonts w:cs="Arial"/>
          <w:u w:val="single"/>
        </w:rPr>
      </w:pPr>
      <w:r>
        <w:rPr>
          <w:rFonts w:cs="Arial"/>
        </w:rPr>
        <w:t>As part of the planned care STP work in Oxfordshire it has been identified that GPs</w:t>
      </w:r>
      <w:r w:rsidR="00C607A1">
        <w:rPr>
          <w:rFonts w:cs="Arial"/>
        </w:rPr>
        <w:t xml:space="preserve"> need access to</w:t>
      </w:r>
      <w:r>
        <w:rPr>
          <w:rFonts w:cs="Arial"/>
        </w:rPr>
        <w:t xml:space="preserve"> </w:t>
      </w:r>
      <w:r w:rsidR="00757043">
        <w:rPr>
          <w:rFonts w:cs="Arial"/>
        </w:rPr>
        <w:t xml:space="preserve">easily accessible </w:t>
      </w:r>
      <w:r>
        <w:rPr>
          <w:rFonts w:cs="Arial"/>
        </w:rPr>
        <w:t>diagnostics to ensure patients are managed effectively and</w:t>
      </w:r>
      <w:r w:rsidR="00757043">
        <w:rPr>
          <w:rFonts w:cs="Arial"/>
        </w:rPr>
        <w:t xml:space="preserve"> </w:t>
      </w:r>
      <w:r w:rsidR="007A0211">
        <w:rPr>
          <w:rFonts w:cs="Arial"/>
        </w:rPr>
        <w:t>unnecessary referrals</w:t>
      </w:r>
      <w:r>
        <w:rPr>
          <w:rFonts w:cs="Arial"/>
        </w:rPr>
        <w:t xml:space="preserve"> </w:t>
      </w:r>
      <w:r w:rsidR="00F473DC">
        <w:rPr>
          <w:rFonts w:cs="Arial"/>
        </w:rPr>
        <w:t>to secondary care a</w:t>
      </w:r>
      <w:r w:rsidR="00E97CC0">
        <w:rPr>
          <w:rFonts w:cs="Arial"/>
        </w:rPr>
        <w:t>re</w:t>
      </w:r>
      <w:r w:rsidR="00F473DC">
        <w:rPr>
          <w:rFonts w:cs="Arial"/>
        </w:rPr>
        <w:t xml:space="preserve"> avoided</w:t>
      </w:r>
      <w:r>
        <w:rPr>
          <w:rFonts w:cs="Arial"/>
        </w:rPr>
        <w:t>. Where this is done as part of a pathway it helps to get the patient the right care, first time in the right place.</w:t>
      </w:r>
    </w:p>
    <w:p w:rsidR="00381B41" w:rsidRDefault="00381B41" w:rsidP="00A521FB">
      <w:pPr>
        <w:pStyle w:val="ListParagraph"/>
        <w:ind w:left="0"/>
        <w:rPr>
          <w:rFonts w:asciiTheme="minorHAnsi" w:hAnsiTheme="minorHAnsi" w:cs="Arial"/>
          <w:bCs/>
          <w:color w:val="FF0000"/>
          <w:sz w:val="28"/>
          <w:szCs w:val="28"/>
          <w:lang w:eastAsia="en-GB"/>
        </w:rPr>
      </w:pPr>
    </w:p>
    <w:p w:rsidR="00841712" w:rsidRDefault="00841712" w:rsidP="00841712">
      <w:pPr>
        <w:pStyle w:val="Default"/>
        <w:rPr>
          <w:b/>
          <w:bCs/>
          <w:color w:val="1F497D" w:themeColor="text2"/>
          <w:sz w:val="22"/>
          <w:szCs w:val="22"/>
        </w:rPr>
      </w:pPr>
      <w:r w:rsidRPr="00563F36">
        <w:rPr>
          <w:b/>
          <w:bCs/>
          <w:color w:val="1F497D" w:themeColor="text2"/>
          <w:sz w:val="22"/>
          <w:szCs w:val="22"/>
        </w:rPr>
        <w:t xml:space="preserve">The vision </w:t>
      </w:r>
    </w:p>
    <w:p w:rsidR="00563F36" w:rsidRPr="00DA1860" w:rsidRDefault="00563F36" w:rsidP="00841712">
      <w:pPr>
        <w:pStyle w:val="Default"/>
        <w:rPr>
          <w:color w:val="1F497D" w:themeColor="text2"/>
          <w:sz w:val="8"/>
          <w:szCs w:val="8"/>
        </w:rPr>
      </w:pPr>
    </w:p>
    <w:p w:rsidR="00480F98" w:rsidRDefault="00480F98" w:rsidP="00480F98">
      <w:pPr>
        <w:rPr>
          <w:rFonts w:cs="Arial"/>
        </w:rPr>
      </w:pPr>
      <w:r>
        <w:rPr>
          <w:rFonts w:cs="Arial"/>
        </w:rPr>
        <w:t xml:space="preserve">OCCG </w:t>
      </w:r>
      <w:r w:rsidR="00E97CC0">
        <w:rPr>
          <w:rFonts w:cs="Arial"/>
        </w:rPr>
        <w:t>is</w:t>
      </w:r>
      <w:r>
        <w:rPr>
          <w:rFonts w:cs="Arial"/>
        </w:rPr>
        <w:t xml:space="preserve"> commission</w:t>
      </w:r>
      <w:r w:rsidR="00E97CC0">
        <w:rPr>
          <w:rFonts w:cs="Arial"/>
        </w:rPr>
        <w:t>ing</w:t>
      </w:r>
      <w:r>
        <w:rPr>
          <w:rFonts w:cs="Arial"/>
        </w:rPr>
        <w:t xml:space="preserve"> </w:t>
      </w:r>
      <w:r w:rsidR="00E97CC0">
        <w:rPr>
          <w:rFonts w:cs="Arial"/>
        </w:rPr>
        <w:t xml:space="preserve">a </w:t>
      </w:r>
      <w:r>
        <w:rPr>
          <w:rFonts w:cs="Arial"/>
        </w:rPr>
        <w:t xml:space="preserve">service </w:t>
      </w:r>
      <w:r w:rsidR="00C607A1">
        <w:rPr>
          <w:rFonts w:cs="Arial"/>
        </w:rPr>
        <w:t>to deliver</w:t>
      </w:r>
      <w:r w:rsidR="00677215">
        <w:rPr>
          <w:rFonts w:cs="Arial"/>
        </w:rPr>
        <w:t xml:space="preserve"> endoscopy diagnostics</w:t>
      </w:r>
      <w:r w:rsidR="00C607A1">
        <w:rPr>
          <w:rFonts w:cs="Arial"/>
        </w:rPr>
        <w:t xml:space="preserve"> closer to patients</w:t>
      </w:r>
      <w:r w:rsidR="00276685">
        <w:rPr>
          <w:rFonts w:cs="Arial"/>
        </w:rPr>
        <w:t>’</w:t>
      </w:r>
      <w:r w:rsidR="00C607A1">
        <w:rPr>
          <w:rFonts w:cs="Arial"/>
        </w:rPr>
        <w:t xml:space="preserve"> homes</w:t>
      </w:r>
      <w:r w:rsidR="00677215">
        <w:rPr>
          <w:rFonts w:cs="Arial"/>
        </w:rPr>
        <w:t>,</w:t>
      </w:r>
      <w:r w:rsidR="00C607A1">
        <w:rPr>
          <w:rFonts w:cs="Arial"/>
        </w:rPr>
        <w:t xml:space="preserve"> based around groups of GP practices, within the GP localities. The </w:t>
      </w:r>
      <w:r w:rsidR="00677215">
        <w:rPr>
          <w:rFonts w:cs="Arial"/>
        </w:rPr>
        <w:t xml:space="preserve">overall </w:t>
      </w:r>
      <w:r w:rsidR="00C607A1">
        <w:rPr>
          <w:rFonts w:cs="Arial"/>
        </w:rPr>
        <w:t>aim is to provide greater access to a range of diagnostic tests closer to home within a community setting.</w:t>
      </w:r>
    </w:p>
    <w:p w:rsidR="00480F98" w:rsidRPr="00313F95" w:rsidRDefault="00480F98" w:rsidP="00480F98">
      <w:pPr>
        <w:pStyle w:val="NoSpacing"/>
        <w:ind w:left="720"/>
        <w:rPr>
          <w:rFonts w:ascii="Arial" w:hAnsi="Arial" w:cs="Arial"/>
        </w:rPr>
      </w:pPr>
    </w:p>
    <w:p w:rsidR="00480F98" w:rsidRDefault="00E97CC0" w:rsidP="00480F98">
      <w:pPr>
        <w:rPr>
          <w:rFonts w:cs="Arial"/>
        </w:rPr>
      </w:pPr>
      <w:r>
        <w:rPr>
          <w:rFonts w:cs="Arial"/>
        </w:rPr>
        <w:t>The</w:t>
      </w:r>
      <w:r w:rsidR="00480F98">
        <w:rPr>
          <w:rFonts w:cs="Arial"/>
        </w:rPr>
        <w:t xml:space="preserve"> service will be directly accessible for all </w:t>
      </w:r>
      <w:r w:rsidR="00F473DC">
        <w:rPr>
          <w:rFonts w:cs="Arial"/>
        </w:rPr>
        <w:t xml:space="preserve">Oxfordshire </w:t>
      </w:r>
      <w:r w:rsidR="00480F98">
        <w:rPr>
          <w:rFonts w:cs="Arial"/>
        </w:rPr>
        <w:t xml:space="preserve">GPs and will </w:t>
      </w:r>
      <w:r w:rsidR="0046504F">
        <w:rPr>
          <w:rFonts w:cs="Arial"/>
        </w:rPr>
        <w:t xml:space="preserve">only </w:t>
      </w:r>
      <w:r w:rsidR="00480F98">
        <w:rPr>
          <w:rFonts w:cs="Arial"/>
        </w:rPr>
        <w:t>be requested via e</w:t>
      </w:r>
      <w:r w:rsidR="0046504F">
        <w:rPr>
          <w:rFonts w:cs="Arial"/>
        </w:rPr>
        <w:t xml:space="preserve">-referrals using OCCG templates. </w:t>
      </w:r>
    </w:p>
    <w:p w:rsidR="00480F98" w:rsidRPr="00863F40" w:rsidRDefault="00480F98" w:rsidP="00480F98">
      <w:pPr>
        <w:rPr>
          <w:rFonts w:cs="Arial"/>
        </w:rPr>
      </w:pPr>
    </w:p>
    <w:p w:rsidR="00480F98" w:rsidRDefault="00480F98" w:rsidP="00E97CC0">
      <w:pPr>
        <w:rPr>
          <w:rFonts w:cs="Arial"/>
          <w:b/>
          <w:color w:val="1F497D" w:themeColor="text2"/>
          <w:sz w:val="28"/>
          <w:szCs w:val="28"/>
        </w:rPr>
      </w:pPr>
      <w:r w:rsidRPr="00863F40">
        <w:rPr>
          <w:rFonts w:cs="Arial"/>
        </w:rPr>
        <w:t xml:space="preserve">NICE guideline NG12 was released in July 2015 and relates to the recognition and management of suspected cancer in children, young people and adults. It outlines a number of new recommendations for </w:t>
      </w:r>
      <w:r>
        <w:rPr>
          <w:rFonts w:cs="Arial"/>
        </w:rPr>
        <w:t>direct access testing for e</w:t>
      </w:r>
      <w:r w:rsidRPr="00863F40">
        <w:rPr>
          <w:rFonts w:cs="Arial"/>
        </w:rPr>
        <w:t>ndoscopy and states that these should be done urgently (within 2 weeks) and should form part of the 2 week wait pathway. Therefore</w:t>
      </w:r>
      <w:r>
        <w:rPr>
          <w:rFonts w:cs="Arial"/>
        </w:rPr>
        <w:t xml:space="preserve">, as part of the procurement process </w:t>
      </w:r>
      <w:r w:rsidR="00C607A1">
        <w:rPr>
          <w:rFonts w:cs="Arial"/>
        </w:rPr>
        <w:t>endoscopy</w:t>
      </w:r>
      <w:r>
        <w:rPr>
          <w:rFonts w:cs="Arial"/>
        </w:rPr>
        <w:t xml:space="preserve"> </w:t>
      </w:r>
      <w:r w:rsidRPr="00863F40">
        <w:rPr>
          <w:rFonts w:cs="Arial"/>
        </w:rPr>
        <w:t>will be commissioned</w:t>
      </w:r>
      <w:r>
        <w:rPr>
          <w:rFonts w:cs="Arial"/>
        </w:rPr>
        <w:t xml:space="preserve"> to include</w:t>
      </w:r>
      <w:r w:rsidRPr="00863F40">
        <w:rPr>
          <w:rFonts w:cs="Arial"/>
        </w:rPr>
        <w:t xml:space="preserve"> the 2 week wait cancer pathway</w:t>
      </w:r>
      <w:r>
        <w:rPr>
          <w:rFonts w:cs="Arial"/>
        </w:rPr>
        <w:t xml:space="preserve"> targets and guidelines</w:t>
      </w:r>
      <w:r w:rsidRPr="00863F40">
        <w:rPr>
          <w:rFonts w:cs="Arial"/>
        </w:rPr>
        <w:t xml:space="preserve">. </w:t>
      </w:r>
      <w:r>
        <w:rPr>
          <w:rFonts w:cs="Arial"/>
        </w:rPr>
        <w:t>T</w:t>
      </w:r>
      <w:r w:rsidRPr="00863F40">
        <w:rPr>
          <w:rFonts w:cs="Arial"/>
        </w:rPr>
        <w:t xml:space="preserve">his </w:t>
      </w:r>
      <w:r>
        <w:rPr>
          <w:rFonts w:cs="Arial"/>
        </w:rPr>
        <w:t xml:space="preserve">will also </w:t>
      </w:r>
      <w:r w:rsidRPr="00863F40">
        <w:rPr>
          <w:rFonts w:cs="Arial"/>
        </w:rPr>
        <w:t>support</w:t>
      </w:r>
      <w:r w:rsidR="00F473DC">
        <w:rPr>
          <w:rFonts w:cs="Arial"/>
        </w:rPr>
        <w:t xml:space="preserve"> the CCG and</w:t>
      </w:r>
      <w:r w:rsidRPr="00863F40">
        <w:rPr>
          <w:rFonts w:cs="Arial"/>
        </w:rPr>
        <w:t xml:space="preserve"> </w:t>
      </w:r>
      <w:r w:rsidR="00F473DC">
        <w:rPr>
          <w:rFonts w:cs="Arial"/>
        </w:rPr>
        <w:t xml:space="preserve">other NHS providers </w:t>
      </w:r>
      <w:r w:rsidRPr="00863F40">
        <w:rPr>
          <w:rFonts w:cs="Arial"/>
        </w:rPr>
        <w:t>in</w:t>
      </w:r>
      <w:r w:rsidR="00860D48">
        <w:rPr>
          <w:rFonts w:cs="Arial"/>
        </w:rPr>
        <w:t xml:space="preserve"> the</w:t>
      </w:r>
      <w:r>
        <w:rPr>
          <w:rFonts w:cs="Arial"/>
        </w:rPr>
        <w:t xml:space="preserve"> achievement of</w:t>
      </w:r>
      <w:r w:rsidR="00F473DC">
        <w:rPr>
          <w:rFonts w:cs="Arial"/>
        </w:rPr>
        <w:t xml:space="preserve"> </w:t>
      </w:r>
      <w:r>
        <w:rPr>
          <w:rFonts w:cs="Arial"/>
        </w:rPr>
        <w:t>national cancer waiting t</w:t>
      </w:r>
      <w:r w:rsidRPr="00863F40">
        <w:rPr>
          <w:rFonts w:cs="Arial"/>
        </w:rPr>
        <w:t xml:space="preserve">imes </w:t>
      </w:r>
      <w:r>
        <w:rPr>
          <w:rFonts w:cs="Arial"/>
        </w:rPr>
        <w:t xml:space="preserve">targets. </w:t>
      </w:r>
      <w:r w:rsidR="00AF3506">
        <w:br/>
      </w:r>
    </w:p>
    <w:p w:rsidR="0084624B" w:rsidRDefault="0084624B" w:rsidP="0084624B">
      <w:pPr>
        <w:pStyle w:val="NoSpacing"/>
        <w:rPr>
          <w:rFonts w:ascii="Arial" w:hAnsi="Arial" w:cs="Arial"/>
          <w:b/>
          <w:color w:val="1F497D" w:themeColor="text2"/>
        </w:rPr>
      </w:pPr>
      <w:r w:rsidRPr="00563F36">
        <w:rPr>
          <w:rFonts w:ascii="Arial" w:hAnsi="Arial" w:cs="Arial"/>
          <w:b/>
          <w:color w:val="1F497D" w:themeColor="text2"/>
        </w:rPr>
        <w:t xml:space="preserve">The proposal </w:t>
      </w:r>
    </w:p>
    <w:p w:rsidR="00563F36" w:rsidRPr="00DA1860" w:rsidRDefault="00563F36" w:rsidP="0084624B">
      <w:pPr>
        <w:pStyle w:val="NoSpacing"/>
        <w:rPr>
          <w:rFonts w:ascii="Arial" w:hAnsi="Arial" w:cs="Arial"/>
          <w:b/>
          <w:color w:val="1F497D" w:themeColor="text2"/>
          <w:sz w:val="8"/>
          <w:szCs w:val="8"/>
        </w:rPr>
      </w:pPr>
    </w:p>
    <w:p w:rsidR="00A14219" w:rsidRPr="001C5F0A" w:rsidRDefault="00A14219" w:rsidP="00A14219">
      <w:pPr>
        <w:spacing w:line="276" w:lineRule="auto"/>
        <w:rPr>
          <w:color w:val="000000"/>
          <w:sz w:val="20"/>
        </w:rPr>
      </w:pPr>
      <w:r w:rsidRPr="001C5F0A">
        <w:rPr>
          <w:color w:val="000000"/>
          <w:sz w:val="20"/>
        </w:rPr>
        <w:t xml:space="preserve">The service provider will manage clinically routine </w:t>
      </w:r>
      <w:r w:rsidR="00AF3506">
        <w:rPr>
          <w:color w:val="000000"/>
          <w:sz w:val="20"/>
        </w:rPr>
        <w:t xml:space="preserve">and two week wait </w:t>
      </w:r>
      <w:r w:rsidRPr="001C5F0A">
        <w:rPr>
          <w:color w:val="000000"/>
          <w:sz w:val="20"/>
        </w:rPr>
        <w:t>referrals</w:t>
      </w:r>
      <w:r w:rsidR="00AF3506">
        <w:rPr>
          <w:color w:val="000000"/>
          <w:sz w:val="20"/>
        </w:rPr>
        <w:t xml:space="preserve"> </w:t>
      </w:r>
      <w:r w:rsidRPr="001C5F0A">
        <w:rPr>
          <w:color w:val="000000"/>
          <w:sz w:val="20"/>
        </w:rPr>
        <w:t>for the conditions stated in the referral criteria</w:t>
      </w:r>
      <w:r w:rsidR="00E97CC0">
        <w:rPr>
          <w:color w:val="000000"/>
          <w:sz w:val="20"/>
        </w:rPr>
        <w:t xml:space="preserve"> as per</w:t>
      </w:r>
      <w:r w:rsidR="00ED00C8">
        <w:rPr>
          <w:color w:val="000000"/>
          <w:sz w:val="20"/>
        </w:rPr>
        <w:t xml:space="preserve"> the ITT documentation </w:t>
      </w:r>
      <w:r w:rsidRPr="001C5F0A">
        <w:rPr>
          <w:color w:val="000000"/>
          <w:sz w:val="20"/>
        </w:rPr>
        <w:t xml:space="preserve">culminating in a potential diagnostic endoscopy examination that may or may not include an element of treatment. The Provider will undertake upper and lower GI endoscopies (colonoscopies, gastroscopies and sigmoidoscopies).   </w:t>
      </w:r>
    </w:p>
    <w:p w:rsidR="007A0211" w:rsidRPr="008A31CF" w:rsidRDefault="007A0211" w:rsidP="008A31CF">
      <w:pPr>
        <w:rPr>
          <w:rFonts w:cs="Arial"/>
          <w:b/>
          <w:bCs/>
          <w:color w:val="365F91" w:themeColor="accent1" w:themeShade="BF"/>
          <w:sz w:val="28"/>
          <w:szCs w:val="28"/>
          <w:lang w:eastAsia="en-GB"/>
        </w:rPr>
      </w:pPr>
    </w:p>
    <w:p w:rsidR="00381B41" w:rsidRDefault="00381B41" w:rsidP="00381B41">
      <w:pPr>
        <w:rPr>
          <w:rFonts w:cs="Arial"/>
          <w:b/>
          <w:bCs/>
          <w:color w:val="1F497D" w:themeColor="text2"/>
          <w:szCs w:val="22"/>
          <w:lang w:eastAsia="en-GB"/>
        </w:rPr>
      </w:pPr>
      <w:r w:rsidRPr="00563F36">
        <w:rPr>
          <w:rFonts w:cs="Arial"/>
          <w:b/>
          <w:bCs/>
          <w:color w:val="1F497D" w:themeColor="text2"/>
          <w:szCs w:val="22"/>
          <w:lang w:eastAsia="en-GB"/>
        </w:rPr>
        <w:t xml:space="preserve">Scope of service </w:t>
      </w:r>
    </w:p>
    <w:p w:rsidR="00BB659B" w:rsidRPr="00B86B75" w:rsidRDefault="00BB659B" w:rsidP="00B86B75">
      <w:pPr>
        <w:pStyle w:val="ListParagraph"/>
        <w:ind w:left="0"/>
        <w:jc w:val="both"/>
        <w:rPr>
          <w:rFonts w:cs="Arial"/>
          <w:bCs/>
          <w:szCs w:val="22"/>
          <w:lang w:eastAsia="en-GB"/>
        </w:rPr>
      </w:pPr>
      <w:r w:rsidRPr="00B86B75">
        <w:rPr>
          <w:rFonts w:cs="Arial"/>
          <w:lang w:eastAsia="en-GB"/>
        </w:rPr>
        <w:t xml:space="preserve">The </w:t>
      </w:r>
      <w:r w:rsidR="00B86B75" w:rsidRPr="00B86B75">
        <w:rPr>
          <w:rFonts w:cs="Arial"/>
          <w:lang w:eastAsia="en-GB"/>
        </w:rPr>
        <w:t>endoscopy</w:t>
      </w:r>
      <w:r w:rsidRPr="00B86B75">
        <w:rPr>
          <w:rFonts w:cs="Arial"/>
          <w:lang w:eastAsia="en-GB"/>
        </w:rPr>
        <w:t xml:space="preserve"> service will provide GPs</w:t>
      </w:r>
      <w:r w:rsidR="00E97CC0">
        <w:rPr>
          <w:rFonts w:cs="Arial"/>
          <w:lang w:eastAsia="en-GB"/>
        </w:rPr>
        <w:t xml:space="preserve"> within Oxfordshire</w:t>
      </w:r>
      <w:r w:rsidRPr="00B86B75">
        <w:rPr>
          <w:rFonts w:cs="Arial"/>
          <w:lang w:eastAsia="en-GB"/>
        </w:rPr>
        <w:t xml:space="preserve"> with direct access </w:t>
      </w:r>
      <w:r w:rsidR="00E97CC0">
        <w:rPr>
          <w:rFonts w:cs="Arial"/>
          <w:lang w:eastAsia="en-GB"/>
        </w:rPr>
        <w:t xml:space="preserve">to </w:t>
      </w:r>
      <w:r w:rsidRPr="00B86B75">
        <w:rPr>
          <w:rFonts w:cs="Arial"/>
          <w:lang w:eastAsia="en-GB"/>
        </w:rPr>
        <w:t>the following:</w:t>
      </w:r>
    </w:p>
    <w:p w:rsidR="00AF3506" w:rsidRDefault="00AF3506" w:rsidP="00B86B75">
      <w:pPr>
        <w:rPr>
          <w:color w:val="000000"/>
          <w:sz w:val="20"/>
        </w:rPr>
      </w:pPr>
    </w:p>
    <w:p w:rsidR="00B86B75" w:rsidRPr="00AF3506" w:rsidRDefault="00B86B75" w:rsidP="00361F4F">
      <w:pPr>
        <w:pStyle w:val="ListParagraph"/>
        <w:numPr>
          <w:ilvl w:val="0"/>
          <w:numId w:val="14"/>
        </w:numPr>
        <w:rPr>
          <w:rFonts w:cs="Arial"/>
          <w:lang w:eastAsia="en-GB"/>
        </w:rPr>
      </w:pPr>
      <w:r w:rsidRPr="00AF3506">
        <w:rPr>
          <w:rFonts w:cs="Arial"/>
          <w:lang w:eastAsia="en-GB"/>
        </w:rPr>
        <w:t>Diagnostic Colonoscopy 1</w:t>
      </w:r>
      <w:r w:rsidR="00AF3506">
        <w:rPr>
          <w:rFonts w:cs="Arial"/>
          <w:lang w:eastAsia="en-GB"/>
        </w:rPr>
        <w:t>8</w:t>
      </w:r>
      <w:r w:rsidRPr="00AF3506">
        <w:rPr>
          <w:rFonts w:cs="Arial"/>
          <w:lang w:eastAsia="en-GB"/>
        </w:rPr>
        <w:t xml:space="preserve"> years and over</w:t>
      </w:r>
    </w:p>
    <w:p w:rsidR="00B86B75" w:rsidRPr="00ED00C8" w:rsidRDefault="00B86B75" w:rsidP="00ED00C8">
      <w:pPr>
        <w:pStyle w:val="ListParagraph"/>
        <w:numPr>
          <w:ilvl w:val="0"/>
          <w:numId w:val="14"/>
        </w:numPr>
        <w:rPr>
          <w:rFonts w:cs="Arial"/>
          <w:lang w:eastAsia="en-GB"/>
        </w:rPr>
      </w:pPr>
      <w:r w:rsidRPr="00ED00C8">
        <w:rPr>
          <w:rFonts w:cs="Arial"/>
          <w:lang w:eastAsia="en-GB"/>
        </w:rPr>
        <w:t>Diagnostic Colonoscopy with biopsy 1</w:t>
      </w:r>
      <w:r w:rsidR="00AF3506" w:rsidRPr="00ED00C8">
        <w:rPr>
          <w:rFonts w:cs="Arial"/>
          <w:lang w:eastAsia="en-GB"/>
        </w:rPr>
        <w:t>8</w:t>
      </w:r>
      <w:r w:rsidRPr="00ED00C8">
        <w:rPr>
          <w:rFonts w:cs="Arial"/>
          <w:lang w:eastAsia="en-GB"/>
        </w:rPr>
        <w:t xml:space="preserve"> years and over</w:t>
      </w:r>
    </w:p>
    <w:p w:rsidR="0017473D" w:rsidRDefault="00B86B75" w:rsidP="0017473D">
      <w:pPr>
        <w:pStyle w:val="ListParagraph"/>
        <w:numPr>
          <w:ilvl w:val="0"/>
          <w:numId w:val="14"/>
        </w:numPr>
        <w:rPr>
          <w:rFonts w:cs="Arial"/>
          <w:lang w:eastAsia="en-GB"/>
        </w:rPr>
      </w:pPr>
      <w:r w:rsidRPr="0017473D">
        <w:rPr>
          <w:rFonts w:cs="Arial"/>
          <w:lang w:eastAsia="en-GB"/>
        </w:rPr>
        <w:t>Therapeutic Colonoscopy 1</w:t>
      </w:r>
      <w:r w:rsidR="00AF3506" w:rsidRPr="0017473D">
        <w:rPr>
          <w:rFonts w:cs="Arial"/>
          <w:lang w:eastAsia="en-GB"/>
        </w:rPr>
        <w:t>8</w:t>
      </w:r>
      <w:r w:rsidRPr="0017473D">
        <w:rPr>
          <w:rFonts w:cs="Arial"/>
          <w:lang w:eastAsia="en-GB"/>
        </w:rPr>
        <w:t xml:space="preserve"> years and over </w:t>
      </w:r>
    </w:p>
    <w:p w:rsidR="00B86B75" w:rsidRPr="0017473D" w:rsidRDefault="00B86B75" w:rsidP="0017473D">
      <w:pPr>
        <w:pStyle w:val="ListParagraph"/>
        <w:numPr>
          <w:ilvl w:val="0"/>
          <w:numId w:val="14"/>
        </w:numPr>
        <w:rPr>
          <w:rFonts w:cs="Arial"/>
          <w:lang w:eastAsia="en-GB"/>
        </w:rPr>
      </w:pPr>
      <w:r w:rsidRPr="0017473D">
        <w:rPr>
          <w:rFonts w:cs="Arial"/>
          <w:lang w:eastAsia="en-GB"/>
        </w:rPr>
        <w:t>Diagnostic Flexible Sigmoidoscopy 1</w:t>
      </w:r>
      <w:r w:rsidR="00AF3506" w:rsidRPr="0017473D">
        <w:rPr>
          <w:rFonts w:cs="Arial"/>
          <w:lang w:eastAsia="en-GB"/>
        </w:rPr>
        <w:t>8</w:t>
      </w:r>
      <w:r w:rsidRPr="0017473D">
        <w:rPr>
          <w:rFonts w:cs="Arial"/>
          <w:lang w:eastAsia="en-GB"/>
        </w:rPr>
        <w:t xml:space="preserve"> years and over </w:t>
      </w:r>
    </w:p>
    <w:p w:rsidR="00B86B75" w:rsidRPr="0017473D" w:rsidRDefault="00B86B75" w:rsidP="00ED00C8">
      <w:pPr>
        <w:pStyle w:val="ListParagraph"/>
        <w:numPr>
          <w:ilvl w:val="0"/>
          <w:numId w:val="14"/>
        </w:numPr>
        <w:rPr>
          <w:rFonts w:cs="Arial"/>
          <w:lang w:eastAsia="en-GB"/>
        </w:rPr>
      </w:pPr>
      <w:r w:rsidRPr="0017473D">
        <w:rPr>
          <w:rFonts w:cs="Arial"/>
          <w:lang w:eastAsia="en-GB"/>
        </w:rPr>
        <w:t>Diagnostic Flexible Sigmoidoscopy with biopsy 1</w:t>
      </w:r>
      <w:r w:rsidR="00AF3506" w:rsidRPr="0017473D">
        <w:rPr>
          <w:rFonts w:cs="Arial"/>
          <w:lang w:eastAsia="en-GB"/>
        </w:rPr>
        <w:t>8</w:t>
      </w:r>
      <w:r w:rsidRPr="0017473D">
        <w:rPr>
          <w:rFonts w:cs="Arial"/>
          <w:lang w:eastAsia="en-GB"/>
        </w:rPr>
        <w:t xml:space="preserve"> years and over </w:t>
      </w:r>
    </w:p>
    <w:p w:rsidR="00B86B75" w:rsidRPr="0017473D" w:rsidRDefault="00B86B75" w:rsidP="00ED00C8">
      <w:pPr>
        <w:pStyle w:val="ListParagraph"/>
        <w:numPr>
          <w:ilvl w:val="0"/>
          <w:numId w:val="14"/>
        </w:numPr>
        <w:rPr>
          <w:rFonts w:cs="Arial"/>
          <w:lang w:eastAsia="en-GB"/>
        </w:rPr>
      </w:pPr>
      <w:r w:rsidRPr="0017473D">
        <w:rPr>
          <w:rFonts w:cs="Arial"/>
          <w:lang w:eastAsia="en-GB"/>
        </w:rPr>
        <w:t>Therapeutic Flexible Sigmoidoscopy 1</w:t>
      </w:r>
      <w:r w:rsidR="00AF3506" w:rsidRPr="0017473D">
        <w:rPr>
          <w:rFonts w:cs="Arial"/>
          <w:lang w:eastAsia="en-GB"/>
        </w:rPr>
        <w:t>8</w:t>
      </w:r>
      <w:r w:rsidRPr="0017473D">
        <w:rPr>
          <w:rFonts w:cs="Arial"/>
          <w:lang w:eastAsia="en-GB"/>
        </w:rPr>
        <w:t xml:space="preserve"> years and over </w:t>
      </w:r>
    </w:p>
    <w:p w:rsidR="00B86B75" w:rsidRPr="00ED00C8" w:rsidRDefault="00B86B75" w:rsidP="00ED00C8">
      <w:pPr>
        <w:pStyle w:val="ListParagraph"/>
        <w:numPr>
          <w:ilvl w:val="0"/>
          <w:numId w:val="14"/>
        </w:numPr>
        <w:rPr>
          <w:rFonts w:cs="Arial"/>
          <w:lang w:eastAsia="en-GB"/>
        </w:rPr>
      </w:pPr>
      <w:r w:rsidRPr="00ED00C8">
        <w:rPr>
          <w:rFonts w:cs="Arial"/>
          <w:lang w:eastAsia="en-GB"/>
        </w:rPr>
        <w:t>Diagnostic Endoscopic Procedures on the Upper GI Tract 1</w:t>
      </w:r>
      <w:r w:rsidR="00AF3506" w:rsidRPr="00ED00C8">
        <w:rPr>
          <w:rFonts w:cs="Arial"/>
          <w:lang w:eastAsia="en-GB"/>
        </w:rPr>
        <w:t>8</w:t>
      </w:r>
      <w:r w:rsidRPr="00ED00C8">
        <w:rPr>
          <w:rFonts w:cs="Arial"/>
          <w:lang w:eastAsia="en-GB"/>
        </w:rPr>
        <w:t xml:space="preserve"> years and over </w:t>
      </w:r>
    </w:p>
    <w:p w:rsidR="00B86B75" w:rsidRPr="00ED00C8" w:rsidRDefault="00B86B75" w:rsidP="00ED00C8">
      <w:pPr>
        <w:pStyle w:val="ListParagraph"/>
        <w:numPr>
          <w:ilvl w:val="0"/>
          <w:numId w:val="14"/>
        </w:numPr>
        <w:rPr>
          <w:rFonts w:cs="Arial"/>
          <w:lang w:eastAsia="en-GB"/>
        </w:rPr>
      </w:pPr>
      <w:r w:rsidRPr="00ED00C8">
        <w:rPr>
          <w:rFonts w:cs="Arial"/>
          <w:lang w:eastAsia="en-GB"/>
        </w:rPr>
        <w:lastRenderedPageBreak/>
        <w:t>Diagnostic Endoscopic Procedures on the Upper GI Tract with biopsy 1</w:t>
      </w:r>
      <w:r w:rsidR="00AF3506" w:rsidRPr="00ED00C8">
        <w:rPr>
          <w:rFonts w:cs="Arial"/>
          <w:lang w:eastAsia="en-GB"/>
        </w:rPr>
        <w:t>8</w:t>
      </w:r>
      <w:r w:rsidRPr="00ED00C8">
        <w:rPr>
          <w:rFonts w:cs="Arial"/>
          <w:lang w:eastAsia="en-GB"/>
        </w:rPr>
        <w:t xml:space="preserve"> years and over </w:t>
      </w:r>
    </w:p>
    <w:p w:rsidR="00B86B75" w:rsidRPr="00ED00C8" w:rsidRDefault="00B86B75" w:rsidP="00ED00C8">
      <w:pPr>
        <w:pStyle w:val="ListParagraph"/>
        <w:numPr>
          <w:ilvl w:val="0"/>
          <w:numId w:val="14"/>
        </w:numPr>
        <w:rPr>
          <w:rFonts w:cs="Arial"/>
          <w:lang w:eastAsia="en-GB"/>
        </w:rPr>
      </w:pPr>
      <w:r w:rsidRPr="00ED00C8">
        <w:rPr>
          <w:rFonts w:cs="Arial"/>
          <w:lang w:eastAsia="en-GB"/>
        </w:rPr>
        <w:t xml:space="preserve">Combined Upper and Lower GI Tract Diagnostic Endoscopic Procedures </w:t>
      </w:r>
    </w:p>
    <w:p w:rsidR="00B86B75" w:rsidRPr="00ED00C8" w:rsidRDefault="00B86B75" w:rsidP="00ED00C8">
      <w:pPr>
        <w:pStyle w:val="ListParagraph"/>
        <w:numPr>
          <w:ilvl w:val="0"/>
          <w:numId w:val="14"/>
        </w:numPr>
        <w:rPr>
          <w:rFonts w:cs="Arial"/>
          <w:lang w:eastAsia="en-GB"/>
        </w:rPr>
      </w:pPr>
      <w:r w:rsidRPr="00ED00C8">
        <w:rPr>
          <w:rFonts w:cs="Arial"/>
          <w:lang w:eastAsia="en-GB"/>
        </w:rPr>
        <w:t xml:space="preserve">Combined Upper and Lower GI Tract Diagnostic Endoscopic Procedures with biopsy </w:t>
      </w:r>
    </w:p>
    <w:p w:rsidR="00B86B75" w:rsidRPr="00ED00C8" w:rsidRDefault="00B86B75" w:rsidP="00ED00C8">
      <w:pPr>
        <w:pStyle w:val="ListParagraph"/>
        <w:numPr>
          <w:ilvl w:val="0"/>
          <w:numId w:val="14"/>
        </w:numPr>
        <w:rPr>
          <w:rFonts w:cs="Arial"/>
          <w:lang w:eastAsia="en-GB"/>
        </w:rPr>
      </w:pPr>
      <w:r w:rsidRPr="00ED00C8">
        <w:rPr>
          <w:rFonts w:cs="Arial"/>
          <w:lang w:eastAsia="en-GB"/>
        </w:rPr>
        <w:t xml:space="preserve">Combined Upper and Lower GI Tract Therapeutic Endoscopic Procedures </w:t>
      </w:r>
    </w:p>
    <w:p w:rsidR="00361F4F" w:rsidRDefault="00361F4F" w:rsidP="00ED00C8">
      <w:pPr>
        <w:pStyle w:val="ListParagraph"/>
        <w:numPr>
          <w:ilvl w:val="0"/>
          <w:numId w:val="14"/>
        </w:numPr>
        <w:rPr>
          <w:rFonts w:cs="Arial"/>
          <w:lang w:eastAsia="en-GB"/>
        </w:rPr>
      </w:pPr>
      <w:r w:rsidRPr="003A7F57">
        <w:rPr>
          <w:rFonts w:cs="Arial"/>
          <w:lang w:eastAsia="en-GB"/>
        </w:rPr>
        <w:t>2 Week Wait Cancer Pathway</w:t>
      </w:r>
    </w:p>
    <w:p w:rsidR="00361F4F" w:rsidRPr="0017473D" w:rsidRDefault="0017473D" w:rsidP="00B86B75">
      <w:pPr>
        <w:pStyle w:val="ListParagraph"/>
        <w:numPr>
          <w:ilvl w:val="0"/>
          <w:numId w:val="14"/>
        </w:numPr>
        <w:rPr>
          <w:rFonts w:cs="Arial"/>
          <w:lang w:eastAsia="en-GB"/>
        </w:rPr>
      </w:pPr>
      <w:r>
        <w:rPr>
          <w:rFonts w:cs="Arial"/>
          <w:lang w:eastAsia="en-GB"/>
        </w:rPr>
        <w:t xml:space="preserve">Surveillance </w:t>
      </w:r>
      <w:r w:rsidR="0046504F" w:rsidRPr="0017473D">
        <w:rPr>
          <w:rFonts w:cs="Arial"/>
          <w:lang w:eastAsia="en-GB"/>
        </w:rPr>
        <w:t>Colonoscopy</w:t>
      </w:r>
      <w:r w:rsidR="00E97CC0" w:rsidRPr="0017473D">
        <w:rPr>
          <w:rFonts w:cs="Arial"/>
          <w:lang w:eastAsia="en-GB"/>
        </w:rPr>
        <w:t xml:space="preserve"> for review</w:t>
      </w:r>
      <w:r>
        <w:rPr>
          <w:rFonts w:cs="Arial"/>
          <w:lang w:eastAsia="en-GB"/>
        </w:rPr>
        <w:t>s</w:t>
      </w:r>
      <w:r w:rsidR="00E97CC0" w:rsidRPr="0017473D">
        <w:rPr>
          <w:rFonts w:cs="Arial"/>
          <w:lang w:eastAsia="en-GB"/>
        </w:rPr>
        <w:t xml:space="preserve"> only</w:t>
      </w:r>
      <w:r w:rsidR="00A478C1" w:rsidRPr="0017473D">
        <w:rPr>
          <w:rFonts w:cs="Arial"/>
          <w:lang w:eastAsia="en-GB"/>
        </w:rPr>
        <w:t xml:space="preserve"> </w:t>
      </w:r>
    </w:p>
    <w:p w:rsidR="006860D0" w:rsidRDefault="006860D0" w:rsidP="006860D0">
      <w:pPr>
        <w:rPr>
          <w:rFonts w:cs="Arial"/>
          <w:highlight w:val="yellow"/>
          <w:lang w:eastAsia="en-GB"/>
        </w:rPr>
      </w:pPr>
    </w:p>
    <w:p w:rsidR="006860D0" w:rsidRPr="00ED00C8" w:rsidRDefault="006860D0" w:rsidP="00860D48">
      <w:pPr>
        <w:pStyle w:val="ListParagraph"/>
        <w:ind w:left="360"/>
        <w:rPr>
          <w:color w:val="000000"/>
        </w:rPr>
      </w:pPr>
      <w:r w:rsidRPr="00ED00C8">
        <w:rPr>
          <w:color w:val="000000"/>
        </w:rPr>
        <w:t>The Provider must agree and implement pathways with the Commissioner and local secondary care providers to ensure no delays are created when patients require referral to secondary care.</w:t>
      </w:r>
    </w:p>
    <w:p w:rsidR="006860D0" w:rsidRPr="006860D0" w:rsidRDefault="006860D0" w:rsidP="006860D0">
      <w:pPr>
        <w:rPr>
          <w:rFonts w:cs="Arial"/>
          <w:highlight w:val="yellow"/>
          <w:lang w:eastAsia="en-GB"/>
        </w:rPr>
      </w:pPr>
    </w:p>
    <w:p w:rsidR="0006443B" w:rsidRPr="00E04B04" w:rsidRDefault="0006443B" w:rsidP="00E04B04">
      <w:pPr>
        <w:rPr>
          <w:rFonts w:cs="Arial"/>
          <w:bCs/>
          <w:sz w:val="28"/>
          <w:szCs w:val="28"/>
        </w:rPr>
      </w:pPr>
    </w:p>
    <w:p w:rsidR="00381B41" w:rsidRDefault="00381B41" w:rsidP="008A31CF">
      <w:pPr>
        <w:rPr>
          <w:rFonts w:cs="Arial"/>
          <w:b/>
          <w:bCs/>
          <w:color w:val="1F497D" w:themeColor="text2"/>
          <w:szCs w:val="22"/>
          <w:lang w:eastAsia="en-GB"/>
        </w:rPr>
      </w:pPr>
      <w:r w:rsidRPr="00563F36">
        <w:rPr>
          <w:rFonts w:cs="Arial"/>
          <w:b/>
          <w:bCs/>
          <w:color w:val="1F497D" w:themeColor="text2"/>
          <w:szCs w:val="22"/>
          <w:lang w:eastAsia="en-GB"/>
        </w:rPr>
        <w:t>Exclusions</w:t>
      </w:r>
    </w:p>
    <w:p w:rsidR="00563F36" w:rsidRPr="00DA1860" w:rsidRDefault="00563F36" w:rsidP="00381B41">
      <w:pPr>
        <w:ind w:left="360"/>
        <w:rPr>
          <w:rFonts w:cs="Arial"/>
          <w:b/>
          <w:bCs/>
          <w:color w:val="1F497D" w:themeColor="text2"/>
          <w:sz w:val="8"/>
          <w:szCs w:val="8"/>
          <w:lang w:eastAsia="en-GB"/>
        </w:rPr>
      </w:pPr>
    </w:p>
    <w:p w:rsidR="00FB5CE5" w:rsidRDefault="00FB5CE5" w:rsidP="00FB5CE5">
      <w:pPr>
        <w:pStyle w:val="ListParagraph"/>
        <w:numPr>
          <w:ilvl w:val="0"/>
          <w:numId w:val="13"/>
        </w:numPr>
        <w:rPr>
          <w:color w:val="000000"/>
        </w:rPr>
      </w:pPr>
      <w:r w:rsidRPr="00FB5CE5">
        <w:rPr>
          <w:color w:val="000000"/>
        </w:rPr>
        <w:t xml:space="preserve">The service will be limited to colonoscopies, gastroscopies and sigmoidoscopies. </w:t>
      </w:r>
    </w:p>
    <w:p w:rsidR="006860D0" w:rsidRPr="00FB5CE5" w:rsidRDefault="006860D0" w:rsidP="00FB5CE5">
      <w:pPr>
        <w:pStyle w:val="ListParagraph"/>
        <w:numPr>
          <w:ilvl w:val="0"/>
          <w:numId w:val="13"/>
        </w:numPr>
        <w:rPr>
          <w:color w:val="000000"/>
        </w:rPr>
      </w:pPr>
      <w:r>
        <w:rPr>
          <w:color w:val="000000"/>
        </w:rPr>
        <w:t>Children under the age of 18</w:t>
      </w:r>
      <w:r w:rsidR="00462882">
        <w:rPr>
          <w:color w:val="000000"/>
        </w:rPr>
        <w:t xml:space="preserve"> are not included within the scope of this service.</w:t>
      </w:r>
    </w:p>
    <w:p w:rsidR="006860D0" w:rsidRDefault="00FB5CE5" w:rsidP="00FB5CE5">
      <w:pPr>
        <w:pStyle w:val="ListParagraph"/>
        <w:numPr>
          <w:ilvl w:val="0"/>
          <w:numId w:val="13"/>
        </w:numPr>
        <w:rPr>
          <w:color w:val="000000"/>
        </w:rPr>
      </w:pPr>
      <w:r w:rsidRPr="00FB5CE5">
        <w:rPr>
          <w:color w:val="000000"/>
        </w:rPr>
        <w:t xml:space="preserve">Any services provided outside the terms of the specification must have Commissioner specific consent in advance. </w:t>
      </w:r>
    </w:p>
    <w:p w:rsidR="00FB5CE5" w:rsidRPr="00FB5CE5" w:rsidRDefault="00FB5CE5" w:rsidP="00FB5CE5">
      <w:pPr>
        <w:pStyle w:val="ListParagraph"/>
        <w:numPr>
          <w:ilvl w:val="0"/>
          <w:numId w:val="13"/>
        </w:numPr>
        <w:rPr>
          <w:color w:val="000000"/>
        </w:rPr>
      </w:pPr>
      <w:r w:rsidRPr="00FB5CE5">
        <w:rPr>
          <w:color w:val="000000"/>
        </w:rPr>
        <w:t>The Commissioner will not pay for any activity not specifically</w:t>
      </w:r>
      <w:r w:rsidR="00C607A1">
        <w:rPr>
          <w:color w:val="000000"/>
        </w:rPr>
        <w:t xml:space="preserve"> within the specification </w:t>
      </w:r>
    </w:p>
    <w:p w:rsidR="00ED00C8" w:rsidRDefault="00FB5CE5" w:rsidP="00ED00C8">
      <w:pPr>
        <w:pStyle w:val="ListParagraph"/>
        <w:numPr>
          <w:ilvl w:val="0"/>
          <w:numId w:val="13"/>
        </w:numPr>
        <w:rPr>
          <w:color w:val="000000"/>
        </w:rPr>
      </w:pPr>
      <w:r w:rsidRPr="00ED00C8">
        <w:rPr>
          <w:color w:val="000000"/>
        </w:rPr>
        <w:t xml:space="preserve">Patients that need emergency treatment or more complex diagnostic investigations will be directed back to their GP immediately, or onto emergency services as appropriate. </w:t>
      </w:r>
    </w:p>
    <w:p w:rsidR="00FB5CE5" w:rsidRDefault="00FB5CE5" w:rsidP="000317CB">
      <w:pPr>
        <w:rPr>
          <w:color w:val="000000"/>
          <w:sz w:val="20"/>
        </w:rPr>
      </w:pPr>
    </w:p>
    <w:p w:rsidR="005E5ED4" w:rsidRDefault="005E5ED4" w:rsidP="000317CB">
      <w:pPr>
        <w:rPr>
          <w:color w:val="000000"/>
          <w:sz w:val="20"/>
        </w:rPr>
      </w:pPr>
    </w:p>
    <w:p w:rsidR="00276685" w:rsidRDefault="00C607A1" w:rsidP="000317CB">
      <w:pPr>
        <w:rPr>
          <w:rFonts w:cs="Arial"/>
          <w:b/>
          <w:bCs/>
          <w:color w:val="1F497D" w:themeColor="text2"/>
          <w:szCs w:val="22"/>
          <w:lang w:eastAsia="en-GB"/>
        </w:rPr>
      </w:pPr>
      <w:r>
        <w:rPr>
          <w:rFonts w:cs="Arial"/>
          <w:b/>
          <w:bCs/>
          <w:color w:val="1F497D" w:themeColor="text2"/>
          <w:szCs w:val="22"/>
          <w:lang w:eastAsia="en-GB"/>
        </w:rPr>
        <w:t>Location</w:t>
      </w:r>
    </w:p>
    <w:p w:rsidR="00C607A1" w:rsidRPr="008A31CF" w:rsidRDefault="00C607A1" w:rsidP="000317CB">
      <w:pPr>
        <w:rPr>
          <w:rFonts w:cs="Arial"/>
          <w:bCs/>
          <w:sz w:val="28"/>
          <w:szCs w:val="28"/>
        </w:rPr>
      </w:pPr>
      <w:r w:rsidRPr="00860D48">
        <w:rPr>
          <w:rFonts w:cs="Arial"/>
          <w:bCs/>
          <w:szCs w:val="22"/>
          <w:lang w:eastAsia="en-GB"/>
        </w:rPr>
        <w:t xml:space="preserve">The endoscopy service will be provided </w:t>
      </w:r>
      <w:r w:rsidR="00676D4B" w:rsidRPr="00860D48">
        <w:rPr>
          <w:rFonts w:cs="Arial"/>
          <w:bCs/>
          <w:szCs w:val="22"/>
          <w:lang w:eastAsia="en-GB"/>
        </w:rPr>
        <w:t>across Oxfordshire with bases in the following locality areas</w:t>
      </w:r>
      <w:r w:rsidR="00676D4B" w:rsidRPr="00860D48">
        <w:rPr>
          <w:rFonts w:cs="Arial"/>
          <w:b/>
          <w:bCs/>
          <w:szCs w:val="22"/>
          <w:lang w:eastAsia="en-GB"/>
        </w:rPr>
        <w:t xml:space="preserve"> </w:t>
      </w:r>
      <w:r w:rsidR="00676D4B">
        <w:rPr>
          <w:rFonts w:cs="Arial"/>
          <w:lang w:eastAsia="en-GB"/>
        </w:rPr>
        <w:t>(See figure 1 for locality map)</w:t>
      </w:r>
      <w:r w:rsidR="00676D4B" w:rsidRPr="007E7793">
        <w:rPr>
          <w:rFonts w:cs="Arial"/>
          <w:lang w:eastAsia="en-GB"/>
        </w:rPr>
        <w:t>;</w:t>
      </w:r>
    </w:p>
    <w:p w:rsidR="00676D4B" w:rsidRDefault="00676D4B" w:rsidP="00676D4B">
      <w:pPr>
        <w:rPr>
          <w:rFonts w:cs="Arial"/>
        </w:rPr>
      </w:pPr>
    </w:p>
    <w:p w:rsidR="00676D4B" w:rsidRDefault="00676D4B" w:rsidP="00676D4B">
      <w:pPr>
        <w:rPr>
          <w:rFonts w:cs="Arial"/>
        </w:rPr>
      </w:pPr>
      <w:r w:rsidRPr="00383B0B">
        <w:rPr>
          <w:rFonts w:cs="Arial"/>
        </w:rPr>
        <w:t>North or North East</w:t>
      </w:r>
      <w:r>
        <w:rPr>
          <w:rFonts w:cs="Arial"/>
        </w:rPr>
        <w:t xml:space="preserve"> Locality</w:t>
      </w:r>
      <w:r w:rsidRPr="00383B0B">
        <w:rPr>
          <w:rFonts w:cs="Arial"/>
        </w:rPr>
        <w:t xml:space="preserve">, </w:t>
      </w:r>
    </w:p>
    <w:p w:rsidR="00676D4B" w:rsidRDefault="00676D4B" w:rsidP="00676D4B">
      <w:pPr>
        <w:rPr>
          <w:rFonts w:cs="Arial"/>
        </w:rPr>
      </w:pPr>
      <w:r w:rsidRPr="00383B0B">
        <w:rPr>
          <w:rFonts w:cs="Arial"/>
        </w:rPr>
        <w:t>South</w:t>
      </w:r>
      <w:r>
        <w:rPr>
          <w:rFonts w:cs="Arial"/>
        </w:rPr>
        <w:t xml:space="preserve"> Locality</w:t>
      </w:r>
      <w:r w:rsidRPr="00383B0B">
        <w:rPr>
          <w:rFonts w:cs="Arial"/>
        </w:rPr>
        <w:t xml:space="preserve"> and </w:t>
      </w:r>
    </w:p>
    <w:p w:rsidR="00676D4B" w:rsidRDefault="00676D4B" w:rsidP="00676D4B">
      <w:pPr>
        <w:rPr>
          <w:rFonts w:cs="Arial"/>
          <w:lang w:eastAsia="en-GB"/>
        </w:rPr>
      </w:pPr>
      <w:r w:rsidRPr="00383B0B">
        <w:rPr>
          <w:rFonts w:cs="Arial"/>
        </w:rPr>
        <w:t xml:space="preserve">West </w:t>
      </w:r>
      <w:r>
        <w:rPr>
          <w:rFonts w:cs="Arial"/>
          <w:lang w:eastAsia="en-GB"/>
        </w:rPr>
        <w:t>Locality</w:t>
      </w:r>
    </w:p>
    <w:p w:rsidR="00676D4B" w:rsidRDefault="00676D4B" w:rsidP="00676D4B">
      <w:pPr>
        <w:rPr>
          <w:rFonts w:cs="Arial"/>
          <w:lang w:eastAsia="en-GB"/>
        </w:rPr>
      </w:pPr>
    </w:p>
    <w:p w:rsidR="00480F98" w:rsidRDefault="00480F98" w:rsidP="00480F98">
      <w:pPr>
        <w:rPr>
          <w:rFonts w:cs="Arial"/>
          <w:lang w:eastAsia="en-GB"/>
        </w:rPr>
      </w:pPr>
      <w:r>
        <w:rPr>
          <w:rFonts w:cs="Arial"/>
          <w:lang w:eastAsia="en-GB"/>
        </w:rPr>
        <w:t>T</w:t>
      </w:r>
      <w:r w:rsidRPr="007E7793">
        <w:rPr>
          <w:rFonts w:cs="Arial"/>
          <w:lang w:eastAsia="en-GB"/>
        </w:rPr>
        <w:t>he contract</w:t>
      </w:r>
      <w:r w:rsidR="0079795E">
        <w:rPr>
          <w:rFonts w:cs="Arial"/>
          <w:lang w:eastAsia="en-GB"/>
        </w:rPr>
        <w:t xml:space="preserve"> will </w:t>
      </w:r>
      <w:r w:rsidR="00E97CC0">
        <w:rPr>
          <w:rFonts w:cs="Arial"/>
          <w:lang w:eastAsia="en-GB"/>
        </w:rPr>
        <w:t>use the</w:t>
      </w:r>
      <w:r w:rsidR="0079795E">
        <w:rPr>
          <w:rFonts w:cs="Arial"/>
          <w:lang w:eastAsia="en-GB"/>
        </w:rPr>
        <w:t xml:space="preserve"> NHS standard contract </w:t>
      </w:r>
      <w:r w:rsidR="007A0211">
        <w:rPr>
          <w:rFonts w:cs="Arial"/>
          <w:lang w:eastAsia="en-GB"/>
        </w:rPr>
        <w:t xml:space="preserve">and </w:t>
      </w:r>
      <w:r w:rsidR="007A0211" w:rsidRPr="007E7793">
        <w:rPr>
          <w:rFonts w:cs="Arial"/>
          <w:lang w:eastAsia="en-GB"/>
        </w:rPr>
        <w:t>will</w:t>
      </w:r>
      <w:r w:rsidR="007A0211">
        <w:rPr>
          <w:rFonts w:cs="Arial"/>
          <w:lang w:eastAsia="en-GB"/>
        </w:rPr>
        <w:t xml:space="preserve"> be</w:t>
      </w:r>
      <w:r>
        <w:rPr>
          <w:rFonts w:cs="Arial"/>
          <w:lang w:eastAsia="en-GB"/>
        </w:rPr>
        <w:t xml:space="preserve"> for </w:t>
      </w:r>
      <w:r w:rsidR="00400774" w:rsidRPr="00720939">
        <w:rPr>
          <w:rFonts w:cs="Arial"/>
          <w:b/>
          <w:lang w:eastAsia="en-GB"/>
        </w:rPr>
        <w:t>3</w:t>
      </w:r>
      <w:r w:rsidR="00ED00C8">
        <w:rPr>
          <w:rFonts w:cs="Arial"/>
          <w:b/>
          <w:lang w:eastAsia="en-GB"/>
        </w:rPr>
        <w:t xml:space="preserve"> </w:t>
      </w:r>
      <w:r w:rsidRPr="00720939">
        <w:rPr>
          <w:rFonts w:cs="Arial"/>
          <w:b/>
          <w:lang w:eastAsia="en-GB"/>
        </w:rPr>
        <w:t>years</w:t>
      </w:r>
      <w:r w:rsidR="00E97CC0">
        <w:rPr>
          <w:rFonts w:cs="Arial"/>
          <w:b/>
          <w:lang w:eastAsia="en-GB"/>
        </w:rPr>
        <w:t xml:space="preserve"> with an option to e</w:t>
      </w:r>
      <w:r w:rsidR="007A0211">
        <w:rPr>
          <w:rFonts w:cs="Arial"/>
          <w:b/>
          <w:lang w:eastAsia="en-GB"/>
        </w:rPr>
        <w:t>x</w:t>
      </w:r>
      <w:r w:rsidR="00E97CC0">
        <w:rPr>
          <w:rFonts w:cs="Arial"/>
          <w:b/>
          <w:lang w:eastAsia="en-GB"/>
        </w:rPr>
        <w:t xml:space="preserve">tend for </w:t>
      </w:r>
      <w:r w:rsidR="00860D48">
        <w:rPr>
          <w:rFonts w:cs="Arial"/>
          <w:b/>
          <w:lang w:eastAsia="en-GB"/>
        </w:rPr>
        <w:t xml:space="preserve">two </w:t>
      </w:r>
      <w:r w:rsidR="00E97CC0">
        <w:rPr>
          <w:rFonts w:cs="Arial"/>
          <w:b/>
          <w:lang w:eastAsia="en-GB"/>
        </w:rPr>
        <w:t>further year</w:t>
      </w:r>
      <w:r w:rsidR="00860D48">
        <w:rPr>
          <w:rFonts w:cs="Arial"/>
          <w:b/>
          <w:lang w:eastAsia="en-GB"/>
        </w:rPr>
        <w:t>s</w:t>
      </w:r>
      <w:r w:rsidR="00E97CC0">
        <w:rPr>
          <w:rFonts w:cs="Arial"/>
          <w:b/>
          <w:lang w:eastAsia="en-GB"/>
        </w:rPr>
        <w:t>,</w:t>
      </w:r>
      <w:r w:rsidR="001F4C4F">
        <w:rPr>
          <w:rFonts w:cs="Arial"/>
          <w:b/>
          <w:lang w:eastAsia="en-GB"/>
        </w:rPr>
        <w:t xml:space="preserve"> </w:t>
      </w:r>
      <w:r w:rsidR="001F4C4F" w:rsidRPr="001F4C4F">
        <w:rPr>
          <w:rFonts w:cs="Arial"/>
          <w:lang w:eastAsia="en-GB"/>
        </w:rPr>
        <w:t>and is</w:t>
      </w:r>
      <w:r w:rsidR="00E97CC0">
        <w:rPr>
          <w:rFonts w:cs="Arial"/>
          <w:b/>
          <w:lang w:eastAsia="en-GB"/>
        </w:rPr>
        <w:t xml:space="preserve"> </w:t>
      </w:r>
      <w:r w:rsidR="00E97CC0" w:rsidRPr="001E3CDA">
        <w:rPr>
          <w:rFonts w:cs="Arial"/>
          <w:lang w:eastAsia="en-GB"/>
        </w:rPr>
        <w:t>expected to</w:t>
      </w:r>
      <w:r w:rsidR="00462882">
        <w:rPr>
          <w:rFonts w:cs="Arial"/>
          <w:lang w:eastAsia="en-GB"/>
        </w:rPr>
        <w:t xml:space="preserve"> commence in October </w:t>
      </w:r>
      <w:r w:rsidRPr="00B74005">
        <w:rPr>
          <w:rFonts w:cs="Arial"/>
          <w:lang w:eastAsia="en-GB"/>
        </w:rPr>
        <w:t>2017</w:t>
      </w:r>
      <w:r>
        <w:rPr>
          <w:rFonts w:cs="Arial"/>
          <w:lang w:eastAsia="en-GB"/>
        </w:rPr>
        <w:t>. The contract value will be</w:t>
      </w:r>
      <w:r w:rsidR="00E97CC0">
        <w:rPr>
          <w:rFonts w:cs="Arial"/>
          <w:lang w:eastAsia="en-GB"/>
        </w:rPr>
        <w:t xml:space="preserve"> a maximum of</w:t>
      </w:r>
      <w:r>
        <w:rPr>
          <w:rFonts w:cs="Arial"/>
          <w:lang w:eastAsia="en-GB"/>
        </w:rPr>
        <w:t xml:space="preserve"> </w:t>
      </w:r>
      <w:r w:rsidRPr="00720939">
        <w:rPr>
          <w:rFonts w:cs="Arial"/>
          <w:b/>
          <w:lang w:eastAsia="en-GB"/>
        </w:rPr>
        <w:t>£</w:t>
      </w:r>
      <w:r w:rsidR="00B74005">
        <w:rPr>
          <w:rFonts w:cs="Arial"/>
          <w:b/>
          <w:lang w:eastAsia="en-GB"/>
        </w:rPr>
        <w:t xml:space="preserve">2m </w:t>
      </w:r>
      <w:r w:rsidRPr="00720939">
        <w:rPr>
          <w:rFonts w:cs="Arial"/>
          <w:b/>
          <w:lang w:eastAsia="en-GB"/>
        </w:rPr>
        <w:t>per annum</w:t>
      </w:r>
      <w:r>
        <w:rPr>
          <w:rFonts w:cs="Arial"/>
          <w:lang w:eastAsia="en-GB"/>
        </w:rPr>
        <w:t xml:space="preserve">. This service </w:t>
      </w:r>
      <w:r w:rsidR="00E97CC0">
        <w:rPr>
          <w:rFonts w:cs="Arial"/>
          <w:lang w:eastAsia="en-GB"/>
        </w:rPr>
        <w:t>will be provided</w:t>
      </w:r>
      <w:r>
        <w:rPr>
          <w:rFonts w:cs="Arial"/>
          <w:lang w:eastAsia="en-GB"/>
        </w:rPr>
        <w:t xml:space="preserve"> by a single provider</w:t>
      </w:r>
      <w:r w:rsidR="00E97CC0">
        <w:rPr>
          <w:rFonts w:cs="Arial"/>
          <w:lang w:eastAsia="en-GB"/>
        </w:rPr>
        <w:t xml:space="preserve"> (Partnerships and sub-contracting </w:t>
      </w:r>
      <w:r w:rsidR="00C607A1">
        <w:rPr>
          <w:rFonts w:cs="Arial"/>
          <w:lang w:eastAsia="en-GB"/>
        </w:rPr>
        <w:t>are</w:t>
      </w:r>
      <w:r w:rsidR="00E97CC0">
        <w:rPr>
          <w:rFonts w:cs="Arial"/>
          <w:lang w:eastAsia="en-GB"/>
        </w:rPr>
        <w:t xml:space="preserve"> permitted where shown to be appropriate</w:t>
      </w:r>
      <w:r w:rsidR="00C607A1">
        <w:rPr>
          <w:rFonts w:cs="Arial"/>
          <w:lang w:eastAsia="en-GB"/>
        </w:rPr>
        <w:t>, but must be approved by the commissioner</w:t>
      </w:r>
      <w:r w:rsidR="00E97CC0">
        <w:rPr>
          <w:rFonts w:cs="Arial"/>
          <w:lang w:eastAsia="en-GB"/>
        </w:rPr>
        <w:t>)</w:t>
      </w:r>
      <w:r w:rsidR="00676D4B">
        <w:rPr>
          <w:rFonts w:cs="Arial"/>
          <w:lang w:eastAsia="en-GB"/>
        </w:rPr>
        <w:t>.</w:t>
      </w:r>
      <w:r>
        <w:rPr>
          <w:rFonts w:cs="Arial"/>
          <w:lang w:eastAsia="en-GB"/>
        </w:rPr>
        <w:t xml:space="preserve"> </w:t>
      </w:r>
      <w:r w:rsidR="004E2388">
        <w:rPr>
          <w:rFonts w:cs="Arial"/>
          <w:lang w:eastAsia="en-GB"/>
        </w:rPr>
        <w:t xml:space="preserve">TUPE is expected to apply to this service. </w:t>
      </w:r>
    </w:p>
    <w:p w:rsidR="00480F98" w:rsidRDefault="00480F98" w:rsidP="00480F98">
      <w:pPr>
        <w:rPr>
          <w:rFonts w:cs="Arial"/>
          <w:lang w:eastAsia="en-GB"/>
        </w:rPr>
      </w:pPr>
    </w:p>
    <w:p w:rsidR="000F4B84" w:rsidRDefault="000F4B84" w:rsidP="000F4B84">
      <w:pPr>
        <w:rPr>
          <w:rFonts w:cs="Arial"/>
          <w:b/>
          <w:bCs/>
          <w:color w:val="1F497D" w:themeColor="text2"/>
          <w:szCs w:val="22"/>
          <w:lang w:eastAsia="en-GB"/>
        </w:rPr>
      </w:pPr>
      <w:r>
        <w:rPr>
          <w:rFonts w:cs="Arial"/>
          <w:b/>
          <w:bCs/>
          <w:color w:val="1F497D" w:themeColor="text2"/>
          <w:szCs w:val="22"/>
          <w:lang w:eastAsia="en-GB"/>
        </w:rPr>
        <w:t>Response Instructions</w:t>
      </w:r>
    </w:p>
    <w:p w:rsidR="00563F36" w:rsidRPr="00480F98" w:rsidRDefault="007A0211" w:rsidP="002B6CD0">
      <w:pPr>
        <w:jc w:val="both"/>
        <w:rPr>
          <w:rFonts w:cs="Arial"/>
        </w:rPr>
      </w:pPr>
      <w:r>
        <w:rPr>
          <w:rFonts w:eastAsiaTheme="minorEastAsia" w:cs="Arial"/>
          <w:szCs w:val="22"/>
          <w:lang w:eastAsia="en-GB"/>
        </w:rPr>
        <w:t xml:space="preserve">The procurement will be run using an “open” procedure and bids </w:t>
      </w:r>
      <w:r w:rsidR="00480F98" w:rsidRPr="00480F98">
        <w:rPr>
          <w:rFonts w:eastAsiaTheme="minorEastAsia" w:cs="Arial"/>
          <w:szCs w:val="22"/>
          <w:lang w:eastAsia="en-GB"/>
        </w:rPr>
        <w:t xml:space="preserve">must be received by 13:00 on the </w:t>
      </w:r>
      <w:r w:rsidR="001F7C4A">
        <w:rPr>
          <w:rFonts w:eastAsiaTheme="minorEastAsia" w:cs="Arial"/>
          <w:szCs w:val="22"/>
          <w:lang w:eastAsia="en-GB"/>
        </w:rPr>
        <w:t>22</w:t>
      </w:r>
      <w:r w:rsidR="001F7C4A" w:rsidRPr="001F7C4A">
        <w:rPr>
          <w:rFonts w:eastAsiaTheme="minorEastAsia" w:cs="Arial"/>
          <w:szCs w:val="22"/>
          <w:vertAlign w:val="superscript"/>
          <w:lang w:eastAsia="en-GB"/>
        </w:rPr>
        <w:t>nd</w:t>
      </w:r>
      <w:r w:rsidR="001F7C4A">
        <w:rPr>
          <w:rFonts w:eastAsiaTheme="minorEastAsia" w:cs="Arial"/>
          <w:szCs w:val="22"/>
          <w:lang w:eastAsia="en-GB"/>
        </w:rPr>
        <w:t xml:space="preserve"> </w:t>
      </w:r>
      <w:r w:rsidR="001F7C4A" w:rsidRPr="00B74005">
        <w:rPr>
          <w:rFonts w:eastAsiaTheme="minorEastAsia" w:cs="Arial"/>
          <w:szCs w:val="22"/>
          <w:lang w:eastAsia="en-GB"/>
        </w:rPr>
        <w:t>May</w:t>
      </w:r>
      <w:r w:rsidR="001E3CDA" w:rsidRPr="00B74005">
        <w:rPr>
          <w:rFonts w:eastAsiaTheme="minorEastAsia" w:cs="Arial"/>
          <w:szCs w:val="22"/>
          <w:lang w:eastAsia="en-GB"/>
        </w:rPr>
        <w:t xml:space="preserve"> 2017</w:t>
      </w:r>
      <w:r w:rsidR="00480F98" w:rsidRPr="00B74005">
        <w:rPr>
          <w:rFonts w:eastAsiaTheme="minorEastAsia" w:cs="Arial"/>
          <w:szCs w:val="22"/>
          <w:lang w:eastAsia="en-GB"/>
        </w:rPr>
        <w:t>.</w:t>
      </w:r>
      <w:r w:rsidR="00682FA1" w:rsidRPr="00B74005">
        <w:rPr>
          <w:rFonts w:eastAsiaTheme="minorEastAsia" w:cs="Arial"/>
          <w:szCs w:val="22"/>
          <w:lang w:eastAsia="en-GB"/>
        </w:rPr>
        <w:t xml:space="preserve"> </w:t>
      </w:r>
    </w:p>
    <w:p w:rsidR="00563F36" w:rsidRPr="00726196" w:rsidRDefault="00563F36" w:rsidP="00563F36">
      <w:pPr>
        <w:rPr>
          <w:rFonts w:cs="Arial"/>
          <w:b/>
          <w:bCs/>
          <w:color w:val="365F91" w:themeColor="accent1" w:themeShade="BF"/>
          <w:szCs w:val="22"/>
          <w:lang w:eastAsia="en-GB"/>
        </w:rPr>
      </w:pPr>
    </w:p>
    <w:p w:rsidR="002B6CD0" w:rsidRPr="00480F98" w:rsidRDefault="00415655" w:rsidP="00415655">
      <w:pPr>
        <w:jc w:val="both"/>
        <w:rPr>
          <w:rFonts w:eastAsiaTheme="minorEastAsia" w:cs="Arial"/>
          <w:szCs w:val="22"/>
        </w:rPr>
      </w:pPr>
      <w:r w:rsidRPr="00480F98">
        <w:rPr>
          <w:rFonts w:eastAsiaTheme="minorEastAsia" w:cs="Arial"/>
          <w:szCs w:val="22"/>
        </w:rPr>
        <w:t xml:space="preserve">Further information regarding this process </w:t>
      </w:r>
      <w:r w:rsidR="00682FA1" w:rsidRPr="00480F98">
        <w:rPr>
          <w:rFonts w:eastAsiaTheme="minorEastAsia" w:cs="Arial"/>
          <w:szCs w:val="22"/>
          <w:lang w:eastAsia="en-GB"/>
        </w:rPr>
        <w:t xml:space="preserve">including a copy of the </w:t>
      </w:r>
      <w:r w:rsidR="007A0211">
        <w:rPr>
          <w:rFonts w:eastAsiaTheme="minorEastAsia" w:cs="Arial"/>
          <w:szCs w:val="22"/>
          <w:lang w:eastAsia="en-GB"/>
        </w:rPr>
        <w:t>full procurement documentation</w:t>
      </w:r>
      <w:r w:rsidR="00682FA1" w:rsidRPr="00480F98">
        <w:rPr>
          <w:rFonts w:eastAsiaTheme="minorEastAsia" w:cs="Arial"/>
          <w:szCs w:val="22"/>
          <w:lang w:eastAsia="en-GB"/>
        </w:rPr>
        <w:t xml:space="preserve"> </w:t>
      </w:r>
      <w:r w:rsidRPr="00480F98">
        <w:rPr>
          <w:rFonts w:eastAsiaTheme="minorEastAsia" w:cs="Arial"/>
          <w:szCs w:val="22"/>
        </w:rPr>
        <w:t>can be fo</w:t>
      </w:r>
      <w:r w:rsidR="002B6CD0" w:rsidRPr="00480F98">
        <w:rPr>
          <w:rFonts w:eastAsiaTheme="minorEastAsia" w:cs="Arial"/>
          <w:szCs w:val="22"/>
        </w:rPr>
        <w:t>und on our e-procurement portal:</w:t>
      </w:r>
    </w:p>
    <w:p w:rsidR="00415655" w:rsidRPr="00480F98" w:rsidRDefault="00415655" w:rsidP="00415655">
      <w:pPr>
        <w:jc w:val="both"/>
        <w:rPr>
          <w:rFonts w:eastAsiaTheme="minorEastAsia" w:cs="Arial"/>
          <w:szCs w:val="22"/>
        </w:rPr>
      </w:pPr>
      <w:proofErr w:type="gramStart"/>
      <w:r w:rsidRPr="00480F98">
        <w:rPr>
          <w:rFonts w:eastAsiaTheme="minorEastAsia" w:cs="Arial"/>
          <w:szCs w:val="22"/>
        </w:rPr>
        <w:t xml:space="preserve">(In-tend - </w:t>
      </w:r>
      <w:hyperlink r:id="rId9" w:history="1">
        <w:r w:rsidRPr="00480F98">
          <w:rPr>
            <w:rFonts w:eastAsiaTheme="minorEastAsia" w:cs="Arial"/>
            <w:b/>
            <w:szCs w:val="22"/>
            <w:u w:val="single"/>
          </w:rPr>
          <w:t>https://in-tendhost.co.uk/scwcsu/aspx/Home</w:t>
        </w:r>
      </w:hyperlink>
      <w:r w:rsidRPr="00480F98">
        <w:rPr>
          <w:rFonts w:eastAsiaTheme="minorEastAsia" w:cs="Arial"/>
          <w:szCs w:val="22"/>
        </w:rPr>
        <w:t>) in the “</w:t>
      </w:r>
      <w:r w:rsidR="00462882">
        <w:rPr>
          <w:rFonts w:eastAsiaTheme="minorEastAsia" w:cs="Arial"/>
          <w:szCs w:val="22"/>
        </w:rPr>
        <w:t>C</w:t>
      </w:r>
      <w:r w:rsidR="007A0211">
        <w:rPr>
          <w:rFonts w:eastAsiaTheme="minorEastAsia" w:cs="Arial"/>
          <w:szCs w:val="22"/>
        </w:rPr>
        <w:t>ommunity</w:t>
      </w:r>
      <w:r w:rsidR="007A0211" w:rsidRPr="00480F98">
        <w:rPr>
          <w:rFonts w:eastAsiaTheme="minorEastAsia" w:cs="Arial"/>
          <w:szCs w:val="22"/>
        </w:rPr>
        <w:t xml:space="preserve"> </w:t>
      </w:r>
      <w:r w:rsidR="00480F98" w:rsidRPr="00480F98">
        <w:rPr>
          <w:rFonts w:eastAsiaTheme="minorEastAsia" w:cs="Arial"/>
          <w:szCs w:val="22"/>
        </w:rPr>
        <w:t>Endoscopy</w:t>
      </w:r>
      <w:r w:rsidRPr="00480F98">
        <w:rPr>
          <w:rFonts w:eastAsiaTheme="minorEastAsia" w:cs="Arial"/>
          <w:szCs w:val="22"/>
        </w:rPr>
        <w:t xml:space="preserve"> </w:t>
      </w:r>
      <w:r w:rsidR="007A0211">
        <w:rPr>
          <w:rFonts w:eastAsiaTheme="minorEastAsia" w:cs="Arial"/>
          <w:szCs w:val="22"/>
        </w:rPr>
        <w:t>ITT</w:t>
      </w:r>
      <w:r w:rsidR="007A0211" w:rsidRPr="00480F98">
        <w:rPr>
          <w:rFonts w:eastAsiaTheme="minorEastAsia" w:cs="Arial"/>
          <w:szCs w:val="22"/>
        </w:rPr>
        <w:t xml:space="preserve"> </w:t>
      </w:r>
      <w:r w:rsidRPr="00480F98">
        <w:rPr>
          <w:rFonts w:eastAsiaTheme="minorEastAsia" w:cs="Arial"/>
          <w:szCs w:val="22"/>
        </w:rPr>
        <w:t>- Bidder Guidance” document.</w:t>
      </w:r>
      <w:proofErr w:type="gramEnd"/>
    </w:p>
    <w:p w:rsidR="00415655" w:rsidRPr="00415655" w:rsidRDefault="00415655" w:rsidP="00415655">
      <w:pPr>
        <w:widowControl w:val="0"/>
        <w:kinsoku w:val="0"/>
        <w:overflowPunct w:val="0"/>
        <w:autoSpaceDE w:val="0"/>
        <w:autoSpaceDN w:val="0"/>
        <w:adjustRightInd w:val="0"/>
        <w:rPr>
          <w:rFonts w:eastAsiaTheme="minorEastAsia" w:cs="Arial"/>
          <w:sz w:val="24"/>
          <w:lang w:eastAsia="en-GB"/>
        </w:rPr>
      </w:pPr>
    </w:p>
    <w:p w:rsidR="00BB2DC6" w:rsidRPr="000F4B84" w:rsidRDefault="00415655" w:rsidP="00BB2DC6">
      <w:pPr>
        <w:rPr>
          <w:rFonts w:ascii="Calibri" w:hAnsi="Calibri"/>
          <w:szCs w:val="22"/>
        </w:rPr>
      </w:pPr>
      <w:bookmarkStart w:id="0" w:name="_GoBack"/>
      <w:bookmarkEnd w:id="0"/>
      <w:r w:rsidRPr="000F4B84">
        <w:rPr>
          <w:rFonts w:eastAsiaTheme="minorEastAsia" w:cs="Arial"/>
          <w:szCs w:val="22"/>
          <w:lang w:eastAsia="en-GB"/>
        </w:rPr>
        <w:t>Please note that this</w:t>
      </w:r>
      <w:r w:rsidR="00BB2DC6" w:rsidRPr="000F4B84">
        <w:rPr>
          <w:rFonts w:eastAsiaTheme="minorEastAsia" w:cs="Arial"/>
          <w:szCs w:val="22"/>
          <w:lang w:eastAsia="en-GB"/>
        </w:rPr>
        <w:t xml:space="preserve"> </w:t>
      </w:r>
      <w:r w:rsidR="00BB2DC6" w:rsidRPr="000F4B84">
        <w:rPr>
          <w:bCs/>
          <w:iCs/>
        </w:rPr>
        <w:t>Service is a healthcare service within the meaning and scope of Annex XIV of Directive 2014/24/EU ("the Directive") and Schedule 3 to the Public Contract Regulations 2015 ("the Regulations"). The tendering process will be conducted in accordance with the requirements and flexibilities provided by Articles 74 to 76 of the Directive, and Regulations 74 to 76 of the Regulations. The Authority will run a transparent tender process, treating all bidders equally. For the avoidance of doubt, the Authority will not be bound by the Regulations or the Treaty on the Functioning of the European Union or any other regulations or legislation except for the specific parts or circumstances that apply to the procurement of th</w:t>
      </w:r>
      <w:r w:rsidR="000F4B84">
        <w:rPr>
          <w:bCs/>
          <w:iCs/>
        </w:rPr>
        <w:t>is</w:t>
      </w:r>
      <w:r w:rsidR="00BB2DC6" w:rsidRPr="000F4B84">
        <w:rPr>
          <w:bCs/>
          <w:iCs/>
        </w:rPr>
        <w:t xml:space="preserve"> Service. </w:t>
      </w:r>
    </w:p>
    <w:p w:rsidR="00BB2DC6" w:rsidRPr="000F4B84" w:rsidRDefault="00BB2DC6" w:rsidP="00BB2DC6">
      <w:pPr>
        <w:rPr>
          <w:rFonts w:ascii="Calibri" w:hAnsi="Calibri"/>
          <w:szCs w:val="22"/>
        </w:rPr>
      </w:pPr>
      <w:r w:rsidRPr="000F4B84">
        <w:rPr>
          <w:bCs/>
          <w:iCs/>
        </w:rPr>
        <w:t>  </w:t>
      </w:r>
    </w:p>
    <w:p w:rsidR="00BB2DC6" w:rsidRPr="000F4B84" w:rsidRDefault="00BB2DC6" w:rsidP="00BB2DC6">
      <w:pPr>
        <w:jc w:val="both"/>
        <w:rPr>
          <w:bCs/>
          <w:i/>
          <w:iCs/>
          <w:sz w:val="20"/>
          <w:szCs w:val="20"/>
        </w:rPr>
      </w:pPr>
      <w:r w:rsidRPr="000F4B84">
        <w:rPr>
          <w:bCs/>
          <w:iCs/>
        </w:rPr>
        <w:lastRenderedPageBreak/>
        <w:t xml:space="preserve">The inclusion or use of any language or terms found in the Directive or Regulations,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rsidR="00ED00C8" w:rsidRDefault="00ED00C8" w:rsidP="00841712">
      <w:pPr>
        <w:rPr>
          <w:rFonts w:eastAsiaTheme="minorEastAsia" w:cs="Arial"/>
          <w:b/>
          <w:szCs w:val="22"/>
          <w:lang w:eastAsia="en-GB"/>
        </w:rPr>
      </w:pPr>
    </w:p>
    <w:p w:rsidR="00D2701E" w:rsidRPr="00860D48" w:rsidRDefault="00DA29B2" w:rsidP="00841712">
      <w:pPr>
        <w:rPr>
          <w:rFonts w:eastAsiaTheme="minorEastAsia" w:cs="Arial"/>
          <w:b/>
          <w:color w:val="1F497D" w:themeColor="text2"/>
          <w:szCs w:val="22"/>
          <w:lang w:eastAsia="en-GB"/>
        </w:rPr>
      </w:pPr>
      <w:r w:rsidRPr="00860D48">
        <w:rPr>
          <w:rFonts w:eastAsiaTheme="minorEastAsia" w:cs="Arial"/>
          <w:b/>
          <w:color w:val="1F497D" w:themeColor="text2"/>
          <w:szCs w:val="22"/>
          <w:lang w:eastAsia="en-GB"/>
        </w:rPr>
        <w:t>Figure 1: Locality Map</w:t>
      </w:r>
    </w:p>
    <w:p w:rsidR="00DA29B2" w:rsidRDefault="00DA29B2" w:rsidP="00841712">
      <w:pPr>
        <w:rPr>
          <w:rFonts w:eastAsiaTheme="minorEastAsia" w:cs="Arial"/>
          <w:b/>
          <w:szCs w:val="22"/>
          <w:lang w:eastAsia="en-GB"/>
        </w:rPr>
      </w:pPr>
    </w:p>
    <w:p w:rsidR="00DA29B2" w:rsidRDefault="00DA29B2" w:rsidP="00841712">
      <w:pPr>
        <w:rPr>
          <w:rFonts w:eastAsiaTheme="minorEastAsia" w:cs="Arial"/>
          <w:b/>
          <w:szCs w:val="22"/>
          <w:lang w:eastAsia="en-GB"/>
        </w:rPr>
      </w:pPr>
    </w:p>
    <w:p w:rsidR="00DA29B2" w:rsidRDefault="00DA29B2" w:rsidP="00841712">
      <w:pPr>
        <w:rPr>
          <w:rFonts w:eastAsiaTheme="minorEastAsia" w:cs="Arial"/>
          <w:b/>
          <w:szCs w:val="22"/>
          <w:lang w:eastAsia="en-GB"/>
        </w:rPr>
      </w:pPr>
    </w:p>
    <w:p w:rsidR="00D2701E" w:rsidRPr="00480F98" w:rsidRDefault="00D2701E" w:rsidP="00841712">
      <w:r>
        <w:rPr>
          <w:noProof/>
          <w:lang w:eastAsia="en-GB"/>
        </w:rPr>
        <w:drawing>
          <wp:inline distT="0" distB="0" distL="0" distR="0" wp14:anchorId="23D35395" wp14:editId="3E11CB59">
            <wp:extent cx="5731510" cy="722684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7226846"/>
                    </a:xfrm>
                    <a:prstGeom prst="rect">
                      <a:avLst/>
                    </a:prstGeom>
                  </pic:spPr>
                </pic:pic>
              </a:graphicData>
            </a:graphic>
          </wp:inline>
        </w:drawing>
      </w:r>
    </w:p>
    <w:sectPr w:rsidR="00D2701E" w:rsidRPr="00480F98" w:rsidSect="008A31CF">
      <w:footerReference w:type="default" r:id="rId11"/>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78" w:rsidRDefault="00E95478" w:rsidP="00E220B3">
      <w:r>
        <w:separator/>
      </w:r>
    </w:p>
  </w:endnote>
  <w:endnote w:type="continuationSeparator" w:id="0">
    <w:p w:rsidR="00E95478" w:rsidRDefault="00E95478" w:rsidP="00E2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C1" w:rsidRPr="00E220B3" w:rsidRDefault="00A478C1">
    <w:pPr>
      <w:pStyle w:val="Footer"/>
      <w:rPr>
        <w:sz w:val="16"/>
        <w:szCs w:val="16"/>
      </w:rPr>
    </w:pPr>
    <w:r w:rsidRPr="00E220B3">
      <w:rPr>
        <w:sz w:val="16"/>
        <w:szCs w:val="16"/>
      </w:rPr>
      <w:t xml:space="preserve">Advert: Oxfordshire </w:t>
    </w:r>
    <w:r>
      <w:rPr>
        <w:sz w:val="16"/>
        <w:szCs w:val="16"/>
      </w:rPr>
      <w:t>Diagnostics Service PIN. V0.4</w:t>
    </w:r>
    <w:r w:rsidRPr="00E220B3">
      <w:rPr>
        <w:sz w:val="16"/>
        <w:szCs w:val="16"/>
      </w:rPr>
      <w:ptab w:relativeTo="margin" w:alignment="center" w:leader="none"/>
    </w:r>
    <w:r w:rsidRPr="00E220B3">
      <w:rPr>
        <w:sz w:val="16"/>
        <w:szCs w:val="16"/>
      </w:rPr>
      <w:t xml:space="preserve">Page </w:t>
    </w:r>
    <w:r w:rsidRPr="00E220B3">
      <w:rPr>
        <w:sz w:val="16"/>
        <w:szCs w:val="16"/>
      </w:rPr>
      <w:fldChar w:fldCharType="begin"/>
    </w:r>
    <w:r w:rsidRPr="00E220B3">
      <w:rPr>
        <w:sz w:val="16"/>
        <w:szCs w:val="16"/>
      </w:rPr>
      <w:instrText xml:space="preserve"> PAGE  \* Arabic  \* MERGEFORMAT </w:instrText>
    </w:r>
    <w:r w:rsidRPr="00E220B3">
      <w:rPr>
        <w:sz w:val="16"/>
        <w:szCs w:val="16"/>
      </w:rPr>
      <w:fldChar w:fldCharType="separate"/>
    </w:r>
    <w:r w:rsidR="004E2388">
      <w:rPr>
        <w:noProof/>
        <w:sz w:val="16"/>
        <w:szCs w:val="16"/>
      </w:rPr>
      <w:t>2</w:t>
    </w:r>
    <w:r w:rsidRPr="00E220B3">
      <w:rPr>
        <w:sz w:val="16"/>
        <w:szCs w:val="16"/>
      </w:rPr>
      <w:fldChar w:fldCharType="end"/>
    </w:r>
    <w:r w:rsidRPr="00E220B3">
      <w:rPr>
        <w:sz w:val="16"/>
        <w:szCs w:val="16"/>
      </w:rPr>
      <w:t xml:space="preserve"> of </w:t>
    </w:r>
    <w:r w:rsidRPr="00E220B3">
      <w:rPr>
        <w:sz w:val="16"/>
        <w:szCs w:val="16"/>
      </w:rPr>
      <w:fldChar w:fldCharType="begin"/>
    </w:r>
    <w:r w:rsidRPr="00E220B3">
      <w:rPr>
        <w:sz w:val="16"/>
        <w:szCs w:val="16"/>
      </w:rPr>
      <w:instrText xml:space="preserve"> NUMPAGES  \* Arabic  \* MERGEFORMAT </w:instrText>
    </w:r>
    <w:r w:rsidRPr="00E220B3">
      <w:rPr>
        <w:sz w:val="16"/>
        <w:szCs w:val="16"/>
      </w:rPr>
      <w:fldChar w:fldCharType="separate"/>
    </w:r>
    <w:r w:rsidR="004E2388">
      <w:rPr>
        <w:noProof/>
        <w:sz w:val="16"/>
        <w:szCs w:val="16"/>
      </w:rPr>
      <w:t>3</w:t>
    </w:r>
    <w:r w:rsidRPr="00E220B3">
      <w:rPr>
        <w:sz w:val="16"/>
        <w:szCs w:val="16"/>
      </w:rPr>
      <w:fldChar w:fldCharType="end"/>
    </w:r>
    <w:r w:rsidRPr="00E220B3">
      <w:rPr>
        <w:sz w:val="16"/>
        <w:szCs w:val="16"/>
      </w:rPr>
      <w:ptab w:relativeTo="margin" w:alignment="right" w:leader="none"/>
    </w:r>
    <w:r>
      <w:rPr>
        <w:sz w:val="16"/>
        <w:szCs w:val="16"/>
      </w:rPr>
      <w:t xml:space="preserve">     16/01/2017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78" w:rsidRDefault="00E95478" w:rsidP="00E220B3">
      <w:r>
        <w:separator/>
      </w:r>
    </w:p>
  </w:footnote>
  <w:footnote w:type="continuationSeparator" w:id="0">
    <w:p w:rsidR="00E95478" w:rsidRDefault="00E95478" w:rsidP="00E22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231"/>
    <w:multiLevelType w:val="hybridMultilevel"/>
    <w:tmpl w:val="AD260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0D77C0"/>
    <w:multiLevelType w:val="hybridMultilevel"/>
    <w:tmpl w:val="BFC6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035B2B"/>
    <w:multiLevelType w:val="hybridMultilevel"/>
    <w:tmpl w:val="E862A604"/>
    <w:lvl w:ilvl="0" w:tplc="08090001">
      <w:start w:val="1"/>
      <w:numFmt w:val="bullet"/>
      <w:lvlText w:val=""/>
      <w:lvlJc w:val="left"/>
      <w:pPr>
        <w:ind w:left="360" w:hanging="360"/>
      </w:pPr>
      <w:rPr>
        <w:rFonts w:ascii="Symbol" w:hAnsi="Symbol" w:hint="default"/>
      </w:rPr>
    </w:lvl>
    <w:lvl w:ilvl="1" w:tplc="1980835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1E301A"/>
    <w:multiLevelType w:val="hybridMultilevel"/>
    <w:tmpl w:val="8D766FDE"/>
    <w:lvl w:ilvl="0" w:tplc="7AA0E408">
      <w:start w:val="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793BD7"/>
    <w:multiLevelType w:val="hybridMultilevel"/>
    <w:tmpl w:val="D6DE7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634E74"/>
    <w:multiLevelType w:val="hybridMultilevel"/>
    <w:tmpl w:val="111E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195452"/>
    <w:multiLevelType w:val="hybridMultilevel"/>
    <w:tmpl w:val="4EA0A830"/>
    <w:lvl w:ilvl="0" w:tplc="08090001">
      <w:start w:val="1"/>
      <w:numFmt w:val="bullet"/>
      <w:lvlText w:val=""/>
      <w:lvlJc w:val="left"/>
      <w:pPr>
        <w:ind w:left="-7161" w:hanging="360"/>
      </w:pPr>
      <w:rPr>
        <w:rFonts w:ascii="Symbol" w:hAnsi="Symbol" w:hint="default"/>
      </w:rPr>
    </w:lvl>
    <w:lvl w:ilvl="1" w:tplc="08090003" w:tentative="1">
      <w:start w:val="1"/>
      <w:numFmt w:val="bullet"/>
      <w:lvlText w:val="o"/>
      <w:lvlJc w:val="left"/>
      <w:pPr>
        <w:ind w:left="-6441" w:hanging="360"/>
      </w:pPr>
      <w:rPr>
        <w:rFonts w:ascii="Courier New" w:hAnsi="Courier New" w:cs="Courier New" w:hint="default"/>
      </w:rPr>
    </w:lvl>
    <w:lvl w:ilvl="2" w:tplc="08090005" w:tentative="1">
      <w:start w:val="1"/>
      <w:numFmt w:val="bullet"/>
      <w:lvlText w:val=""/>
      <w:lvlJc w:val="left"/>
      <w:pPr>
        <w:ind w:left="-5721" w:hanging="360"/>
      </w:pPr>
      <w:rPr>
        <w:rFonts w:ascii="Wingdings" w:hAnsi="Wingdings" w:hint="default"/>
      </w:rPr>
    </w:lvl>
    <w:lvl w:ilvl="3" w:tplc="08090001" w:tentative="1">
      <w:start w:val="1"/>
      <w:numFmt w:val="bullet"/>
      <w:lvlText w:val=""/>
      <w:lvlJc w:val="left"/>
      <w:pPr>
        <w:ind w:left="-500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3561" w:hanging="360"/>
      </w:pPr>
      <w:rPr>
        <w:rFonts w:ascii="Wingdings" w:hAnsi="Wingdings" w:hint="default"/>
      </w:rPr>
    </w:lvl>
    <w:lvl w:ilvl="6" w:tplc="08090001" w:tentative="1">
      <w:start w:val="1"/>
      <w:numFmt w:val="bullet"/>
      <w:lvlText w:val=""/>
      <w:lvlJc w:val="left"/>
      <w:pPr>
        <w:ind w:left="-2841" w:hanging="360"/>
      </w:pPr>
      <w:rPr>
        <w:rFonts w:ascii="Symbol" w:hAnsi="Symbol" w:hint="default"/>
      </w:rPr>
    </w:lvl>
    <w:lvl w:ilvl="7" w:tplc="08090003" w:tentative="1">
      <w:start w:val="1"/>
      <w:numFmt w:val="bullet"/>
      <w:lvlText w:val="o"/>
      <w:lvlJc w:val="left"/>
      <w:pPr>
        <w:ind w:left="-2121" w:hanging="360"/>
      </w:pPr>
      <w:rPr>
        <w:rFonts w:ascii="Courier New" w:hAnsi="Courier New" w:cs="Courier New" w:hint="default"/>
      </w:rPr>
    </w:lvl>
    <w:lvl w:ilvl="8" w:tplc="08090005" w:tentative="1">
      <w:start w:val="1"/>
      <w:numFmt w:val="bullet"/>
      <w:lvlText w:val=""/>
      <w:lvlJc w:val="left"/>
      <w:pPr>
        <w:ind w:left="-1401" w:hanging="360"/>
      </w:pPr>
      <w:rPr>
        <w:rFonts w:ascii="Wingdings" w:hAnsi="Wingdings" w:hint="default"/>
      </w:rPr>
    </w:lvl>
  </w:abstractNum>
  <w:abstractNum w:abstractNumId="7">
    <w:nsid w:val="2E9B24F9"/>
    <w:multiLevelType w:val="hybridMultilevel"/>
    <w:tmpl w:val="198A0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80C6951"/>
    <w:multiLevelType w:val="hybridMultilevel"/>
    <w:tmpl w:val="198A24B6"/>
    <w:lvl w:ilvl="0" w:tplc="58F650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0471A1E"/>
    <w:multiLevelType w:val="hybridMultilevel"/>
    <w:tmpl w:val="E4B8F82A"/>
    <w:lvl w:ilvl="0" w:tplc="A1FCD0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7EE0831"/>
    <w:multiLevelType w:val="hybridMultilevel"/>
    <w:tmpl w:val="098A42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AA41D5D"/>
    <w:multiLevelType w:val="hybridMultilevel"/>
    <w:tmpl w:val="70A4A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2543CB"/>
    <w:multiLevelType w:val="hybridMultilevel"/>
    <w:tmpl w:val="17961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1827855"/>
    <w:multiLevelType w:val="hybridMultilevel"/>
    <w:tmpl w:val="2D42A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854F26"/>
    <w:multiLevelType w:val="hybridMultilevel"/>
    <w:tmpl w:val="5AE0B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6"/>
  </w:num>
  <w:num w:numId="5">
    <w:abstractNumId w:val="14"/>
  </w:num>
  <w:num w:numId="6">
    <w:abstractNumId w:val="1"/>
  </w:num>
  <w:num w:numId="7">
    <w:abstractNumId w:val="11"/>
  </w:num>
  <w:num w:numId="8">
    <w:abstractNumId w:val="9"/>
  </w:num>
  <w:num w:numId="9">
    <w:abstractNumId w:val="12"/>
  </w:num>
  <w:num w:numId="10">
    <w:abstractNumId w:val="4"/>
  </w:num>
  <w:num w:numId="11">
    <w:abstractNumId w:val="5"/>
  </w:num>
  <w:num w:numId="12">
    <w:abstractNumId w:val="3"/>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1B"/>
    <w:rsid w:val="000078F5"/>
    <w:rsid w:val="00031340"/>
    <w:rsid w:val="000317CB"/>
    <w:rsid w:val="0006443B"/>
    <w:rsid w:val="000761A5"/>
    <w:rsid w:val="00086391"/>
    <w:rsid w:val="000F4B84"/>
    <w:rsid w:val="0016751B"/>
    <w:rsid w:val="0017473D"/>
    <w:rsid w:val="001C7153"/>
    <w:rsid w:val="001D2CAA"/>
    <w:rsid w:val="001E3CDA"/>
    <w:rsid w:val="001F1C62"/>
    <w:rsid w:val="001F4C4F"/>
    <w:rsid w:val="001F7C4A"/>
    <w:rsid w:val="00223A61"/>
    <w:rsid w:val="002368A9"/>
    <w:rsid w:val="00241036"/>
    <w:rsid w:val="00243C97"/>
    <w:rsid w:val="00276685"/>
    <w:rsid w:val="002B6CD0"/>
    <w:rsid w:val="00361F4F"/>
    <w:rsid w:val="00381B41"/>
    <w:rsid w:val="00400774"/>
    <w:rsid w:val="00415655"/>
    <w:rsid w:val="00423D42"/>
    <w:rsid w:val="00462882"/>
    <w:rsid w:val="0046504F"/>
    <w:rsid w:val="00480F98"/>
    <w:rsid w:val="00493FD1"/>
    <w:rsid w:val="004E2388"/>
    <w:rsid w:val="00563F36"/>
    <w:rsid w:val="005E5ED4"/>
    <w:rsid w:val="00662B96"/>
    <w:rsid w:val="00676D4B"/>
    <w:rsid w:val="00677215"/>
    <w:rsid w:val="00682FA1"/>
    <w:rsid w:val="006860D0"/>
    <w:rsid w:val="006C56B7"/>
    <w:rsid w:val="006C66D7"/>
    <w:rsid w:val="0071685A"/>
    <w:rsid w:val="00720939"/>
    <w:rsid w:val="0072141B"/>
    <w:rsid w:val="00757043"/>
    <w:rsid w:val="0079795E"/>
    <w:rsid w:val="007A0211"/>
    <w:rsid w:val="007E5B00"/>
    <w:rsid w:val="00841712"/>
    <w:rsid w:val="0084624B"/>
    <w:rsid w:val="00860D48"/>
    <w:rsid w:val="008A31CF"/>
    <w:rsid w:val="008C2123"/>
    <w:rsid w:val="008C5715"/>
    <w:rsid w:val="009D10B0"/>
    <w:rsid w:val="00A031C6"/>
    <w:rsid w:val="00A14219"/>
    <w:rsid w:val="00A21E1A"/>
    <w:rsid w:val="00A478C1"/>
    <w:rsid w:val="00A521FB"/>
    <w:rsid w:val="00A6668B"/>
    <w:rsid w:val="00AF3506"/>
    <w:rsid w:val="00B1388A"/>
    <w:rsid w:val="00B74005"/>
    <w:rsid w:val="00B86B75"/>
    <w:rsid w:val="00BB2DC6"/>
    <w:rsid w:val="00BB659B"/>
    <w:rsid w:val="00BD21E9"/>
    <w:rsid w:val="00C607A1"/>
    <w:rsid w:val="00C644D6"/>
    <w:rsid w:val="00C925FD"/>
    <w:rsid w:val="00D033FB"/>
    <w:rsid w:val="00D2701E"/>
    <w:rsid w:val="00DA1860"/>
    <w:rsid w:val="00DA29B2"/>
    <w:rsid w:val="00DC66C9"/>
    <w:rsid w:val="00E04B04"/>
    <w:rsid w:val="00E220B3"/>
    <w:rsid w:val="00E235E6"/>
    <w:rsid w:val="00E5729C"/>
    <w:rsid w:val="00E579A0"/>
    <w:rsid w:val="00E95478"/>
    <w:rsid w:val="00E964E4"/>
    <w:rsid w:val="00E97CC0"/>
    <w:rsid w:val="00EA3238"/>
    <w:rsid w:val="00EA42A8"/>
    <w:rsid w:val="00ED00C8"/>
    <w:rsid w:val="00F473DC"/>
    <w:rsid w:val="00FB5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51B"/>
    <w:rPr>
      <w:rFonts w:ascii="Tahoma" w:hAnsi="Tahoma" w:cs="Tahoma"/>
      <w:sz w:val="16"/>
      <w:szCs w:val="16"/>
    </w:rPr>
  </w:style>
  <w:style w:type="character" w:customStyle="1" w:styleId="BalloonTextChar">
    <w:name w:val="Balloon Text Char"/>
    <w:basedOn w:val="DefaultParagraphFont"/>
    <w:link w:val="BalloonText"/>
    <w:uiPriority w:val="99"/>
    <w:semiHidden/>
    <w:rsid w:val="0016751B"/>
    <w:rPr>
      <w:rFonts w:ascii="Tahoma" w:hAnsi="Tahoma" w:cs="Tahoma"/>
      <w:sz w:val="16"/>
      <w:szCs w:val="16"/>
    </w:rPr>
  </w:style>
  <w:style w:type="paragraph" w:customStyle="1" w:styleId="Default">
    <w:name w:val="Default"/>
    <w:rsid w:val="0016751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4624B"/>
    <w:pPr>
      <w:spacing w:after="0" w:line="240" w:lineRule="auto"/>
    </w:pPr>
  </w:style>
  <w:style w:type="paragraph" w:styleId="ListParagraph">
    <w:name w:val="List Paragraph"/>
    <w:basedOn w:val="Normal"/>
    <w:link w:val="ListParagraphChar"/>
    <w:uiPriority w:val="34"/>
    <w:qFormat/>
    <w:rsid w:val="00A521FB"/>
    <w:pPr>
      <w:ind w:left="720"/>
      <w:contextualSpacing/>
    </w:pPr>
  </w:style>
  <w:style w:type="paragraph" w:styleId="Header">
    <w:name w:val="header"/>
    <w:basedOn w:val="Normal"/>
    <w:link w:val="HeaderChar"/>
    <w:uiPriority w:val="99"/>
    <w:unhideWhenUsed/>
    <w:rsid w:val="00E220B3"/>
    <w:pPr>
      <w:tabs>
        <w:tab w:val="center" w:pos="4513"/>
        <w:tab w:val="right" w:pos="9026"/>
      </w:tabs>
    </w:pPr>
  </w:style>
  <w:style w:type="character" w:customStyle="1" w:styleId="HeaderChar">
    <w:name w:val="Header Char"/>
    <w:basedOn w:val="DefaultParagraphFont"/>
    <w:link w:val="Header"/>
    <w:uiPriority w:val="99"/>
    <w:rsid w:val="00E220B3"/>
    <w:rPr>
      <w:rFonts w:ascii="Arial" w:eastAsia="Times New Roman" w:hAnsi="Arial" w:cs="Times New Roman"/>
      <w:szCs w:val="24"/>
    </w:rPr>
  </w:style>
  <w:style w:type="paragraph" w:styleId="Footer">
    <w:name w:val="footer"/>
    <w:basedOn w:val="Normal"/>
    <w:link w:val="FooterChar"/>
    <w:uiPriority w:val="99"/>
    <w:unhideWhenUsed/>
    <w:rsid w:val="00E220B3"/>
    <w:pPr>
      <w:tabs>
        <w:tab w:val="center" w:pos="4513"/>
        <w:tab w:val="right" w:pos="9026"/>
      </w:tabs>
    </w:pPr>
  </w:style>
  <w:style w:type="character" w:customStyle="1" w:styleId="FooterChar">
    <w:name w:val="Footer Char"/>
    <w:basedOn w:val="DefaultParagraphFont"/>
    <w:link w:val="Footer"/>
    <w:uiPriority w:val="99"/>
    <w:rsid w:val="00E220B3"/>
    <w:rPr>
      <w:rFonts w:ascii="Arial" w:eastAsia="Times New Roman" w:hAnsi="Arial" w:cs="Times New Roman"/>
      <w:szCs w:val="24"/>
    </w:rPr>
  </w:style>
  <w:style w:type="character" w:styleId="CommentReference">
    <w:name w:val="annotation reference"/>
    <w:basedOn w:val="DefaultParagraphFont"/>
    <w:uiPriority w:val="99"/>
    <w:semiHidden/>
    <w:unhideWhenUsed/>
    <w:rsid w:val="006C66D7"/>
    <w:rPr>
      <w:sz w:val="16"/>
      <w:szCs w:val="16"/>
    </w:rPr>
  </w:style>
  <w:style w:type="paragraph" w:styleId="CommentText">
    <w:name w:val="annotation text"/>
    <w:basedOn w:val="Normal"/>
    <w:link w:val="CommentTextChar"/>
    <w:uiPriority w:val="99"/>
    <w:unhideWhenUsed/>
    <w:rsid w:val="006C66D7"/>
    <w:rPr>
      <w:sz w:val="20"/>
      <w:szCs w:val="20"/>
    </w:rPr>
  </w:style>
  <w:style w:type="character" w:customStyle="1" w:styleId="CommentTextChar">
    <w:name w:val="Comment Text Char"/>
    <w:basedOn w:val="DefaultParagraphFont"/>
    <w:link w:val="CommentText"/>
    <w:uiPriority w:val="99"/>
    <w:rsid w:val="006C66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C66D7"/>
    <w:rPr>
      <w:b/>
      <w:bCs/>
    </w:rPr>
  </w:style>
  <w:style w:type="character" w:customStyle="1" w:styleId="CommentSubjectChar">
    <w:name w:val="Comment Subject Char"/>
    <w:basedOn w:val="CommentTextChar"/>
    <w:link w:val="CommentSubject"/>
    <w:uiPriority w:val="99"/>
    <w:semiHidden/>
    <w:rsid w:val="006C66D7"/>
    <w:rPr>
      <w:rFonts w:ascii="Arial" w:eastAsia="Times New Roman" w:hAnsi="Arial" w:cs="Times New Roman"/>
      <w:b/>
      <w:bCs/>
      <w:sz w:val="20"/>
      <w:szCs w:val="20"/>
    </w:rPr>
  </w:style>
  <w:style w:type="character" w:customStyle="1" w:styleId="ListParagraphChar">
    <w:name w:val="List Paragraph Char"/>
    <w:link w:val="ListParagraph"/>
    <w:uiPriority w:val="34"/>
    <w:locked/>
    <w:rsid w:val="00A14219"/>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51B"/>
    <w:rPr>
      <w:rFonts w:ascii="Tahoma" w:hAnsi="Tahoma" w:cs="Tahoma"/>
      <w:sz w:val="16"/>
      <w:szCs w:val="16"/>
    </w:rPr>
  </w:style>
  <w:style w:type="character" w:customStyle="1" w:styleId="BalloonTextChar">
    <w:name w:val="Balloon Text Char"/>
    <w:basedOn w:val="DefaultParagraphFont"/>
    <w:link w:val="BalloonText"/>
    <w:uiPriority w:val="99"/>
    <w:semiHidden/>
    <w:rsid w:val="0016751B"/>
    <w:rPr>
      <w:rFonts w:ascii="Tahoma" w:hAnsi="Tahoma" w:cs="Tahoma"/>
      <w:sz w:val="16"/>
      <w:szCs w:val="16"/>
    </w:rPr>
  </w:style>
  <w:style w:type="paragraph" w:customStyle="1" w:styleId="Default">
    <w:name w:val="Default"/>
    <w:rsid w:val="0016751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4624B"/>
    <w:pPr>
      <w:spacing w:after="0" w:line="240" w:lineRule="auto"/>
    </w:pPr>
  </w:style>
  <w:style w:type="paragraph" w:styleId="ListParagraph">
    <w:name w:val="List Paragraph"/>
    <w:basedOn w:val="Normal"/>
    <w:link w:val="ListParagraphChar"/>
    <w:uiPriority w:val="34"/>
    <w:qFormat/>
    <w:rsid w:val="00A521FB"/>
    <w:pPr>
      <w:ind w:left="720"/>
      <w:contextualSpacing/>
    </w:pPr>
  </w:style>
  <w:style w:type="paragraph" w:styleId="Header">
    <w:name w:val="header"/>
    <w:basedOn w:val="Normal"/>
    <w:link w:val="HeaderChar"/>
    <w:uiPriority w:val="99"/>
    <w:unhideWhenUsed/>
    <w:rsid w:val="00E220B3"/>
    <w:pPr>
      <w:tabs>
        <w:tab w:val="center" w:pos="4513"/>
        <w:tab w:val="right" w:pos="9026"/>
      </w:tabs>
    </w:pPr>
  </w:style>
  <w:style w:type="character" w:customStyle="1" w:styleId="HeaderChar">
    <w:name w:val="Header Char"/>
    <w:basedOn w:val="DefaultParagraphFont"/>
    <w:link w:val="Header"/>
    <w:uiPriority w:val="99"/>
    <w:rsid w:val="00E220B3"/>
    <w:rPr>
      <w:rFonts w:ascii="Arial" w:eastAsia="Times New Roman" w:hAnsi="Arial" w:cs="Times New Roman"/>
      <w:szCs w:val="24"/>
    </w:rPr>
  </w:style>
  <w:style w:type="paragraph" w:styleId="Footer">
    <w:name w:val="footer"/>
    <w:basedOn w:val="Normal"/>
    <w:link w:val="FooterChar"/>
    <w:uiPriority w:val="99"/>
    <w:unhideWhenUsed/>
    <w:rsid w:val="00E220B3"/>
    <w:pPr>
      <w:tabs>
        <w:tab w:val="center" w:pos="4513"/>
        <w:tab w:val="right" w:pos="9026"/>
      </w:tabs>
    </w:pPr>
  </w:style>
  <w:style w:type="character" w:customStyle="1" w:styleId="FooterChar">
    <w:name w:val="Footer Char"/>
    <w:basedOn w:val="DefaultParagraphFont"/>
    <w:link w:val="Footer"/>
    <w:uiPriority w:val="99"/>
    <w:rsid w:val="00E220B3"/>
    <w:rPr>
      <w:rFonts w:ascii="Arial" w:eastAsia="Times New Roman" w:hAnsi="Arial" w:cs="Times New Roman"/>
      <w:szCs w:val="24"/>
    </w:rPr>
  </w:style>
  <w:style w:type="character" w:styleId="CommentReference">
    <w:name w:val="annotation reference"/>
    <w:basedOn w:val="DefaultParagraphFont"/>
    <w:uiPriority w:val="99"/>
    <w:semiHidden/>
    <w:unhideWhenUsed/>
    <w:rsid w:val="006C66D7"/>
    <w:rPr>
      <w:sz w:val="16"/>
      <w:szCs w:val="16"/>
    </w:rPr>
  </w:style>
  <w:style w:type="paragraph" w:styleId="CommentText">
    <w:name w:val="annotation text"/>
    <w:basedOn w:val="Normal"/>
    <w:link w:val="CommentTextChar"/>
    <w:uiPriority w:val="99"/>
    <w:unhideWhenUsed/>
    <w:rsid w:val="006C66D7"/>
    <w:rPr>
      <w:sz w:val="20"/>
      <w:szCs w:val="20"/>
    </w:rPr>
  </w:style>
  <w:style w:type="character" w:customStyle="1" w:styleId="CommentTextChar">
    <w:name w:val="Comment Text Char"/>
    <w:basedOn w:val="DefaultParagraphFont"/>
    <w:link w:val="CommentText"/>
    <w:uiPriority w:val="99"/>
    <w:rsid w:val="006C66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C66D7"/>
    <w:rPr>
      <w:b/>
      <w:bCs/>
    </w:rPr>
  </w:style>
  <w:style w:type="character" w:customStyle="1" w:styleId="CommentSubjectChar">
    <w:name w:val="Comment Subject Char"/>
    <w:basedOn w:val="CommentTextChar"/>
    <w:link w:val="CommentSubject"/>
    <w:uiPriority w:val="99"/>
    <w:semiHidden/>
    <w:rsid w:val="006C66D7"/>
    <w:rPr>
      <w:rFonts w:ascii="Arial" w:eastAsia="Times New Roman" w:hAnsi="Arial" w:cs="Times New Roman"/>
      <w:b/>
      <w:bCs/>
      <w:sz w:val="20"/>
      <w:szCs w:val="20"/>
    </w:rPr>
  </w:style>
  <w:style w:type="character" w:customStyle="1" w:styleId="ListParagraphChar">
    <w:name w:val="List Paragraph Char"/>
    <w:link w:val="ListParagraph"/>
    <w:uiPriority w:val="34"/>
    <w:locked/>
    <w:rsid w:val="00A14219"/>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53">
      <w:bodyDiv w:val="1"/>
      <w:marLeft w:val="0"/>
      <w:marRight w:val="0"/>
      <w:marTop w:val="0"/>
      <w:marBottom w:val="0"/>
      <w:divBdr>
        <w:top w:val="none" w:sz="0" w:space="0" w:color="auto"/>
        <w:left w:val="none" w:sz="0" w:space="0" w:color="auto"/>
        <w:bottom w:val="none" w:sz="0" w:space="0" w:color="auto"/>
        <w:right w:val="none" w:sz="0" w:space="0" w:color="auto"/>
      </w:divBdr>
    </w:div>
    <w:div w:id="90625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in-tendhost.co.uk/scwcsu/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D2B0-B3B9-4F06-8510-ABF22B74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Kaveney Zoe (5QE) Clinical Commissioning Oxfordshire</dc:creator>
  <cp:lastModifiedBy>Stanbrook Mark</cp:lastModifiedBy>
  <cp:revision>7</cp:revision>
  <cp:lastPrinted>2017-02-07T11:40:00Z</cp:lastPrinted>
  <dcterms:created xsi:type="dcterms:W3CDTF">2017-04-05T08:51:00Z</dcterms:created>
  <dcterms:modified xsi:type="dcterms:W3CDTF">2017-04-10T13:52:00Z</dcterms:modified>
</cp:coreProperties>
</file>