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7D63F" w14:textId="77777777" w:rsidR="00C3473D" w:rsidRDefault="00C3473D" w:rsidP="00395581">
      <w:pPr>
        <w:rPr>
          <w:i/>
          <w:iCs/>
          <w:color w:val="244583" w:themeColor="accent2" w:themeShade="80"/>
          <w:sz w:val="28"/>
          <w:szCs w:val="28"/>
        </w:rPr>
      </w:pPr>
      <w:bookmarkStart w:id="0" w:name="_GoBack"/>
      <w:bookmarkEnd w:id="0"/>
    </w:p>
    <w:p w14:paraId="2AD78BBD" w14:textId="4C664D45" w:rsidR="001A7AB1" w:rsidRPr="00D76BBE" w:rsidRDefault="00C3473D" w:rsidP="00EC192E">
      <w:pPr>
        <w:pStyle w:val="Heading1"/>
        <w:rPr>
          <w:i/>
          <w:iCs/>
          <w:smallCaps/>
          <w:color w:val="575F6D" w:themeColor="text2"/>
          <w:szCs w:val="24"/>
        </w:rPr>
      </w:pPr>
      <w:r>
        <w:rPr>
          <w:noProof/>
          <w:color w:val="FE8637" w:themeColor="accent1"/>
          <w:lang w:val="en-GB" w:eastAsia="en-GB"/>
        </w:rPr>
        <w:t xml:space="preserve"> </w:t>
      </w:r>
      <w:r w:rsidR="009A1D9D">
        <w:rPr>
          <w:noProof/>
          <w:color w:val="FE8637" w:themeColor="accent1"/>
          <w:lang w:val="en-GB" w:eastAsia="en-GB"/>
        </w:rPr>
        <mc:AlternateContent>
          <mc:Choice Requires="wps">
            <w:drawing>
              <wp:anchor distT="91440" distB="91440" distL="114300" distR="114300" simplePos="0" relativeHeight="251675648" behindDoc="1" locked="0" layoutInCell="1" allowOverlap="1" wp14:anchorId="5968607A" wp14:editId="144A0276">
                <wp:simplePos x="0" y="0"/>
                <wp:positionH relativeFrom="margin">
                  <wp:posOffset>48260</wp:posOffset>
                </wp:positionH>
                <wp:positionV relativeFrom="bottomMargin">
                  <wp:posOffset>-4415155</wp:posOffset>
                </wp:positionV>
                <wp:extent cx="5943600" cy="36195"/>
                <wp:effectExtent l="57150" t="38100" r="76200" b="97155"/>
                <wp:wrapSquare wrapText="bothSides"/>
                <wp:docPr id="84" name="Rectangle 84"/>
                <wp:cNvGraphicFramePr/>
                <a:graphic xmlns:a="http://schemas.openxmlformats.org/drawingml/2006/main">
                  <a:graphicData uri="http://schemas.microsoft.com/office/word/2010/wordprocessingShape">
                    <wps:wsp>
                      <wps:cNvSpPr/>
                      <wps:spPr>
                        <a:xfrm>
                          <a:off x="0" y="0"/>
                          <a:ext cx="5943600" cy="3619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1DF2742" id="Rectangle 84" o:spid="_x0000_s1026" style="position:absolute;margin-left:3.8pt;margin-top:-347.65pt;width:468pt;height:2.85pt;z-index:-25164083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sidR="009A1D9D">
        <w:rPr>
          <w:i/>
          <w:iCs/>
          <w:smallCaps/>
          <w:noProof/>
          <w:color w:val="575F6D" w:themeColor="text2"/>
          <w:szCs w:val="24"/>
          <w:lang w:val="en-GB" w:eastAsia="en-GB"/>
        </w:rPr>
        <mc:AlternateContent>
          <mc:Choice Requires="wps">
            <w:drawing>
              <wp:anchor distT="0" distB="0" distL="114300" distR="114300" simplePos="0" relativeHeight="251672576" behindDoc="0" locked="0" layoutInCell="0" allowOverlap="1" wp14:anchorId="764D300C" wp14:editId="0A392BA2">
                <wp:simplePos x="0" y="0"/>
                <wp:positionH relativeFrom="margin">
                  <wp:align>left</wp:align>
                </wp:positionH>
                <wp:positionV relativeFrom="page">
                  <wp:posOffset>3121108</wp:posOffset>
                </wp:positionV>
                <wp:extent cx="4663440" cy="4359275"/>
                <wp:effectExtent l="0" t="0" r="0" b="3175"/>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4359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D64BE" w14:textId="28E0D49F" w:rsidR="00CC7A4D" w:rsidRPr="00272A87" w:rsidRDefault="00BB306B">
                            <w:pP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650A81">
                                  <w:rPr>
                                    <w:rFonts w:ascii="Calibri" w:eastAsiaTheme="majorEastAsia" w:hAnsi="Calibri" w:cstheme="majorBidi"/>
                                    <w:smallCaps/>
                                    <w:color w:val="244583" w:themeColor="accent2" w:themeShade="80"/>
                                    <w:spacing w:val="20"/>
                                    <w:sz w:val="72"/>
                                    <w:szCs w:val="72"/>
                                  </w:rPr>
                                  <w:t xml:space="preserve">Schedule 1            </w:t>
                                </w:r>
                                <w:r w:rsidR="001A7AB1">
                                  <w:rPr>
                                    <w:rFonts w:ascii="Calibri" w:eastAsiaTheme="majorEastAsia" w:hAnsi="Calibri" w:cstheme="majorBidi"/>
                                    <w:smallCaps/>
                                    <w:color w:val="244583" w:themeColor="accent2" w:themeShade="80"/>
                                    <w:spacing w:val="20"/>
                                    <w:sz w:val="72"/>
                                    <w:szCs w:val="72"/>
                                  </w:rPr>
                                  <w:t>Service specification</w:t>
                                </w:r>
                              </w:sdtContent>
                            </w:sdt>
                          </w:p>
                          <w:p w14:paraId="4EAE9242" w14:textId="07F95468" w:rsidR="00CC7A4D" w:rsidRDefault="00AC74FD">
                            <w:pPr>
                              <w:rPr>
                                <w:i/>
                                <w:iCs/>
                                <w:color w:val="244583" w:themeColor="accent2" w:themeShade="80"/>
                                <w:sz w:val="28"/>
                                <w:szCs w:val="28"/>
                              </w:rPr>
                            </w:pPr>
                            <w:r>
                              <w:rPr>
                                <w:rFonts w:ascii="Calibri" w:hAnsi="Calibri"/>
                                <w:i/>
                                <w:iCs/>
                                <w:color w:val="244583" w:themeColor="accent2" w:themeShade="80"/>
                                <w:sz w:val="36"/>
                                <w:szCs w:val="36"/>
                              </w:rPr>
                              <w:t xml:space="preserve">Supported Living Service </w:t>
                            </w:r>
                            <w:r w:rsidR="00581E94">
                              <w:rPr>
                                <w:rFonts w:ascii="Calibri" w:hAnsi="Calibri"/>
                                <w:i/>
                                <w:iCs/>
                                <w:color w:val="244583" w:themeColor="accent2" w:themeShade="80"/>
                                <w:sz w:val="36"/>
                                <w:szCs w:val="36"/>
                              </w:rPr>
                              <w:t>in Wokingham</w:t>
                            </w:r>
                          </w:p>
                          <w:p w14:paraId="1A2DC186" w14:textId="77777777" w:rsidR="00CC7A4D" w:rsidRDefault="00CC7A4D">
                            <w:pPr>
                              <w:rPr>
                                <w:i/>
                                <w:iCs/>
                                <w:color w:val="244583" w:themeColor="accent2" w:themeShade="80"/>
                                <w:sz w:val="28"/>
                                <w:szCs w:val="28"/>
                              </w:rPr>
                            </w:pPr>
                          </w:p>
                          <w:p w14:paraId="6865F975" w14:textId="4FC23A72" w:rsidR="00CC7A4D" w:rsidRDefault="003D6309">
                            <w:pPr>
                              <w:rPr>
                                <w:b/>
                                <w:iCs/>
                                <w:color w:val="244583" w:themeColor="accent2" w:themeShade="80"/>
                                <w:sz w:val="28"/>
                                <w:szCs w:val="28"/>
                              </w:rPr>
                            </w:pPr>
                            <w:r>
                              <w:rPr>
                                <w:b/>
                                <w:iCs/>
                                <w:color w:val="244583" w:themeColor="accent2" w:themeShade="80"/>
                                <w:sz w:val="28"/>
                                <w:szCs w:val="28"/>
                              </w:rPr>
                              <w:t>Strategy and</w:t>
                            </w:r>
                            <w:r w:rsidR="00CC7A4D" w:rsidRPr="009A1D9D">
                              <w:rPr>
                                <w:b/>
                                <w:iCs/>
                                <w:color w:val="244583" w:themeColor="accent2" w:themeShade="80"/>
                                <w:sz w:val="28"/>
                                <w:szCs w:val="28"/>
                              </w:rPr>
                              <w:t xml:space="preserve"> Commissioning </w:t>
                            </w:r>
                            <w:r>
                              <w:rPr>
                                <w:b/>
                                <w:iCs/>
                                <w:color w:val="244583" w:themeColor="accent2" w:themeShade="80"/>
                                <w:sz w:val="28"/>
                                <w:szCs w:val="28"/>
                              </w:rPr>
                              <w:t>(People)</w:t>
                            </w:r>
                            <w:r w:rsidR="00A44A29">
                              <w:rPr>
                                <w:b/>
                                <w:iCs/>
                                <w:color w:val="244583" w:themeColor="accent2" w:themeShade="80"/>
                                <w:sz w:val="28"/>
                                <w:szCs w:val="28"/>
                              </w:rPr>
                              <w:t xml:space="preserve"> Services</w:t>
                            </w:r>
                          </w:p>
                          <w:p w14:paraId="2B1FFE28" w14:textId="6E5691F4" w:rsidR="003D6309" w:rsidRPr="00E91156" w:rsidRDefault="00E91156">
                            <w:pPr>
                              <w:rPr>
                                <w:b/>
                                <w:iCs/>
                                <w:color w:val="244583" w:themeColor="accent2" w:themeShade="80"/>
                                <w:sz w:val="28"/>
                                <w:szCs w:val="28"/>
                              </w:rPr>
                            </w:pPr>
                            <w:r w:rsidRPr="00E91156">
                              <w:rPr>
                                <w:b/>
                                <w:iCs/>
                                <w:color w:val="244583" w:themeColor="accent2" w:themeShade="80"/>
                                <w:sz w:val="28"/>
                                <w:szCs w:val="28"/>
                              </w:rPr>
                              <w:t>15</w:t>
                            </w:r>
                            <w:r w:rsidRPr="00E91156">
                              <w:rPr>
                                <w:b/>
                                <w:iCs/>
                                <w:color w:val="244583" w:themeColor="accent2" w:themeShade="80"/>
                                <w:sz w:val="28"/>
                                <w:szCs w:val="28"/>
                                <w:vertAlign w:val="superscript"/>
                              </w:rPr>
                              <w:t>th</w:t>
                            </w:r>
                            <w:r w:rsidRPr="00E91156">
                              <w:rPr>
                                <w:b/>
                                <w:iCs/>
                                <w:color w:val="244583" w:themeColor="accent2" w:themeShade="80"/>
                                <w:sz w:val="28"/>
                                <w:szCs w:val="28"/>
                              </w:rPr>
                              <w:t xml:space="preserve"> December 2017</w:t>
                            </w:r>
                          </w:p>
                          <w:tbl>
                            <w:tblPr>
                              <w:tblStyle w:val="MediumGrid2-Accent1"/>
                              <w:tblW w:w="0" w:type="auto"/>
                              <w:tblInd w:w="-10" w:type="dxa"/>
                              <w:tblLook w:val="04A0" w:firstRow="1" w:lastRow="0" w:firstColumn="1" w:lastColumn="0" w:noHBand="0" w:noVBand="1"/>
                            </w:tblPr>
                            <w:tblGrid>
                              <w:gridCol w:w="1946"/>
                            </w:tblGrid>
                            <w:tr w:rsidR="00E91156" w14:paraId="57FB795A" w14:textId="77777777" w:rsidTr="00E91156">
                              <w:trPr>
                                <w:cnfStyle w:val="100000000000" w:firstRow="1" w:lastRow="0" w:firstColumn="0" w:lastColumn="0" w:oddVBand="0" w:evenVBand="0" w:oddHBand="0" w:evenHBand="0" w:firstRowFirstColumn="0" w:firstRowLastColumn="0" w:lastRowFirstColumn="0" w:lastRowLastColumn="0"/>
                                <w:trHeight w:val="293"/>
                              </w:trPr>
                              <w:tc>
                                <w:tcPr>
                                  <w:cnfStyle w:val="001000000100" w:firstRow="0" w:lastRow="0" w:firstColumn="1" w:lastColumn="0" w:oddVBand="0" w:evenVBand="0" w:oddHBand="0" w:evenHBand="0" w:firstRowFirstColumn="1" w:firstRowLastColumn="0" w:lastRowFirstColumn="0" w:lastRowLastColumn="0"/>
                                  <w:tcW w:w="1946" w:type="dxa"/>
                                </w:tcPr>
                                <w:p w14:paraId="056619A7" w14:textId="2C4D37D5" w:rsidR="00E91156" w:rsidRPr="0005578D" w:rsidRDefault="00E91156">
                                  <w:pPr>
                                    <w:rPr>
                                      <w:iCs/>
                                      <w:color w:val="244583" w:themeColor="accent2" w:themeShade="80"/>
                                      <w:szCs w:val="24"/>
                                    </w:rPr>
                                  </w:pPr>
                                </w:p>
                              </w:tc>
                            </w:tr>
                            <w:tr w:rsidR="00E91156" w14:paraId="0E0E78E9" w14:textId="77777777" w:rsidTr="00E9115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46" w:type="dxa"/>
                                </w:tcPr>
                                <w:p w14:paraId="5CB8E5CA" w14:textId="73EA1D9F" w:rsidR="00E91156" w:rsidRPr="0005578D" w:rsidRDefault="00E91156" w:rsidP="00E91156">
                                  <w:pPr>
                                    <w:rPr>
                                      <w:iCs/>
                                      <w:color w:val="244583" w:themeColor="accent2" w:themeShade="80"/>
                                      <w:szCs w:val="24"/>
                                    </w:rPr>
                                  </w:pPr>
                                </w:p>
                              </w:tc>
                            </w:tr>
                          </w:tbl>
                          <w:p w14:paraId="5C413F1C" w14:textId="77777777" w:rsidR="00CC7A4D" w:rsidRDefault="00CC7A4D">
                            <w:pPr>
                              <w:rPr>
                                <w:i/>
                                <w:iCs/>
                                <w:color w:val="244583" w:themeColor="accent2" w:themeShade="80"/>
                                <w:sz w:val="28"/>
                                <w:szCs w:val="28"/>
                              </w:rPr>
                            </w:pPr>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0</wp14:pctHeight>
                </wp14:sizeRelV>
              </wp:anchor>
            </w:drawing>
          </mc:Choice>
          <mc:Fallback>
            <w:pict>
              <v:rect w14:anchorId="764D300C" id="Rectangle 89" o:spid="_x0000_s1026" style="position:absolute;margin-left:0;margin-top:245.75pt;width:367.2pt;height:343.25pt;z-index:251672576;visibility:visible;mso-wrap-style:square;mso-width-percent:600;mso-height-percent:0;mso-wrap-distance-left:9pt;mso-wrap-distance-top:0;mso-wrap-distance-right:9pt;mso-wrap-distance-bottom:0;mso-position-horizontal:left;mso-position-horizontal-relative:margin;mso-position-vertical:absolute;mso-position-vertical-relative:page;mso-width-percent:6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" o:allowincell="f" filled="f" stroked="f">
                <v:textbox>
                  <w:txbxContent>
                    <w:p w14:paraId="3C1D64BE" w14:textId="28E0D49F" w:rsidR="00CC7A4D" w:rsidRPr="00272A87" w:rsidRDefault="00BB306B">
                      <w:pPr>
                        <w:rPr>
                          <w:rFonts w:asciiTheme="majorHAnsi" w:eastAsiaTheme="majorEastAsia" w:hAnsiTheme="majorHAnsi" w:cstheme="majorBidi"/>
                          <w:smallCaps/>
                          <w:color w:val="244583" w:themeColor="accent2" w:themeShade="80"/>
                          <w:spacing w:val="20"/>
                          <w:sz w:val="72"/>
                          <w:szCs w:val="72"/>
                        </w:rPr>
                      </w:pPr>
                      <w:sdt>
                        <w:sdtPr>
                          <w:rPr>
                            <w:rFonts w:ascii="Calibri" w:eastAsiaTheme="majorEastAsia" w:hAnsi="Calibri" w:cstheme="majorBidi"/>
                            <w:smallCaps/>
                            <w:color w:val="244583" w:themeColor="accent2" w:themeShade="80"/>
                            <w:spacing w:val="20"/>
                            <w:sz w:val="72"/>
                            <w:szCs w:val="72"/>
                          </w:rPr>
                          <w:alias w:val="Title"/>
                          <w:id w:val="1336805644"/>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rPr>
                        </w:sdtEndPr>
                        <w:sdtContent>
                          <w:r w:rsidR="00650A81">
                            <w:rPr>
                              <w:rFonts w:ascii="Calibri" w:eastAsiaTheme="majorEastAsia" w:hAnsi="Calibri" w:cstheme="majorBidi"/>
                              <w:smallCaps/>
                              <w:color w:val="244583" w:themeColor="accent2" w:themeShade="80"/>
                              <w:spacing w:val="20"/>
                              <w:sz w:val="72"/>
                              <w:szCs w:val="72"/>
                            </w:rPr>
                            <w:t xml:space="preserve">Schedule 1            </w:t>
                          </w:r>
                          <w:r w:rsidR="001A7AB1">
                            <w:rPr>
                              <w:rFonts w:ascii="Calibri" w:eastAsiaTheme="majorEastAsia" w:hAnsi="Calibri" w:cstheme="majorBidi"/>
                              <w:smallCaps/>
                              <w:color w:val="244583" w:themeColor="accent2" w:themeShade="80"/>
                              <w:spacing w:val="20"/>
                              <w:sz w:val="72"/>
                              <w:szCs w:val="72"/>
                            </w:rPr>
                            <w:t>Service specification</w:t>
                          </w:r>
                        </w:sdtContent>
                      </w:sdt>
                    </w:p>
                    <w:p w14:paraId="4EAE9242" w14:textId="07F95468" w:rsidR="00CC7A4D" w:rsidRDefault="00AC74FD">
                      <w:pPr>
                        <w:rPr>
                          <w:i/>
                          <w:iCs/>
                          <w:color w:val="244583" w:themeColor="accent2" w:themeShade="80"/>
                          <w:sz w:val="28"/>
                          <w:szCs w:val="28"/>
                        </w:rPr>
                      </w:pPr>
                      <w:r>
                        <w:rPr>
                          <w:rFonts w:ascii="Calibri" w:hAnsi="Calibri"/>
                          <w:i/>
                          <w:iCs/>
                          <w:color w:val="244583" w:themeColor="accent2" w:themeShade="80"/>
                          <w:sz w:val="36"/>
                          <w:szCs w:val="36"/>
                        </w:rPr>
                        <w:t xml:space="preserve">Supported Living Service </w:t>
                      </w:r>
                      <w:r w:rsidR="00581E94">
                        <w:rPr>
                          <w:rFonts w:ascii="Calibri" w:hAnsi="Calibri"/>
                          <w:i/>
                          <w:iCs/>
                          <w:color w:val="244583" w:themeColor="accent2" w:themeShade="80"/>
                          <w:sz w:val="36"/>
                          <w:szCs w:val="36"/>
                        </w:rPr>
                        <w:t>in Wokingham</w:t>
                      </w:r>
                    </w:p>
                    <w:p w14:paraId="1A2DC186" w14:textId="77777777" w:rsidR="00CC7A4D" w:rsidRDefault="00CC7A4D">
                      <w:pPr>
                        <w:rPr>
                          <w:i/>
                          <w:iCs/>
                          <w:color w:val="244583" w:themeColor="accent2" w:themeShade="80"/>
                          <w:sz w:val="28"/>
                          <w:szCs w:val="28"/>
                        </w:rPr>
                      </w:pPr>
                    </w:p>
                    <w:p w14:paraId="6865F975" w14:textId="4FC23A72" w:rsidR="00CC7A4D" w:rsidRDefault="003D6309">
                      <w:pPr>
                        <w:rPr>
                          <w:b/>
                          <w:iCs/>
                          <w:color w:val="244583" w:themeColor="accent2" w:themeShade="80"/>
                          <w:sz w:val="28"/>
                          <w:szCs w:val="28"/>
                        </w:rPr>
                      </w:pPr>
                      <w:r>
                        <w:rPr>
                          <w:b/>
                          <w:iCs/>
                          <w:color w:val="244583" w:themeColor="accent2" w:themeShade="80"/>
                          <w:sz w:val="28"/>
                          <w:szCs w:val="28"/>
                        </w:rPr>
                        <w:t>Strategy and</w:t>
                      </w:r>
                      <w:r w:rsidR="00CC7A4D" w:rsidRPr="009A1D9D">
                        <w:rPr>
                          <w:b/>
                          <w:iCs/>
                          <w:color w:val="244583" w:themeColor="accent2" w:themeShade="80"/>
                          <w:sz w:val="28"/>
                          <w:szCs w:val="28"/>
                        </w:rPr>
                        <w:t xml:space="preserve"> Commissioning </w:t>
                      </w:r>
                      <w:r>
                        <w:rPr>
                          <w:b/>
                          <w:iCs/>
                          <w:color w:val="244583" w:themeColor="accent2" w:themeShade="80"/>
                          <w:sz w:val="28"/>
                          <w:szCs w:val="28"/>
                        </w:rPr>
                        <w:t>(People)</w:t>
                      </w:r>
                      <w:r w:rsidR="00A44A29">
                        <w:rPr>
                          <w:b/>
                          <w:iCs/>
                          <w:color w:val="244583" w:themeColor="accent2" w:themeShade="80"/>
                          <w:sz w:val="28"/>
                          <w:szCs w:val="28"/>
                        </w:rPr>
                        <w:t xml:space="preserve"> Services</w:t>
                      </w:r>
                    </w:p>
                    <w:p w14:paraId="2B1FFE28" w14:textId="6E5691F4" w:rsidR="003D6309" w:rsidRPr="00E91156" w:rsidRDefault="00E91156">
                      <w:pPr>
                        <w:rPr>
                          <w:b/>
                          <w:iCs/>
                          <w:color w:val="244583" w:themeColor="accent2" w:themeShade="80"/>
                          <w:sz w:val="28"/>
                          <w:szCs w:val="28"/>
                        </w:rPr>
                      </w:pPr>
                      <w:r w:rsidRPr="00E91156">
                        <w:rPr>
                          <w:b/>
                          <w:iCs/>
                          <w:color w:val="244583" w:themeColor="accent2" w:themeShade="80"/>
                          <w:sz w:val="28"/>
                          <w:szCs w:val="28"/>
                        </w:rPr>
                        <w:t>15</w:t>
                      </w:r>
                      <w:r w:rsidRPr="00E91156">
                        <w:rPr>
                          <w:b/>
                          <w:iCs/>
                          <w:color w:val="244583" w:themeColor="accent2" w:themeShade="80"/>
                          <w:sz w:val="28"/>
                          <w:szCs w:val="28"/>
                          <w:vertAlign w:val="superscript"/>
                        </w:rPr>
                        <w:t>th</w:t>
                      </w:r>
                      <w:r w:rsidRPr="00E91156">
                        <w:rPr>
                          <w:b/>
                          <w:iCs/>
                          <w:color w:val="244583" w:themeColor="accent2" w:themeShade="80"/>
                          <w:sz w:val="28"/>
                          <w:szCs w:val="28"/>
                        </w:rPr>
                        <w:t xml:space="preserve"> December 2017</w:t>
                      </w:r>
                    </w:p>
                    <w:tbl>
                      <w:tblPr>
                        <w:tblStyle w:val="MediumGrid2-Accent1"/>
                        <w:tblW w:w="0" w:type="auto"/>
                        <w:tblInd w:w="-10" w:type="dxa"/>
                        <w:tblLook w:val="04A0" w:firstRow="1" w:lastRow="0" w:firstColumn="1" w:lastColumn="0" w:noHBand="0" w:noVBand="1"/>
                      </w:tblPr>
                      <w:tblGrid>
                        <w:gridCol w:w="1946"/>
                      </w:tblGrid>
                      <w:tr w:rsidR="00E91156" w14:paraId="57FB795A" w14:textId="77777777" w:rsidTr="00E91156">
                        <w:trPr>
                          <w:cnfStyle w:val="100000000000" w:firstRow="1" w:lastRow="0" w:firstColumn="0" w:lastColumn="0" w:oddVBand="0" w:evenVBand="0" w:oddHBand="0" w:evenHBand="0" w:firstRowFirstColumn="0" w:firstRowLastColumn="0" w:lastRowFirstColumn="0" w:lastRowLastColumn="0"/>
                          <w:trHeight w:val="293"/>
                        </w:trPr>
                        <w:tc>
                          <w:tcPr>
                            <w:cnfStyle w:val="001000000100" w:firstRow="0" w:lastRow="0" w:firstColumn="1" w:lastColumn="0" w:oddVBand="0" w:evenVBand="0" w:oddHBand="0" w:evenHBand="0" w:firstRowFirstColumn="1" w:firstRowLastColumn="0" w:lastRowFirstColumn="0" w:lastRowLastColumn="0"/>
                            <w:tcW w:w="1946" w:type="dxa"/>
                          </w:tcPr>
                          <w:p w14:paraId="056619A7" w14:textId="2C4D37D5" w:rsidR="00E91156" w:rsidRPr="0005578D" w:rsidRDefault="00E91156">
                            <w:pPr>
                              <w:rPr>
                                <w:iCs/>
                                <w:color w:val="244583" w:themeColor="accent2" w:themeShade="80"/>
                                <w:szCs w:val="24"/>
                              </w:rPr>
                            </w:pPr>
                          </w:p>
                        </w:tc>
                      </w:tr>
                      <w:tr w:rsidR="00E91156" w14:paraId="0E0E78E9" w14:textId="77777777" w:rsidTr="00E9115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46" w:type="dxa"/>
                          </w:tcPr>
                          <w:p w14:paraId="5CB8E5CA" w14:textId="73EA1D9F" w:rsidR="00E91156" w:rsidRPr="0005578D" w:rsidRDefault="00E91156" w:rsidP="00E91156">
                            <w:pPr>
                              <w:rPr>
                                <w:iCs/>
                                <w:color w:val="244583" w:themeColor="accent2" w:themeShade="80"/>
                                <w:szCs w:val="24"/>
                              </w:rPr>
                            </w:pPr>
                          </w:p>
                        </w:tc>
                      </w:tr>
                    </w:tbl>
                    <w:p w14:paraId="5C413F1C" w14:textId="77777777" w:rsidR="00CC7A4D" w:rsidRDefault="00CC7A4D">
                      <w:pPr>
                        <w:rPr>
                          <w:i/>
                          <w:iCs/>
                          <w:color w:val="244583" w:themeColor="accent2" w:themeShade="80"/>
                          <w:sz w:val="28"/>
                          <w:szCs w:val="28"/>
                        </w:rPr>
                      </w:pPr>
                    </w:p>
                  </w:txbxContent>
                </v:textbox>
                <w10:wrap anchorx="margin" anchory="page"/>
              </v:rect>
            </w:pict>
          </mc:Fallback>
        </mc:AlternateContent>
      </w:r>
      <w:r w:rsidR="009A1D9D" w:rsidRPr="0069443A">
        <w:object w:dxaOrig="9091" w:dyaOrig="4694" w14:anchorId="4E4B8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7.5pt" o:ole="">
            <v:imagedata r:id="rId9" o:title=""/>
          </v:shape>
          <o:OLEObject Type="Embed" ProgID="MSPhotoEd.3" ShapeID="_x0000_i1025" DrawAspect="Content" ObjectID="_1574846565" r:id="rId10"/>
        </w:object>
      </w:r>
      <w:sdt>
        <w:sdtPr>
          <w:rPr>
            <w:i/>
            <w:iCs/>
            <w:smallCaps/>
            <w:color w:val="575F6D" w:themeColor="text2"/>
            <w:szCs w:val="24"/>
          </w:rPr>
          <w:id w:val="-689369987"/>
          <w:docPartObj>
            <w:docPartGallery w:val="Cover Pages"/>
            <w:docPartUnique/>
          </w:docPartObj>
        </w:sdtPr>
        <w:sdtEndPr/>
        <w:sdtContent>
          <w:r w:rsidR="00D95EB2">
            <w:rPr>
              <w:i/>
              <w:iCs/>
              <w:smallCaps/>
              <w:color w:val="575F6D" w:themeColor="text2"/>
              <w:szCs w:val="24"/>
            </w:rPr>
            <w:br w:type="page"/>
          </w:r>
        </w:sdtContent>
      </w:sdt>
      <w:r w:rsidR="00D95EB2">
        <w:rPr>
          <w:noProof/>
          <w:szCs w:val="52"/>
          <w:lang w:val="en-GB" w:eastAsia="en-GB"/>
        </w:rPr>
        <mc:AlternateContent>
          <mc:Choice Requires="wpg">
            <w:drawing>
              <wp:anchor distT="0" distB="0" distL="114300" distR="114300" simplePos="0" relativeHeight="251646976" behindDoc="0" locked="0" layoutInCell="1" allowOverlap="1" wp14:anchorId="43C4CE84" wp14:editId="7033867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5CF7A7"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48000" behindDoc="0" locked="0" layoutInCell="1" allowOverlap="1" wp14:anchorId="03BADF13" wp14:editId="330C8CF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1419CB"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49024" behindDoc="0" locked="0" layoutInCell="1" allowOverlap="1" wp14:anchorId="0389520D" wp14:editId="461D808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C19B22B"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0048" behindDoc="0" locked="0" layoutInCell="1" allowOverlap="1" wp14:anchorId="74D8CA01" wp14:editId="3BCA781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FB6B64"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1072" behindDoc="0" locked="0" layoutInCell="1" allowOverlap="1" wp14:anchorId="616D90DF" wp14:editId="435BB3A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F170C2"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2096" behindDoc="0" locked="0" layoutInCell="1" allowOverlap="1" wp14:anchorId="3007ABB7" wp14:editId="31535F1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FAF64D"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3120" behindDoc="0" locked="0" layoutInCell="1" allowOverlap="1" wp14:anchorId="66743731" wp14:editId="13764F5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BBC297"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4144" behindDoc="0" locked="0" layoutInCell="1" allowOverlap="1" wp14:anchorId="3CCE455F" wp14:editId="50483104">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4E53AD"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5168" behindDoc="0" locked="0" layoutInCell="1" allowOverlap="1" wp14:anchorId="7C8D48AE" wp14:editId="532A406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2B07D62"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6192" behindDoc="0" locked="0" layoutInCell="1" allowOverlap="1" wp14:anchorId="16F6BAAB" wp14:editId="1263EB8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3B0BA1"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7216" behindDoc="0" locked="0" layoutInCell="1" allowOverlap="1" wp14:anchorId="1E4F060A" wp14:editId="58A7745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876953E"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8240" behindDoc="0" locked="0" layoutInCell="1" allowOverlap="1" wp14:anchorId="2B27FF9C" wp14:editId="3885C5C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92EE16"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59264" behindDoc="0" locked="0" layoutInCell="1" allowOverlap="1" wp14:anchorId="7F008541" wp14:editId="5205106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FCC2782"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0288" behindDoc="0" locked="0" layoutInCell="1" allowOverlap="1" wp14:anchorId="275296E2" wp14:editId="26732BA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83E3F6"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1312" behindDoc="0" locked="0" layoutInCell="1" allowOverlap="1" wp14:anchorId="2B5F61F1" wp14:editId="053D2914">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A6D9F6"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2336" behindDoc="0" locked="0" layoutInCell="1" allowOverlap="1" wp14:anchorId="165DA588" wp14:editId="21A40DE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FF39A27"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3360" behindDoc="0" locked="0" layoutInCell="1" allowOverlap="1" wp14:anchorId="2DB612F0" wp14:editId="3D01479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A7F1C1"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4384" behindDoc="0" locked="0" layoutInCell="1" allowOverlap="1" wp14:anchorId="75256EB5" wp14:editId="38150EB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E4222B"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5408" behindDoc="0" locked="0" layoutInCell="1" allowOverlap="1" wp14:anchorId="1AE1565F" wp14:editId="51BB4B9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AC5C1C"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NRawB0EAAAm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6432" behindDoc="0" locked="0" layoutInCell="1" allowOverlap="1" wp14:anchorId="194F8180" wp14:editId="1A27D45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400A83"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margin" anchory="margin"/>
              </v:group>
            </w:pict>
          </mc:Fallback>
        </mc:AlternateContent>
      </w:r>
      <w:r w:rsidR="00D95EB2">
        <w:rPr>
          <w:noProof/>
          <w:szCs w:val="52"/>
          <w:lang w:val="en-GB" w:eastAsia="en-GB"/>
        </w:rPr>
        <mc:AlternateContent>
          <mc:Choice Requires="wpg">
            <w:drawing>
              <wp:anchor distT="0" distB="0" distL="114300" distR="114300" simplePos="0" relativeHeight="251667456" behindDoc="0" locked="0" layoutInCell="1" allowOverlap="1" wp14:anchorId="050989A3" wp14:editId="59F1F400">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6A5B7F"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margin" anchory="margin"/>
              </v:group>
            </w:pict>
          </mc:Fallback>
        </mc:AlternateContent>
      </w:r>
    </w:p>
    <w:p w14:paraId="2A18928D" w14:textId="77777777" w:rsidR="001A7AB1" w:rsidRDefault="001A7AB1" w:rsidP="00A32A7B">
      <w:pPr>
        <w:pStyle w:val="Heading1"/>
        <w:numPr>
          <w:ilvl w:val="0"/>
          <w:numId w:val="3"/>
        </w:numPr>
      </w:pPr>
      <w:r>
        <w:lastRenderedPageBreak/>
        <w:t>Introduction</w:t>
      </w:r>
    </w:p>
    <w:p w14:paraId="0BBAEA3E" w14:textId="77777777" w:rsidR="001A7AB1" w:rsidRDefault="001A7AB1" w:rsidP="001A7AB1"/>
    <w:p w14:paraId="1CB8F6C9" w14:textId="2241C645" w:rsidR="00112EF9" w:rsidRPr="00881E14" w:rsidRDefault="00112EF9" w:rsidP="00112EF9">
      <w:r w:rsidRPr="00881E14">
        <w:t>This service specification</w:t>
      </w:r>
      <w:r>
        <w:t xml:space="preserve"> is relevant to and</w:t>
      </w:r>
      <w:r w:rsidRPr="00881E14">
        <w:t xml:space="preserve"> sets the requirements </w:t>
      </w:r>
      <w:r>
        <w:t>for the de</w:t>
      </w:r>
      <w:r w:rsidR="006078A0">
        <w:t xml:space="preserve">livery of </w:t>
      </w:r>
      <w:r w:rsidR="00AC74FD">
        <w:t xml:space="preserve">a shared supported living service for </w:t>
      </w:r>
      <w:r w:rsidR="00BE49EA">
        <w:t>three young men in Wokingham</w:t>
      </w:r>
      <w:r w:rsidR="00AC74FD">
        <w:t>.</w:t>
      </w:r>
    </w:p>
    <w:p w14:paraId="7EE04193" w14:textId="653E412B" w:rsidR="00112EF9" w:rsidRPr="00112EF9" w:rsidRDefault="00112EF9" w:rsidP="00112EF9">
      <w:r w:rsidRPr="00881E14">
        <w:t>It is not the purpose of this specification to limit or restrict the service providers’ innovation, ability to deliver a responsive service or exercise flexibility in how services are delivered.  It is however the purpose of this specification to broadly identify the ke</w:t>
      </w:r>
      <w:r w:rsidR="00B76D5B">
        <w:t>y characteristics by which the service</w:t>
      </w:r>
      <w:r w:rsidRPr="00881E14">
        <w:t xml:space="preserve"> will meet t</w:t>
      </w:r>
      <w:r w:rsidR="00B76D5B">
        <w:t>he needs of people who</w:t>
      </w:r>
      <w:r w:rsidRPr="00881E14">
        <w:t xml:space="preserve"> use the service described in this specification. </w:t>
      </w:r>
    </w:p>
    <w:p w14:paraId="7C40AC52" w14:textId="77777777" w:rsidR="001A7AB1" w:rsidRPr="008D22C4" w:rsidRDefault="00112EF9" w:rsidP="00A32A7B">
      <w:pPr>
        <w:pStyle w:val="Heading1"/>
        <w:numPr>
          <w:ilvl w:val="0"/>
          <w:numId w:val="3"/>
        </w:numPr>
      </w:pPr>
      <w:r w:rsidRPr="008D22C4">
        <w:t xml:space="preserve">Alignment with the </w:t>
      </w:r>
      <w:r w:rsidR="001A7AB1" w:rsidRPr="008D22C4">
        <w:t>Council</w:t>
      </w:r>
      <w:r w:rsidRPr="008D22C4">
        <w:t>’s</w:t>
      </w:r>
      <w:r w:rsidR="001A7AB1" w:rsidRPr="008D22C4">
        <w:t xml:space="preserve"> </w:t>
      </w:r>
      <w:r w:rsidRPr="008D22C4">
        <w:t xml:space="preserve">strategic </w:t>
      </w:r>
      <w:r w:rsidR="001A7AB1" w:rsidRPr="008D22C4">
        <w:t>priorities</w:t>
      </w:r>
    </w:p>
    <w:p w14:paraId="581FB2CF" w14:textId="77777777" w:rsidR="00112EF9" w:rsidRDefault="00112EF9" w:rsidP="00112EF9">
      <w:pPr>
        <w:autoSpaceDE w:val="0"/>
        <w:autoSpaceDN w:val="0"/>
        <w:adjustRightInd w:val="0"/>
        <w:spacing w:after="0" w:line="240" w:lineRule="auto"/>
      </w:pPr>
    </w:p>
    <w:p w14:paraId="531B9420" w14:textId="77777777" w:rsidR="00112EF9" w:rsidRDefault="00112EF9" w:rsidP="00112EF9">
      <w:r>
        <w:t>Wokingham B</w:t>
      </w:r>
      <w:r w:rsidR="00123C7F">
        <w:t>orough Council’s vision sets the following</w:t>
      </w:r>
      <w:r>
        <w:t xml:space="preserve"> priorities for the delivery of support and services to the local residents, including: </w:t>
      </w:r>
    </w:p>
    <w:p w14:paraId="640E832A" w14:textId="77777777" w:rsidR="00112EF9" w:rsidRPr="00112EF9" w:rsidRDefault="00112EF9" w:rsidP="00A32A7B">
      <w:pPr>
        <w:pStyle w:val="ListParagraph"/>
        <w:numPr>
          <w:ilvl w:val="0"/>
          <w:numId w:val="4"/>
        </w:numPr>
        <w:rPr>
          <w:lang w:val="en-GB" w:eastAsia="en-US"/>
        </w:rPr>
      </w:pPr>
      <w:r w:rsidRPr="00112EF9">
        <w:rPr>
          <w:lang w:val="en-GB" w:eastAsia="en-US"/>
        </w:rPr>
        <w:t>Looking after the vulnerable</w:t>
      </w:r>
    </w:p>
    <w:p w14:paraId="1BCABF8C" w14:textId="77777777" w:rsidR="00CC4C8E" w:rsidRPr="00123C7F" w:rsidRDefault="00112EF9" w:rsidP="00CC4C8E">
      <w:pPr>
        <w:pStyle w:val="ListParagraph"/>
        <w:numPr>
          <w:ilvl w:val="0"/>
          <w:numId w:val="4"/>
        </w:numPr>
        <w:rPr>
          <w:lang w:val="en-GB" w:eastAsia="en-US"/>
        </w:rPr>
      </w:pPr>
      <w:r w:rsidRPr="00112EF9">
        <w:rPr>
          <w:lang w:val="en-GB" w:eastAsia="en-US"/>
        </w:rPr>
        <w:t>Improving health, well</w:t>
      </w:r>
      <w:r w:rsidR="00CC4C8E">
        <w:rPr>
          <w:lang w:val="en-GB" w:eastAsia="en-US"/>
        </w:rPr>
        <w:t>-</w:t>
      </w:r>
      <w:r w:rsidRPr="00112EF9">
        <w:rPr>
          <w:lang w:val="en-GB" w:eastAsia="en-US"/>
        </w:rPr>
        <w:t>being and quality of life</w:t>
      </w:r>
    </w:p>
    <w:p w14:paraId="4C2316CE" w14:textId="77777777" w:rsidR="00757102" w:rsidRDefault="00123C7F" w:rsidP="00757102">
      <w:pPr>
        <w:rPr>
          <w:rFonts w:cs="Arial"/>
          <w:szCs w:val="24"/>
        </w:rPr>
      </w:pPr>
      <w:r>
        <w:rPr>
          <w:rFonts w:cs="Arial"/>
          <w:szCs w:val="24"/>
        </w:rPr>
        <w:t xml:space="preserve">In addition, Adult Social Care Vision 2014, states that well-being including mental </w:t>
      </w:r>
      <w:r w:rsidR="00CC4C8E" w:rsidRPr="00CC4C8E">
        <w:rPr>
          <w:rFonts w:cs="Arial"/>
          <w:szCs w:val="24"/>
        </w:rPr>
        <w:t>and physical health, living conditions, access to local comm</w:t>
      </w:r>
      <w:r>
        <w:rPr>
          <w:rFonts w:cs="Arial"/>
          <w:szCs w:val="24"/>
        </w:rPr>
        <w:t>unity and mainstream activities is at the core of all its services. The key priorities for Adult Social Care are:</w:t>
      </w:r>
    </w:p>
    <w:p w14:paraId="792EB878" w14:textId="77777777" w:rsidR="00123C7F" w:rsidRDefault="00123C7F" w:rsidP="00123C7F">
      <w:pPr>
        <w:pStyle w:val="ListParagraph"/>
        <w:numPr>
          <w:ilvl w:val="0"/>
          <w:numId w:val="10"/>
        </w:numPr>
        <w:rPr>
          <w:rFonts w:cs="Arial"/>
          <w:szCs w:val="24"/>
        </w:rPr>
      </w:pPr>
      <w:r>
        <w:rPr>
          <w:rFonts w:cs="Arial"/>
          <w:szCs w:val="24"/>
        </w:rPr>
        <w:t>Empowerment, personalisation and self-care</w:t>
      </w:r>
    </w:p>
    <w:p w14:paraId="1067D96B" w14:textId="77777777" w:rsidR="00123C7F" w:rsidRDefault="00123C7F" w:rsidP="00123C7F">
      <w:pPr>
        <w:pStyle w:val="ListParagraph"/>
        <w:numPr>
          <w:ilvl w:val="0"/>
          <w:numId w:val="10"/>
        </w:numPr>
        <w:rPr>
          <w:rFonts w:cs="Arial"/>
          <w:szCs w:val="24"/>
        </w:rPr>
      </w:pPr>
      <w:r>
        <w:rPr>
          <w:rFonts w:cs="Arial"/>
          <w:szCs w:val="24"/>
        </w:rPr>
        <w:t>Quality and safety</w:t>
      </w:r>
    </w:p>
    <w:p w14:paraId="7B0CA13A" w14:textId="77777777" w:rsidR="00123C7F" w:rsidRDefault="00123C7F" w:rsidP="00123C7F">
      <w:pPr>
        <w:pStyle w:val="ListParagraph"/>
        <w:numPr>
          <w:ilvl w:val="0"/>
          <w:numId w:val="10"/>
        </w:numPr>
        <w:rPr>
          <w:rFonts w:cs="Arial"/>
          <w:szCs w:val="24"/>
        </w:rPr>
      </w:pPr>
      <w:r>
        <w:rPr>
          <w:rFonts w:cs="Arial"/>
          <w:szCs w:val="24"/>
        </w:rPr>
        <w:t>Integration of services / partnership working</w:t>
      </w:r>
    </w:p>
    <w:p w14:paraId="2E923997" w14:textId="77777777" w:rsidR="00123C7F" w:rsidRDefault="00123C7F" w:rsidP="00123C7F">
      <w:pPr>
        <w:pStyle w:val="ListParagraph"/>
        <w:numPr>
          <w:ilvl w:val="0"/>
          <w:numId w:val="10"/>
        </w:numPr>
        <w:rPr>
          <w:rFonts w:cs="Arial"/>
          <w:szCs w:val="24"/>
        </w:rPr>
      </w:pPr>
      <w:r>
        <w:rPr>
          <w:rFonts w:cs="Arial"/>
          <w:szCs w:val="24"/>
        </w:rPr>
        <w:t>Prevention and early intervention</w:t>
      </w:r>
    </w:p>
    <w:p w14:paraId="3AB811B9" w14:textId="77777777" w:rsidR="00123C7F" w:rsidRDefault="00123C7F" w:rsidP="00123C7F">
      <w:pPr>
        <w:pStyle w:val="ListParagraph"/>
        <w:numPr>
          <w:ilvl w:val="0"/>
          <w:numId w:val="10"/>
        </w:numPr>
        <w:rPr>
          <w:rFonts w:cs="Arial"/>
          <w:szCs w:val="24"/>
        </w:rPr>
      </w:pPr>
      <w:r>
        <w:rPr>
          <w:rFonts w:cs="Arial"/>
          <w:szCs w:val="24"/>
        </w:rPr>
        <w:t>Skilled, motivated and well-supported workforce</w:t>
      </w:r>
    </w:p>
    <w:p w14:paraId="428CC511" w14:textId="77777777" w:rsidR="000127E5" w:rsidRPr="000127E5" w:rsidRDefault="00123C7F" w:rsidP="000127E5">
      <w:pPr>
        <w:pStyle w:val="ListParagraph"/>
        <w:numPr>
          <w:ilvl w:val="0"/>
          <w:numId w:val="10"/>
        </w:numPr>
        <w:rPr>
          <w:rFonts w:cs="Arial"/>
          <w:szCs w:val="24"/>
        </w:rPr>
      </w:pPr>
      <w:r>
        <w:rPr>
          <w:rFonts w:cs="Arial"/>
          <w:szCs w:val="24"/>
        </w:rPr>
        <w:t>Sustainability / resilience</w:t>
      </w:r>
    </w:p>
    <w:p w14:paraId="2D70F55E" w14:textId="77777777" w:rsidR="000127E5" w:rsidRPr="000127E5" w:rsidRDefault="000127E5" w:rsidP="000127E5">
      <w:pPr>
        <w:rPr>
          <w:rFonts w:cs="Arial"/>
          <w:szCs w:val="24"/>
        </w:rPr>
      </w:pPr>
      <w:r>
        <w:rPr>
          <w:szCs w:val="24"/>
        </w:rPr>
        <w:t>The</w:t>
      </w:r>
      <w:r w:rsidR="0075741D">
        <w:rPr>
          <w:szCs w:val="24"/>
        </w:rPr>
        <w:t xml:space="preserve"> principles</w:t>
      </w:r>
      <w:r>
        <w:rPr>
          <w:szCs w:val="24"/>
        </w:rPr>
        <w:t xml:space="preserve"> outlined in the Council’s vision and Adult Social Care vision</w:t>
      </w:r>
      <w:r w:rsidRPr="000127E5">
        <w:rPr>
          <w:szCs w:val="24"/>
        </w:rPr>
        <w:t xml:space="preserve"> will be used to inform this service’s aims and objectives, delivery and outcomes.</w:t>
      </w:r>
    </w:p>
    <w:p w14:paraId="6181E8F8" w14:textId="1F7418E9" w:rsidR="000127E5" w:rsidRDefault="000127E5" w:rsidP="000127E5">
      <w:pPr>
        <w:rPr>
          <w:rFonts w:cs="Arial"/>
          <w:szCs w:val="24"/>
        </w:rPr>
      </w:pPr>
    </w:p>
    <w:p w14:paraId="43EC5F30" w14:textId="77777777" w:rsidR="00301F98" w:rsidRPr="000127E5" w:rsidRDefault="00301F98" w:rsidP="000127E5">
      <w:pPr>
        <w:rPr>
          <w:rFonts w:cs="Arial"/>
          <w:szCs w:val="24"/>
        </w:rPr>
      </w:pPr>
    </w:p>
    <w:p w14:paraId="7A1A4A37" w14:textId="2D015127" w:rsidR="008D22C4" w:rsidRPr="00D5352E" w:rsidRDefault="008D22C4" w:rsidP="00D5352E">
      <w:pPr>
        <w:pStyle w:val="Heading1"/>
        <w:numPr>
          <w:ilvl w:val="0"/>
          <w:numId w:val="3"/>
        </w:numPr>
        <w:rPr>
          <w:rFonts w:ascii="HelveticaNeueLT Std" w:hAnsi="HelveticaNeueLT Std"/>
          <w:szCs w:val="24"/>
        </w:rPr>
      </w:pPr>
      <w:r>
        <w:rPr>
          <w:rFonts w:ascii="HelveticaNeueLT Std" w:hAnsi="HelveticaNeueLT Std"/>
          <w:szCs w:val="24"/>
        </w:rPr>
        <w:t>National legislation, guidance and good p</w:t>
      </w:r>
      <w:r w:rsidRPr="008D22C4">
        <w:rPr>
          <w:rFonts w:ascii="HelveticaNeueLT Std" w:hAnsi="HelveticaNeueLT Std"/>
          <w:szCs w:val="24"/>
        </w:rPr>
        <w:t xml:space="preserve">ractice </w:t>
      </w:r>
    </w:p>
    <w:p w14:paraId="5D9E12D8" w14:textId="77777777" w:rsidR="008D22C4" w:rsidRDefault="008D22C4" w:rsidP="008D22C4">
      <w:r w:rsidRPr="00881E14">
        <w:t xml:space="preserve">It will remain the responsibility of the service provider to be aware of current and changing legislation governing and informing the delivery of services, and </w:t>
      </w:r>
      <w:r w:rsidR="0075741D">
        <w:t xml:space="preserve">it </w:t>
      </w:r>
      <w:r w:rsidRPr="00881E14">
        <w:t>will remain the responsibility of the service provider to ensure that it complies with all and any changes to national legislation and published guidance on good practice</w:t>
      </w:r>
      <w:r>
        <w:t xml:space="preserve"> such as, but not limited to: </w:t>
      </w:r>
    </w:p>
    <w:p w14:paraId="1445D3D8" w14:textId="77777777" w:rsidR="008D22C4" w:rsidRPr="006078A0" w:rsidRDefault="008D22C4" w:rsidP="00A32A7B">
      <w:pPr>
        <w:pStyle w:val="ListParagraph"/>
        <w:numPr>
          <w:ilvl w:val="0"/>
          <w:numId w:val="5"/>
        </w:numPr>
        <w:rPr>
          <w:i/>
        </w:rPr>
      </w:pPr>
      <w:r w:rsidRPr="006078A0">
        <w:rPr>
          <w:i/>
        </w:rPr>
        <w:t>Care Act 2014 and statutory Care Act guidance</w:t>
      </w:r>
    </w:p>
    <w:p w14:paraId="55DCC41C" w14:textId="77777777" w:rsidR="008D22C4" w:rsidRPr="006078A0" w:rsidRDefault="008D22C4" w:rsidP="00A32A7B">
      <w:pPr>
        <w:pStyle w:val="ListParagraph"/>
        <w:numPr>
          <w:ilvl w:val="0"/>
          <w:numId w:val="5"/>
        </w:numPr>
        <w:rPr>
          <w:i/>
        </w:rPr>
      </w:pPr>
      <w:r w:rsidRPr="006078A0">
        <w:rPr>
          <w:i/>
        </w:rPr>
        <w:t>Children and Families Act 2014</w:t>
      </w:r>
    </w:p>
    <w:p w14:paraId="115C3A52" w14:textId="77777777" w:rsidR="006A4A8F" w:rsidRDefault="00757102" w:rsidP="00A32A7B">
      <w:pPr>
        <w:pStyle w:val="ListParagraph"/>
        <w:numPr>
          <w:ilvl w:val="0"/>
          <w:numId w:val="5"/>
        </w:numPr>
        <w:rPr>
          <w:i/>
        </w:rPr>
      </w:pPr>
      <w:r w:rsidRPr="006078A0">
        <w:rPr>
          <w:i/>
        </w:rPr>
        <w:t xml:space="preserve">Wokingham Borough Council’s </w:t>
      </w:r>
      <w:r w:rsidR="008D22C4" w:rsidRPr="006078A0">
        <w:rPr>
          <w:i/>
        </w:rPr>
        <w:t xml:space="preserve">Carers Strategy </w:t>
      </w:r>
      <w:r w:rsidRPr="006078A0">
        <w:rPr>
          <w:i/>
        </w:rPr>
        <w:t>2016-2019</w:t>
      </w:r>
    </w:p>
    <w:p w14:paraId="1A360E98" w14:textId="77777777" w:rsidR="00DC4173" w:rsidRDefault="00DC4173" w:rsidP="00A32A7B">
      <w:pPr>
        <w:pStyle w:val="ListParagraph"/>
        <w:numPr>
          <w:ilvl w:val="0"/>
          <w:numId w:val="5"/>
        </w:numPr>
        <w:rPr>
          <w:i/>
        </w:rPr>
      </w:pPr>
      <w:r>
        <w:rPr>
          <w:i/>
        </w:rPr>
        <w:t>Wokingham Health and Wellbeing Strategy 2017 – 2020</w:t>
      </w:r>
    </w:p>
    <w:p w14:paraId="26DA968A" w14:textId="77777777" w:rsidR="00DC4173" w:rsidRDefault="00DC4173" w:rsidP="00A32A7B">
      <w:pPr>
        <w:pStyle w:val="ListParagraph"/>
        <w:numPr>
          <w:ilvl w:val="0"/>
          <w:numId w:val="5"/>
        </w:numPr>
        <w:rPr>
          <w:i/>
        </w:rPr>
      </w:pPr>
      <w:r>
        <w:rPr>
          <w:i/>
        </w:rPr>
        <w:t>The Council Plan 2014 -2017</w:t>
      </w:r>
    </w:p>
    <w:p w14:paraId="2ACE0440" w14:textId="77777777" w:rsidR="006078A0" w:rsidRPr="006078A0" w:rsidRDefault="006078A0" w:rsidP="006078A0">
      <w:pPr>
        <w:pStyle w:val="ListParagraph"/>
        <w:rPr>
          <w:i/>
        </w:rPr>
      </w:pPr>
    </w:p>
    <w:p w14:paraId="3C85D61B" w14:textId="77777777" w:rsidR="00282EE1" w:rsidRDefault="0044278A" w:rsidP="00A32A7B">
      <w:pPr>
        <w:pStyle w:val="Heading1"/>
        <w:numPr>
          <w:ilvl w:val="0"/>
          <w:numId w:val="3"/>
        </w:numPr>
      </w:pPr>
      <w:r>
        <w:t>Service overview</w:t>
      </w:r>
    </w:p>
    <w:p w14:paraId="75738EE4" w14:textId="77777777" w:rsidR="0044278A" w:rsidRDefault="00282EE1" w:rsidP="00282EE1">
      <w:r>
        <w:rPr>
          <w:rFonts w:ascii="HelveticaNeueLT Std" w:hAnsi="HelveticaNeueLT Std"/>
          <w:szCs w:val="24"/>
        </w:rPr>
        <w:br/>
      </w:r>
      <w:r w:rsidR="0044278A" w:rsidRPr="0044278A">
        <w:rPr>
          <w:rStyle w:val="Heading2Char"/>
        </w:rPr>
        <w:t>Description of the service</w:t>
      </w:r>
    </w:p>
    <w:p w14:paraId="6D3DACCC" w14:textId="77777777" w:rsidR="00AC74FD" w:rsidRPr="00B94E79" w:rsidRDefault="00AC74FD" w:rsidP="00282EE1">
      <w:pPr>
        <w:rPr>
          <w:szCs w:val="24"/>
        </w:rPr>
      </w:pPr>
      <w:r w:rsidRPr="00B94E79">
        <w:rPr>
          <w:szCs w:val="24"/>
        </w:rPr>
        <w:t>The main aim of the service is to provide high quality support for three young men with a learning disability and varying physical disabilities, to support them to live in a shared house as tenants.</w:t>
      </w:r>
    </w:p>
    <w:p w14:paraId="721B0491" w14:textId="77777777" w:rsidR="00282EE1" w:rsidRPr="00B94E79" w:rsidRDefault="00096A41" w:rsidP="00282EE1">
      <w:pPr>
        <w:rPr>
          <w:szCs w:val="24"/>
        </w:rPr>
      </w:pPr>
      <w:r w:rsidRPr="00B94E79">
        <w:rPr>
          <w:szCs w:val="24"/>
        </w:rPr>
        <w:t>The service needs to be</w:t>
      </w:r>
      <w:r w:rsidR="00282EE1" w:rsidRPr="00B94E79">
        <w:rPr>
          <w:szCs w:val="24"/>
        </w:rPr>
        <w:t xml:space="preserve"> linguistically, ethnically and culturally relevant, and able to meet the needs of </w:t>
      </w:r>
      <w:r w:rsidR="00AC74FD" w:rsidRPr="00B94E79">
        <w:rPr>
          <w:szCs w:val="24"/>
        </w:rPr>
        <w:t>people with a learning disability.</w:t>
      </w:r>
    </w:p>
    <w:p w14:paraId="118B35A0" w14:textId="77777777" w:rsidR="0044278A" w:rsidRPr="00123C7F" w:rsidRDefault="00583A3B" w:rsidP="0044278A">
      <w:pPr>
        <w:pStyle w:val="Heading2"/>
        <w:rPr>
          <w:color w:val="auto"/>
        </w:rPr>
      </w:pPr>
      <w:r>
        <w:br/>
      </w:r>
      <w:r w:rsidR="0044278A">
        <w:t>Key activities</w:t>
      </w:r>
      <w:r w:rsidR="00096A41">
        <w:br/>
      </w:r>
    </w:p>
    <w:p w14:paraId="2494F3D9" w14:textId="77777777" w:rsidR="005942A1" w:rsidRPr="00C34D89" w:rsidRDefault="005942A1" w:rsidP="005942A1">
      <w:r w:rsidRPr="00C34D89">
        <w:t xml:space="preserve">The service will deliver personal care and support in the following areas of </w:t>
      </w:r>
      <w:r>
        <w:t>independent living as required:</w:t>
      </w:r>
    </w:p>
    <w:p w14:paraId="015B9292" w14:textId="77777777" w:rsidR="005942A1" w:rsidRPr="00C34D89" w:rsidRDefault="005942A1" w:rsidP="005942A1">
      <w:pPr>
        <w:numPr>
          <w:ilvl w:val="0"/>
          <w:numId w:val="25"/>
        </w:numPr>
        <w:spacing w:after="0" w:line="240" w:lineRule="auto"/>
      </w:pPr>
      <w:r w:rsidRPr="00C34D89">
        <w:t>Maintaining home and tenancy</w:t>
      </w:r>
    </w:p>
    <w:p w14:paraId="31128A23" w14:textId="77777777" w:rsidR="005942A1" w:rsidRPr="00C34D89" w:rsidRDefault="005942A1" w:rsidP="005942A1">
      <w:pPr>
        <w:numPr>
          <w:ilvl w:val="0"/>
          <w:numId w:val="25"/>
        </w:numPr>
        <w:spacing w:after="0" w:line="240" w:lineRule="auto"/>
      </w:pPr>
      <w:r w:rsidRPr="00C34D89">
        <w:t xml:space="preserve">Finance – budgeting, money handling, assistance managing the household bank account for utility bills and communal shopping. </w:t>
      </w:r>
    </w:p>
    <w:p w14:paraId="2F4A22CE" w14:textId="77777777" w:rsidR="005942A1" w:rsidRPr="00C34D89" w:rsidRDefault="005942A1" w:rsidP="005942A1">
      <w:pPr>
        <w:numPr>
          <w:ilvl w:val="0"/>
          <w:numId w:val="25"/>
        </w:numPr>
        <w:spacing w:after="0" w:line="240" w:lineRule="auto"/>
      </w:pPr>
      <w:r w:rsidRPr="00C34D89">
        <w:t>Benefits, claims and disputes</w:t>
      </w:r>
    </w:p>
    <w:p w14:paraId="4A25FFC1" w14:textId="77777777" w:rsidR="005942A1" w:rsidRPr="00C34D89" w:rsidRDefault="005942A1" w:rsidP="005942A1">
      <w:pPr>
        <w:numPr>
          <w:ilvl w:val="0"/>
          <w:numId w:val="25"/>
        </w:numPr>
        <w:spacing w:after="0" w:line="240" w:lineRule="auto"/>
      </w:pPr>
      <w:r>
        <w:t>Support to maintain</w:t>
      </w:r>
      <w:r w:rsidRPr="00C34D89">
        <w:t xml:space="preserve"> safety and security of the home</w:t>
      </w:r>
    </w:p>
    <w:p w14:paraId="2ED1792D" w14:textId="77777777" w:rsidR="005942A1" w:rsidRPr="00C34D89" w:rsidRDefault="005942A1" w:rsidP="005942A1">
      <w:pPr>
        <w:numPr>
          <w:ilvl w:val="0"/>
          <w:numId w:val="25"/>
        </w:numPr>
        <w:spacing w:after="0" w:line="240" w:lineRule="auto"/>
      </w:pPr>
      <w:r w:rsidRPr="00C34D89">
        <w:t>Use of household appliances</w:t>
      </w:r>
    </w:p>
    <w:p w14:paraId="35227E47" w14:textId="77777777" w:rsidR="005942A1" w:rsidRPr="00C34D89" w:rsidRDefault="005942A1" w:rsidP="005942A1">
      <w:pPr>
        <w:numPr>
          <w:ilvl w:val="0"/>
          <w:numId w:val="25"/>
        </w:numPr>
        <w:spacing w:after="0" w:line="240" w:lineRule="auto"/>
      </w:pPr>
      <w:r w:rsidRPr="00C34D89">
        <w:t>Assistance in food hygiene, preparation, cooking of food, and feeding support (including PEG) where required.</w:t>
      </w:r>
    </w:p>
    <w:p w14:paraId="075335D9" w14:textId="77777777" w:rsidR="005942A1" w:rsidRPr="00C34D89" w:rsidRDefault="005942A1" w:rsidP="005942A1">
      <w:pPr>
        <w:numPr>
          <w:ilvl w:val="0"/>
          <w:numId w:val="25"/>
        </w:numPr>
        <w:spacing w:after="0" w:line="240" w:lineRule="auto"/>
      </w:pPr>
      <w:r w:rsidRPr="00C34D89">
        <w:t xml:space="preserve">Use of equipment prescribed to individuals: hoists, profile beds, wheelchair &amp; POD chair. </w:t>
      </w:r>
    </w:p>
    <w:p w14:paraId="1E458752" w14:textId="77777777" w:rsidR="005942A1" w:rsidRPr="00C34D89" w:rsidRDefault="005942A1" w:rsidP="005942A1">
      <w:pPr>
        <w:numPr>
          <w:ilvl w:val="0"/>
          <w:numId w:val="25"/>
        </w:numPr>
        <w:spacing w:after="0" w:line="240" w:lineRule="auto"/>
      </w:pPr>
      <w:r w:rsidRPr="00C34D89">
        <w:t>Ensure personal hygiene</w:t>
      </w:r>
    </w:p>
    <w:p w14:paraId="6C65252F" w14:textId="77777777" w:rsidR="005942A1" w:rsidRPr="00C34D89" w:rsidRDefault="005942A1" w:rsidP="005942A1">
      <w:pPr>
        <w:numPr>
          <w:ilvl w:val="0"/>
          <w:numId w:val="25"/>
        </w:numPr>
        <w:spacing w:after="0" w:line="240" w:lineRule="auto"/>
      </w:pPr>
      <w:r w:rsidRPr="00C34D89">
        <w:t>Support to travel outside the home; including the management of the shared vehicle, driving customers for off-site requirements.</w:t>
      </w:r>
    </w:p>
    <w:p w14:paraId="7F507874" w14:textId="4EFEC5B3" w:rsidR="005942A1" w:rsidRPr="00C34D89" w:rsidRDefault="00BE49EA" w:rsidP="005942A1">
      <w:pPr>
        <w:numPr>
          <w:ilvl w:val="0"/>
          <w:numId w:val="25"/>
        </w:numPr>
        <w:spacing w:after="0" w:line="240" w:lineRule="auto"/>
      </w:pPr>
      <w:r>
        <w:t>Supporting and facilitating access to social, vocational and recreational activities as stipulated in the care and support plan.</w:t>
      </w:r>
    </w:p>
    <w:p w14:paraId="4D29E80F" w14:textId="77777777" w:rsidR="005942A1" w:rsidRPr="00C34D89" w:rsidRDefault="005942A1" w:rsidP="005942A1">
      <w:pPr>
        <w:numPr>
          <w:ilvl w:val="0"/>
          <w:numId w:val="25"/>
        </w:numPr>
        <w:spacing w:after="0" w:line="240" w:lineRule="auto"/>
      </w:pPr>
      <w:r w:rsidRPr="00C34D89">
        <w:t xml:space="preserve">General health and well-being, monitoring the health of customers with complex and variable needs. </w:t>
      </w:r>
    </w:p>
    <w:p w14:paraId="5BB87345" w14:textId="77777777" w:rsidR="005942A1" w:rsidRPr="00C34D89" w:rsidRDefault="005942A1" w:rsidP="005942A1">
      <w:pPr>
        <w:numPr>
          <w:ilvl w:val="0"/>
          <w:numId w:val="25"/>
        </w:numPr>
        <w:spacing w:after="0" w:line="240" w:lineRule="auto"/>
      </w:pPr>
      <w:r w:rsidRPr="00C34D89">
        <w:t>Support to arrange and accompany to medical and dental services and appointments</w:t>
      </w:r>
    </w:p>
    <w:p w14:paraId="4E2B0684" w14:textId="77777777" w:rsidR="005942A1" w:rsidRPr="00C34D89" w:rsidRDefault="005942A1" w:rsidP="005942A1">
      <w:pPr>
        <w:numPr>
          <w:ilvl w:val="0"/>
          <w:numId w:val="25"/>
        </w:numPr>
        <w:spacing w:after="0" w:line="240" w:lineRule="auto"/>
      </w:pPr>
      <w:r w:rsidRPr="00C34D89">
        <w:t xml:space="preserve">Support with administering of medication as required. </w:t>
      </w:r>
    </w:p>
    <w:p w14:paraId="63A5D7BC" w14:textId="77777777" w:rsidR="005942A1" w:rsidRPr="00C34D89" w:rsidRDefault="005942A1" w:rsidP="005942A1">
      <w:pPr>
        <w:numPr>
          <w:ilvl w:val="0"/>
          <w:numId w:val="25"/>
        </w:numPr>
        <w:spacing w:after="0" w:line="240" w:lineRule="auto"/>
      </w:pPr>
      <w:r>
        <w:t>Support to maintain</w:t>
      </w:r>
      <w:r w:rsidRPr="00C34D89">
        <w:t xml:space="preserve"> relationships as housemates and with customers</w:t>
      </w:r>
      <w:r>
        <w:t>’</w:t>
      </w:r>
      <w:r w:rsidRPr="00C34D89">
        <w:t xml:space="preserve"> families.</w:t>
      </w:r>
    </w:p>
    <w:p w14:paraId="6C5222B5" w14:textId="77777777" w:rsidR="005942A1" w:rsidRPr="00C34D89" w:rsidRDefault="005942A1" w:rsidP="005942A1">
      <w:pPr>
        <w:numPr>
          <w:ilvl w:val="0"/>
          <w:numId w:val="25"/>
        </w:numPr>
        <w:spacing w:after="0" w:line="240" w:lineRule="auto"/>
      </w:pPr>
      <w:r w:rsidRPr="00C34D89">
        <w:t>Contact with other agencies and organisations, including the landlord</w:t>
      </w:r>
    </w:p>
    <w:p w14:paraId="260A6AAC" w14:textId="77777777" w:rsidR="005942A1" w:rsidRPr="00C34D89" w:rsidRDefault="005942A1" w:rsidP="005942A1">
      <w:pPr>
        <w:numPr>
          <w:ilvl w:val="0"/>
          <w:numId w:val="25"/>
        </w:numPr>
        <w:spacing w:after="0" w:line="240" w:lineRule="auto"/>
      </w:pPr>
      <w:r w:rsidRPr="00C34D89">
        <w:t>Support to plan leisure time, pool resources and assist in activities</w:t>
      </w:r>
    </w:p>
    <w:p w14:paraId="78AB1821" w14:textId="77777777" w:rsidR="005942A1" w:rsidRPr="00C34D89" w:rsidRDefault="005942A1" w:rsidP="005942A1">
      <w:pPr>
        <w:numPr>
          <w:ilvl w:val="0"/>
          <w:numId w:val="25"/>
        </w:numPr>
        <w:spacing w:after="0" w:line="240" w:lineRule="auto"/>
      </w:pPr>
      <w:r w:rsidRPr="00C34D89">
        <w:t>Ability to assist in an emergency or crisis, contacting the relevant agencies and supporting in the interim</w:t>
      </w:r>
    </w:p>
    <w:p w14:paraId="56C9AD69" w14:textId="77777777" w:rsidR="005942A1" w:rsidRPr="00C34D89" w:rsidRDefault="005942A1" w:rsidP="005942A1">
      <w:pPr>
        <w:numPr>
          <w:ilvl w:val="0"/>
          <w:numId w:val="25"/>
        </w:numPr>
        <w:spacing w:after="0" w:line="240" w:lineRule="auto"/>
      </w:pPr>
      <w:r w:rsidRPr="00C34D89">
        <w:t xml:space="preserve">Monitor and record hours provided, have a system to bank unused hours at tenants discretion. </w:t>
      </w:r>
    </w:p>
    <w:p w14:paraId="120E8611" w14:textId="026BCB80" w:rsidR="005942A1" w:rsidRDefault="005942A1" w:rsidP="005942A1">
      <w:pPr>
        <w:numPr>
          <w:ilvl w:val="0"/>
          <w:numId w:val="25"/>
        </w:numPr>
        <w:spacing w:after="0" w:line="240" w:lineRule="auto"/>
      </w:pPr>
      <w:r w:rsidRPr="00C34D89">
        <w:t>Support to consider fund raising activities</w:t>
      </w:r>
    </w:p>
    <w:p w14:paraId="7C6AA731" w14:textId="057F9255" w:rsidR="00BE49EA" w:rsidRDefault="00BE49EA" w:rsidP="00BE49EA">
      <w:pPr>
        <w:spacing w:after="0" w:line="240" w:lineRule="auto"/>
      </w:pPr>
    </w:p>
    <w:p w14:paraId="0A1D7AA8" w14:textId="450BE87A" w:rsidR="00BE49EA" w:rsidRPr="00C34D89" w:rsidRDefault="00BE49EA" w:rsidP="00BE49EA">
      <w:pPr>
        <w:spacing w:after="0" w:line="240" w:lineRule="auto"/>
      </w:pPr>
      <w:r>
        <w:t>This list is not exhaustive and additional requirements will be necessary to personalise each customers individual care.</w:t>
      </w:r>
    </w:p>
    <w:p w14:paraId="5239E363" w14:textId="77777777" w:rsidR="000127E5" w:rsidRDefault="000127E5" w:rsidP="0044278A"/>
    <w:p w14:paraId="11D52310" w14:textId="77777777" w:rsidR="00B94E79" w:rsidRDefault="00B94E79" w:rsidP="0044278A">
      <w:pPr>
        <w:rPr>
          <w:rFonts w:asciiTheme="majorHAnsi" w:hAnsiTheme="majorHAnsi" w:cstheme="majorHAnsi"/>
          <w:b/>
          <w:color w:val="E65B01" w:themeColor="accent1" w:themeShade="BF"/>
          <w:sz w:val="28"/>
          <w:szCs w:val="28"/>
        </w:rPr>
      </w:pPr>
      <w:r w:rsidRPr="00B94E79">
        <w:rPr>
          <w:rFonts w:asciiTheme="majorHAnsi" w:hAnsiTheme="majorHAnsi" w:cstheme="majorHAnsi"/>
          <w:b/>
          <w:color w:val="E65B01" w:themeColor="accent1" w:themeShade="BF"/>
          <w:sz w:val="28"/>
          <w:szCs w:val="28"/>
        </w:rPr>
        <w:t>Support Planning</w:t>
      </w:r>
    </w:p>
    <w:p w14:paraId="38AEC4FA" w14:textId="77777777" w:rsidR="00B94E79" w:rsidRPr="00C34D89" w:rsidRDefault="00B94E79" w:rsidP="00B94E79">
      <w:r w:rsidRPr="00C34D89">
        <w:t>The provid</w:t>
      </w:r>
      <w:r>
        <w:t>er will ensure:</w:t>
      </w:r>
    </w:p>
    <w:p w14:paraId="23C76C16" w14:textId="28B83B71" w:rsidR="00B94E79" w:rsidRPr="00C34D89" w:rsidRDefault="00BE49EA" w:rsidP="00B94E79">
      <w:pPr>
        <w:numPr>
          <w:ilvl w:val="0"/>
          <w:numId w:val="15"/>
        </w:numPr>
        <w:tabs>
          <w:tab w:val="clear" w:pos="900"/>
          <w:tab w:val="num" w:pos="720"/>
        </w:tabs>
        <w:spacing w:after="0" w:line="240" w:lineRule="auto"/>
        <w:ind w:left="720"/>
      </w:pPr>
      <w:r>
        <w:t>Each customer</w:t>
      </w:r>
      <w:r w:rsidR="00B94E79" w:rsidRPr="00C34D89">
        <w:t xml:space="preserve"> has an outcome- focused support plan and a risk management plan.</w:t>
      </w:r>
    </w:p>
    <w:p w14:paraId="348A437C" w14:textId="77777777" w:rsidR="00B94E79" w:rsidRPr="00C34D89" w:rsidRDefault="00B94E79" w:rsidP="00B94E79">
      <w:pPr>
        <w:numPr>
          <w:ilvl w:val="0"/>
          <w:numId w:val="15"/>
        </w:numPr>
        <w:tabs>
          <w:tab w:val="clear" w:pos="900"/>
          <w:tab w:val="num" w:pos="720"/>
        </w:tabs>
        <w:spacing w:after="0" w:line="240" w:lineRule="auto"/>
        <w:ind w:left="720"/>
      </w:pPr>
      <w:r w:rsidRPr="00C34D89">
        <w:t xml:space="preserve">The support plan will clearly link with statutory duty to ensure that the wider needs of the individual are met. </w:t>
      </w:r>
    </w:p>
    <w:p w14:paraId="374BCE6E" w14:textId="57D456BB" w:rsidR="00B94E79" w:rsidRPr="00C34D89" w:rsidRDefault="00B94E79" w:rsidP="00B94E79">
      <w:pPr>
        <w:numPr>
          <w:ilvl w:val="0"/>
          <w:numId w:val="15"/>
        </w:numPr>
        <w:tabs>
          <w:tab w:val="clear" w:pos="900"/>
          <w:tab w:val="num" w:pos="720"/>
        </w:tabs>
        <w:spacing w:after="0" w:line="240" w:lineRule="auto"/>
        <w:ind w:left="720"/>
      </w:pPr>
      <w:r w:rsidRPr="00C34D89">
        <w:t>The support plan will be formulate</w:t>
      </w:r>
      <w:r w:rsidR="00BE49EA">
        <w:t>d in partnership with the customer</w:t>
      </w:r>
      <w:r>
        <w:t>,</w:t>
      </w:r>
      <w:r w:rsidRPr="00C34D89">
        <w:t xml:space="preserve"> their families’</w:t>
      </w:r>
      <w:r>
        <w:t>,</w:t>
      </w:r>
      <w:r w:rsidRPr="00C34D89">
        <w:t xml:space="preserve"> advocates and other interested parties to enable the plan to be reflective of their needs, aspirations and wishes</w:t>
      </w:r>
      <w:r>
        <w:t>.</w:t>
      </w:r>
      <w:r w:rsidRPr="00C34D89">
        <w:t xml:space="preserve"> </w:t>
      </w:r>
      <w:r>
        <w:t>It will identify</w:t>
      </w:r>
      <w:r w:rsidRPr="00C34D89">
        <w:t xml:space="preserve"> the support or actions needed to meet or achieve these, including the actions required from other professionals.</w:t>
      </w:r>
    </w:p>
    <w:p w14:paraId="2B209B02" w14:textId="77777777" w:rsidR="002A7BE7" w:rsidRDefault="00B94E79" w:rsidP="00B94E79">
      <w:pPr>
        <w:numPr>
          <w:ilvl w:val="0"/>
          <w:numId w:val="15"/>
        </w:numPr>
        <w:tabs>
          <w:tab w:val="clear" w:pos="900"/>
          <w:tab w:val="num" w:pos="720"/>
        </w:tabs>
        <w:spacing w:after="0" w:line="240" w:lineRule="auto"/>
        <w:ind w:left="720"/>
      </w:pPr>
      <w:r w:rsidRPr="00C34D89">
        <w:t>The support plan</w:t>
      </w:r>
      <w:r w:rsidR="00BE49EA">
        <w:t xml:space="preserve"> will aim to empower the customers</w:t>
      </w:r>
      <w:r w:rsidRPr="00C34D89">
        <w:t xml:space="preserve"> to live as independently as possible whilst recognising their complex support needs. </w:t>
      </w:r>
    </w:p>
    <w:p w14:paraId="723B1864" w14:textId="654BE1C1" w:rsidR="00B94E79" w:rsidRPr="00C34D89" w:rsidRDefault="00B94E79" w:rsidP="00B94E79">
      <w:pPr>
        <w:numPr>
          <w:ilvl w:val="0"/>
          <w:numId w:val="15"/>
        </w:numPr>
        <w:tabs>
          <w:tab w:val="clear" w:pos="900"/>
          <w:tab w:val="num" w:pos="720"/>
        </w:tabs>
        <w:spacing w:after="0" w:line="240" w:lineRule="auto"/>
        <w:ind w:left="720"/>
      </w:pPr>
      <w:r w:rsidRPr="00C34D89">
        <w:t>A risk management plan wi</w:t>
      </w:r>
      <w:r w:rsidR="00BE49EA">
        <w:t>ll be formulated with the customer and their families, advocates and other interested parties</w:t>
      </w:r>
      <w:r w:rsidRPr="00C34D89">
        <w:t xml:space="preserve"> that identifies risk</w:t>
      </w:r>
      <w:r w:rsidR="00BE49EA">
        <w:t>s presented to and by the customer</w:t>
      </w:r>
      <w:r>
        <w:t>,</w:t>
      </w:r>
      <w:r w:rsidRPr="00C34D89">
        <w:t xml:space="preserve"> and identifies risk management strategies.</w:t>
      </w:r>
      <w:r w:rsidRPr="00C34D89">
        <w:rPr>
          <w:color w:val="FF0000"/>
        </w:rPr>
        <w:t xml:space="preserve"> </w:t>
      </w:r>
      <w:r w:rsidRPr="00C34D89">
        <w:t xml:space="preserve">This </w:t>
      </w:r>
      <w:r>
        <w:t xml:space="preserve">must be </w:t>
      </w:r>
      <w:r w:rsidRPr="00C34D89">
        <w:t>valid for both support inside and outside the home when attending activities.</w:t>
      </w:r>
    </w:p>
    <w:p w14:paraId="6023AAA3" w14:textId="6A20F31F" w:rsidR="00B94E79" w:rsidRDefault="00B94E79" w:rsidP="00B94E79">
      <w:pPr>
        <w:numPr>
          <w:ilvl w:val="0"/>
          <w:numId w:val="15"/>
        </w:numPr>
        <w:tabs>
          <w:tab w:val="clear" w:pos="900"/>
          <w:tab w:val="num" w:pos="720"/>
        </w:tabs>
        <w:spacing w:after="0" w:line="240" w:lineRule="auto"/>
        <w:ind w:left="720"/>
      </w:pPr>
      <w:r w:rsidRPr="00C34D89">
        <w:t xml:space="preserve">The support plan will be outcome </w:t>
      </w:r>
      <w:r w:rsidR="002A7BE7" w:rsidRPr="00C34D89">
        <w:t>focused</w:t>
      </w:r>
      <w:r w:rsidRPr="00C34D89">
        <w:t xml:space="preserve"> incorporating milestones towards achieving those outcomes.</w:t>
      </w:r>
    </w:p>
    <w:p w14:paraId="5D943D36" w14:textId="7B58E26F" w:rsidR="00022DC6" w:rsidRPr="00C34D89" w:rsidRDefault="00022DC6" w:rsidP="00B94E79">
      <w:pPr>
        <w:numPr>
          <w:ilvl w:val="0"/>
          <w:numId w:val="15"/>
        </w:numPr>
        <w:tabs>
          <w:tab w:val="clear" w:pos="900"/>
          <w:tab w:val="num" w:pos="720"/>
        </w:tabs>
        <w:spacing w:after="0" w:line="240" w:lineRule="auto"/>
        <w:ind w:left="720"/>
      </w:pPr>
      <w:r>
        <w:t>The support plan will ensure the customer maintains good physical and mental health for as long as possible, feels satisfied arrangements are in place to access treatment and are supported in managing their long term conditions through promotion of self-care and self-determination where appropriate.</w:t>
      </w:r>
    </w:p>
    <w:p w14:paraId="53562839" w14:textId="5E3C6181" w:rsidR="00B94E79" w:rsidRPr="00C34D89" w:rsidRDefault="00B94E79" w:rsidP="00B94E79">
      <w:pPr>
        <w:numPr>
          <w:ilvl w:val="0"/>
          <w:numId w:val="15"/>
        </w:numPr>
        <w:tabs>
          <w:tab w:val="clear" w:pos="900"/>
          <w:tab w:val="num" w:pos="720"/>
        </w:tabs>
        <w:spacing w:after="0" w:line="240" w:lineRule="auto"/>
        <w:ind w:left="720"/>
      </w:pPr>
      <w:r w:rsidRPr="00C34D89">
        <w:t>The support plans and the risk management plans will be reviewed at least six monthly or sooner if required</w:t>
      </w:r>
      <w:r w:rsidR="008B23DC">
        <w:t xml:space="preserve"> due to a change in need or risk</w:t>
      </w:r>
      <w:r w:rsidRPr="00C34D89">
        <w:t xml:space="preserve">.  During the first 12 months of the service starting, in addition to the standard 6 week review, it is expected </w:t>
      </w:r>
      <w:r>
        <w:t>support plans</w:t>
      </w:r>
      <w:r w:rsidRPr="00C34D89">
        <w:t xml:space="preserve"> will be reviewed quarterly as a minimum.</w:t>
      </w:r>
    </w:p>
    <w:p w14:paraId="2B51F9F6" w14:textId="6340A945" w:rsidR="00B94E79" w:rsidRDefault="00B94E79" w:rsidP="0044278A">
      <w:pPr>
        <w:numPr>
          <w:ilvl w:val="0"/>
          <w:numId w:val="15"/>
        </w:numPr>
        <w:tabs>
          <w:tab w:val="clear" w:pos="900"/>
          <w:tab w:val="num" w:pos="720"/>
        </w:tabs>
        <w:spacing w:after="0" w:line="240" w:lineRule="auto"/>
        <w:ind w:left="720"/>
      </w:pPr>
      <w:r w:rsidRPr="00C34D89">
        <w:t>There is a clear appeals process in place, which involves staff not directly involved in s</w:t>
      </w:r>
      <w:r w:rsidR="00022DC6">
        <w:t>upport delivery, should a customer</w:t>
      </w:r>
      <w:r w:rsidRPr="00C34D89">
        <w:t xml:space="preserve"> or their family be unhappy</w:t>
      </w:r>
      <w:r w:rsidR="00022DC6">
        <w:t xml:space="preserve"> with their support plan or the</w:t>
      </w:r>
      <w:r w:rsidRPr="00C34D89">
        <w:t xml:space="preserve"> way in which their support is being delivered.</w:t>
      </w:r>
    </w:p>
    <w:p w14:paraId="02EF1163" w14:textId="77777777" w:rsidR="00D434D6" w:rsidRPr="00D434D6" w:rsidRDefault="00D434D6" w:rsidP="00D434D6">
      <w:pPr>
        <w:spacing w:after="0" w:line="240" w:lineRule="auto"/>
        <w:ind w:left="720"/>
      </w:pPr>
    </w:p>
    <w:p w14:paraId="05544EA3" w14:textId="39BEFCBA" w:rsidR="00D434D6" w:rsidRDefault="0044278A" w:rsidP="00BC0B5F">
      <w:pPr>
        <w:pStyle w:val="Heading2"/>
      </w:pPr>
      <w:r>
        <w:t>Service location / times of delivery</w:t>
      </w:r>
    </w:p>
    <w:p w14:paraId="6650B91D" w14:textId="77777777" w:rsidR="00BC0B5F" w:rsidRDefault="00BC0B5F" w:rsidP="00B6312A"/>
    <w:p w14:paraId="58308840" w14:textId="24C3C8EC" w:rsidR="00BC0B5F" w:rsidRDefault="00BC0B5F" w:rsidP="00B6312A">
      <w:r>
        <w:t>The service is located in Finchampstead Road, Wokingham, Berkshire. The building is owned by a private landlord who leases the property to Wokingham Borough Council. The Council sub-lets the property to the three young men. The current lease with the landlord is due to expire in 2019. The lease is subject to a six month break clause. Under the lease agreement the tenants are responsible for the internal décor of the property.</w:t>
      </w:r>
    </w:p>
    <w:p w14:paraId="0E596F0D" w14:textId="77777777" w:rsidR="00191BF4" w:rsidRPr="00B94E79" w:rsidRDefault="00BD268F" w:rsidP="00B6312A">
      <w:pPr>
        <w:rPr>
          <w:rFonts w:cs="Arial"/>
          <w:szCs w:val="24"/>
        </w:rPr>
      </w:pPr>
      <w:r w:rsidRPr="00B94E79">
        <w:rPr>
          <w:rFonts w:cs="Arial"/>
          <w:szCs w:val="24"/>
        </w:rPr>
        <w:t>The service will be staffed 24/7, providing a total of 353 hours of support per week. Outside of the waking night support worker, each customer is supported 1:1 at all times.</w:t>
      </w:r>
    </w:p>
    <w:p w14:paraId="1806032B" w14:textId="77777777" w:rsidR="00BD268F" w:rsidRPr="00B94E79" w:rsidRDefault="00BD268F" w:rsidP="00B6312A">
      <w:pPr>
        <w:rPr>
          <w:rFonts w:cs="Arial"/>
          <w:szCs w:val="24"/>
        </w:rPr>
      </w:pPr>
      <w:r w:rsidRPr="00B94E79">
        <w:rPr>
          <w:rFonts w:cs="Arial"/>
          <w:szCs w:val="24"/>
        </w:rPr>
        <w:t>The waking night shift is for 9 hours per night from 10.00pm to 7.00am.</w:t>
      </w:r>
    </w:p>
    <w:p w14:paraId="39B43A00" w14:textId="77777777" w:rsidR="00BD268F" w:rsidRPr="00B94E79" w:rsidRDefault="00BD268F" w:rsidP="00B6312A">
      <w:pPr>
        <w:rPr>
          <w:rFonts w:cs="Arial"/>
          <w:szCs w:val="24"/>
        </w:rPr>
      </w:pPr>
      <w:r w:rsidRPr="00B94E79">
        <w:rPr>
          <w:rFonts w:cs="Arial"/>
          <w:szCs w:val="24"/>
        </w:rPr>
        <w:t>The full contingent of 353 hours will be split between the customers as follow:</w:t>
      </w:r>
    </w:p>
    <w:p w14:paraId="5221E060" w14:textId="77777777" w:rsidR="00BD268F" w:rsidRPr="00B94E79" w:rsidRDefault="00BD268F" w:rsidP="00B6312A">
      <w:pPr>
        <w:rPr>
          <w:rFonts w:cs="Arial"/>
          <w:szCs w:val="24"/>
        </w:rPr>
      </w:pPr>
      <w:r w:rsidRPr="00B94E79">
        <w:rPr>
          <w:rFonts w:cs="Arial"/>
          <w:szCs w:val="24"/>
        </w:rPr>
        <w:t>OC – 126 hours per week</w:t>
      </w:r>
    </w:p>
    <w:p w14:paraId="78A99C90" w14:textId="77777777" w:rsidR="00BD268F" w:rsidRPr="00B94E79" w:rsidRDefault="00BD268F" w:rsidP="00B6312A">
      <w:pPr>
        <w:rPr>
          <w:rFonts w:cs="Arial"/>
          <w:szCs w:val="24"/>
        </w:rPr>
      </w:pPr>
      <w:r w:rsidRPr="00B94E79">
        <w:rPr>
          <w:rFonts w:cs="Arial"/>
          <w:szCs w:val="24"/>
        </w:rPr>
        <w:t>DQ – 126 hours per week</w:t>
      </w:r>
    </w:p>
    <w:p w14:paraId="1DE82A6A" w14:textId="77777777" w:rsidR="00BD268F" w:rsidRPr="00B94E79" w:rsidRDefault="00D9390E" w:rsidP="00B6312A">
      <w:pPr>
        <w:rPr>
          <w:rFonts w:cs="Arial"/>
          <w:szCs w:val="24"/>
        </w:rPr>
      </w:pPr>
      <w:r w:rsidRPr="00B94E79">
        <w:rPr>
          <w:rFonts w:cs="Arial"/>
          <w:szCs w:val="24"/>
        </w:rPr>
        <w:t>DY – 101 hours per week</w:t>
      </w:r>
    </w:p>
    <w:p w14:paraId="6EAFDFC6" w14:textId="77777777" w:rsidR="00D9390E" w:rsidRPr="00B94E79" w:rsidRDefault="00D9390E" w:rsidP="00B6312A">
      <w:pPr>
        <w:rPr>
          <w:rFonts w:cs="Arial"/>
          <w:szCs w:val="24"/>
        </w:rPr>
      </w:pPr>
      <w:r w:rsidRPr="00B94E79">
        <w:rPr>
          <w:rFonts w:cs="Arial"/>
          <w:szCs w:val="24"/>
        </w:rPr>
        <w:t>Please note these hours include the share of a waking night worker.</w:t>
      </w:r>
    </w:p>
    <w:p w14:paraId="6C28A2C4" w14:textId="77777777" w:rsidR="00D9390E" w:rsidRPr="00B94E79" w:rsidRDefault="00D9390E" w:rsidP="00B6312A">
      <w:pPr>
        <w:rPr>
          <w:rFonts w:cs="Arial"/>
          <w:szCs w:val="24"/>
        </w:rPr>
      </w:pPr>
      <w:r w:rsidRPr="00B94E79">
        <w:rPr>
          <w:rFonts w:cs="Arial"/>
          <w:szCs w:val="24"/>
        </w:rPr>
        <w:t>DY also has 25 hours of support from an alternative care agency – funded via a direct payment. This support is not part of the WBC commissioned service and is subject to a private contractual arrangement with the family.</w:t>
      </w:r>
    </w:p>
    <w:p w14:paraId="6DF93282" w14:textId="77777777" w:rsidR="00D9390E" w:rsidRPr="00B94E79" w:rsidRDefault="00D9390E" w:rsidP="00B6312A">
      <w:pPr>
        <w:rPr>
          <w:rFonts w:cs="Arial"/>
          <w:szCs w:val="24"/>
        </w:rPr>
      </w:pPr>
      <w:r w:rsidRPr="00B94E79">
        <w:rPr>
          <w:rFonts w:cs="Arial"/>
          <w:szCs w:val="24"/>
        </w:rPr>
        <w:t>As the support level is consistently 1:1, it is expected that workers will support customers to access the community and attend regular events/activities.</w:t>
      </w:r>
    </w:p>
    <w:p w14:paraId="0C13A86E" w14:textId="77777777" w:rsidR="00B6312A" w:rsidRPr="00B94E79" w:rsidRDefault="00B6312A" w:rsidP="00B6312A">
      <w:pPr>
        <w:rPr>
          <w:rFonts w:cs="Arial"/>
          <w:szCs w:val="24"/>
        </w:rPr>
      </w:pPr>
      <w:r w:rsidRPr="00B94E79">
        <w:rPr>
          <w:rFonts w:cs="Arial"/>
          <w:szCs w:val="24"/>
        </w:rPr>
        <w:t xml:space="preserve">The service will maintain an appropriate office/site base in the Wokingham Borough. </w:t>
      </w:r>
    </w:p>
    <w:p w14:paraId="207911BE" w14:textId="77777777" w:rsidR="006A4A8F" w:rsidRDefault="00583A3B" w:rsidP="00D9390E">
      <w:pPr>
        <w:pStyle w:val="Heading2"/>
      </w:pPr>
      <w:r>
        <w:br/>
      </w:r>
      <w:r w:rsidR="006A4A8F">
        <w:t>Staffing</w:t>
      </w:r>
      <w:r w:rsidR="00D9390E">
        <w:t xml:space="preserve"> </w:t>
      </w:r>
    </w:p>
    <w:p w14:paraId="2B68D060" w14:textId="77777777" w:rsidR="00650A81" w:rsidRDefault="00FF6379" w:rsidP="00D9390E">
      <w:r>
        <w:br/>
      </w:r>
      <w:r w:rsidR="00D9390E" w:rsidRPr="00C34D89">
        <w:t>The Provider will</w:t>
      </w:r>
      <w:r w:rsidR="00650A81">
        <w:t>:</w:t>
      </w:r>
    </w:p>
    <w:p w14:paraId="5FAA58C0" w14:textId="1DC24281" w:rsidR="00D9390E" w:rsidRPr="00C34D89" w:rsidRDefault="00D9390E" w:rsidP="00650A81">
      <w:pPr>
        <w:pStyle w:val="ListParagraph"/>
        <w:numPr>
          <w:ilvl w:val="0"/>
          <w:numId w:val="31"/>
        </w:numPr>
      </w:pPr>
      <w:r w:rsidRPr="00C34D89">
        <w:t xml:space="preserve">be responsible for the recruitment, training, induction, support and regular supervision of staff and volunteers and will ensure that they maintain a high standard of professional behaviour and job performance. </w:t>
      </w:r>
    </w:p>
    <w:p w14:paraId="251B9678" w14:textId="7548747B" w:rsidR="00D9390E" w:rsidRPr="00C34D89" w:rsidRDefault="00D9390E" w:rsidP="00650A81">
      <w:pPr>
        <w:pStyle w:val="ListParagraph"/>
        <w:numPr>
          <w:ilvl w:val="0"/>
          <w:numId w:val="31"/>
        </w:numPr>
      </w:pPr>
      <w:r w:rsidRPr="00C34D89">
        <w:t xml:space="preserve">ensure, through robust recruitment and management of staff, that the staff team will remain </w:t>
      </w:r>
      <w:r>
        <w:t>consistent.</w:t>
      </w:r>
    </w:p>
    <w:p w14:paraId="2E682F78" w14:textId="224B32A9" w:rsidR="00D9390E" w:rsidRPr="00C34D89" w:rsidRDefault="00D9390E" w:rsidP="00650A81">
      <w:pPr>
        <w:pStyle w:val="ListParagraph"/>
        <w:numPr>
          <w:ilvl w:val="0"/>
          <w:numId w:val="31"/>
        </w:numPr>
      </w:pPr>
      <w:r w:rsidRPr="00C34D89">
        <w:t>ensure that training funded and provi</w:t>
      </w:r>
      <w:r w:rsidR="002A7BE7">
        <w:t>ded by the local authority is e</w:t>
      </w:r>
      <w:r w:rsidR="00D434D6">
        <w:t>m</w:t>
      </w:r>
      <w:r w:rsidRPr="00C34D89">
        <w:t>bedded in staff support.</w:t>
      </w:r>
    </w:p>
    <w:p w14:paraId="6DF1D912" w14:textId="3D7EF433" w:rsidR="00D9390E" w:rsidRPr="00C34D89" w:rsidRDefault="00D9390E" w:rsidP="00650A81">
      <w:pPr>
        <w:pStyle w:val="ListParagraph"/>
        <w:numPr>
          <w:ilvl w:val="0"/>
          <w:numId w:val="31"/>
        </w:numPr>
      </w:pPr>
      <w:r w:rsidRPr="00C34D89">
        <w:t xml:space="preserve">be required to allocate a ‘key worker’ to each customer, whose responsibilities include maintaining communication with stakeholders. </w:t>
      </w:r>
    </w:p>
    <w:p w14:paraId="72217681" w14:textId="5B125240" w:rsidR="00D9390E" w:rsidRPr="00C34D89" w:rsidRDefault="00D9390E" w:rsidP="00650A81">
      <w:pPr>
        <w:pStyle w:val="ListParagraph"/>
        <w:numPr>
          <w:ilvl w:val="0"/>
          <w:numId w:val="31"/>
        </w:numPr>
      </w:pPr>
      <w:r w:rsidRPr="00C34D89">
        <w:t>ensure that the service receives adequate support and supervision</w:t>
      </w:r>
      <w:r>
        <w:t xml:space="preserve"> from an experienced manager.  </w:t>
      </w:r>
    </w:p>
    <w:p w14:paraId="08CC3385" w14:textId="77777777" w:rsidR="00D9390E" w:rsidRPr="00C34D89" w:rsidRDefault="00D9390E" w:rsidP="00D9390E">
      <w:r w:rsidRPr="00C34D89">
        <w:t>It is expected that suppor</w:t>
      </w:r>
      <w:r>
        <w:t>t staff should have or develop:</w:t>
      </w:r>
    </w:p>
    <w:p w14:paraId="1CE12426" w14:textId="77777777" w:rsidR="00D9390E" w:rsidRPr="00D9390E" w:rsidRDefault="00D9390E" w:rsidP="00D9390E">
      <w:pPr>
        <w:pStyle w:val="BodyTextIndent2"/>
        <w:numPr>
          <w:ilvl w:val="0"/>
          <w:numId w:val="26"/>
        </w:numPr>
        <w:rPr>
          <w:rFonts w:asciiTheme="minorHAnsi" w:hAnsiTheme="minorHAnsi" w:cstheme="minorHAnsi"/>
          <w:sz w:val="24"/>
        </w:rPr>
      </w:pPr>
      <w:r w:rsidRPr="00D9390E">
        <w:rPr>
          <w:rFonts w:asciiTheme="minorHAnsi" w:hAnsiTheme="minorHAnsi" w:cstheme="minorHAnsi"/>
          <w:sz w:val="24"/>
        </w:rPr>
        <w:t xml:space="preserve">Experience of working with the client group including people with challenging behaviour, and complex healthcare needs.  </w:t>
      </w:r>
    </w:p>
    <w:p w14:paraId="04348D71" w14:textId="7FFCCE64" w:rsidR="00D9390E" w:rsidRPr="00D9390E" w:rsidRDefault="00D9390E" w:rsidP="00D9390E">
      <w:pPr>
        <w:pStyle w:val="BodyTextIndent2"/>
        <w:numPr>
          <w:ilvl w:val="0"/>
          <w:numId w:val="26"/>
        </w:numPr>
        <w:rPr>
          <w:rFonts w:asciiTheme="minorHAnsi" w:hAnsiTheme="minorHAnsi" w:cstheme="minorHAnsi"/>
          <w:sz w:val="24"/>
        </w:rPr>
      </w:pPr>
      <w:r w:rsidRPr="00D9390E">
        <w:rPr>
          <w:rFonts w:asciiTheme="minorHAnsi" w:hAnsiTheme="minorHAnsi" w:cstheme="minorHAnsi"/>
          <w:sz w:val="24"/>
        </w:rPr>
        <w:t>An understanding of the dynamics and need to foster a positive shared living environment whils</w:t>
      </w:r>
      <w:r w:rsidR="00022DC6">
        <w:rPr>
          <w:rFonts w:asciiTheme="minorHAnsi" w:hAnsiTheme="minorHAnsi" w:cstheme="minorHAnsi"/>
          <w:sz w:val="24"/>
        </w:rPr>
        <w:t>t continuing to promote customers</w:t>
      </w:r>
      <w:r w:rsidRPr="00D9390E">
        <w:rPr>
          <w:rFonts w:asciiTheme="minorHAnsi" w:hAnsiTheme="minorHAnsi" w:cstheme="minorHAnsi"/>
          <w:sz w:val="24"/>
        </w:rPr>
        <w:t xml:space="preserve"> individual rights and needs. </w:t>
      </w:r>
    </w:p>
    <w:p w14:paraId="6F22CE09" w14:textId="77777777" w:rsidR="00D9390E" w:rsidRPr="00D9390E" w:rsidRDefault="00D9390E" w:rsidP="00D9390E">
      <w:pPr>
        <w:pStyle w:val="BodyTextIndent2"/>
        <w:numPr>
          <w:ilvl w:val="0"/>
          <w:numId w:val="26"/>
        </w:numPr>
        <w:rPr>
          <w:rFonts w:asciiTheme="minorHAnsi" w:hAnsiTheme="minorHAnsi" w:cstheme="minorHAnsi"/>
          <w:sz w:val="24"/>
        </w:rPr>
      </w:pPr>
      <w:r w:rsidRPr="00D9390E">
        <w:rPr>
          <w:rFonts w:asciiTheme="minorHAnsi" w:hAnsiTheme="minorHAnsi" w:cstheme="minorHAnsi"/>
          <w:sz w:val="24"/>
        </w:rPr>
        <w:t>The ability to communicate clearly with customers unable to verbalise, and be understood by them.</w:t>
      </w:r>
    </w:p>
    <w:p w14:paraId="254732FF" w14:textId="6A197B83" w:rsidR="00D9390E" w:rsidRPr="00D9390E" w:rsidRDefault="00D9390E" w:rsidP="00D9390E">
      <w:pPr>
        <w:pStyle w:val="BodyTextIndent2"/>
        <w:numPr>
          <w:ilvl w:val="0"/>
          <w:numId w:val="26"/>
        </w:numPr>
        <w:rPr>
          <w:rFonts w:asciiTheme="minorHAnsi" w:hAnsiTheme="minorHAnsi" w:cstheme="minorHAnsi"/>
          <w:sz w:val="24"/>
        </w:rPr>
      </w:pPr>
      <w:r w:rsidRPr="00D9390E">
        <w:rPr>
          <w:rFonts w:asciiTheme="minorHAnsi" w:hAnsiTheme="minorHAnsi" w:cstheme="minorHAnsi"/>
          <w:sz w:val="24"/>
        </w:rPr>
        <w:t>An understanding of the im</w:t>
      </w:r>
      <w:r w:rsidR="00022DC6">
        <w:rPr>
          <w:rFonts w:asciiTheme="minorHAnsi" w:hAnsiTheme="minorHAnsi" w:cstheme="minorHAnsi"/>
          <w:sz w:val="24"/>
        </w:rPr>
        <w:t>pact of support needs on customers</w:t>
      </w:r>
      <w:r w:rsidRPr="00D9390E">
        <w:rPr>
          <w:rFonts w:asciiTheme="minorHAnsi" w:hAnsiTheme="minorHAnsi" w:cstheme="minorHAnsi"/>
          <w:sz w:val="24"/>
        </w:rPr>
        <w:t>, their families and local communities.</w:t>
      </w:r>
    </w:p>
    <w:p w14:paraId="377C20B4" w14:textId="77777777" w:rsidR="00D9390E" w:rsidRPr="00D9390E" w:rsidRDefault="00D9390E" w:rsidP="00D9390E">
      <w:pPr>
        <w:pStyle w:val="BodyTextIndent2"/>
        <w:numPr>
          <w:ilvl w:val="0"/>
          <w:numId w:val="26"/>
        </w:numPr>
        <w:rPr>
          <w:rFonts w:asciiTheme="minorHAnsi" w:hAnsiTheme="minorHAnsi" w:cstheme="minorHAnsi"/>
          <w:sz w:val="24"/>
        </w:rPr>
      </w:pPr>
      <w:r w:rsidRPr="00D9390E">
        <w:rPr>
          <w:rFonts w:asciiTheme="minorHAnsi" w:hAnsiTheme="minorHAnsi" w:cstheme="minorHAnsi"/>
          <w:sz w:val="24"/>
        </w:rPr>
        <w:t xml:space="preserve">A full commitment to empowering individuals to lead an independent life. </w:t>
      </w:r>
    </w:p>
    <w:p w14:paraId="2FFF587B" w14:textId="77777777" w:rsidR="00D9390E" w:rsidRPr="00D9390E" w:rsidRDefault="00D9390E" w:rsidP="00D9390E">
      <w:pPr>
        <w:pStyle w:val="BodyTextIndent2"/>
        <w:numPr>
          <w:ilvl w:val="0"/>
          <w:numId w:val="26"/>
        </w:numPr>
        <w:rPr>
          <w:rFonts w:asciiTheme="minorHAnsi" w:hAnsiTheme="minorHAnsi" w:cstheme="minorHAnsi"/>
          <w:sz w:val="24"/>
        </w:rPr>
      </w:pPr>
      <w:r w:rsidRPr="00D9390E">
        <w:rPr>
          <w:rFonts w:asciiTheme="minorHAnsi" w:hAnsiTheme="minorHAnsi" w:cstheme="minorHAnsi"/>
          <w:sz w:val="24"/>
        </w:rPr>
        <w:t xml:space="preserve">The ability to assist tenants with housing related support issues. </w:t>
      </w:r>
    </w:p>
    <w:p w14:paraId="71F23E46" w14:textId="3AC7CF41" w:rsidR="00D9390E" w:rsidRPr="00D9390E" w:rsidRDefault="00D9390E" w:rsidP="00D9390E">
      <w:pPr>
        <w:pStyle w:val="BodyTextIndent2"/>
        <w:numPr>
          <w:ilvl w:val="0"/>
          <w:numId w:val="26"/>
        </w:numPr>
        <w:rPr>
          <w:rFonts w:asciiTheme="minorHAnsi" w:hAnsiTheme="minorHAnsi" w:cstheme="minorHAnsi"/>
          <w:sz w:val="24"/>
        </w:rPr>
      </w:pPr>
      <w:r w:rsidRPr="00D9390E">
        <w:rPr>
          <w:rFonts w:asciiTheme="minorHAnsi" w:hAnsiTheme="minorHAnsi" w:cstheme="minorHAnsi"/>
          <w:sz w:val="24"/>
        </w:rPr>
        <w:t>The ability to work creatively and flexi</w:t>
      </w:r>
      <w:r w:rsidR="00022DC6">
        <w:rPr>
          <w:rFonts w:asciiTheme="minorHAnsi" w:hAnsiTheme="minorHAnsi" w:cstheme="minorHAnsi"/>
          <w:sz w:val="24"/>
        </w:rPr>
        <w:t>bly to meet the needs of customers</w:t>
      </w:r>
      <w:r w:rsidRPr="00D9390E">
        <w:rPr>
          <w:rFonts w:asciiTheme="minorHAnsi" w:hAnsiTheme="minorHAnsi" w:cstheme="minorHAnsi"/>
          <w:sz w:val="24"/>
        </w:rPr>
        <w:t xml:space="preserve">, adapting practice when taking advice from professionals with an expertise in their field </w:t>
      </w:r>
      <w:r w:rsidR="00AD5921" w:rsidRPr="00D9390E">
        <w:rPr>
          <w:rFonts w:asciiTheme="minorHAnsi" w:hAnsiTheme="minorHAnsi" w:cstheme="minorHAnsi"/>
          <w:sz w:val="24"/>
        </w:rPr>
        <w:t>– e.g</w:t>
      </w:r>
      <w:r>
        <w:rPr>
          <w:rFonts w:asciiTheme="minorHAnsi" w:hAnsiTheme="minorHAnsi" w:cstheme="minorHAnsi"/>
          <w:sz w:val="24"/>
        </w:rPr>
        <w:t>.</w:t>
      </w:r>
      <w:r w:rsidRPr="00D9390E">
        <w:rPr>
          <w:rFonts w:asciiTheme="minorHAnsi" w:hAnsiTheme="minorHAnsi" w:cstheme="minorHAnsi"/>
          <w:sz w:val="24"/>
        </w:rPr>
        <w:t xml:space="preserve"> a community learning disability nurse.</w:t>
      </w:r>
    </w:p>
    <w:p w14:paraId="754BEA3A" w14:textId="77777777" w:rsidR="00D9390E" w:rsidRPr="00D9390E" w:rsidRDefault="00D9390E" w:rsidP="00D9390E">
      <w:pPr>
        <w:pStyle w:val="BodyTextIndent2"/>
        <w:numPr>
          <w:ilvl w:val="0"/>
          <w:numId w:val="27"/>
        </w:numPr>
        <w:rPr>
          <w:rFonts w:asciiTheme="minorHAnsi" w:hAnsiTheme="minorHAnsi" w:cstheme="minorHAnsi"/>
          <w:sz w:val="24"/>
        </w:rPr>
      </w:pPr>
      <w:r w:rsidRPr="00D9390E">
        <w:rPr>
          <w:rFonts w:asciiTheme="minorHAnsi" w:hAnsiTheme="minorHAnsi" w:cstheme="minorHAnsi"/>
          <w:sz w:val="24"/>
        </w:rPr>
        <w:t>A full understanding of both confidentiality and safeguarding adult issues and procedures.</w:t>
      </w:r>
    </w:p>
    <w:p w14:paraId="7C65BB5D" w14:textId="77777777" w:rsidR="00D9390E" w:rsidRPr="00D9390E" w:rsidRDefault="00D9390E" w:rsidP="00D9390E">
      <w:pPr>
        <w:pStyle w:val="BodyTextIndent2"/>
        <w:numPr>
          <w:ilvl w:val="0"/>
          <w:numId w:val="27"/>
        </w:numPr>
        <w:rPr>
          <w:rFonts w:asciiTheme="minorHAnsi" w:hAnsiTheme="minorHAnsi" w:cstheme="minorHAnsi"/>
          <w:sz w:val="24"/>
        </w:rPr>
      </w:pPr>
      <w:r w:rsidRPr="00D9390E">
        <w:rPr>
          <w:rFonts w:asciiTheme="minorHAnsi" w:hAnsiTheme="minorHAnsi" w:cstheme="minorHAnsi"/>
          <w:sz w:val="24"/>
        </w:rPr>
        <w:t>The ability to work in partnership with key local statutory agencies, voluntary agencies and other housing and support providers, sharing intelligence and helping maintain a continuity of support across the customer’s entire support network.</w:t>
      </w:r>
    </w:p>
    <w:p w14:paraId="65D1C835" w14:textId="77777777" w:rsidR="00D9390E" w:rsidRPr="00C34D89" w:rsidRDefault="00D9390E" w:rsidP="00D9390E">
      <w:pPr>
        <w:pStyle w:val="BodyTextIndent2"/>
        <w:numPr>
          <w:ilvl w:val="0"/>
          <w:numId w:val="27"/>
        </w:numPr>
        <w:rPr>
          <w:b/>
        </w:rPr>
      </w:pPr>
      <w:r w:rsidRPr="00D9390E">
        <w:rPr>
          <w:rFonts w:asciiTheme="minorHAnsi" w:hAnsiTheme="minorHAnsi" w:cstheme="minorHAnsi"/>
          <w:sz w:val="24"/>
        </w:rPr>
        <w:t>An understanding of the organisation’s service requirements</w:t>
      </w:r>
      <w:r w:rsidRPr="00C34D89">
        <w:t>.</w:t>
      </w:r>
    </w:p>
    <w:p w14:paraId="3BFA88F9" w14:textId="77777777" w:rsidR="00D9390E" w:rsidRDefault="00D9390E" w:rsidP="00D9390E">
      <w:pPr>
        <w:numPr>
          <w:ilvl w:val="0"/>
          <w:numId w:val="28"/>
        </w:numPr>
        <w:spacing w:after="0" w:line="240" w:lineRule="auto"/>
      </w:pPr>
      <w:r w:rsidRPr="00C34D89">
        <w:t>Knowledge of ideas and initiatives concerning best practice in support services.</w:t>
      </w:r>
    </w:p>
    <w:p w14:paraId="15658BA1" w14:textId="77777777" w:rsidR="00D9390E" w:rsidRDefault="00D9390E" w:rsidP="00D434D6">
      <w:pPr>
        <w:spacing w:after="0" w:line="240" w:lineRule="auto"/>
      </w:pPr>
    </w:p>
    <w:p w14:paraId="73AA6ACA" w14:textId="77777777" w:rsidR="00D434D6" w:rsidRDefault="00D434D6" w:rsidP="00D434D6">
      <w:pPr>
        <w:spacing w:after="0" w:line="240" w:lineRule="auto"/>
        <w:rPr>
          <w:b/>
          <w:color w:val="E65B01" w:themeColor="accent1" w:themeShade="BF"/>
          <w:sz w:val="28"/>
          <w:szCs w:val="28"/>
        </w:rPr>
      </w:pPr>
      <w:r w:rsidRPr="00D434D6">
        <w:rPr>
          <w:b/>
          <w:color w:val="E65B01" w:themeColor="accent1" w:themeShade="BF"/>
          <w:sz w:val="28"/>
          <w:szCs w:val="28"/>
        </w:rPr>
        <w:t>CQC Registration</w:t>
      </w:r>
    </w:p>
    <w:p w14:paraId="6BCFB646" w14:textId="77777777" w:rsidR="00D434D6" w:rsidRDefault="00D434D6" w:rsidP="00D434D6">
      <w:pPr>
        <w:spacing w:after="0" w:line="240" w:lineRule="auto"/>
        <w:rPr>
          <w:b/>
          <w:color w:val="E65B01" w:themeColor="accent1" w:themeShade="BF"/>
          <w:sz w:val="28"/>
          <w:szCs w:val="28"/>
        </w:rPr>
      </w:pPr>
    </w:p>
    <w:p w14:paraId="1A90950A" w14:textId="77777777" w:rsidR="00D434D6" w:rsidRPr="00D434D6" w:rsidRDefault="00D434D6" w:rsidP="00D434D6">
      <w:pPr>
        <w:spacing w:after="0" w:line="240" w:lineRule="auto"/>
        <w:rPr>
          <w:szCs w:val="24"/>
        </w:rPr>
      </w:pPr>
      <w:r w:rsidRPr="00D434D6">
        <w:rPr>
          <w:szCs w:val="24"/>
        </w:rPr>
        <w:t xml:space="preserve">The </w:t>
      </w:r>
      <w:r>
        <w:rPr>
          <w:szCs w:val="24"/>
        </w:rPr>
        <w:t>service will be registered with the Care Quality Commission (CQC).</w:t>
      </w:r>
    </w:p>
    <w:p w14:paraId="37B272FB" w14:textId="77777777" w:rsidR="00D434D6" w:rsidRPr="00C34D89" w:rsidRDefault="00D434D6" w:rsidP="00D434D6">
      <w:pPr>
        <w:spacing w:after="0" w:line="240" w:lineRule="auto"/>
      </w:pPr>
    </w:p>
    <w:p w14:paraId="53F1D290" w14:textId="77777777" w:rsidR="001A7AB1" w:rsidRPr="00B94E79" w:rsidRDefault="00282EE1" w:rsidP="00D9390E">
      <w:pPr>
        <w:rPr>
          <w:b/>
          <w:color w:val="E65B01" w:themeColor="accent1" w:themeShade="BF"/>
          <w:sz w:val="28"/>
          <w:szCs w:val="28"/>
        </w:rPr>
      </w:pPr>
      <w:r w:rsidRPr="00B94E79">
        <w:rPr>
          <w:b/>
          <w:color w:val="E65B01" w:themeColor="accent1" w:themeShade="BF"/>
          <w:sz w:val="28"/>
          <w:szCs w:val="28"/>
        </w:rPr>
        <w:t>Partnership and joint working</w:t>
      </w:r>
    </w:p>
    <w:p w14:paraId="7F27ADCF" w14:textId="56DB37EA" w:rsidR="00B94E79" w:rsidRDefault="00B94E79" w:rsidP="00B94E79">
      <w:pPr>
        <w:pStyle w:val="BodyTextIndent2"/>
        <w:ind w:left="0"/>
        <w:rPr>
          <w:rFonts w:asciiTheme="minorHAnsi" w:hAnsiTheme="minorHAnsi" w:cstheme="minorHAnsi"/>
          <w:sz w:val="24"/>
        </w:rPr>
      </w:pPr>
      <w:r w:rsidRPr="00B94E79">
        <w:rPr>
          <w:rFonts w:asciiTheme="minorHAnsi" w:hAnsiTheme="minorHAnsi" w:cstheme="minorHAnsi"/>
          <w:sz w:val="24"/>
        </w:rPr>
        <w:t xml:space="preserve">The </w:t>
      </w:r>
      <w:r w:rsidR="00650A81">
        <w:rPr>
          <w:rFonts w:asciiTheme="minorHAnsi" w:hAnsiTheme="minorHAnsi" w:cstheme="minorHAnsi"/>
          <w:sz w:val="24"/>
        </w:rPr>
        <w:t>provider</w:t>
      </w:r>
      <w:r w:rsidRPr="00B94E79">
        <w:rPr>
          <w:rFonts w:asciiTheme="minorHAnsi" w:hAnsiTheme="minorHAnsi" w:cstheme="minorHAnsi"/>
          <w:sz w:val="24"/>
        </w:rPr>
        <w:t xml:space="preserve"> will establish and develop strong working relationships with key referral and stakeholder agencies. It is imperative that the provider develops a positive working relationship with customers’ families.</w:t>
      </w:r>
    </w:p>
    <w:p w14:paraId="3043D3B0" w14:textId="77777777" w:rsidR="00B94E79" w:rsidRPr="00B94E79" w:rsidRDefault="00B94E79" w:rsidP="00B94E79">
      <w:pPr>
        <w:pStyle w:val="BodyTextIndent2"/>
        <w:ind w:left="0"/>
        <w:rPr>
          <w:rFonts w:asciiTheme="minorHAnsi" w:hAnsiTheme="minorHAnsi" w:cstheme="minorHAnsi"/>
          <w:sz w:val="24"/>
        </w:rPr>
      </w:pPr>
    </w:p>
    <w:p w14:paraId="351CD996" w14:textId="2AABAA3E" w:rsidR="00B94E79" w:rsidRDefault="00650A81" w:rsidP="00B94E79">
      <w:pPr>
        <w:pStyle w:val="BodyTextIndent2"/>
        <w:ind w:left="0"/>
        <w:rPr>
          <w:rFonts w:asciiTheme="minorHAnsi" w:hAnsiTheme="minorHAnsi" w:cstheme="minorHAnsi"/>
          <w:sz w:val="24"/>
        </w:rPr>
      </w:pPr>
      <w:r>
        <w:rPr>
          <w:rFonts w:asciiTheme="minorHAnsi" w:hAnsiTheme="minorHAnsi" w:cstheme="minorHAnsi"/>
          <w:sz w:val="24"/>
        </w:rPr>
        <w:t>The</w:t>
      </w:r>
      <w:r w:rsidR="00B94E79" w:rsidRPr="00B94E79">
        <w:rPr>
          <w:rFonts w:asciiTheme="minorHAnsi" w:hAnsiTheme="minorHAnsi" w:cstheme="minorHAnsi"/>
          <w:sz w:val="24"/>
        </w:rPr>
        <w:t xml:space="preserve"> provider will consult with stakeholders of the service on a regular basis - at least annually - to offer the opportunity to feed into service delivery, monitor outcomes achieved and ensure that the service is meeting the needs of the customers.</w:t>
      </w:r>
    </w:p>
    <w:p w14:paraId="2ED41062" w14:textId="77777777" w:rsidR="00B94E79" w:rsidRDefault="00B94E79" w:rsidP="00B94E79">
      <w:pPr>
        <w:pStyle w:val="BodyTextIndent2"/>
        <w:ind w:left="0"/>
        <w:rPr>
          <w:rFonts w:asciiTheme="minorHAnsi" w:hAnsiTheme="minorHAnsi" w:cstheme="minorHAnsi"/>
          <w:sz w:val="24"/>
        </w:rPr>
      </w:pPr>
    </w:p>
    <w:p w14:paraId="18853E9E" w14:textId="03F0FDE8" w:rsidR="00F01A39" w:rsidRDefault="00650A81" w:rsidP="00F01A39">
      <w:pPr>
        <w:pStyle w:val="BodyTextIndent2"/>
        <w:ind w:left="0"/>
        <w:rPr>
          <w:rFonts w:asciiTheme="minorHAnsi" w:hAnsiTheme="minorHAnsi" w:cstheme="minorHAnsi"/>
          <w:sz w:val="24"/>
        </w:rPr>
      </w:pPr>
      <w:r>
        <w:rPr>
          <w:rFonts w:asciiTheme="minorHAnsi" w:hAnsiTheme="minorHAnsi" w:cstheme="minorHAnsi"/>
          <w:sz w:val="24"/>
        </w:rPr>
        <w:t>The</w:t>
      </w:r>
      <w:r w:rsidR="00F01A39">
        <w:rPr>
          <w:rFonts w:asciiTheme="minorHAnsi" w:hAnsiTheme="minorHAnsi" w:cstheme="minorHAnsi"/>
          <w:sz w:val="24"/>
        </w:rPr>
        <w:t xml:space="preserve"> provider will ensure that staff communicate with other agencies supporting O</w:t>
      </w:r>
      <w:r>
        <w:rPr>
          <w:rFonts w:asciiTheme="minorHAnsi" w:hAnsiTheme="minorHAnsi" w:cstheme="minorHAnsi"/>
          <w:sz w:val="24"/>
        </w:rPr>
        <w:t>C</w:t>
      </w:r>
      <w:r w:rsidR="00F01A39">
        <w:rPr>
          <w:rFonts w:asciiTheme="minorHAnsi" w:hAnsiTheme="minorHAnsi" w:cstheme="minorHAnsi"/>
          <w:sz w:val="24"/>
        </w:rPr>
        <w:t>, DY &amp; D</w:t>
      </w:r>
      <w:r>
        <w:rPr>
          <w:rFonts w:asciiTheme="minorHAnsi" w:hAnsiTheme="minorHAnsi" w:cstheme="minorHAnsi"/>
          <w:sz w:val="24"/>
        </w:rPr>
        <w:t>Q</w:t>
      </w:r>
      <w:r w:rsidR="00F01A39">
        <w:rPr>
          <w:rFonts w:asciiTheme="minorHAnsi" w:hAnsiTheme="minorHAnsi" w:cstheme="minorHAnsi"/>
          <w:sz w:val="24"/>
        </w:rPr>
        <w:t xml:space="preserve"> to ensure that support practice is consistent across the entire package of care for these customers.</w:t>
      </w:r>
    </w:p>
    <w:p w14:paraId="4AC00405" w14:textId="77777777" w:rsidR="00F01A39" w:rsidRPr="00B94E79" w:rsidRDefault="00F01A39" w:rsidP="00B94E79">
      <w:pPr>
        <w:pStyle w:val="BodyTextIndent2"/>
        <w:ind w:left="0"/>
        <w:rPr>
          <w:rFonts w:asciiTheme="minorHAnsi" w:hAnsiTheme="minorHAnsi" w:cstheme="minorHAnsi"/>
          <w:sz w:val="24"/>
        </w:rPr>
      </w:pPr>
    </w:p>
    <w:p w14:paraId="43671EBD" w14:textId="77777777" w:rsidR="00583A3B" w:rsidRDefault="00B94E79" w:rsidP="00B94E79">
      <w:pPr>
        <w:pStyle w:val="BodyTextIndent2"/>
        <w:ind w:left="0"/>
        <w:rPr>
          <w:rFonts w:asciiTheme="minorHAnsi" w:hAnsiTheme="minorHAnsi" w:cstheme="minorHAnsi"/>
          <w:sz w:val="24"/>
        </w:rPr>
      </w:pPr>
      <w:r w:rsidRPr="00B94E79">
        <w:rPr>
          <w:rFonts w:asciiTheme="minorHAnsi" w:hAnsiTheme="minorHAnsi" w:cstheme="minorHAnsi"/>
          <w:sz w:val="24"/>
        </w:rPr>
        <w:t>The provider must be aware of key government policies, legislation, and good practice guidance and use it to influence service planning and delivery.</w:t>
      </w:r>
    </w:p>
    <w:p w14:paraId="66131A37" w14:textId="77777777" w:rsidR="00B94E79" w:rsidRPr="00B94E79" w:rsidRDefault="00B94E79" w:rsidP="00B94E79">
      <w:pPr>
        <w:pStyle w:val="BodyTextIndent2"/>
        <w:ind w:left="0"/>
        <w:rPr>
          <w:rFonts w:asciiTheme="minorHAnsi" w:hAnsiTheme="minorHAnsi" w:cstheme="minorHAnsi"/>
          <w:sz w:val="24"/>
        </w:rPr>
      </w:pPr>
    </w:p>
    <w:p w14:paraId="05E19CDB" w14:textId="27AA8B5A" w:rsidR="00583A3B" w:rsidRPr="00583A3B" w:rsidRDefault="00583A3B" w:rsidP="00583A3B">
      <w:pPr>
        <w:pStyle w:val="BodyTextIndent2"/>
        <w:ind w:left="0"/>
        <w:rPr>
          <w:rFonts w:asciiTheme="minorHAnsi" w:hAnsiTheme="minorHAnsi"/>
          <w:sz w:val="24"/>
        </w:rPr>
      </w:pPr>
      <w:r w:rsidRPr="00583A3B">
        <w:rPr>
          <w:rFonts w:asciiTheme="minorHAnsi" w:hAnsiTheme="minorHAnsi"/>
          <w:sz w:val="24"/>
        </w:rPr>
        <w:t xml:space="preserve">The </w:t>
      </w:r>
      <w:r w:rsidR="00650A81">
        <w:rPr>
          <w:rFonts w:asciiTheme="minorHAnsi" w:hAnsiTheme="minorHAnsi"/>
          <w:sz w:val="24"/>
        </w:rPr>
        <w:t>provider</w:t>
      </w:r>
      <w:r w:rsidRPr="00583A3B">
        <w:rPr>
          <w:rFonts w:asciiTheme="minorHAnsi" w:hAnsiTheme="minorHAnsi"/>
          <w:sz w:val="24"/>
        </w:rPr>
        <w:t xml:space="preserve"> will be active in the local community of Wokingham Borough and will be represented at appropriate agency or multi-agency forums. </w:t>
      </w:r>
    </w:p>
    <w:p w14:paraId="3B4B2E1D" w14:textId="77777777" w:rsidR="00583A3B" w:rsidRPr="00583A3B" w:rsidRDefault="00583A3B" w:rsidP="00583A3B">
      <w:pPr>
        <w:pStyle w:val="BodyTextIndent2"/>
        <w:ind w:left="0"/>
        <w:rPr>
          <w:rFonts w:asciiTheme="minorHAnsi" w:hAnsiTheme="minorHAnsi"/>
          <w:sz w:val="24"/>
        </w:rPr>
      </w:pPr>
    </w:p>
    <w:p w14:paraId="5D0E9034" w14:textId="77777777" w:rsidR="00282EE1" w:rsidRDefault="00282EE1" w:rsidP="00583A3B">
      <w:pPr>
        <w:pStyle w:val="Heading1"/>
        <w:numPr>
          <w:ilvl w:val="0"/>
          <w:numId w:val="3"/>
        </w:numPr>
      </w:pPr>
      <w:r>
        <w:t>Customer engagement</w:t>
      </w:r>
      <w:r w:rsidR="00191BF4">
        <w:t xml:space="preserve"> and communication</w:t>
      </w:r>
    </w:p>
    <w:p w14:paraId="12BF00DF" w14:textId="77777777" w:rsidR="00583A3B" w:rsidRPr="00583A3B" w:rsidRDefault="00583A3B" w:rsidP="00583A3B">
      <w:pPr>
        <w:pStyle w:val="BodyTextIndent2"/>
        <w:ind w:left="0"/>
        <w:rPr>
          <w:rFonts w:asciiTheme="minorHAnsi" w:hAnsiTheme="minorHAnsi"/>
          <w:sz w:val="24"/>
        </w:rPr>
      </w:pPr>
    </w:p>
    <w:p w14:paraId="449126A8" w14:textId="5BA89069" w:rsidR="00673F3E" w:rsidRPr="00673F3E" w:rsidRDefault="00191BF4" w:rsidP="00673F3E">
      <w:r w:rsidRPr="00191BF4">
        <w:t xml:space="preserve">The </w:t>
      </w:r>
      <w:r w:rsidR="00650A81">
        <w:t>provider</w:t>
      </w:r>
      <w:r w:rsidRPr="00191BF4">
        <w:t xml:space="preserve"> will</w:t>
      </w:r>
      <w:r w:rsidR="00CF7B72">
        <w:t xml:space="preserve"> actively encourage engagement of the customers</w:t>
      </w:r>
      <w:r w:rsidR="00D9390E">
        <w:t xml:space="preserve"> and their families/carers</w:t>
      </w:r>
      <w:r w:rsidR="00CF7B72">
        <w:t xml:space="preserve"> </w:t>
      </w:r>
      <w:r w:rsidR="00371F56">
        <w:t xml:space="preserve">in relation to the </w:t>
      </w:r>
      <w:r w:rsidR="00CF7B72">
        <w:t>delivery</w:t>
      </w:r>
      <w:r w:rsidRPr="00191BF4">
        <w:t xml:space="preserve"> </w:t>
      </w:r>
      <w:r w:rsidR="00CF7B72">
        <w:t xml:space="preserve">of the </w:t>
      </w:r>
      <w:r w:rsidRPr="00191BF4">
        <w:t>service.</w:t>
      </w:r>
    </w:p>
    <w:p w14:paraId="0F84C4FD" w14:textId="77777777" w:rsidR="00282EE1" w:rsidRDefault="00282EE1" w:rsidP="00583A3B">
      <w:pPr>
        <w:pStyle w:val="Heading1"/>
        <w:numPr>
          <w:ilvl w:val="0"/>
          <w:numId w:val="3"/>
        </w:numPr>
      </w:pPr>
      <w:r>
        <w:t>Values and principles</w:t>
      </w:r>
    </w:p>
    <w:p w14:paraId="7385DC19" w14:textId="7ECA8609" w:rsidR="00673F3E" w:rsidRPr="00673F3E" w:rsidRDefault="00650A81" w:rsidP="00673F3E">
      <w:r>
        <w:t>The Provider’s values and principles will:</w:t>
      </w:r>
    </w:p>
    <w:p w14:paraId="7159A224" w14:textId="77777777" w:rsidR="00A32A7B" w:rsidRDefault="00A32A7B" w:rsidP="00A32A7B">
      <w:pPr>
        <w:pStyle w:val="ListParagraph"/>
        <w:numPr>
          <w:ilvl w:val="0"/>
          <w:numId w:val="7"/>
        </w:numPr>
      </w:pPr>
      <w:r>
        <w:t>Ensure that support planning and delivery i</w:t>
      </w:r>
      <w:r w:rsidR="0075741D">
        <w:t>s co-produced with the customer</w:t>
      </w:r>
      <w:r>
        <w:t xml:space="preserve"> </w:t>
      </w:r>
    </w:p>
    <w:p w14:paraId="16AE310C" w14:textId="77777777" w:rsidR="00A32A7B" w:rsidRDefault="00A32A7B" w:rsidP="00A32A7B">
      <w:pPr>
        <w:pStyle w:val="ListParagraph"/>
        <w:numPr>
          <w:ilvl w:val="0"/>
          <w:numId w:val="7"/>
        </w:numPr>
      </w:pPr>
      <w:r>
        <w:t>Deliver</w:t>
      </w:r>
      <w:r w:rsidR="00096A41">
        <w:t xml:space="preserve"> high quality care and support </w:t>
      </w:r>
      <w:r>
        <w:t xml:space="preserve">to </w:t>
      </w:r>
      <w:r w:rsidR="0075741D">
        <w:t>achieve the aims of the service</w:t>
      </w:r>
    </w:p>
    <w:p w14:paraId="339C577A" w14:textId="77777777" w:rsidR="00A32A7B" w:rsidRDefault="00A32A7B" w:rsidP="00A32A7B">
      <w:pPr>
        <w:pStyle w:val="ListParagraph"/>
        <w:numPr>
          <w:ilvl w:val="0"/>
          <w:numId w:val="7"/>
        </w:numPr>
      </w:pPr>
      <w:r>
        <w:t>Be well suited to those wh</w:t>
      </w:r>
      <w:r w:rsidR="0075741D">
        <w:t>o use it and non-discriminatory</w:t>
      </w:r>
      <w:r>
        <w:t xml:space="preserve"> </w:t>
      </w:r>
    </w:p>
    <w:p w14:paraId="0FD4AD0E" w14:textId="77777777" w:rsidR="00A32A7B" w:rsidRDefault="00A32A7B" w:rsidP="00A32A7B">
      <w:pPr>
        <w:pStyle w:val="ListParagraph"/>
        <w:numPr>
          <w:ilvl w:val="0"/>
          <w:numId w:val="7"/>
        </w:numPr>
      </w:pPr>
      <w:r>
        <w:t>Be accessible so that it can provide services when needed to all customers wit</w:t>
      </w:r>
      <w:r w:rsidR="0075741D">
        <w:t>hin its normal operating hours</w:t>
      </w:r>
    </w:p>
    <w:p w14:paraId="6CFF9B5E" w14:textId="77777777" w:rsidR="00A32A7B" w:rsidRDefault="00A32A7B" w:rsidP="00A32A7B">
      <w:pPr>
        <w:pStyle w:val="ListParagraph"/>
        <w:numPr>
          <w:ilvl w:val="0"/>
          <w:numId w:val="7"/>
        </w:numPr>
      </w:pPr>
      <w:r>
        <w:t>Promote the safety of customers and that of their car</w:t>
      </w:r>
      <w:r w:rsidR="0075741D">
        <w:t>ers, staff and the wider public</w:t>
      </w:r>
    </w:p>
    <w:p w14:paraId="24F86893" w14:textId="77777777" w:rsidR="00A32A7B" w:rsidRDefault="00A32A7B" w:rsidP="00A32A7B">
      <w:pPr>
        <w:pStyle w:val="ListParagraph"/>
        <w:numPr>
          <w:ilvl w:val="0"/>
          <w:numId w:val="7"/>
        </w:numPr>
      </w:pPr>
      <w:r>
        <w:t>Offer choi</w:t>
      </w:r>
      <w:r w:rsidR="0075741D">
        <w:t>ces which promote independence</w:t>
      </w:r>
    </w:p>
    <w:p w14:paraId="68D099F4" w14:textId="77777777" w:rsidR="00A32A7B" w:rsidRDefault="00A32A7B" w:rsidP="00A32A7B">
      <w:pPr>
        <w:pStyle w:val="ListParagraph"/>
        <w:numPr>
          <w:ilvl w:val="0"/>
          <w:numId w:val="7"/>
        </w:numPr>
      </w:pPr>
      <w:r>
        <w:t>Be well co-ordinated between all staff</w:t>
      </w:r>
      <w:r w:rsidR="0075741D">
        <w:t>, stakeholders and partners</w:t>
      </w:r>
    </w:p>
    <w:p w14:paraId="25AF1B94" w14:textId="77777777" w:rsidR="00A32A7B" w:rsidRDefault="00A32A7B" w:rsidP="00A32A7B">
      <w:pPr>
        <w:pStyle w:val="ListParagraph"/>
        <w:numPr>
          <w:ilvl w:val="0"/>
          <w:numId w:val="7"/>
        </w:numPr>
      </w:pPr>
      <w:r>
        <w:t>Deliver continuity of care and suppor</w:t>
      </w:r>
      <w:r w:rsidR="0075741D">
        <w:t>t for as long as this is needed</w:t>
      </w:r>
      <w:r>
        <w:t xml:space="preserve"> </w:t>
      </w:r>
    </w:p>
    <w:p w14:paraId="49C1D2DC" w14:textId="77777777" w:rsidR="00A32A7B" w:rsidRPr="00A32A7B" w:rsidRDefault="0075741D" w:rsidP="00A32A7B">
      <w:pPr>
        <w:pStyle w:val="ListParagraph"/>
        <w:numPr>
          <w:ilvl w:val="0"/>
          <w:numId w:val="7"/>
        </w:numPr>
        <w:rPr>
          <w:rFonts w:ascii="Calibri" w:hAnsi="Calibri"/>
          <w:sz w:val="22"/>
          <w:szCs w:val="22"/>
        </w:rPr>
      </w:pPr>
      <w:r>
        <w:t>Empower and support its staff</w:t>
      </w:r>
    </w:p>
    <w:p w14:paraId="0B44FFD9" w14:textId="06878234" w:rsidR="00022DC6" w:rsidRPr="00022DC6" w:rsidRDefault="00A32A7B" w:rsidP="00A32A7B">
      <w:pPr>
        <w:pStyle w:val="ListParagraph"/>
        <w:numPr>
          <w:ilvl w:val="0"/>
          <w:numId w:val="7"/>
        </w:numPr>
        <w:rPr>
          <w:rFonts w:ascii="Calibri" w:hAnsi="Calibri"/>
          <w:sz w:val="22"/>
          <w:szCs w:val="22"/>
        </w:rPr>
      </w:pPr>
      <w:r>
        <w:t>Be properly accountable</w:t>
      </w:r>
      <w:r w:rsidR="0075741D">
        <w:t xml:space="preserve"> to</w:t>
      </w:r>
      <w:r>
        <w:t xml:space="preserve"> its c</w:t>
      </w:r>
      <w:r w:rsidR="00AD5921">
        <w:t>ustomers and their carer</w:t>
      </w:r>
      <w:r w:rsidR="00022DC6">
        <w:t>s.</w:t>
      </w:r>
    </w:p>
    <w:p w14:paraId="2BC31073" w14:textId="603E0BCC" w:rsidR="00A32A7B" w:rsidRPr="00A32A7B" w:rsidRDefault="00650A81" w:rsidP="00A32A7B">
      <w:pPr>
        <w:pStyle w:val="ListParagraph"/>
        <w:numPr>
          <w:ilvl w:val="0"/>
          <w:numId w:val="7"/>
        </w:numPr>
        <w:rPr>
          <w:rFonts w:ascii="Calibri" w:hAnsi="Calibri"/>
          <w:sz w:val="22"/>
          <w:szCs w:val="22"/>
        </w:rPr>
      </w:pPr>
      <w:r>
        <w:t>Safeguard</w:t>
      </w:r>
      <w:r w:rsidR="00022DC6">
        <w:t xml:space="preserve"> adults whose circumstances mak</w:t>
      </w:r>
      <w:r>
        <w:t>e them vulnerable and protect</w:t>
      </w:r>
      <w:r w:rsidR="00022DC6">
        <w:t xml:space="preserve"> them from harm. The person will feel safe and be safeguarded from neglect and abuse and will know that any concerns will be listened to and acted upon promptly.</w:t>
      </w:r>
    </w:p>
    <w:p w14:paraId="755ACD09" w14:textId="77777777" w:rsidR="00A32A7B" w:rsidRPr="00A32A7B" w:rsidRDefault="00A32A7B" w:rsidP="00A32A7B"/>
    <w:p w14:paraId="3778DA7D" w14:textId="77777777" w:rsidR="00282EE1" w:rsidRDefault="00290025" w:rsidP="00583A3B">
      <w:pPr>
        <w:pStyle w:val="Heading1"/>
        <w:numPr>
          <w:ilvl w:val="0"/>
          <w:numId w:val="3"/>
        </w:numPr>
      </w:pPr>
      <w:r>
        <w:t>Contract Monitoring</w:t>
      </w:r>
    </w:p>
    <w:p w14:paraId="3262CFF1" w14:textId="77777777" w:rsidR="00290025" w:rsidRPr="00CF7B72" w:rsidRDefault="00290025" w:rsidP="00290025">
      <w:pPr>
        <w:rPr>
          <w:color w:val="FF0000"/>
        </w:rPr>
      </w:pPr>
      <w:r w:rsidRPr="00191BF4">
        <w:t>The service will be subject to contract monitoring throughout the contract term, the main aim of this being to ensure that th</w:t>
      </w:r>
      <w:r>
        <w:t>e requirements</w:t>
      </w:r>
      <w:r w:rsidR="00CC3556">
        <w:t xml:space="preserve"> of the contract and service specification and outcomes are being delivered.</w:t>
      </w:r>
      <w:r>
        <w:t xml:space="preserve"> </w:t>
      </w:r>
      <w:r w:rsidRPr="00191BF4">
        <w:t>Primarily, this monitoring will involve the follow</w:t>
      </w:r>
      <w:r>
        <w:t>ing:</w:t>
      </w:r>
    </w:p>
    <w:p w14:paraId="13D024EC" w14:textId="77777777" w:rsidR="00290025" w:rsidRPr="00290025" w:rsidRDefault="00290025" w:rsidP="00290025">
      <w:pPr>
        <w:numPr>
          <w:ilvl w:val="0"/>
          <w:numId w:val="21"/>
        </w:numPr>
        <w:spacing w:after="0" w:line="240" w:lineRule="auto"/>
        <w:rPr>
          <w:rFonts w:cs="Arial"/>
          <w:szCs w:val="24"/>
        </w:rPr>
      </w:pPr>
      <w:r w:rsidRPr="00CF7B72">
        <w:rPr>
          <w:rFonts w:cs="Arial"/>
          <w:szCs w:val="24"/>
        </w:rPr>
        <w:t xml:space="preserve">Assessment of strategic relevance to the Council’s </w:t>
      </w:r>
      <w:r>
        <w:rPr>
          <w:rFonts w:cs="Arial"/>
          <w:szCs w:val="24"/>
        </w:rPr>
        <w:t>strategic priorities</w:t>
      </w:r>
      <w:r w:rsidRPr="00290025">
        <w:rPr>
          <w:rFonts w:cs="Arial"/>
          <w:szCs w:val="24"/>
        </w:rPr>
        <w:t xml:space="preserve"> </w:t>
      </w:r>
    </w:p>
    <w:p w14:paraId="33253971" w14:textId="77777777" w:rsidR="00290025" w:rsidRPr="00CF7B72" w:rsidRDefault="00290025" w:rsidP="00290025">
      <w:pPr>
        <w:pStyle w:val="ListParagraph"/>
        <w:numPr>
          <w:ilvl w:val="0"/>
          <w:numId w:val="22"/>
        </w:numPr>
        <w:spacing w:after="0" w:line="240" w:lineRule="auto"/>
        <w:rPr>
          <w:rFonts w:cs="Arial"/>
          <w:szCs w:val="24"/>
        </w:rPr>
      </w:pPr>
      <w:r w:rsidRPr="00CF7B72">
        <w:rPr>
          <w:rFonts w:cs="Arial"/>
          <w:szCs w:val="24"/>
        </w:rPr>
        <w:t xml:space="preserve">Quality of service </w:t>
      </w:r>
    </w:p>
    <w:p w14:paraId="3619775F" w14:textId="77777777" w:rsidR="00290025" w:rsidRPr="00CF7B72" w:rsidRDefault="00290025" w:rsidP="00290025">
      <w:pPr>
        <w:pStyle w:val="ListParagraph"/>
        <w:numPr>
          <w:ilvl w:val="0"/>
          <w:numId w:val="22"/>
        </w:numPr>
        <w:spacing w:after="0" w:line="240" w:lineRule="auto"/>
        <w:rPr>
          <w:rFonts w:cs="Arial"/>
          <w:szCs w:val="24"/>
        </w:rPr>
      </w:pPr>
      <w:r w:rsidRPr="00CF7B72">
        <w:rPr>
          <w:rFonts w:cs="Arial"/>
          <w:szCs w:val="24"/>
        </w:rPr>
        <w:t xml:space="preserve">Customer satisfaction </w:t>
      </w:r>
    </w:p>
    <w:p w14:paraId="0A0550C1" w14:textId="77777777" w:rsidR="00290025" w:rsidRPr="00CF7B72" w:rsidRDefault="00290025" w:rsidP="00290025">
      <w:pPr>
        <w:pStyle w:val="ListParagraph"/>
        <w:numPr>
          <w:ilvl w:val="0"/>
          <w:numId w:val="22"/>
        </w:numPr>
        <w:spacing w:after="0" w:line="240" w:lineRule="auto"/>
        <w:rPr>
          <w:rFonts w:cs="Arial"/>
          <w:szCs w:val="24"/>
        </w:rPr>
      </w:pPr>
      <w:r w:rsidRPr="00CF7B72">
        <w:rPr>
          <w:rFonts w:cs="Arial"/>
          <w:szCs w:val="24"/>
        </w:rPr>
        <w:t>Reported outcomes</w:t>
      </w:r>
    </w:p>
    <w:p w14:paraId="08F7BC68" w14:textId="77777777" w:rsidR="00290025" w:rsidRPr="00290025" w:rsidRDefault="00290025" w:rsidP="00290025">
      <w:pPr>
        <w:pStyle w:val="ListParagraph"/>
        <w:numPr>
          <w:ilvl w:val="0"/>
          <w:numId w:val="22"/>
        </w:numPr>
        <w:spacing w:after="0" w:line="240" w:lineRule="auto"/>
        <w:rPr>
          <w:rFonts w:cs="Arial"/>
          <w:szCs w:val="24"/>
        </w:rPr>
      </w:pPr>
      <w:r w:rsidRPr="00CF7B72">
        <w:rPr>
          <w:rFonts w:cs="Arial"/>
          <w:szCs w:val="24"/>
        </w:rPr>
        <w:t>Assessment of the service’s cost effectiveness an</w:t>
      </w:r>
      <w:r>
        <w:rPr>
          <w:rFonts w:cs="Arial"/>
          <w:szCs w:val="24"/>
        </w:rPr>
        <w:t>d financial stability</w:t>
      </w:r>
    </w:p>
    <w:p w14:paraId="23038F6A" w14:textId="77777777" w:rsidR="00290025" w:rsidRDefault="00290025" w:rsidP="00290025">
      <w:pPr>
        <w:rPr>
          <w:rFonts w:ascii="Arial" w:hAnsi="Arial" w:cs="Arial"/>
          <w:sz w:val="22"/>
          <w:szCs w:val="22"/>
        </w:rPr>
      </w:pPr>
    </w:p>
    <w:p w14:paraId="5AA1A0BC" w14:textId="77777777" w:rsidR="00290025" w:rsidRDefault="00290025" w:rsidP="00290025">
      <w:pPr>
        <w:rPr>
          <w:szCs w:val="24"/>
        </w:rPr>
      </w:pPr>
      <w:r w:rsidRPr="00290025">
        <w:rPr>
          <w:szCs w:val="24"/>
        </w:rPr>
        <w:t xml:space="preserve">The </w:t>
      </w:r>
      <w:r w:rsidR="00E45AE3">
        <w:rPr>
          <w:szCs w:val="24"/>
        </w:rPr>
        <w:t>provider will report on the delivery and performance of the service to WBC on a quarterly basis. This should include:</w:t>
      </w:r>
    </w:p>
    <w:p w14:paraId="05A0343A" w14:textId="77777777" w:rsidR="00E45AE3" w:rsidRDefault="00E45AE3" w:rsidP="00E45AE3">
      <w:pPr>
        <w:pStyle w:val="ListParagraph"/>
        <w:numPr>
          <w:ilvl w:val="0"/>
          <w:numId w:val="28"/>
        </w:numPr>
        <w:rPr>
          <w:szCs w:val="24"/>
        </w:rPr>
      </w:pPr>
      <w:r w:rsidRPr="00E45AE3">
        <w:rPr>
          <w:szCs w:val="24"/>
        </w:rPr>
        <w:t>Performance against set KPI’</w:t>
      </w:r>
      <w:r w:rsidR="00CC3556">
        <w:rPr>
          <w:szCs w:val="24"/>
        </w:rPr>
        <w:t>s</w:t>
      </w:r>
      <w:r>
        <w:rPr>
          <w:szCs w:val="24"/>
        </w:rPr>
        <w:t>;</w:t>
      </w:r>
    </w:p>
    <w:p w14:paraId="6E004612" w14:textId="77777777" w:rsidR="00CC3556" w:rsidRPr="00CC3556" w:rsidRDefault="00CC3556" w:rsidP="00290025">
      <w:pPr>
        <w:pStyle w:val="ListParagraph"/>
        <w:numPr>
          <w:ilvl w:val="0"/>
          <w:numId w:val="28"/>
        </w:numPr>
        <w:rPr>
          <w:szCs w:val="24"/>
        </w:rPr>
      </w:pPr>
      <w:r>
        <w:rPr>
          <w:szCs w:val="24"/>
        </w:rPr>
        <w:t xml:space="preserve">Outcomes </w:t>
      </w:r>
    </w:p>
    <w:p w14:paraId="1B8D18CD" w14:textId="77777777" w:rsidR="00282EE1" w:rsidRDefault="00CC3556" w:rsidP="00282EE1">
      <w:pPr>
        <w:rPr>
          <w:b/>
          <w:color w:val="E65B01" w:themeColor="accent1" w:themeShade="BF"/>
          <w:sz w:val="28"/>
          <w:szCs w:val="28"/>
        </w:rPr>
      </w:pPr>
      <w:r w:rsidRPr="00CC3556">
        <w:rPr>
          <w:b/>
          <w:color w:val="E65B01" w:themeColor="accent1" w:themeShade="BF"/>
          <w:sz w:val="28"/>
          <w:szCs w:val="28"/>
        </w:rPr>
        <w:t>Key Performance Indicators</w:t>
      </w:r>
    </w:p>
    <w:tbl>
      <w:tblPr>
        <w:tblStyle w:val="TableGrid"/>
        <w:tblW w:w="0" w:type="auto"/>
        <w:tblLook w:val="04A0" w:firstRow="1" w:lastRow="0" w:firstColumn="1" w:lastColumn="0" w:noHBand="0" w:noVBand="1"/>
      </w:tblPr>
      <w:tblGrid>
        <w:gridCol w:w="846"/>
        <w:gridCol w:w="2606"/>
        <w:gridCol w:w="1726"/>
        <w:gridCol w:w="1905"/>
        <w:gridCol w:w="1547"/>
      </w:tblGrid>
      <w:tr w:rsidR="00CC3556" w14:paraId="43BA4D69" w14:textId="77777777" w:rsidTr="009D4455">
        <w:tc>
          <w:tcPr>
            <w:tcW w:w="846" w:type="dxa"/>
          </w:tcPr>
          <w:p w14:paraId="0EFD387B" w14:textId="77777777" w:rsidR="00CC3556" w:rsidRPr="00CC3556" w:rsidRDefault="00CC3556" w:rsidP="00282EE1">
            <w:pPr>
              <w:rPr>
                <w:b/>
                <w:szCs w:val="24"/>
              </w:rPr>
            </w:pPr>
            <w:r w:rsidRPr="00CC3556">
              <w:rPr>
                <w:b/>
                <w:szCs w:val="24"/>
              </w:rPr>
              <w:t>KPI</w:t>
            </w:r>
          </w:p>
        </w:tc>
        <w:tc>
          <w:tcPr>
            <w:tcW w:w="2606" w:type="dxa"/>
          </w:tcPr>
          <w:p w14:paraId="236C8F84" w14:textId="77777777" w:rsidR="00CC3556" w:rsidRPr="00CC3556" w:rsidRDefault="00CC3556" w:rsidP="00282EE1">
            <w:pPr>
              <w:rPr>
                <w:b/>
                <w:szCs w:val="24"/>
              </w:rPr>
            </w:pPr>
            <w:r w:rsidRPr="00CC3556">
              <w:rPr>
                <w:b/>
                <w:szCs w:val="24"/>
              </w:rPr>
              <w:t>K</w:t>
            </w:r>
            <w:r>
              <w:rPr>
                <w:b/>
                <w:szCs w:val="24"/>
              </w:rPr>
              <w:t>PI</w:t>
            </w:r>
          </w:p>
        </w:tc>
        <w:tc>
          <w:tcPr>
            <w:tcW w:w="1726" w:type="dxa"/>
          </w:tcPr>
          <w:p w14:paraId="16CA83B6" w14:textId="77777777" w:rsidR="00CC3556" w:rsidRPr="00CC3556" w:rsidRDefault="00CC3556" w:rsidP="00282EE1">
            <w:pPr>
              <w:rPr>
                <w:b/>
                <w:szCs w:val="24"/>
              </w:rPr>
            </w:pPr>
            <w:r>
              <w:rPr>
                <w:b/>
                <w:szCs w:val="24"/>
              </w:rPr>
              <w:t>Method of Measurement</w:t>
            </w:r>
          </w:p>
        </w:tc>
        <w:tc>
          <w:tcPr>
            <w:tcW w:w="1905" w:type="dxa"/>
          </w:tcPr>
          <w:p w14:paraId="722B9EE7" w14:textId="77777777" w:rsidR="00CC3556" w:rsidRPr="00CC3556" w:rsidRDefault="00CC3556" w:rsidP="00282EE1">
            <w:pPr>
              <w:rPr>
                <w:b/>
                <w:szCs w:val="24"/>
              </w:rPr>
            </w:pPr>
            <w:r>
              <w:rPr>
                <w:b/>
                <w:szCs w:val="24"/>
              </w:rPr>
              <w:t>Threshold</w:t>
            </w:r>
          </w:p>
        </w:tc>
        <w:tc>
          <w:tcPr>
            <w:tcW w:w="1547" w:type="dxa"/>
          </w:tcPr>
          <w:p w14:paraId="0E7BF031" w14:textId="77777777" w:rsidR="00CC3556" w:rsidRPr="00CC3556" w:rsidRDefault="00CC3556" w:rsidP="00282EE1">
            <w:pPr>
              <w:rPr>
                <w:b/>
                <w:szCs w:val="24"/>
              </w:rPr>
            </w:pPr>
            <w:r>
              <w:rPr>
                <w:b/>
                <w:szCs w:val="24"/>
              </w:rPr>
              <w:t>Frequency of Reporting</w:t>
            </w:r>
          </w:p>
        </w:tc>
      </w:tr>
      <w:tr w:rsidR="00CC3556" w14:paraId="52B0076D" w14:textId="77777777" w:rsidTr="009D4455">
        <w:tc>
          <w:tcPr>
            <w:tcW w:w="846" w:type="dxa"/>
          </w:tcPr>
          <w:p w14:paraId="5D38852B" w14:textId="77777777" w:rsidR="00CC3556" w:rsidRPr="00CC3556" w:rsidRDefault="00CC3556" w:rsidP="00282EE1">
            <w:pPr>
              <w:rPr>
                <w:b/>
                <w:szCs w:val="24"/>
              </w:rPr>
            </w:pPr>
            <w:r>
              <w:rPr>
                <w:b/>
                <w:szCs w:val="24"/>
              </w:rPr>
              <w:t>KPI 1</w:t>
            </w:r>
          </w:p>
        </w:tc>
        <w:tc>
          <w:tcPr>
            <w:tcW w:w="2606" w:type="dxa"/>
          </w:tcPr>
          <w:p w14:paraId="5C599C29" w14:textId="77777777" w:rsidR="00CC3556" w:rsidRPr="00CC3556" w:rsidRDefault="00CC3556" w:rsidP="00282EE1">
            <w:pPr>
              <w:rPr>
                <w:szCs w:val="24"/>
              </w:rPr>
            </w:pPr>
            <w:r>
              <w:rPr>
                <w:szCs w:val="24"/>
              </w:rPr>
              <w:t>% of risk assessments reviewed and updated within 6 months of completion/last update</w:t>
            </w:r>
          </w:p>
        </w:tc>
        <w:tc>
          <w:tcPr>
            <w:tcW w:w="1726" w:type="dxa"/>
          </w:tcPr>
          <w:p w14:paraId="74C8AD0E" w14:textId="77777777" w:rsidR="00CC3556" w:rsidRPr="00CC3556" w:rsidRDefault="00CC3556" w:rsidP="00282EE1">
            <w:pPr>
              <w:rPr>
                <w:szCs w:val="24"/>
              </w:rPr>
            </w:pPr>
            <w:r>
              <w:rPr>
                <w:szCs w:val="24"/>
              </w:rPr>
              <w:t>Provider report</w:t>
            </w:r>
          </w:p>
        </w:tc>
        <w:tc>
          <w:tcPr>
            <w:tcW w:w="1905" w:type="dxa"/>
          </w:tcPr>
          <w:p w14:paraId="51A3DBF5" w14:textId="77777777" w:rsidR="00CC3556" w:rsidRPr="00CC3556" w:rsidRDefault="00CC3556" w:rsidP="00282EE1">
            <w:pPr>
              <w:rPr>
                <w:szCs w:val="24"/>
              </w:rPr>
            </w:pPr>
            <w:r>
              <w:rPr>
                <w:szCs w:val="24"/>
              </w:rPr>
              <w:t>100%</w:t>
            </w:r>
          </w:p>
        </w:tc>
        <w:tc>
          <w:tcPr>
            <w:tcW w:w="1547" w:type="dxa"/>
          </w:tcPr>
          <w:p w14:paraId="163A392C" w14:textId="77777777" w:rsidR="00CC3556" w:rsidRPr="00CC3556" w:rsidRDefault="00CC3556" w:rsidP="00282EE1">
            <w:pPr>
              <w:rPr>
                <w:szCs w:val="24"/>
              </w:rPr>
            </w:pPr>
            <w:r>
              <w:rPr>
                <w:szCs w:val="24"/>
              </w:rPr>
              <w:t>Quarte</w:t>
            </w:r>
            <w:r w:rsidR="009D4455">
              <w:rPr>
                <w:szCs w:val="24"/>
              </w:rPr>
              <w:t>r</w:t>
            </w:r>
            <w:r>
              <w:rPr>
                <w:szCs w:val="24"/>
              </w:rPr>
              <w:t>ly</w:t>
            </w:r>
          </w:p>
        </w:tc>
      </w:tr>
      <w:tr w:rsidR="00CC3556" w14:paraId="3B3AC222" w14:textId="77777777" w:rsidTr="009D4455">
        <w:tc>
          <w:tcPr>
            <w:tcW w:w="846" w:type="dxa"/>
          </w:tcPr>
          <w:p w14:paraId="4619D483" w14:textId="77777777" w:rsidR="00CC3556" w:rsidRPr="00CC3556" w:rsidRDefault="00CC3556" w:rsidP="00282EE1">
            <w:pPr>
              <w:rPr>
                <w:b/>
                <w:szCs w:val="24"/>
              </w:rPr>
            </w:pPr>
            <w:r>
              <w:rPr>
                <w:b/>
                <w:szCs w:val="24"/>
              </w:rPr>
              <w:t>KPI</w:t>
            </w:r>
            <w:r w:rsidR="009D4455">
              <w:rPr>
                <w:b/>
                <w:szCs w:val="24"/>
              </w:rPr>
              <w:t xml:space="preserve"> </w:t>
            </w:r>
            <w:r>
              <w:rPr>
                <w:b/>
                <w:szCs w:val="24"/>
              </w:rPr>
              <w:t>2</w:t>
            </w:r>
          </w:p>
        </w:tc>
        <w:tc>
          <w:tcPr>
            <w:tcW w:w="2606" w:type="dxa"/>
          </w:tcPr>
          <w:p w14:paraId="67FA7F5A" w14:textId="77777777" w:rsidR="00CC3556" w:rsidRPr="00CC3556" w:rsidRDefault="00CC3556" w:rsidP="00282EE1">
            <w:pPr>
              <w:rPr>
                <w:szCs w:val="24"/>
              </w:rPr>
            </w:pPr>
            <w:r>
              <w:rPr>
                <w:szCs w:val="24"/>
              </w:rPr>
              <w:t>% of support plans reviewed and updated within 6 months of completion/last update</w:t>
            </w:r>
          </w:p>
        </w:tc>
        <w:tc>
          <w:tcPr>
            <w:tcW w:w="1726" w:type="dxa"/>
          </w:tcPr>
          <w:p w14:paraId="0FF490C4" w14:textId="77777777" w:rsidR="00CC3556" w:rsidRPr="00CC3556" w:rsidRDefault="00CC3556" w:rsidP="00282EE1">
            <w:pPr>
              <w:rPr>
                <w:szCs w:val="24"/>
              </w:rPr>
            </w:pPr>
            <w:r>
              <w:rPr>
                <w:szCs w:val="24"/>
              </w:rPr>
              <w:t>Provider report</w:t>
            </w:r>
          </w:p>
        </w:tc>
        <w:tc>
          <w:tcPr>
            <w:tcW w:w="1905" w:type="dxa"/>
          </w:tcPr>
          <w:p w14:paraId="3462665A" w14:textId="77777777" w:rsidR="00CC3556" w:rsidRPr="00CC3556" w:rsidRDefault="00CC3556" w:rsidP="00282EE1">
            <w:pPr>
              <w:rPr>
                <w:szCs w:val="24"/>
              </w:rPr>
            </w:pPr>
            <w:r>
              <w:rPr>
                <w:szCs w:val="24"/>
              </w:rPr>
              <w:t>100%</w:t>
            </w:r>
          </w:p>
        </w:tc>
        <w:tc>
          <w:tcPr>
            <w:tcW w:w="1547" w:type="dxa"/>
          </w:tcPr>
          <w:p w14:paraId="3DFD588C" w14:textId="77777777" w:rsidR="00CC3556" w:rsidRPr="00CC3556" w:rsidRDefault="009D4455" w:rsidP="00282EE1">
            <w:pPr>
              <w:rPr>
                <w:szCs w:val="24"/>
              </w:rPr>
            </w:pPr>
            <w:r>
              <w:rPr>
                <w:szCs w:val="24"/>
              </w:rPr>
              <w:t>Quarterly</w:t>
            </w:r>
          </w:p>
        </w:tc>
      </w:tr>
      <w:tr w:rsidR="00CC3556" w14:paraId="6D739FF2" w14:textId="77777777" w:rsidTr="009D4455">
        <w:tc>
          <w:tcPr>
            <w:tcW w:w="846" w:type="dxa"/>
          </w:tcPr>
          <w:p w14:paraId="583672EF" w14:textId="77777777" w:rsidR="00CC3556" w:rsidRPr="00CC3556" w:rsidRDefault="009D4455" w:rsidP="00282EE1">
            <w:pPr>
              <w:rPr>
                <w:b/>
                <w:szCs w:val="24"/>
              </w:rPr>
            </w:pPr>
            <w:r>
              <w:rPr>
                <w:b/>
                <w:szCs w:val="24"/>
              </w:rPr>
              <w:t>KPI 3</w:t>
            </w:r>
          </w:p>
        </w:tc>
        <w:tc>
          <w:tcPr>
            <w:tcW w:w="2606" w:type="dxa"/>
          </w:tcPr>
          <w:p w14:paraId="3BE419D5" w14:textId="77777777" w:rsidR="00CC3556" w:rsidRPr="00CC3556" w:rsidRDefault="009D4455" w:rsidP="00282EE1">
            <w:pPr>
              <w:rPr>
                <w:szCs w:val="24"/>
              </w:rPr>
            </w:pPr>
            <w:r>
              <w:rPr>
                <w:szCs w:val="24"/>
              </w:rPr>
              <w:t>% of case files audited by managers and key audit findings</w:t>
            </w:r>
          </w:p>
        </w:tc>
        <w:tc>
          <w:tcPr>
            <w:tcW w:w="1726" w:type="dxa"/>
          </w:tcPr>
          <w:p w14:paraId="38BFE682" w14:textId="77777777" w:rsidR="00CC3556" w:rsidRPr="00CC3556" w:rsidRDefault="009D4455" w:rsidP="00282EE1">
            <w:pPr>
              <w:rPr>
                <w:szCs w:val="24"/>
              </w:rPr>
            </w:pPr>
            <w:r>
              <w:rPr>
                <w:szCs w:val="24"/>
              </w:rPr>
              <w:t>Provider report</w:t>
            </w:r>
          </w:p>
        </w:tc>
        <w:tc>
          <w:tcPr>
            <w:tcW w:w="1905" w:type="dxa"/>
          </w:tcPr>
          <w:p w14:paraId="34FAD2CF" w14:textId="77777777" w:rsidR="00CC3556" w:rsidRPr="00CC3556" w:rsidRDefault="009D4455" w:rsidP="00282EE1">
            <w:pPr>
              <w:rPr>
                <w:szCs w:val="24"/>
              </w:rPr>
            </w:pPr>
            <w:r>
              <w:rPr>
                <w:szCs w:val="24"/>
              </w:rPr>
              <w:t>100%</w:t>
            </w:r>
          </w:p>
        </w:tc>
        <w:tc>
          <w:tcPr>
            <w:tcW w:w="1547" w:type="dxa"/>
          </w:tcPr>
          <w:p w14:paraId="157610EA" w14:textId="77777777" w:rsidR="00CC3556" w:rsidRPr="00CC3556" w:rsidRDefault="009D4455" w:rsidP="00282EE1">
            <w:pPr>
              <w:rPr>
                <w:szCs w:val="24"/>
              </w:rPr>
            </w:pPr>
            <w:r>
              <w:rPr>
                <w:szCs w:val="24"/>
              </w:rPr>
              <w:t>Quarterly</w:t>
            </w:r>
          </w:p>
        </w:tc>
      </w:tr>
      <w:tr w:rsidR="00CC3556" w14:paraId="4F37D73A" w14:textId="77777777" w:rsidTr="009D4455">
        <w:tc>
          <w:tcPr>
            <w:tcW w:w="846" w:type="dxa"/>
          </w:tcPr>
          <w:p w14:paraId="07CBF6F0" w14:textId="77777777" w:rsidR="00CC3556" w:rsidRPr="00CC3556" w:rsidRDefault="009D4455" w:rsidP="00282EE1">
            <w:pPr>
              <w:rPr>
                <w:b/>
                <w:szCs w:val="24"/>
              </w:rPr>
            </w:pPr>
            <w:r>
              <w:rPr>
                <w:b/>
                <w:szCs w:val="24"/>
              </w:rPr>
              <w:t>KPI 4</w:t>
            </w:r>
          </w:p>
        </w:tc>
        <w:tc>
          <w:tcPr>
            <w:tcW w:w="2606" w:type="dxa"/>
          </w:tcPr>
          <w:p w14:paraId="36CCF795" w14:textId="77777777" w:rsidR="00CC3556" w:rsidRPr="00CC3556" w:rsidRDefault="009D4455" w:rsidP="00282EE1">
            <w:pPr>
              <w:rPr>
                <w:szCs w:val="24"/>
              </w:rPr>
            </w:pPr>
            <w:r>
              <w:rPr>
                <w:szCs w:val="24"/>
              </w:rPr>
              <w:t>% of employed staff that have undertaken all required minimum training</w:t>
            </w:r>
          </w:p>
        </w:tc>
        <w:tc>
          <w:tcPr>
            <w:tcW w:w="1726" w:type="dxa"/>
          </w:tcPr>
          <w:p w14:paraId="7042D0EA" w14:textId="77777777" w:rsidR="00CC3556" w:rsidRPr="00CC3556" w:rsidRDefault="009D4455" w:rsidP="00282EE1">
            <w:pPr>
              <w:rPr>
                <w:szCs w:val="24"/>
              </w:rPr>
            </w:pPr>
            <w:r>
              <w:rPr>
                <w:szCs w:val="24"/>
              </w:rPr>
              <w:t>Provider report</w:t>
            </w:r>
          </w:p>
        </w:tc>
        <w:tc>
          <w:tcPr>
            <w:tcW w:w="1905" w:type="dxa"/>
          </w:tcPr>
          <w:p w14:paraId="4E558D47" w14:textId="77777777" w:rsidR="00CC3556" w:rsidRPr="00CC3556" w:rsidRDefault="009D4455" w:rsidP="00282EE1">
            <w:pPr>
              <w:rPr>
                <w:szCs w:val="24"/>
              </w:rPr>
            </w:pPr>
            <w:r>
              <w:rPr>
                <w:szCs w:val="24"/>
              </w:rPr>
              <w:t>100% of new staff who have completed Safeguarding Training</w:t>
            </w:r>
          </w:p>
        </w:tc>
        <w:tc>
          <w:tcPr>
            <w:tcW w:w="1547" w:type="dxa"/>
          </w:tcPr>
          <w:p w14:paraId="4319C8C4" w14:textId="77777777" w:rsidR="00CC3556" w:rsidRPr="00CC3556" w:rsidRDefault="009D4455" w:rsidP="00282EE1">
            <w:pPr>
              <w:rPr>
                <w:szCs w:val="24"/>
              </w:rPr>
            </w:pPr>
            <w:r>
              <w:rPr>
                <w:szCs w:val="24"/>
              </w:rPr>
              <w:t>Quarterly</w:t>
            </w:r>
          </w:p>
        </w:tc>
      </w:tr>
      <w:tr w:rsidR="009D4455" w14:paraId="708007F9" w14:textId="77777777" w:rsidTr="009D4455">
        <w:tc>
          <w:tcPr>
            <w:tcW w:w="846" w:type="dxa"/>
          </w:tcPr>
          <w:p w14:paraId="2C48A59C" w14:textId="77777777" w:rsidR="009D4455" w:rsidRDefault="009D4455" w:rsidP="00282EE1">
            <w:pPr>
              <w:rPr>
                <w:b/>
                <w:szCs w:val="24"/>
              </w:rPr>
            </w:pPr>
            <w:r>
              <w:rPr>
                <w:b/>
                <w:szCs w:val="24"/>
              </w:rPr>
              <w:t xml:space="preserve">KPI 5 </w:t>
            </w:r>
          </w:p>
        </w:tc>
        <w:tc>
          <w:tcPr>
            <w:tcW w:w="2606" w:type="dxa"/>
          </w:tcPr>
          <w:p w14:paraId="7A062DD5" w14:textId="77777777" w:rsidR="009D4455" w:rsidRDefault="009D4455" w:rsidP="00282EE1">
            <w:pPr>
              <w:rPr>
                <w:szCs w:val="24"/>
              </w:rPr>
            </w:pPr>
            <w:r>
              <w:rPr>
                <w:szCs w:val="24"/>
              </w:rPr>
              <w:t>% of employed staff with current enhanced DBS in place</w:t>
            </w:r>
          </w:p>
        </w:tc>
        <w:tc>
          <w:tcPr>
            <w:tcW w:w="1726" w:type="dxa"/>
          </w:tcPr>
          <w:p w14:paraId="5A192E40" w14:textId="77777777" w:rsidR="009D4455" w:rsidRDefault="009D4455" w:rsidP="00282EE1">
            <w:pPr>
              <w:rPr>
                <w:szCs w:val="24"/>
              </w:rPr>
            </w:pPr>
            <w:r>
              <w:rPr>
                <w:szCs w:val="24"/>
              </w:rPr>
              <w:t>Provider report</w:t>
            </w:r>
          </w:p>
        </w:tc>
        <w:tc>
          <w:tcPr>
            <w:tcW w:w="1905" w:type="dxa"/>
          </w:tcPr>
          <w:p w14:paraId="1310406B" w14:textId="77777777" w:rsidR="009D4455" w:rsidRDefault="009D4455" w:rsidP="00282EE1">
            <w:pPr>
              <w:rPr>
                <w:szCs w:val="24"/>
              </w:rPr>
            </w:pPr>
            <w:r>
              <w:rPr>
                <w:szCs w:val="24"/>
              </w:rPr>
              <w:t>100% staff are DBS checked</w:t>
            </w:r>
          </w:p>
        </w:tc>
        <w:tc>
          <w:tcPr>
            <w:tcW w:w="1547" w:type="dxa"/>
          </w:tcPr>
          <w:p w14:paraId="71840350" w14:textId="77777777" w:rsidR="009D4455" w:rsidRDefault="009D4455" w:rsidP="00282EE1">
            <w:pPr>
              <w:rPr>
                <w:szCs w:val="24"/>
              </w:rPr>
            </w:pPr>
            <w:r>
              <w:rPr>
                <w:szCs w:val="24"/>
              </w:rPr>
              <w:t>Quarterly</w:t>
            </w:r>
          </w:p>
        </w:tc>
      </w:tr>
      <w:tr w:rsidR="009D4455" w14:paraId="7A5C5C54" w14:textId="77777777" w:rsidTr="009D4455">
        <w:tc>
          <w:tcPr>
            <w:tcW w:w="846" w:type="dxa"/>
          </w:tcPr>
          <w:p w14:paraId="7ABEDBA8" w14:textId="77777777" w:rsidR="009D4455" w:rsidRDefault="009D4455" w:rsidP="00282EE1">
            <w:pPr>
              <w:rPr>
                <w:b/>
                <w:szCs w:val="24"/>
              </w:rPr>
            </w:pPr>
            <w:r>
              <w:rPr>
                <w:b/>
                <w:szCs w:val="24"/>
              </w:rPr>
              <w:t>KPI 6</w:t>
            </w:r>
          </w:p>
        </w:tc>
        <w:tc>
          <w:tcPr>
            <w:tcW w:w="2606" w:type="dxa"/>
          </w:tcPr>
          <w:p w14:paraId="06FDB425" w14:textId="77777777" w:rsidR="009D4455" w:rsidRDefault="009D4455" w:rsidP="00282EE1">
            <w:pPr>
              <w:rPr>
                <w:szCs w:val="24"/>
              </w:rPr>
            </w:pPr>
            <w:r>
              <w:rPr>
                <w:szCs w:val="24"/>
              </w:rPr>
              <w:t>Customer and family satisfaction survey</w:t>
            </w:r>
          </w:p>
        </w:tc>
        <w:tc>
          <w:tcPr>
            <w:tcW w:w="1726" w:type="dxa"/>
          </w:tcPr>
          <w:p w14:paraId="4DF4A983" w14:textId="77777777" w:rsidR="009D4455" w:rsidRDefault="009D4455" w:rsidP="00282EE1">
            <w:pPr>
              <w:rPr>
                <w:szCs w:val="24"/>
              </w:rPr>
            </w:pPr>
            <w:r>
              <w:rPr>
                <w:szCs w:val="24"/>
              </w:rPr>
              <w:t>Provider report</w:t>
            </w:r>
          </w:p>
        </w:tc>
        <w:tc>
          <w:tcPr>
            <w:tcW w:w="1905" w:type="dxa"/>
          </w:tcPr>
          <w:p w14:paraId="3E17D7AA" w14:textId="77777777" w:rsidR="009D4455" w:rsidRDefault="009D4455" w:rsidP="00282EE1">
            <w:pPr>
              <w:rPr>
                <w:szCs w:val="24"/>
              </w:rPr>
            </w:pPr>
            <w:r>
              <w:rPr>
                <w:szCs w:val="24"/>
              </w:rPr>
              <w:t>100% of customers &amp;/or families provided with the opportunity to give survey feedback</w:t>
            </w:r>
          </w:p>
          <w:p w14:paraId="33B95CC4" w14:textId="77777777" w:rsidR="009D4455" w:rsidRDefault="009D4455" w:rsidP="00282EE1">
            <w:pPr>
              <w:rPr>
                <w:szCs w:val="24"/>
              </w:rPr>
            </w:pPr>
          </w:p>
          <w:p w14:paraId="69289408" w14:textId="77777777" w:rsidR="009D4455" w:rsidRDefault="00F82ACC" w:rsidP="00282EE1">
            <w:pPr>
              <w:rPr>
                <w:szCs w:val="24"/>
              </w:rPr>
            </w:pPr>
            <w:r w:rsidRPr="00F82ACC">
              <w:rPr>
                <w:szCs w:val="24"/>
              </w:rPr>
              <w:t>100</w:t>
            </w:r>
            <w:r w:rsidR="009D4455">
              <w:rPr>
                <w:szCs w:val="24"/>
              </w:rPr>
              <w:t>% of customers &amp;/or families</w:t>
            </w:r>
            <w:r>
              <w:rPr>
                <w:szCs w:val="24"/>
              </w:rPr>
              <w:t xml:space="preserve"> who responded to the survey,</w:t>
            </w:r>
            <w:r w:rsidR="009D4455">
              <w:rPr>
                <w:szCs w:val="24"/>
              </w:rPr>
              <w:t xml:space="preserve"> rating the service as good or excellent</w:t>
            </w:r>
          </w:p>
        </w:tc>
        <w:tc>
          <w:tcPr>
            <w:tcW w:w="1547" w:type="dxa"/>
          </w:tcPr>
          <w:p w14:paraId="54C3E606" w14:textId="77777777" w:rsidR="009D4455" w:rsidRDefault="009D4455" w:rsidP="00282EE1">
            <w:pPr>
              <w:rPr>
                <w:szCs w:val="24"/>
              </w:rPr>
            </w:pPr>
            <w:r>
              <w:rPr>
                <w:szCs w:val="24"/>
              </w:rPr>
              <w:t>Annual</w:t>
            </w:r>
          </w:p>
        </w:tc>
      </w:tr>
    </w:tbl>
    <w:p w14:paraId="444EEEC9" w14:textId="77777777" w:rsidR="00CC3556" w:rsidRDefault="00CC3556" w:rsidP="00282EE1">
      <w:pPr>
        <w:rPr>
          <w:b/>
          <w:color w:val="E65B01" w:themeColor="accent1" w:themeShade="BF"/>
          <w:sz w:val="28"/>
          <w:szCs w:val="28"/>
        </w:rPr>
      </w:pPr>
    </w:p>
    <w:p w14:paraId="232B80FE" w14:textId="77777777" w:rsidR="00F82ACC" w:rsidRDefault="00F82ACC" w:rsidP="00282EE1">
      <w:pPr>
        <w:rPr>
          <w:b/>
          <w:color w:val="E65B01" w:themeColor="accent1" w:themeShade="BF"/>
          <w:sz w:val="28"/>
          <w:szCs w:val="28"/>
        </w:rPr>
      </w:pPr>
      <w:r>
        <w:rPr>
          <w:b/>
          <w:color w:val="E65B01" w:themeColor="accent1" w:themeShade="BF"/>
          <w:sz w:val="28"/>
          <w:szCs w:val="28"/>
        </w:rPr>
        <w:t>Additional Reporting Information</w:t>
      </w:r>
    </w:p>
    <w:p w14:paraId="5700604C" w14:textId="77777777" w:rsidR="00F82ACC" w:rsidRDefault="00F82ACC" w:rsidP="00282EE1">
      <w:pPr>
        <w:rPr>
          <w:szCs w:val="24"/>
        </w:rPr>
      </w:pPr>
      <w:r w:rsidRPr="00F82ACC">
        <w:rPr>
          <w:szCs w:val="24"/>
        </w:rPr>
        <w:t>In addition</w:t>
      </w:r>
      <w:r>
        <w:rPr>
          <w:szCs w:val="24"/>
        </w:rPr>
        <w:t xml:space="preserve"> the provider will be required to report the following information on a quarterly basis. Whilst there are no formal performance levels associated with these information requirements, they will be reviewed as standard as part of quarterly performance monitoring and actions agreed as appropriate.</w:t>
      </w:r>
    </w:p>
    <w:p w14:paraId="447B1D26" w14:textId="77777777" w:rsidR="00F82ACC" w:rsidRDefault="00F82ACC" w:rsidP="00282EE1">
      <w:pPr>
        <w:rPr>
          <w:szCs w:val="24"/>
        </w:rPr>
      </w:pPr>
      <w:r>
        <w:rPr>
          <w:szCs w:val="24"/>
        </w:rPr>
        <w:t xml:space="preserve">1. </w:t>
      </w:r>
      <w:r w:rsidR="00DC4173">
        <w:rPr>
          <w:szCs w:val="24"/>
        </w:rPr>
        <w:t>N</w:t>
      </w:r>
      <w:r>
        <w:rPr>
          <w:szCs w:val="24"/>
        </w:rPr>
        <w:t>umber of safeguarding alerts that have been substantiated</w:t>
      </w:r>
    </w:p>
    <w:p w14:paraId="421A16F7" w14:textId="77777777" w:rsidR="00DC4173" w:rsidRDefault="00DC4173" w:rsidP="00282EE1">
      <w:pPr>
        <w:rPr>
          <w:szCs w:val="24"/>
        </w:rPr>
      </w:pPr>
      <w:r>
        <w:rPr>
          <w:szCs w:val="24"/>
        </w:rPr>
        <w:t>2. Number of complaints and compliments</w:t>
      </w:r>
    </w:p>
    <w:p w14:paraId="7DEFEB9A" w14:textId="59EE0BBC" w:rsidR="00F82ACC" w:rsidRDefault="00DC4173" w:rsidP="00DC4173">
      <w:pPr>
        <w:ind w:left="284" w:hanging="284"/>
        <w:rPr>
          <w:szCs w:val="24"/>
        </w:rPr>
      </w:pPr>
      <w:r>
        <w:rPr>
          <w:szCs w:val="24"/>
        </w:rPr>
        <w:t>3. Where the annual customer and family satisfaction survey response rate falls below   100% the provider to record the reasons why feedback has not been provided</w:t>
      </w:r>
    </w:p>
    <w:p w14:paraId="1C4510E7" w14:textId="0816DAE1" w:rsidR="008B3F59" w:rsidRDefault="005E7BA3" w:rsidP="00DC4173">
      <w:pPr>
        <w:ind w:left="284" w:hanging="284"/>
        <w:rPr>
          <w:szCs w:val="24"/>
        </w:rPr>
      </w:pPr>
      <w:r>
        <w:rPr>
          <w:szCs w:val="24"/>
        </w:rPr>
        <w:t>4. Details of the staff turnover durin</w:t>
      </w:r>
      <w:r w:rsidR="00650A81">
        <w:rPr>
          <w:szCs w:val="24"/>
        </w:rPr>
        <w:t>g the quarter showing retention</w:t>
      </w:r>
      <w:r>
        <w:rPr>
          <w:szCs w:val="24"/>
        </w:rPr>
        <w:t xml:space="preserve"> rates, number of vacancies and action taken to recruit to any vacancies.</w:t>
      </w:r>
    </w:p>
    <w:p w14:paraId="6D5F5412" w14:textId="77777777" w:rsidR="008B3F59" w:rsidRDefault="008B3F59">
      <w:pPr>
        <w:rPr>
          <w:szCs w:val="24"/>
        </w:rPr>
      </w:pPr>
      <w:r>
        <w:rPr>
          <w:szCs w:val="24"/>
        </w:rPr>
        <w:br w:type="page"/>
      </w:r>
    </w:p>
    <w:p w14:paraId="1BCC7423" w14:textId="77777777" w:rsidR="005E7BA3" w:rsidRPr="00F82ACC" w:rsidRDefault="005E7BA3" w:rsidP="00DC4173">
      <w:pPr>
        <w:ind w:left="284" w:hanging="284"/>
        <w:rPr>
          <w:szCs w:val="24"/>
        </w:rPr>
      </w:pPr>
    </w:p>
    <w:p w14:paraId="782E6608" w14:textId="77777777" w:rsidR="00F82ACC" w:rsidRPr="00CC3556" w:rsidRDefault="00DC4173" w:rsidP="00282EE1">
      <w:pPr>
        <w:rPr>
          <w:b/>
          <w:color w:val="E65B01" w:themeColor="accent1" w:themeShade="BF"/>
          <w:sz w:val="28"/>
          <w:szCs w:val="28"/>
        </w:rPr>
      </w:pPr>
      <w:r>
        <w:rPr>
          <w:b/>
          <w:color w:val="E65B01" w:themeColor="accent1" w:themeShade="BF"/>
          <w:sz w:val="28"/>
          <w:szCs w:val="28"/>
        </w:rPr>
        <w:t>Outcomes</w:t>
      </w:r>
    </w:p>
    <w:tbl>
      <w:tblPr>
        <w:tblStyle w:val="TableGrid"/>
        <w:tblW w:w="0" w:type="auto"/>
        <w:tblLook w:val="04A0" w:firstRow="1" w:lastRow="0" w:firstColumn="1" w:lastColumn="0" w:noHBand="0" w:noVBand="1"/>
      </w:tblPr>
      <w:tblGrid>
        <w:gridCol w:w="2876"/>
        <w:gridCol w:w="4207"/>
        <w:gridCol w:w="1547"/>
      </w:tblGrid>
      <w:tr w:rsidR="00B761CA" w14:paraId="5CA7CB09" w14:textId="77777777" w:rsidTr="00B761CA">
        <w:tc>
          <w:tcPr>
            <w:tcW w:w="2876" w:type="dxa"/>
            <w:shd w:val="clear" w:color="auto" w:fill="A6A6A6" w:themeFill="background1" w:themeFillShade="A6"/>
          </w:tcPr>
          <w:p w14:paraId="270D411C" w14:textId="77777777" w:rsidR="00B761CA" w:rsidRPr="00B761CA" w:rsidRDefault="00B761CA" w:rsidP="00B761CA">
            <w:pPr>
              <w:jc w:val="center"/>
              <w:rPr>
                <w:b/>
              </w:rPr>
            </w:pPr>
            <w:r w:rsidRPr="00B761CA">
              <w:rPr>
                <w:b/>
              </w:rPr>
              <w:t>Outcomes</w:t>
            </w:r>
          </w:p>
        </w:tc>
        <w:tc>
          <w:tcPr>
            <w:tcW w:w="4207" w:type="dxa"/>
            <w:shd w:val="clear" w:color="auto" w:fill="A6A6A6" w:themeFill="background1" w:themeFillShade="A6"/>
          </w:tcPr>
          <w:p w14:paraId="4287A0EB" w14:textId="77777777" w:rsidR="00B761CA" w:rsidRPr="00B761CA" w:rsidRDefault="00B761CA" w:rsidP="00B761CA">
            <w:pPr>
              <w:jc w:val="center"/>
              <w:rPr>
                <w:b/>
              </w:rPr>
            </w:pPr>
            <w:r w:rsidRPr="00B761CA">
              <w:rPr>
                <w:b/>
              </w:rPr>
              <w:t>Measures</w:t>
            </w:r>
          </w:p>
        </w:tc>
        <w:tc>
          <w:tcPr>
            <w:tcW w:w="1547" w:type="dxa"/>
            <w:shd w:val="clear" w:color="auto" w:fill="A6A6A6" w:themeFill="background1" w:themeFillShade="A6"/>
          </w:tcPr>
          <w:p w14:paraId="683537BA" w14:textId="77777777" w:rsidR="00B761CA" w:rsidRPr="00B761CA" w:rsidRDefault="00B761CA" w:rsidP="00B761CA">
            <w:pPr>
              <w:jc w:val="center"/>
              <w:rPr>
                <w:b/>
              </w:rPr>
            </w:pPr>
            <w:r w:rsidRPr="00B761CA">
              <w:rPr>
                <w:b/>
              </w:rPr>
              <w:t>KPI’s</w:t>
            </w:r>
          </w:p>
        </w:tc>
      </w:tr>
      <w:tr w:rsidR="00B761CA" w14:paraId="13D0A526" w14:textId="77777777" w:rsidTr="00B761CA">
        <w:tc>
          <w:tcPr>
            <w:tcW w:w="2876" w:type="dxa"/>
          </w:tcPr>
          <w:p w14:paraId="2C250AC3" w14:textId="77777777" w:rsidR="00B761CA" w:rsidRDefault="00B761CA" w:rsidP="00282EE1">
            <w:r w:rsidRPr="00B761CA">
              <w:rPr>
                <w:b/>
              </w:rPr>
              <w:t>Outcome 1:</w:t>
            </w:r>
            <w:r>
              <w:t xml:space="preserve"> Customers and their families have a positive experience of care and support</w:t>
            </w:r>
          </w:p>
        </w:tc>
        <w:tc>
          <w:tcPr>
            <w:tcW w:w="4207" w:type="dxa"/>
          </w:tcPr>
          <w:p w14:paraId="241AA34C" w14:textId="77777777" w:rsidR="00B761CA" w:rsidRDefault="00B761CA" w:rsidP="00B761CA">
            <w:pPr>
              <w:pStyle w:val="ListParagraph"/>
              <w:numPr>
                <w:ilvl w:val="0"/>
                <w:numId w:val="28"/>
              </w:numPr>
            </w:pPr>
            <w:r>
              <w:t>Compliments and complaints</w:t>
            </w:r>
          </w:p>
          <w:p w14:paraId="2CF766E3" w14:textId="77777777" w:rsidR="00B761CA" w:rsidRDefault="00B761CA" w:rsidP="00B761CA">
            <w:pPr>
              <w:pStyle w:val="ListParagraph"/>
              <w:numPr>
                <w:ilvl w:val="0"/>
                <w:numId w:val="28"/>
              </w:numPr>
            </w:pPr>
            <w:r>
              <w:t>Annual satisfaction survey</w:t>
            </w:r>
          </w:p>
          <w:p w14:paraId="034F68E2" w14:textId="77777777" w:rsidR="00A9369B" w:rsidRDefault="00B761CA" w:rsidP="00A9369B">
            <w:pPr>
              <w:pStyle w:val="ListParagraph"/>
              <w:numPr>
                <w:ilvl w:val="0"/>
                <w:numId w:val="28"/>
              </w:numPr>
            </w:pPr>
            <w:r>
              <w:t>Evidence of quarterly customer/family consultation</w:t>
            </w:r>
          </w:p>
          <w:p w14:paraId="2A32E8DC" w14:textId="0B54CEA0" w:rsidR="008B3F59" w:rsidRDefault="008B3F59" w:rsidP="00A9369B">
            <w:pPr>
              <w:pStyle w:val="ListParagraph"/>
              <w:numPr>
                <w:ilvl w:val="0"/>
                <w:numId w:val="28"/>
              </w:numPr>
            </w:pPr>
            <w:r>
              <w:t xml:space="preserve">Evidence that customers have choice and control </w:t>
            </w:r>
          </w:p>
        </w:tc>
        <w:tc>
          <w:tcPr>
            <w:tcW w:w="1547" w:type="dxa"/>
          </w:tcPr>
          <w:p w14:paraId="7E1C03F4" w14:textId="77777777" w:rsidR="00B761CA" w:rsidRDefault="00DC4173" w:rsidP="00282EE1">
            <w:r>
              <w:t>KPI 6</w:t>
            </w:r>
          </w:p>
        </w:tc>
      </w:tr>
      <w:tr w:rsidR="00B761CA" w14:paraId="40405983" w14:textId="77777777" w:rsidTr="00B761CA">
        <w:tc>
          <w:tcPr>
            <w:tcW w:w="2876" w:type="dxa"/>
          </w:tcPr>
          <w:p w14:paraId="465C5FDF" w14:textId="77777777" w:rsidR="00B761CA" w:rsidRPr="00B761CA" w:rsidRDefault="00B761CA" w:rsidP="00282EE1">
            <w:pPr>
              <w:rPr>
                <w:b/>
              </w:rPr>
            </w:pPr>
            <w:r w:rsidRPr="00B761CA">
              <w:rPr>
                <w:b/>
              </w:rPr>
              <w:t>Outcome 2:</w:t>
            </w:r>
            <w:r>
              <w:rPr>
                <w:b/>
              </w:rPr>
              <w:t xml:space="preserve"> </w:t>
            </w:r>
            <w:r w:rsidRPr="00B761CA">
              <w:t>Enabling customers</w:t>
            </w:r>
            <w:r>
              <w:t xml:space="preserve"> to maintain and improve their physical and mental wellbeing.</w:t>
            </w:r>
          </w:p>
        </w:tc>
        <w:tc>
          <w:tcPr>
            <w:tcW w:w="4207" w:type="dxa"/>
          </w:tcPr>
          <w:p w14:paraId="60D6C946" w14:textId="77777777" w:rsidR="00B761CA" w:rsidRDefault="00B761CA" w:rsidP="00B761CA">
            <w:pPr>
              <w:pStyle w:val="ListParagraph"/>
              <w:numPr>
                <w:ilvl w:val="0"/>
                <w:numId w:val="29"/>
              </w:numPr>
            </w:pPr>
            <w:r>
              <w:t>Customers &amp;/or families self-report maintained or improved physical and mental wellbeing</w:t>
            </w:r>
          </w:p>
          <w:p w14:paraId="2AF46569" w14:textId="77777777" w:rsidR="00B761CA" w:rsidRDefault="00B761CA" w:rsidP="00B761CA">
            <w:pPr>
              <w:pStyle w:val="ListParagraph"/>
              <w:numPr>
                <w:ilvl w:val="0"/>
                <w:numId w:val="29"/>
              </w:numPr>
            </w:pPr>
            <w:r>
              <w:t>Customers have attended relevant activities within the service and externally</w:t>
            </w:r>
          </w:p>
          <w:p w14:paraId="7CE344F5" w14:textId="77777777" w:rsidR="00B761CA" w:rsidRDefault="00B761CA" w:rsidP="00B761CA">
            <w:pPr>
              <w:pStyle w:val="ListParagraph"/>
              <w:numPr>
                <w:ilvl w:val="0"/>
                <w:numId w:val="29"/>
              </w:numPr>
            </w:pPr>
            <w:r>
              <w:t>Support plans provide evidence that people are maintaining improved physical and mental wellbeing</w:t>
            </w:r>
          </w:p>
          <w:p w14:paraId="35D966B6" w14:textId="77777777" w:rsidR="00B761CA" w:rsidRDefault="00B761CA" w:rsidP="00B761CA">
            <w:pPr>
              <w:pStyle w:val="ListParagraph"/>
              <w:numPr>
                <w:ilvl w:val="0"/>
                <w:numId w:val="29"/>
              </w:numPr>
            </w:pPr>
            <w:r>
              <w:t>On a quarterly basis the manager to audit the support plans and document key findings to check this outcome is being met</w:t>
            </w:r>
          </w:p>
          <w:p w14:paraId="704629C2" w14:textId="77777777" w:rsidR="00DC4173" w:rsidRDefault="00B761CA" w:rsidP="00A9369B">
            <w:pPr>
              <w:pStyle w:val="ListParagraph"/>
              <w:numPr>
                <w:ilvl w:val="0"/>
                <w:numId w:val="29"/>
              </w:numPr>
            </w:pPr>
            <w:r>
              <w:t>Annual satisfaction survey</w:t>
            </w:r>
          </w:p>
        </w:tc>
        <w:tc>
          <w:tcPr>
            <w:tcW w:w="1547" w:type="dxa"/>
          </w:tcPr>
          <w:p w14:paraId="4EBCE8EB" w14:textId="104DA8FB" w:rsidR="00B761CA" w:rsidRDefault="00DC4173" w:rsidP="00282EE1">
            <w:r>
              <w:t>KPI 3</w:t>
            </w:r>
            <w:r w:rsidR="00650A81">
              <w:t xml:space="preserve"> &amp; KPI 6</w:t>
            </w:r>
          </w:p>
        </w:tc>
      </w:tr>
      <w:tr w:rsidR="00D23392" w14:paraId="3992112A" w14:textId="77777777" w:rsidTr="00B761CA">
        <w:tc>
          <w:tcPr>
            <w:tcW w:w="2876" w:type="dxa"/>
          </w:tcPr>
          <w:p w14:paraId="65EF3629" w14:textId="5A1CCEB2" w:rsidR="00D23392" w:rsidRPr="00D23392" w:rsidRDefault="00D23392" w:rsidP="00282EE1">
            <w:r>
              <w:rPr>
                <w:b/>
              </w:rPr>
              <w:t xml:space="preserve">Outcome 3: </w:t>
            </w:r>
            <w:r>
              <w:t>Customers living in their own homes live a meaningful and enjoyable life and achieve outcomes that matter to them.</w:t>
            </w:r>
          </w:p>
        </w:tc>
        <w:tc>
          <w:tcPr>
            <w:tcW w:w="4207" w:type="dxa"/>
          </w:tcPr>
          <w:p w14:paraId="64A57352" w14:textId="35A21759" w:rsidR="00D23392" w:rsidRDefault="00D23392" w:rsidP="00B761CA">
            <w:pPr>
              <w:pStyle w:val="ListParagraph"/>
              <w:numPr>
                <w:ilvl w:val="0"/>
                <w:numId w:val="29"/>
              </w:numPr>
            </w:pPr>
            <w:r>
              <w:t>Evidence of customer &amp;/or families input in support planning and risk assessments</w:t>
            </w:r>
          </w:p>
          <w:p w14:paraId="26668C12" w14:textId="678C9BE9" w:rsidR="00D23392" w:rsidRDefault="00D23392" w:rsidP="00B761CA">
            <w:pPr>
              <w:pStyle w:val="ListParagraph"/>
              <w:numPr>
                <w:ilvl w:val="0"/>
                <w:numId w:val="29"/>
              </w:numPr>
            </w:pPr>
            <w:r>
              <w:t>Customers have attended relevant activities within the service and externally</w:t>
            </w:r>
          </w:p>
          <w:p w14:paraId="24FDAB59" w14:textId="40E044CF" w:rsidR="00D23392" w:rsidRDefault="00D23392" w:rsidP="002D3479">
            <w:pPr>
              <w:pStyle w:val="ListParagraph"/>
              <w:numPr>
                <w:ilvl w:val="0"/>
                <w:numId w:val="29"/>
              </w:numPr>
            </w:pPr>
            <w:r>
              <w:t>Annual satisfaction survey</w:t>
            </w:r>
          </w:p>
        </w:tc>
        <w:tc>
          <w:tcPr>
            <w:tcW w:w="1547" w:type="dxa"/>
          </w:tcPr>
          <w:p w14:paraId="32A330C0" w14:textId="5E6A95D0" w:rsidR="00D23392" w:rsidRDefault="00D23392" w:rsidP="00282EE1">
            <w:r>
              <w:t>KPI 3</w:t>
            </w:r>
            <w:r w:rsidR="00650A81">
              <w:t xml:space="preserve"> &amp; KPI 6</w:t>
            </w:r>
          </w:p>
        </w:tc>
      </w:tr>
      <w:tr w:rsidR="00343FD4" w14:paraId="306E78A2" w14:textId="77777777" w:rsidTr="00B761CA">
        <w:tc>
          <w:tcPr>
            <w:tcW w:w="2876" w:type="dxa"/>
          </w:tcPr>
          <w:p w14:paraId="3F538E9A" w14:textId="01770CEB" w:rsidR="00343FD4" w:rsidRDefault="00343FD4" w:rsidP="00282EE1">
            <w:pPr>
              <w:rPr>
                <w:b/>
              </w:rPr>
            </w:pPr>
            <w:r>
              <w:rPr>
                <w:b/>
              </w:rPr>
              <w:t xml:space="preserve">Outcome 4: </w:t>
            </w:r>
            <w:r w:rsidRPr="00343FD4">
              <w:t>The provider is able to demonstrate</w:t>
            </w:r>
            <w:r>
              <w:t xml:space="preserve"> a personalised approach to delivering care and support</w:t>
            </w:r>
          </w:p>
        </w:tc>
        <w:tc>
          <w:tcPr>
            <w:tcW w:w="4207" w:type="dxa"/>
          </w:tcPr>
          <w:p w14:paraId="61136210" w14:textId="77777777" w:rsidR="00343FD4" w:rsidRDefault="00343FD4" w:rsidP="00B761CA">
            <w:pPr>
              <w:pStyle w:val="ListParagraph"/>
              <w:numPr>
                <w:ilvl w:val="0"/>
                <w:numId w:val="29"/>
              </w:numPr>
            </w:pPr>
            <w:r>
              <w:t>Evidence of regular customer &amp;/or families input in support plan and risks assessments</w:t>
            </w:r>
          </w:p>
          <w:p w14:paraId="59EC1E8C" w14:textId="77777777" w:rsidR="009D7004" w:rsidRDefault="009D7004" w:rsidP="009D7004">
            <w:pPr>
              <w:pStyle w:val="ListParagraph"/>
              <w:numPr>
                <w:ilvl w:val="0"/>
                <w:numId w:val="29"/>
              </w:numPr>
            </w:pPr>
            <w:r>
              <w:t>On a quarterly basis the manager to audit the support plans and document key findings to check this outcome is being met</w:t>
            </w:r>
          </w:p>
          <w:p w14:paraId="49AE2968" w14:textId="77777777" w:rsidR="00343FD4" w:rsidRDefault="009D7004" w:rsidP="00B761CA">
            <w:pPr>
              <w:pStyle w:val="ListParagraph"/>
              <w:numPr>
                <w:ilvl w:val="0"/>
                <w:numId w:val="29"/>
              </w:numPr>
            </w:pPr>
            <w:r>
              <w:t>Annual satisfaction survey</w:t>
            </w:r>
          </w:p>
          <w:p w14:paraId="03928AAF" w14:textId="59504033" w:rsidR="0054767F" w:rsidRDefault="0054767F" w:rsidP="00B761CA">
            <w:pPr>
              <w:pStyle w:val="ListParagraph"/>
              <w:numPr>
                <w:ilvl w:val="0"/>
                <w:numId w:val="29"/>
              </w:numPr>
            </w:pPr>
            <w:r>
              <w:t>Evidence that customers have choice and control</w:t>
            </w:r>
          </w:p>
        </w:tc>
        <w:tc>
          <w:tcPr>
            <w:tcW w:w="1547" w:type="dxa"/>
          </w:tcPr>
          <w:p w14:paraId="27DEFBCC" w14:textId="18C16E4C" w:rsidR="00343FD4" w:rsidRDefault="00343FD4" w:rsidP="00282EE1">
            <w:r>
              <w:t>KPI 1, KPI 2, KPI 3 &amp; KPI 6</w:t>
            </w:r>
          </w:p>
        </w:tc>
      </w:tr>
    </w:tbl>
    <w:p w14:paraId="7FB6BDC5" w14:textId="77777777" w:rsidR="00371F56" w:rsidRDefault="00371F56" w:rsidP="00371F56"/>
    <w:p w14:paraId="209B1DD6" w14:textId="633FB5F7" w:rsidR="00583A3B" w:rsidRDefault="00191BF4" w:rsidP="00191BF4">
      <w:r w:rsidRPr="00191BF4">
        <w:t>The p</w:t>
      </w:r>
      <w:r w:rsidR="00583A3B" w:rsidRPr="00191BF4">
        <w:t xml:space="preserve">rovider will ensure performance returns are submitted quarterly from commencement of contract </w:t>
      </w:r>
      <w:r w:rsidR="0067306C">
        <w:t xml:space="preserve">to People Commissioning using the following email address: </w:t>
      </w:r>
      <w:hyperlink r:id="rId11" w:history="1">
        <w:r w:rsidR="0067306C" w:rsidRPr="00182A51">
          <w:rPr>
            <w:rStyle w:val="Hyperlink"/>
          </w:rPr>
          <w:t>commissioningsupportteam@wokingham.gov.uk</w:t>
        </w:r>
      </w:hyperlink>
      <w:r w:rsidR="0067306C">
        <w:t xml:space="preserve"> </w:t>
      </w:r>
      <w:r w:rsidRPr="00191BF4">
        <w:t xml:space="preserve"> </w:t>
      </w:r>
      <w:r w:rsidR="00583A3B" w:rsidRPr="00191BF4">
        <w:t>within 14 days after the last date of each quarter period.</w:t>
      </w:r>
    </w:p>
    <w:p w14:paraId="79D46A8A" w14:textId="7E51595D" w:rsidR="00757102" w:rsidRPr="0067306C" w:rsidRDefault="0067306C" w:rsidP="00A61EF2">
      <w:r>
        <w:t xml:space="preserve">Post contract award, the performance monitoring template will be agreed with the winning Provider. </w:t>
      </w:r>
    </w:p>
    <w:p w14:paraId="65081B21" w14:textId="20AB788F" w:rsidR="00583A3B" w:rsidRPr="00583A3B" w:rsidRDefault="00583A3B" w:rsidP="00583A3B">
      <w:pPr>
        <w:pStyle w:val="Heading1"/>
        <w:numPr>
          <w:ilvl w:val="0"/>
          <w:numId w:val="3"/>
        </w:numPr>
      </w:pPr>
      <w:r>
        <w:t xml:space="preserve">Review of </w:t>
      </w:r>
      <w:r w:rsidR="00371F56">
        <w:t xml:space="preserve">the </w:t>
      </w:r>
      <w:r w:rsidR="0067306C">
        <w:t>service sp</w:t>
      </w:r>
      <w:r>
        <w:t>ecification</w:t>
      </w:r>
      <w:r>
        <w:br/>
      </w:r>
    </w:p>
    <w:p w14:paraId="0305A984" w14:textId="11EBAC95" w:rsidR="00583A3B" w:rsidRPr="00583A3B" w:rsidRDefault="00583A3B" w:rsidP="00583A3B">
      <w:pPr>
        <w:rPr>
          <w:rFonts w:cs="Arial"/>
          <w:szCs w:val="24"/>
        </w:rPr>
      </w:pPr>
      <w:r w:rsidRPr="00583A3B">
        <w:rPr>
          <w:rFonts w:cs="Arial"/>
          <w:szCs w:val="24"/>
        </w:rPr>
        <w:t>This service specification</w:t>
      </w:r>
      <w:r w:rsidR="00CC3556">
        <w:rPr>
          <w:rFonts w:cs="Arial"/>
          <w:szCs w:val="24"/>
        </w:rPr>
        <w:t xml:space="preserve">, KPI’s and outcomes </w:t>
      </w:r>
      <w:r w:rsidRPr="00583A3B">
        <w:rPr>
          <w:rFonts w:cs="Arial"/>
          <w:szCs w:val="24"/>
        </w:rPr>
        <w:t xml:space="preserve">will be reviewed </w:t>
      </w:r>
      <w:r w:rsidR="00CC3556">
        <w:rPr>
          <w:rFonts w:cs="Arial"/>
          <w:szCs w:val="24"/>
        </w:rPr>
        <w:t>and amended as appropriate with the provider.</w:t>
      </w:r>
    </w:p>
    <w:p w14:paraId="0B44EF58" w14:textId="77777777" w:rsidR="00583A3B" w:rsidRPr="00583A3B" w:rsidRDefault="00583A3B" w:rsidP="00583A3B"/>
    <w:p w14:paraId="6E9EB3E6" w14:textId="77777777" w:rsidR="00DE58BC" w:rsidRPr="00583A3B" w:rsidRDefault="00DE58BC" w:rsidP="00583A3B">
      <w:pPr>
        <w:rPr>
          <w:u w:val="single"/>
        </w:rPr>
      </w:pPr>
    </w:p>
    <w:sectPr w:rsidR="00DE58BC" w:rsidRPr="00583A3B" w:rsidSect="00B636E5">
      <w:headerReference w:type="default" r:id="rId12"/>
      <w:footerReference w:type="default" r:id="rId13"/>
      <w:headerReference w:type="first" r:id="rId14"/>
      <w:footerReference w:type="first" r:id="rId15"/>
      <w:pgSz w:w="12240" w:h="15840"/>
      <w:pgMar w:top="1440" w:right="1800" w:bottom="1440" w:left="1800" w:header="62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5EF93" w14:textId="77777777" w:rsidR="00783E20" w:rsidRDefault="00783E20">
      <w:pPr>
        <w:spacing w:after="0" w:line="240" w:lineRule="auto"/>
      </w:pPr>
      <w:r>
        <w:separator/>
      </w:r>
    </w:p>
  </w:endnote>
  <w:endnote w:type="continuationSeparator" w:id="0">
    <w:p w14:paraId="2CB8F979" w14:textId="77777777" w:rsidR="00783E20" w:rsidRDefault="0078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98855"/>
      <w:docPartObj>
        <w:docPartGallery w:val="Page Numbers (Bottom of Page)"/>
        <w:docPartUnique/>
      </w:docPartObj>
    </w:sdtPr>
    <w:sdtEndPr/>
    <w:sdtContent>
      <w:sdt>
        <w:sdtPr>
          <w:id w:val="-1769616900"/>
          <w:docPartObj>
            <w:docPartGallery w:val="Page Numbers (Top of Page)"/>
            <w:docPartUnique/>
          </w:docPartObj>
        </w:sdtPr>
        <w:sdtEndPr/>
        <w:sdtContent>
          <w:p w14:paraId="1623687F" w14:textId="647BB4DD" w:rsidR="005477E8" w:rsidRDefault="005477E8" w:rsidP="005477E8">
            <w:pPr>
              <w:pStyle w:val="Footer"/>
              <w:tabs>
                <w:tab w:val="clear" w:pos="4680"/>
                <w:tab w:val="clear" w:pos="9360"/>
                <w:tab w:val="right" w:pos="8640"/>
              </w:tabs>
            </w:pPr>
            <w:r>
              <w:t>Wokingham Borough Council</w:t>
            </w:r>
            <w:r>
              <w:tab/>
            </w:r>
          </w:p>
          <w:p w14:paraId="0F4CA5EF" w14:textId="0216BA40" w:rsidR="00301F98" w:rsidRDefault="005477E8" w:rsidP="005477E8">
            <w:pPr>
              <w:pStyle w:val="Footer"/>
            </w:pPr>
            <w:r>
              <w:t xml:space="preserve">Invitation to Tender: Supported Living in Wokingham </w:t>
            </w:r>
            <w:r>
              <w:br/>
              <w:t>15</w:t>
            </w:r>
            <w:r w:rsidRPr="005477E8">
              <w:rPr>
                <w:vertAlign w:val="superscript"/>
              </w:rPr>
              <w:t>th</w:t>
            </w:r>
            <w:r>
              <w:t xml:space="preserve"> December 2017</w:t>
            </w:r>
            <w:r>
              <w:tab/>
            </w:r>
            <w:r>
              <w:tab/>
            </w:r>
            <w:r w:rsidR="00301F98">
              <w:t xml:space="preserve">Page </w:t>
            </w:r>
            <w:r w:rsidR="00301F98">
              <w:rPr>
                <w:b/>
                <w:bCs/>
                <w:szCs w:val="24"/>
              </w:rPr>
              <w:fldChar w:fldCharType="begin"/>
            </w:r>
            <w:r w:rsidR="00301F98">
              <w:rPr>
                <w:b/>
                <w:bCs/>
              </w:rPr>
              <w:instrText xml:space="preserve"> PAGE </w:instrText>
            </w:r>
            <w:r w:rsidR="00301F98">
              <w:rPr>
                <w:b/>
                <w:bCs/>
                <w:szCs w:val="24"/>
              </w:rPr>
              <w:fldChar w:fldCharType="separate"/>
            </w:r>
            <w:r w:rsidR="00BB306B">
              <w:rPr>
                <w:b/>
                <w:bCs/>
                <w:noProof/>
              </w:rPr>
              <w:t>1</w:t>
            </w:r>
            <w:r w:rsidR="00301F98">
              <w:rPr>
                <w:b/>
                <w:bCs/>
                <w:szCs w:val="24"/>
              </w:rPr>
              <w:fldChar w:fldCharType="end"/>
            </w:r>
            <w:r w:rsidR="00301F98">
              <w:t xml:space="preserve"> of </w:t>
            </w:r>
            <w:r w:rsidR="00301F98">
              <w:rPr>
                <w:b/>
                <w:bCs/>
                <w:szCs w:val="24"/>
              </w:rPr>
              <w:fldChar w:fldCharType="begin"/>
            </w:r>
            <w:r w:rsidR="00301F98">
              <w:rPr>
                <w:b/>
                <w:bCs/>
              </w:rPr>
              <w:instrText xml:space="preserve"> NUMPAGES  </w:instrText>
            </w:r>
            <w:r w:rsidR="00301F98">
              <w:rPr>
                <w:b/>
                <w:bCs/>
                <w:szCs w:val="24"/>
              </w:rPr>
              <w:fldChar w:fldCharType="separate"/>
            </w:r>
            <w:r w:rsidR="00BB306B">
              <w:rPr>
                <w:b/>
                <w:bCs/>
                <w:noProof/>
              </w:rPr>
              <w:t>12</w:t>
            </w:r>
            <w:r w:rsidR="00301F98">
              <w:rPr>
                <w:b/>
                <w:bCs/>
                <w:szCs w:val="24"/>
              </w:rPr>
              <w:fldChar w:fldCharType="end"/>
            </w:r>
          </w:p>
        </w:sdtContent>
      </w:sdt>
    </w:sdtContent>
  </w:sdt>
  <w:p w14:paraId="69C20103" w14:textId="509EAA5A" w:rsidR="00637570" w:rsidRDefault="00637570" w:rsidP="00301F9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92B2C" w14:textId="2E219167" w:rsidR="00B636E5" w:rsidRDefault="00B636E5">
    <w:pPr>
      <w:pStyle w:val="Footer"/>
      <w:jc w:val="right"/>
    </w:pPr>
  </w:p>
  <w:p w14:paraId="723A5B28" w14:textId="215F9EBB" w:rsidR="00E91156" w:rsidRDefault="00E91156" w:rsidP="00E91156">
    <w:pPr>
      <w:pStyle w:val="Footer"/>
      <w:tabs>
        <w:tab w:val="clear" w:pos="4680"/>
        <w:tab w:val="center"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B8D83" w14:textId="77777777" w:rsidR="00783E20" w:rsidRDefault="00783E20">
      <w:pPr>
        <w:spacing w:after="0" w:line="240" w:lineRule="auto"/>
      </w:pPr>
      <w:r>
        <w:separator/>
      </w:r>
    </w:p>
  </w:footnote>
  <w:footnote w:type="continuationSeparator" w:id="0">
    <w:p w14:paraId="1E7E7FC0" w14:textId="77777777" w:rsidR="00783E20" w:rsidRDefault="0078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9F05" w14:textId="3A9EF589" w:rsidR="00146FB2" w:rsidRDefault="00CC7A4D" w:rsidP="00146FB2">
    <w:pPr>
      <w:pStyle w:val="Footer"/>
      <w:tabs>
        <w:tab w:val="clear" w:pos="4680"/>
        <w:tab w:val="clear" w:pos="9360"/>
        <w:tab w:val="right" w:pos="8640"/>
      </w:tabs>
      <w:ind w:left="-851"/>
      <w:rPr>
        <w:rFonts w:ascii="Calibri" w:hAnsi="Calibri"/>
        <w:b/>
        <w:color w:val="FFFFFF" w:themeColor="background1"/>
      </w:rPr>
    </w:pPr>
    <w:r w:rsidRPr="00B636E5">
      <w:rPr>
        <w:noProof/>
        <w:color w:val="FE8637" w:themeColor="accent1"/>
        <w:sz w:val="20"/>
        <w:lang w:val="en-GB" w:eastAsia="en-GB"/>
      </w:rPr>
      <mc:AlternateContent>
        <mc:Choice Requires="wps">
          <w:drawing>
            <wp:anchor distT="91440" distB="91440" distL="114300" distR="114300" simplePos="0" relativeHeight="251664384" behindDoc="1" locked="0" layoutInCell="1" allowOverlap="1" wp14:anchorId="3986C4FE" wp14:editId="02400C22">
              <wp:simplePos x="0" y="0"/>
              <wp:positionH relativeFrom="margin">
                <wp:posOffset>2585720</wp:posOffset>
              </wp:positionH>
              <wp:positionV relativeFrom="bottomMargin">
                <wp:posOffset>-8746490</wp:posOffset>
              </wp:positionV>
              <wp:extent cx="3160395" cy="307975"/>
              <wp:effectExtent l="57150" t="38100" r="78105" b="92075"/>
              <wp:wrapSquare wrapText="bothSides"/>
              <wp:docPr id="86" name="Rectangle 86"/>
              <wp:cNvGraphicFramePr/>
              <a:graphic xmlns:a="http://schemas.openxmlformats.org/drawingml/2006/main">
                <a:graphicData uri="http://schemas.microsoft.com/office/word/2010/wordprocessingShape">
                  <wps:wsp>
                    <wps:cNvSpPr/>
                    <wps:spPr>
                      <a:xfrm flipV="1">
                        <a:off x="0" y="0"/>
                        <a:ext cx="3160395" cy="307975"/>
                      </a:xfrm>
                      <a:prstGeom prst="rect">
                        <a:avLst/>
                      </a:prstGeom>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2A4734" id="Rectangle 86" o:spid="_x0000_s1026" style="position:absolute;margin-left:203.6pt;margin-top:-688.7pt;width:248.85pt;height:24.25pt;flip:y;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" fillcolor="#c04c01 [2020]" strokecolor="#d65501 [2244]" strokeweight="1pt">
              <v:fill color2="#2d1200 [484]" rotate="t" focusposition="19661f,101581f" focussize="-52429f,-85197f" colors="0 #ff6000;19661f #ff5d00;.75 #c14400;1 #8b2f00" focus="100%" type="gradientRadial"/>
              <v:shadow on="t" color="black" opacity="27525f" origin=",.5" offset="0,.55556mm"/>
              <w10:wrap type="square" anchorx="margin" anchory="margin"/>
            </v:rect>
          </w:pict>
        </mc:Fallback>
      </mc:AlternateContent>
    </w:r>
    <w:r w:rsidR="00B636E5" w:rsidRPr="00B636E5">
      <w:rPr>
        <w:sz w:val="20"/>
      </w:rPr>
      <w:t xml:space="preserve"> </w:t>
    </w:r>
  </w:p>
  <w:p w14:paraId="415EA2CD" w14:textId="4FA4E620" w:rsidR="00CC7A4D" w:rsidRPr="00FB5B12" w:rsidRDefault="003D6309" w:rsidP="00B636E5">
    <w:pPr>
      <w:pStyle w:val="Header"/>
      <w:ind w:left="-851"/>
      <w:rPr>
        <w:rFonts w:ascii="Calibri" w:hAnsi="Calibri"/>
        <w:b/>
        <w:color w:val="FFFFFF" w:themeColor="background1"/>
      </w:rPr>
    </w:pPr>
    <w:r>
      <w:rPr>
        <w:rFonts w:ascii="Calibri" w:hAnsi="Calibri"/>
        <w:b/>
        <w:color w:val="FFFFFF" w:themeColor="background1"/>
      </w:rPr>
      <w:t>People)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E717" w14:textId="77777777" w:rsidR="00CC7A4D" w:rsidRDefault="00CC7A4D">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6EB"/>
    <w:multiLevelType w:val="hybridMultilevel"/>
    <w:tmpl w:val="E40C64D2"/>
    <w:lvl w:ilvl="0" w:tplc="71A8D0C6">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F713A"/>
    <w:multiLevelType w:val="hybridMultilevel"/>
    <w:tmpl w:val="FE14F49A"/>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172F5"/>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B51283"/>
    <w:multiLevelType w:val="hybridMultilevel"/>
    <w:tmpl w:val="B59E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D753E"/>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5" w15:restartNumberingAfterBreak="0">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6" w15:restartNumberingAfterBreak="0">
    <w:nsid w:val="13F433DA"/>
    <w:multiLevelType w:val="hybridMultilevel"/>
    <w:tmpl w:val="CC3C9486"/>
    <w:lvl w:ilvl="0" w:tplc="4CBE8D60">
      <w:start w:val="1"/>
      <w:numFmt w:val="bullet"/>
      <w:lvlText w:val=""/>
      <w:lvlJc w:val="left"/>
      <w:pPr>
        <w:ind w:left="1080" w:hanging="360"/>
      </w:pPr>
      <w:rPr>
        <w:rFonts w:ascii="Symbol" w:hAnsi="Symbol" w:hint="default"/>
        <w:color w:val="E65B01" w:themeColor="accent1" w:themeShade="BF"/>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8" w15:restartNumberingAfterBreak="0">
    <w:nsid w:val="20BD2377"/>
    <w:multiLevelType w:val="hybridMultilevel"/>
    <w:tmpl w:val="63D443EE"/>
    <w:lvl w:ilvl="0" w:tplc="1264F4E4">
      <w:start w:val="1"/>
      <w:numFmt w:val="bullet"/>
      <w:lvlText w:val=""/>
      <w:lvlJc w:val="left"/>
      <w:pPr>
        <w:ind w:left="1080" w:hanging="360"/>
      </w:pPr>
      <w:rPr>
        <w:rFonts w:ascii="Symbol" w:hAnsi="Symbol" w:hint="default"/>
        <w:color w:val="003399"/>
        <w:sz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3A32F4"/>
    <w:multiLevelType w:val="hybridMultilevel"/>
    <w:tmpl w:val="D3DC31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E6A61"/>
    <w:multiLevelType w:val="hybridMultilevel"/>
    <w:tmpl w:val="B6EC184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61CEB"/>
    <w:multiLevelType w:val="hybridMultilevel"/>
    <w:tmpl w:val="563CD060"/>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91599"/>
    <w:multiLevelType w:val="hybridMultilevel"/>
    <w:tmpl w:val="FC5E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01F69"/>
    <w:multiLevelType w:val="hybridMultilevel"/>
    <w:tmpl w:val="885C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C54DF"/>
    <w:multiLevelType w:val="hybridMultilevel"/>
    <w:tmpl w:val="88EE9760"/>
    <w:lvl w:ilvl="0" w:tplc="8BFA7AC6">
      <w:start w:val="1"/>
      <w:numFmt w:val="bullet"/>
      <w:lvlText w:val=""/>
      <w:lvlJc w:val="left"/>
      <w:pPr>
        <w:ind w:left="1080" w:hanging="360"/>
      </w:pPr>
      <w:rPr>
        <w:rFonts w:ascii="Symbol" w:hAnsi="Symbol" w:hint="default"/>
        <w:color w:val="E65B01" w:themeColor="accent1" w:themeShade="BF"/>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9928EA"/>
    <w:multiLevelType w:val="hybridMultilevel"/>
    <w:tmpl w:val="B3F657AC"/>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E92E1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275259E"/>
    <w:multiLevelType w:val="hybridMultilevel"/>
    <w:tmpl w:val="CB6C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F14B4"/>
    <w:multiLevelType w:val="hybridMultilevel"/>
    <w:tmpl w:val="628272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CB5B14"/>
    <w:multiLevelType w:val="hybridMultilevel"/>
    <w:tmpl w:val="4FEA15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9653658"/>
    <w:multiLevelType w:val="hybridMultilevel"/>
    <w:tmpl w:val="1C08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965921"/>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FB613FC"/>
    <w:multiLevelType w:val="hybridMultilevel"/>
    <w:tmpl w:val="B0BEEA8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70ACA"/>
    <w:multiLevelType w:val="multilevel"/>
    <w:tmpl w:val="1A545C28"/>
    <w:lvl w:ilvl="0">
      <w:start w:val="1"/>
      <w:numFmt w:val="bullet"/>
      <w:lvlText w:val=""/>
      <w:lvlJc w:val="left"/>
      <w:pPr>
        <w:tabs>
          <w:tab w:val="num" w:pos="900"/>
        </w:tabs>
        <w:ind w:left="90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C54B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6301D4"/>
    <w:multiLevelType w:val="hybridMultilevel"/>
    <w:tmpl w:val="AD4823A0"/>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773C3"/>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7" w15:restartNumberingAfterBreak="0">
    <w:nsid w:val="6B697658"/>
    <w:multiLevelType w:val="hybridMultilevel"/>
    <w:tmpl w:val="9A40F48E"/>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C6D00"/>
    <w:multiLevelType w:val="multilevel"/>
    <w:tmpl w:val="456EEC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hint="default"/>
        <w:b w:val="0"/>
        <w:color w:val="auto"/>
        <w:sz w:val="24"/>
      </w:rPr>
    </w:lvl>
    <w:lvl w:ilvl="2">
      <w:start w:val="1"/>
      <w:numFmt w:val="decimal"/>
      <w:isLgl/>
      <w:lvlText w:val="%1.%2.%3."/>
      <w:lvlJc w:val="left"/>
      <w:pPr>
        <w:ind w:left="1440" w:hanging="1080"/>
      </w:pPr>
      <w:rPr>
        <w:rFonts w:asciiTheme="minorHAnsi" w:hAnsiTheme="minorHAnsi" w:hint="default"/>
        <w:b w:val="0"/>
        <w:color w:val="auto"/>
        <w:sz w:val="24"/>
      </w:rPr>
    </w:lvl>
    <w:lvl w:ilvl="3">
      <w:start w:val="1"/>
      <w:numFmt w:val="decimal"/>
      <w:isLgl/>
      <w:lvlText w:val="%1.%2.%3.%4."/>
      <w:lvlJc w:val="left"/>
      <w:pPr>
        <w:ind w:left="1440" w:hanging="1080"/>
      </w:pPr>
      <w:rPr>
        <w:rFonts w:asciiTheme="minorHAnsi" w:hAnsiTheme="minorHAnsi" w:hint="default"/>
        <w:b w:val="0"/>
        <w:color w:val="auto"/>
        <w:sz w:val="24"/>
      </w:rPr>
    </w:lvl>
    <w:lvl w:ilvl="4">
      <w:start w:val="1"/>
      <w:numFmt w:val="decimal"/>
      <w:isLgl/>
      <w:lvlText w:val="%1.%2.%3.%4.%5."/>
      <w:lvlJc w:val="left"/>
      <w:pPr>
        <w:ind w:left="1800" w:hanging="1440"/>
      </w:pPr>
      <w:rPr>
        <w:rFonts w:asciiTheme="minorHAnsi" w:hAnsiTheme="minorHAnsi" w:hint="default"/>
        <w:b w:val="0"/>
        <w:color w:val="auto"/>
        <w:sz w:val="24"/>
      </w:rPr>
    </w:lvl>
    <w:lvl w:ilvl="5">
      <w:start w:val="1"/>
      <w:numFmt w:val="decimal"/>
      <w:isLgl/>
      <w:lvlText w:val="%1.%2.%3.%4.%5.%6."/>
      <w:lvlJc w:val="left"/>
      <w:pPr>
        <w:ind w:left="2160" w:hanging="1800"/>
      </w:pPr>
      <w:rPr>
        <w:rFonts w:asciiTheme="minorHAnsi" w:hAnsiTheme="minorHAnsi" w:hint="default"/>
        <w:b w:val="0"/>
        <w:color w:val="auto"/>
        <w:sz w:val="24"/>
      </w:rPr>
    </w:lvl>
    <w:lvl w:ilvl="6">
      <w:start w:val="1"/>
      <w:numFmt w:val="decimal"/>
      <w:isLgl/>
      <w:lvlText w:val="%1.%2.%3.%4.%5.%6.%7."/>
      <w:lvlJc w:val="left"/>
      <w:pPr>
        <w:ind w:left="2160" w:hanging="1800"/>
      </w:pPr>
      <w:rPr>
        <w:rFonts w:asciiTheme="minorHAnsi" w:hAnsiTheme="minorHAnsi" w:hint="default"/>
        <w:b w:val="0"/>
        <w:color w:val="auto"/>
        <w:sz w:val="24"/>
      </w:rPr>
    </w:lvl>
    <w:lvl w:ilvl="7">
      <w:start w:val="1"/>
      <w:numFmt w:val="decimal"/>
      <w:isLgl/>
      <w:lvlText w:val="%1.%2.%3.%4.%5.%6.%7.%8."/>
      <w:lvlJc w:val="left"/>
      <w:pPr>
        <w:ind w:left="2520" w:hanging="2160"/>
      </w:pPr>
      <w:rPr>
        <w:rFonts w:asciiTheme="minorHAnsi" w:hAnsiTheme="minorHAnsi" w:hint="default"/>
        <w:b w:val="0"/>
        <w:color w:val="auto"/>
        <w:sz w:val="24"/>
      </w:rPr>
    </w:lvl>
    <w:lvl w:ilvl="8">
      <w:start w:val="1"/>
      <w:numFmt w:val="decimal"/>
      <w:isLgl/>
      <w:lvlText w:val="%1.%2.%3.%4.%5.%6.%7.%8.%9."/>
      <w:lvlJc w:val="left"/>
      <w:pPr>
        <w:ind w:left="2880" w:hanging="2520"/>
      </w:pPr>
      <w:rPr>
        <w:rFonts w:asciiTheme="minorHAnsi" w:hAnsiTheme="minorHAnsi" w:hint="default"/>
        <w:b w:val="0"/>
        <w:color w:val="auto"/>
        <w:sz w:val="24"/>
      </w:rPr>
    </w:lvl>
  </w:abstractNum>
  <w:abstractNum w:abstractNumId="29" w15:restartNumberingAfterBreak="0">
    <w:nsid w:val="7BAB13E3"/>
    <w:multiLevelType w:val="hybridMultilevel"/>
    <w:tmpl w:val="4B2AF744"/>
    <w:lvl w:ilvl="0" w:tplc="1264F4E4">
      <w:start w:val="1"/>
      <w:numFmt w:val="bullet"/>
      <w:lvlText w:val=""/>
      <w:lvlJc w:val="left"/>
      <w:pPr>
        <w:ind w:left="720" w:hanging="360"/>
      </w:pPr>
      <w:rPr>
        <w:rFonts w:ascii="Symbol" w:hAnsi="Symbol" w:hint="default"/>
        <w:color w:val="0033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424BD"/>
    <w:multiLevelType w:val="hybridMultilevel"/>
    <w:tmpl w:val="5D2A7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6"/>
  </w:num>
  <w:num w:numId="4">
    <w:abstractNumId w:val="25"/>
  </w:num>
  <w:num w:numId="5">
    <w:abstractNumId w:val="1"/>
  </w:num>
  <w:num w:numId="6">
    <w:abstractNumId w:val="27"/>
  </w:num>
  <w:num w:numId="7">
    <w:abstractNumId w:val="15"/>
  </w:num>
  <w:num w:numId="8">
    <w:abstractNumId w:val="4"/>
  </w:num>
  <w:num w:numId="9">
    <w:abstractNumId w:val="3"/>
  </w:num>
  <w:num w:numId="10">
    <w:abstractNumId w:val="29"/>
  </w:num>
  <w:num w:numId="11">
    <w:abstractNumId w:val="11"/>
  </w:num>
  <w:num w:numId="12">
    <w:abstractNumId w:val="0"/>
  </w:num>
  <w:num w:numId="13">
    <w:abstractNumId w:val="12"/>
  </w:num>
  <w:num w:numId="14">
    <w:abstractNumId w:val="8"/>
  </w:num>
  <w:num w:numId="15">
    <w:abstractNumId w:val="23"/>
  </w:num>
  <w:num w:numId="16">
    <w:abstractNumId w:val="28"/>
  </w:num>
  <w:num w:numId="17">
    <w:abstractNumId w:val="24"/>
  </w:num>
  <w:num w:numId="18">
    <w:abstractNumId w:val="16"/>
  </w:num>
  <w:num w:numId="19">
    <w:abstractNumId w:val="30"/>
  </w:num>
  <w:num w:numId="20">
    <w:abstractNumId w:val="20"/>
  </w:num>
  <w:num w:numId="21">
    <w:abstractNumId w:val="9"/>
  </w:num>
  <w:num w:numId="22">
    <w:abstractNumId w:val="10"/>
  </w:num>
  <w:num w:numId="23">
    <w:abstractNumId w:val="6"/>
  </w:num>
  <w:num w:numId="24">
    <w:abstractNumId w:val="14"/>
  </w:num>
  <w:num w:numId="25">
    <w:abstractNumId w:val="22"/>
  </w:num>
  <w:num w:numId="26">
    <w:abstractNumId w:val="18"/>
  </w:num>
  <w:num w:numId="27">
    <w:abstractNumId w:val="2"/>
  </w:num>
  <w:num w:numId="28">
    <w:abstractNumId w:val="21"/>
  </w:num>
  <w:num w:numId="29">
    <w:abstractNumId w:val="17"/>
  </w:num>
  <w:num w:numId="30">
    <w:abstractNumId w:val="13"/>
  </w:num>
  <w:num w:numId="3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CA"/>
    <w:rsid w:val="00001C05"/>
    <w:rsid w:val="00005F8D"/>
    <w:rsid w:val="000127E5"/>
    <w:rsid w:val="00022A61"/>
    <w:rsid w:val="00022DC6"/>
    <w:rsid w:val="0002391E"/>
    <w:rsid w:val="000275B4"/>
    <w:rsid w:val="0003619D"/>
    <w:rsid w:val="0004020D"/>
    <w:rsid w:val="0004046A"/>
    <w:rsid w:val="0004142D"/>
    <w:rsid w:val="00041AC1"/>
    <w:rsid w:val="00045AAE"/>
    <w:rsid w:val="00050146"/>
    <w:rsid w:val="00054B63"/>
    <w:rsid w:val="000555CA"/>
    <w:rsid w:val="0005578D"/>
    <w:rsid w:val="000557B6"/>
    <w:rsid w:val="000628A9"/>
    <w:rsid w:val="0006704F"/>
    <w:rsid w:val="00073CDF"/>
    <w:rsid w:val="000753BC"/>
    <w:rsid w:val="0008122E"/>
    <w:rsid w:val="000818C5"/>
    <w:rsid w:val="000946A4"/>
    <w:rsid w:val="00096A41"/>
    <w:rsid w:val="000978D4"/>
    <w:rsid w:val="000A2F43"/>
    <w:rsid w:val="000B0888"/>
    <w:rsid w:val="000C360A"/>
    <w:rsid w:val="000D0D17"/>
    <w:rsid w:val="000D5370"/>
    <w:rsid w:val="000D6C8F"/>
    <w:rsid w:val="000E2147"/>
    <w:rsid w:val="000F3371"/>
    <w:rsid w:val="001051CA"/>
    <w:rsid w:val="00112EF9"/>
    <w:rsid w:val="00113CB7"/>
    <w:rsid w:val="0012379F"/>
    <w:rsid w:val="00123C7F"/>
    <w:rsid w:val="0012765C"/>
    <w:rsid w:val="0013084D"/>
    <w:rsid w:val="0013485D"/>
    <w:rsid w:val="001434A7"/>
    <w:rsid w:val="00146FB2"/>
    <w:rsid w:val="00150E6A"/>
    <w:rsid w:val="001543B6"/>
    <w:rsid w:val="00156B28"/>
    <w:rsid w:val="0016064B"/>
    <w:rsid w:val="00162C87"/>
    <w:rsid w:val="00164BE2"/>
    <w:rsid w:val="00181983"/>
    <w:rsid w:val="00184B65"/>
    <w:rsid w:val="00185123"/>
    <w:rsid w:val="00187274"/>
    <w:rsid w:val="0019194C"/>
    <w:rsid w:val="00191BF4"/>
    <w:rsid w:val="00191F9B"/>
    <w:rsid w:val="001948AC"/>
    <w:rsid w:val="001A3C4A"/>
    <w:rsid w:val="001A7AB1"/>
    <w:rsid w:val="001B3A02"/>
    <w:rsid w:val="001B6B0C"/>
    <w:rsid w:val="001C5D04"/>
    <w:rsid w:val="001C6BE1"/>
    <w:rsid w:val="001D6BE0"/>
    <w:rsid w:val="001F60C1"/>
    <w:rsid w:val="00206436"/>
    <w:rsid w:val="00206C5E"/>
    <w:rsid w:val="00215BA4"/>
    <w:rsid w:val="002209C9"/>
    <w:rsid w:val="002240F9"/>
    <w:rsid w:val="002431F3"/>
    <w:rsid w:val="002450B1"/>
    <w:rsid w:val="0025280B"/>
    <w:rsid w:val="00262A43"/>
    <w:rsid w:val="00262CB9"/>
    <w:rsid w:val="0026340E"/>
    <w:rsid w:val="00266241"/>
    <w:rsid w:val="00272A87"/>
    <w:rsid w:val="002759A0"/>
    <w:rsid w:val="00276E6E"/>
    <w:rsid w:val="002802D0"/>
    <w:rsid w:val="00281D7A"/>
    <w:rsid w:val="00282EE1"/>
    <w:rsid w:val="00284BEB"/>
    <w:rsid w:val="00285D34"/>
    <w:rsid w:val="00286213"/>
    <w:rsid w:val="00287D37"/>
    <w:rsid w:val="00290025"/>
    <w:rsid w:val="002A008A"/>
    <w:rsid w:val="002A1CDA"/>
    <w:rsid w:val="002A4293"/>
    <w:rsid w:val="002A7378"/>
    <w:rsid w:val="002A7BE7"/>
    <w:rsid w:val="002B0B4E"/>
    <w:rsid w:val="002B429C"/>
    <w:rsid w:val="002B4A14"/>
    <w:rsid w:val="002B61D7"/>
    <w:rsid w:val="002C2A6E"/>
    <w:rsid w:val="002C3A7D"/>
    <w:rsid w:val="002C4EDE"/>
    <w:rsid w:val="002C7CCD"/>
    <w:rsid w:val="002D1D8E"/>
    <w:rsid w:val="002D3479"/>
    <w:rsid w:val="002D57A3"/>
    <w:rsid w:val="002E31F7"/>
    <w:rsid w:val="002E6648"/>
    <w:rsid w:val="002E7269"/>
    <w:rsid w:val="002F1F4F"/>
    <w:rsid w:val="002F4C29"/>
    <w:rsid w:val="0030097A"/>
    <w:rsid w:val="00301F98"/>
    <w:rsid w:val="00306532"/>
    <w:rsid w:val="0031747E"/>
    <w:rsid w:val="0032152A"/>
    <w:rsid w:val="00334AC6"/>
    <w:rsid w:val="00341EE0"/>
    <w:rsid w:val="00343FD4"/>
    <w:rsid w:val="00346697"/>
    <w:rsid w:val="003664C7"/>
    <w:rsid w:val="00371F56"/>
    <w:rsid w:val="003737C9"/>
    <w:rsid w:val="003808CD"/>
    <w:rsid w:val="00380AA1"/>
    <w:rsid w:val="00395581"/>
    <w:rsid w:val="003B1CD9"/>
    <w:rsid w:val="003B6047"/>
    <w:rsid w:val="003D6309"/>
    <w:rsid w:val="003D709D"/>
    <w:rsid w:val="003E0004"/>
    <w:rsid w:val="003E1D74"/>
    <w:rsid w:val="003F080A"/>
    <w:rsid w:val="003F495C"/>
    <w:rsid w:val="00411758"/>
    <w:rsid w:val="0041355C"/>
    <w:rsid w:val="00413F06"/>
    <w:rsid w:val="00415A02"/>
    <w:rsid w:val="00415BE5"/>
    <w:rsid w:val="00425332"/>
    <w:rsid w:val="0042747F"/>
    <w:rsid w:val="00427E68"/>
    <w:rsid w:val="00427EEE"/>
    <w:rsid w:val="00436DC6"/>
    <w:rsid w:val="0044278A"/>
    <w:rsid w:val="00443645"/>
    <w:rsid w:val="00447667"/>
    <w:rsid w:val="004477BB"/>
    <w:rsid w:val="00452474"/>
    <w:rsid w:val="00452C78"/>
    <w:rsid w:val="00455924"/>
    <w:rsid w:val="00462784"/>
    <w:rsid w:val="00463048"/>
    <w:rsid w:val="00463EE3"/>
    <w:rsid w:val="00466EE8"/>
    <w:rsid w:val="00467BB8"/>
    <w:rsid w:val="004766DF"/>
    <w:rsid w:val="004804C2"/>
    <w:rsid w:val="0048632C"/>
    <w:rsid w:val="004903C5"/>
    <w:rsid w:val="0049239F"/>
    <w:rsid w:val="004945F5"/>
    <w:rsid w:val="004A2931"/>
    <w:rsid w:val="004A3271"/>
    <w:rsid w:val="004A5D00"/>
    <w:rsid w:val="004A66F5"/>
    <w:rsid w:val="004A7CEE"/>
    <w:rsid w:val="004B1A65"/>
    <w:rsid w:val="004B6A6C"/>
    <w:rsid w:val="004D19D3"/>
    <w:rsid w:val="004E39C1"/>
    <w:rsid w:val="004E4509"/>
    <w:rsid w:val="00505535"/>
    <w:rsid w:val="00512283"/>
    <w:rsid w:val="0051684E"/>
    <w:rsid w:val="00520F68"/>
    <w:rsid w:val="005215F3"/>
    <w:rsid w:val="00522519"/>
    <w:rsid w:val="00522A92"/>
    <w:rsid w:val="00530CBC"/>
    <w:rsid w:val="00536BC0"/>
    <w:rsid w:val="00537E9D"/>
    <w:rsid w:val="0054767F"/>
    <w:rsid w:val="005477E8"/>
    <w:rsid w:val="00550A10"/>
    <w:rsid w:val="0055343E"/>
    <w:rsid w:val="00557B29"/>
    <w:rsid w:val="00562CA8"/>
    <w:rsid w:val="00573901"/>
    <w:rsid w:val="00574034"/>
    <w:rsid w:val="00580FA6"/>
    <w:rsid w:val="00581E94"/>
    <w:rsid w:val="00582DEF"/>
    <w:rsid w:val="00583A3B"/>
    <w:rsid w:val="00587021"/>
    <w:rsid w:val="00587820"/>
    <w:rsid w:val="005913C7"/>
    <w:rsid w:val="005916CB"/>
    <w:rsid w:val="005942A1"/>
    <w:rsid w:val="00595C84"/>
    <w:rsid w:val="005A4C74"/>
    <w:rsid w:val="005A60B9"/>
    <w:rsid w:val="005A72A1"/>
    <w:rsid w:val="005B3434"/>
    <w:rsid w:val="005B36BE"/>
    <w:rsid w:val="005C0C85"/>
    <w:rsid w:val="005D0AF2"/>
    <w:rsid w:val="005D0C5B"/>
    <w:rsid w:val="005E4377"/>
    <w:rsid w:val="005E7BA3"/>
    <w:rsid w:val="005F4A10"/>
    <w:rsid w:val="005F5DA6"/>
    <w:rsid w:val="005F74DD"/>
    <w:rsid w:val="006078A0"/>
    <w:rsid w:val="00610927"/>
    <w:rsid w:val="00620D35"/>
    <w:rsid w:val="0062182B"/>
    <w:rsid w:val="00621A39"/>
    <w:rsid w:val="006322D8"/>
    <w:rsid w:val="00636A45"/>
    <w:rsid w:val="00637570"/>
    <w:rsid w:val="00637CD4"/>
    <w:rsid w:val="006427B2"/>
    <w:rsid w:val="00646A00"/>
    <w:rsid w:val="00650A81"/>
    <w:rsid w:val="00656EBA"/>
    <w:rsid w:val="00673036"/>
    <w:rsid w:val="0067306C"/>
    <w:rsid w:val="00673F3E"/>
    <w:rsid w:val="006770C9"/>
    <w:rsid w:val="006774DE"/>
    <w:rsid w:val="00680579"/>
    <w:rsid w:val="00697924"/>
    <w:rsid w:val="00697D61"/>
    <w:rsid w:val="006A4A8F"/>
    <w:rsid w:val="006A7772"/>
    <w:rsid w:val="006A7C7D"/>
    <w:rsid w:val="006B2028"/>
    <w:rsid w:val="006B46DE"/>
    <w:rsid w:val="006C08D9"/>
    <w:rsid w:val="006C2857"/>
    <w:rsid w:val="006C2917"/>
    <w:rsid w:val="006C4DE4"/>
    <w:rsid w:val="006D4193"/>
    <w:rsid w:val="006D484E"/>
    <w:rsid w:val="006E308E"/>
    <w:rsid w:val="006E473E"/>
    <w:rsid w:val="006E5C9C"/>
    <w:rsid w:val="006F0FE5"/>
    <w:rsid w:val="006F16DA"/>
    <w:rsid w:val="006F1EC2"/>
    <w:rsid w:val="006F29A9"/>
    <w:rsid w:val="006F48CD"/>
    <w:rsid w:val="007016E7"/>
    <w:rsid w:val="00713F9F"/>
    <w:rsid w:val="00717F88"/>
    <w:rsid w:val="0072083D"/>
    <w:rsid w:val="007216CD"/>
    <w:rsid w:val="00726A48"/>
    <w:rsid w:val="007303F4"/>
    <w:rsid w:val="0073548E"/>
    <w:rsid w:val="00735B18"/>
    <w:rsid w:val="0074086B"/>
    <w:rsid w:val="007415FE"/>
    <w:rsid w:val="00741E24"/>
    <w:rsid w:val="00743998"/>
    <w:rsid w:val="00752779"/>
    <w:rsid w:val="00753A21"/>
    <w:rsid w:val="00757102"/>
    <w:rsid w:val="0075741D"/>
    <w:rsid w:val="00780697"/>
    <w:rsid w:val="00783663"/>
    <w:rsid w:val="00783E20"/>
    <w:rsid w:val="00785356"/>
    <w:rsid w:val="00786FDE"/>
    <w:rsid w:val="00794085"/>
    <w:rsid w:val="00794653"/>
    <w:rsid w:val="007A031B"/>
    <w:rsid w:val="007B397C"/>
    <w:rsid w:val="007B69A9"/>
    <w:rsid w:val="007C4FAB"/>
    <w:rsid w:val="007C7428"/>
    <w:rsid w:val="007D47C2"/>
    <w:rsid w:val="007D79DB"/>
    <w:rsid w:val="007E2BD2"/>
    <w:rsid w:val="007E7A30"/>
    <w:rsid w:val="007F3984"/>
    <w:rsid w:val="007F6CDA"/>
    <w:rsid w:val="008029BC"/>
    <w:rsid w:val="00803029"/>
    <w:rsid w:val="008078C1"/>
    <w:rsid w:val="00807D91"/>
    <w:rsid w:val="00814608"/>
    <w:rsid w:val="00820F61"/>
    <w:rsid w:val="00821B07"/>
    <w:rsid w:val="0082517C"/>
    <w:rsid w:val="0082656A"/>
    <w:rsid w:val="00831215"/>
    <w:rsid w:val="0085214B"/>
    <w:rsid w:val="008543C2"/>
    <w:rsid w:val="00857256"/>
    <w:rsid w:val="00857709"/>
    <w:rsid w:val="008653CD"/>
    <w:rsid w:val="008654D2"/>
    <w:rsid w:val="00866639"/>
    <w:rsid w:val="00873261"/>
    <w:rsid w:val="00884D87"/>
    <w:rsid w:val="0088637A"/>
    <w:rsid w:val="00897FB6"/>
    <w:rsid w:val="008A3AAE"/>
    <w:rsid w:val="008A45B4"/>
    <w:rsid w:val="008B1130"/>
    <w:rsid w:val="008B23DC"/>
    <w:rsid w:val="008B3F59"/>
    <w:rsid w:val="008C4D2F"/>
    <w:rsid w:val="008D22C4"/>
    <w:rsid w:val="008E35EE"/>
    <w:rsid w:val="008E3D84"/>
    <w:rsid w:val="008E46B4"/>
    <w:rsid w:val="008E5497"/>
    <w:rsid w:val="008F377B"/>
    <w:rsid w:val="008F66A4"/>
    <w:rsid w:val="00907AE2"/>
    <w:rsid w:val="009102D0"/>
    <w:rsid w:val="0093270B"/>
    <w:rsid w:val="0093362D"/>
    <w:rsid w:val="00944912"/>
    <w:rsid w:val="00946834"/>
    <w:rsid w:val="0095643F"/>
    <w:rsid w:val="0096160A"/>
    <w:rsid w:val="00963577"/>
    <w:rsid w:val="00970408"/>
    <w:rsid w:val="009775C9"/>
    <w:rsid w:val="0098201D"/>
    <w:rsid w:val="009825CA"/>
    <w:rsid w:val="009858AC"/>
    <w:rsid w:val="00993F5B"/>
    <w:rsid w:val="009962BD"/>
    <w:rsid w:val="009A1D9D"/>
    <w:rsid w:val="009A4858"/>
    <w:rsid w:val="009A6ED4"/>
    <w:rsid w:val="009A7242"/>
    <w:rsid w:val="009B2157"/>
    <w:rsid w:val="009C6AE8"/>
    <w:rsid w:val="009C72C1"/>
    <w:rsid w:val="009C7D02"/>
    <w:rsid w:val="009D0CF0"/>
    <w:rsid w:val="009D4455"/>
    <w:rsid w:val="009D5850"/>
    <w:rsid w:val="009D7004"/>
    <w:rsid w:val="009F237B"/>
    <w:rsid w:val="009F496C"/>
    <w:rsid w:val="009F4EC8"/>
    <w:rsid w:val="009F7590"/>
    <w:rsid w:val="009F7AD6"/>
    <w:rsid w:val="00A047AE"/>
    <w:rsid w:val="00A13BC6"/>
    <w:rsid w:val="00A16ECB"/>
    <w:rsid w:val="00A238FF"/>
    <w:rsid w:val="00A30773"/>
    <w:rsid w:val="00A30FFB"/>
    <w:rsid w:val="00A32A7B"/>
    <w:rsid w:val="00A32ABA"/>
    <w:rsid w:val="00A362D2"/>
    <w:rsid w:val="00A364ED"/>
    <w:rsid w:val="00A44A29"/>
    <w:rsid w:val="00A526E5"/>
    <w:rsid w:val="00A5694C"/>
    <w:rsid w:val="00A56A58"/>
    <w:rsid w:val="00A61986"/>
    <w:rsid w:val="00A61EF2"/>
    <w:rsid w:val="00A6531C"/>
    <w:rsid w:val="00A66096"/>
    <w:rsid w:val="00A742F5"/>
    <w:rsid w:val="00A83131"/>
    <w:rsid w:val="00A8634B"/>
    <w:rsid w:val="00A866B9"/>
    <w:rsid w:val="00A9369B"/>
    <w:rsid w:val="00A93EBA"/>
    <w:rsid w:val="00A96FB5"/>
    <w:rsid w:val="00AA2454"/>
    <w:rsid w:val="00AB24E0"/>
    <w:rsid w:val="00AB62BC"/>
    <w:rsid w:val="00AB7C62"/>
    <w:rsid w:val="00AC2134"/>
    <w:rsid w:val="00AC438F"/>
    <w:rsid w:val="00AC71E1"/>
    <w:rsid w:val="00AC74FD"/>
    <w:rsid w:val="00AD2917"/>
    <w:rsid w:val="00AD5921"/>
    <w:rsid w:val="00AD7001"/>
    <w:rsid w:val="00AE102D"/>
    <w:rsid w:val="00AE16D6"/>
    <w:rsid w:val="00AE3676"/>
    <w:rsid w:val="00AE6E62"/>
    <w:rsid w:val="00AF009E"/>
    <w:rsid w:val="00AF358A"/>
    <w:rsid w:val="00AF44F0"/>
    <w:rsid w:val="00AF48D8"/>
    <w:rsid w:val="00AF4A65"/>
    <w:rsid w:val="00AF61E6"/>
    <w:rsid w:val="00B01C55"/>
    <w:rsid w:val="00B17C59"/>
    <w:rsid w:val="00B27C5F"/>
    <w:rsid w:val="00B30529"/>
    <w:rsid w:val="00B33AFC"/>
    <w:rsid w:val="00B417BD"/>
    <w:rsid w:val="00B41DF6"/>
    <w:rsid w:val="00B4693B"/>
    <w:rsid w:val="00B52925"/>
    <w:rsid w:val="00B538E9"/>
    <w:rsid w:val="00B5571C"/>
    <w:rsid w:val="00B60634"/>
    <w:rsid w:val="00B62F5D"/>
    <w:rsid w:val="00B6312A"/>
    <w:rsid w:val="00B636E5"/>
    <w:rsid w:val="00B761CA"/>
    <w:rsid w:val="00B765ED"/>
    <w:rsid w:val="00B76D5B"/>
    <w:rsid w:val="00B81B87"/>
    <w:rsid w:val="00B91CFE"/>
    <w:rsid w:val="00B93984"/>
    <w:rsid w:val="00B94E79"/>
    <w:rsid w:val="00BA0175"/>
    <w:rsid w:val="00BB306B"/>
    <w:rsid w:val="00BB5366"/>
    <w:rsid w:val="00BC0B5F"/>
    <w:rsid w:val="00BD268F"/>
    <w:rsid w:val="00BD3190"/>
    <w:rsid w:val="00BD3F21"/>
    <w:rsid w:val="00BD5B58"/>
    <w:rsid w:val="00BE49EA"/>
    <w:rsid w:val="00BF1971"/>
    <w:rsid w:val="00BF41A6"/>
    <w:rsid w:val="00BF5EFA"/>
    <w:rsid w:val="00C04B91"/>
    <w:rsid w:val="00C05B2D"/>
    <w:rsid w:val="00C06039"/>
    <w:rsid w:val="00C079E6"/>
    <w:rsid w:val="00C1522A"/>
    <w:rsid w:val="00C1787F"/>
    <w:rsid w:val="00C27870"/>
    <w:rsid w:val="00C27D33"/>
    <w:rsid w:val="00C3473D"/>
    <w:rsid w:val="00C34874"/>
    <w:rsid w:val="00C442E4"/>
    <w:rsid w:val="00C46123"/>
    <w:rsid w:val="00C4641C"/>
    <w:rsid w:val="00C52EE9"/>
    <w:rsid w:val="00C5335C"/>
    <w:rsid w:val="00C627DE"/>
    <w:rsid w:val="00C6359D"/>
    <w:rsid w:val="00C65A21"/>
    <w:rsid w:val="00C66EE3"/>
    <w:rsid w:val="00C74A69"/>
    <w:rsid w:val="00C86776"/>
    <w:rsid w:val="00C900F7"/>
    <w:rsid w:val="00C92D7F"/>
    <w:rsid w:val="00CA488F"/>
    <w:rsid w:val="00CC3556"/>
    <w:rsid w:val="00CC4387"/>
    <w:rsid w:val="00CC4C8E"/>
    <w:rsid w:val="00CC6A1E"/>
    <w:rsid w:val="00CC7A4D"/>
    <w:rsid w:val="00CD42BF"/>
    <w:rsid w:val="00CD474F"/>
    <w:rsid w:val="00CD553B"/>
    <w:rsid w:val="00CD5934"/>
    <w:rsid w:val="00CD61FA"/>
    <w:rsid w:val="00CE37D6"/>
    <w:rsid w:val="00CE7C47"/>
    <w:rsid w:val="00CF0A11"/>
    <w:rsid w:val="00CF1BDD"/>
    <w:rsid w:val="00CF529D"/>
    <w:rsid w:val="00CF7B72"/>
    <w:rsid w:val="00D03FE4"/>
    <w:rsid w:val="00D05B3A"/>
    <w:rsid w:val="00D07ED0"/>
    <w:rsid w:val="00D203AA"/>
    <w:rsid w:val="00D23392"/>
    <w:rsid w:val="00D255AE"/>
    <w:rsid w:val="00D3397A"/>
    <w:rsid w:val="00D33BE0"/>
    <w:rsid w:val="00D3689D"/>
    <w:rsid w:val="00D434D6"/>
    <w:rsid w:val="00D45203"/>
    <w:rsid w:val="00D51A23"/>
    <w:rsid w:val="00D5352E"/>
    <w:rsid w:val="00D6681C"/>
    <w:rsid w:val="00D76BBE"/>
    <w:rsid w:val="00D828D6"/>
    <w:rsid w:val="00D86FFF"/>
    <w:rsid w:val="00D9390E"/>
    <w:rsid w:val="00D954AB"/>
    <w:rsid w:val="00D95EB2"/>
    <w:rsid w:val="00D96CCA"/>
    <w:rsid w:val="00DB33E5"/>
    <w:rsid w:val="00DC4173"/>
    <w:rsid w:val="00DC465A"/>
    <w:rsid w:val="00DC5750"/>
    <w:rsid w:val="00DD5E32"/>
    <w:rsid w:val="00DE58BC"/>
    <w:rsid w:val="00DE641D"/>
    <w:rsid w:val="00DE6FD8"/>
    <w:rsid w:val="00DE7237"/>
    <w:rsid w:val="00E01D00"/>
    <w:rsid w:val="00E01F3B"/>
    <w:rsid w:val="00E055A2"/>
    <w:rsid w:val="00E32DF2"/>
    <w:rsid w:val="00E3345D"/>
    <w:rsid w:val="00E429FE"/>
    <w:rsid w:val="00E45AE3"/>
    <w:rsid w:val="00E46D54"/>
    <w:rsid w:val="00E47AE4"/>
    <w:rsid w:val="00E53FC3"/>
    <w:rsid w:val="00E64D6E"/>
    <w:rsid w:val="00E72E72"/>
    <w:rsid w:val="00E777D5"/>
    <w:rsid w:val="00E85343"/>
    <w:rsid w:val="00E865CA"/>
    <w:rsid w:val="00E91156"/>
    <w:rsid w:val="00E94DD5"/>
    <w:rsid w:val="00E96A53"/>
    <w:rsid w:val="00EA3D1E"/>
    <w:rsid w:val="00EA6417"/>
    <w:rsid w:val="00EB16CE"/>
    <w:rsid w:val="00EB1755"/>
    <w:rsid w:val="00EB6AD5"/>
    <w:rsid w:val="00EC192E"/>
    <w:rsid w:val="00ED1A38"/>
    <w:rsid w:val="00EF1314"/>
    <w:rsid w:val="00EF5A93"/>
    <w:rsid w:val="00EF68DE"/>
    <w:rsid w:val="00F00022"/>
    <w:rsid w:val="00F01A39"/>
    <w:rsid w:val="00F0713F"/>
    <w:rsid w:val="00F209DF"/>
    <w:rsid w:val="00F2479B"/>
    <w:rsid w:val="00F27B89"/>
    <w:rsid w:val="00F326E4"/>
    <w:rsid w:val="00F417FC"/>
    <w:rsid w:val="00F51164"/>
    <w:rsid w:val="00F52F64"/>
    <w:rsid w:val="00F82ACC"/>
    <w:rsid w:val="00F9511F"/>
    <w:rsid w:val="00FB3A26"/>
    <w:rsid w:val="00FB3F5B"/>
    <w:rsid w:val="00FB5B12"/>
    <w:rsid w:val="00FC46B1"/>
    <w:rsid w:val="00FE0388"/>
    <w:rsid w:val="00FE5808"/>
    <w:rsid w:val="00FF1C89"/>
    <w:rsid w:val="00FF537D"/>
    <w:rsid w:val="00FF6379"/>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B502DD"/>
  <w15:docId w15:val="{90C3790B-FF53-4FFB-B481-87CD1093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4F"/>
    <w:rPr>
      <w:rFonts w:cstheme="minorHAnsi"/>
      <w:sz w:val="24"/>
      <w:szCs w:val="20"/>
      <w:lang w:eastAsia="ja-JP"/>
    </w:rPr>
  </w:style>
  <w:style w:type="paragraph" w:styleId="Heading1">
    <w:name w:val="heading 1"/>
    <w:basedOn w:val="Normal"/>
    <w:next w:val="Normal"/>
    <w:link w:val="Heading1Char"/>
    <w:uiPriority w:val="9"/>
    <w:unhideWhenUsed/>
    <w:qFormat/>
    <w:rsid w:val="003664C7"/>
    <w:pPr>
      <w:spacing w:before="360" w:after="40"/>
      <w:outlineLvl w:val="0"/>
    </w:pPr>
    <w:rPr>
      <w:rFonts w:asciiTheme="majorHAnsi" w:hAnsiTheme="majorHAnsi"/>
      <w:b/>
      <w:color w:val="003399"/>
      <w:spacing w:val="5"/>
      <w:sz w:val="32"/>
      <w:szCs w:val="32"/>
    </w:rPr>
  </w:style>
  <w:style w:type="paragraph" w:styleId="Heading2">
    <w:name w:val="heading 2"/>
    <w:basedOn w:val="Normal"/>
    <w:next w:val="Normal"/>
    <w:link w:val="Heading2Char"/>
    <w:uiPriority w:val="9"/>
    <w:unhideWhenUsed/>
    <w:qFormat/>
    <w:rsid w:val="00CD474F"/>
    <w:pPr>
      <w:spacing w:after="0"/>
      <w:outlineLvl w:val="1"/>
    </w:pPr>
    <w:rPr>
      <w:rFonts w:asciiTheme="majorHAnsi" w:hAnsiTheme="majorHAnsi"/>
      <w:b/>
      <w:color w:val="E65B01" w:themeColor="accent1" w:themeShade="BF"/>
      <w:sz w:val="28"/>
      <w:szCs w:val="28"/>
    </w:rPr>
  </w:style>
  <w:style w:type="paragraph" w:styleId="Heading3">
    <w:name w:val="heading 3"/>
    <w:basedOn w:val="Normal"/>
    <w:next w:val="Normal"/>
    <w:link w:val="Heading3Char"/>
    <w:uiPriority w:val="9"/>
    <w:semiHidden/>
    <w:unhideWhenUsed/>
    <w:qFormat/>
    <w:pPr>
      <w:spacing w:after="0"/>
      <w:outlineLvl w:val="2"/>
    </w:pPr>
    <w:rPr>
      <w:rFonts w:asciiTheme="majorHAnsi" w:hAnsiTheme="majorHAnsi"/>
      <w:spacing w:val="5"/>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qFormat/>
    <w:pPr>
      <w:spacing w:after="0"/>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qFormat/>
    <w:pPr>
      <w:spacing w:after="0"/>
      <w:outlineLvl w:val="5"/>
    </w:pPr>
    <w:rPr>
      <w:b/>
      <w:color w:val="E65B01" w:themeColor="accent1" w:themeShade="BF"/>
    </w:rPr>
  </w:style>
  <w:style w:type="paragraph" w:styleId="Heading7">
    <w:name w:val="heading 7"/>
    <w:basedOn w:val="Normal"/>
    <w:next w:val="Normal"/>
    <w:link w:val="Heading7Char"/>
    <w:uiPriority w:val="9"/>
    <w:semiHidden/>
    <w:unhideWhenUsed/>
    <w:qFormat/>
    <w:pPr>
      <w:spacing w:after="0"/>
      <w:outlineLvl w:val="6"/>
    </w:pPr>
    <w:rPr>
      <w:b/>
      <w:i/>
      <w:color w:val="E65B01" w:themeColor="accent1" w:themeShade="BF"/>
    </w:rPr>
  </w:style>
  <w:style w:type="paragraph" w:styleId="Heading8">
    <w:name w:val="heading 8"/>
    <w:basedOn w:val="Normal"/>
    <w:next w:val="Normal"/>
    <w:link w:val="Heading8Char"/>
    <w:uiPriority w:val="9"/>
    <w:semiHidden/>
    <w:unhideWhenUsed/>
    <w:qFormat/>
    <w:pPr>
      <w:spacing w:after="0"/>
      <w:outlineLvl w:val="7"/>
    </w:pPr>
    <w:rPr>
      <w:b/>
      <w:color w:val="3667C3" w:themeColor="accent2" w:themeShade="BF"/>
    </w:rPr>
  </w:style>
  <w:style w:type="paragraph" w:styleId="Heading9">
    <w:name w:val="heading 9"/>
    <w:basedOn w:val="Normal"/>
    <w:next w:val="Normal"/>
    <w:link w:val="Heading9Char"/>
    <w:uiPriority w:val="9"/>
    <w:semiHidden/>
    <w:unhideWhenUsed/>
    <w:qFormat/>
    <w:pPr>
      <w:spacing w:after="0"/>
      <w:outlineLvl w:val="8"/>
    </w:pPr>
    <w:rPr>
      <w:b/>
      <w:i/>
      <w:color w:val="3667C3"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C7"/>
    <w:rPr>
      <w:rFonts w:asciiTheme="majorHAnsi" w:hAnsiTheme="majorHAnsi" w:cstheme="minorHAnsi"/>
      <w:b/>
      <w:color w:val="003399"/>
      <w:spacing w:val="5"/>
      <w:sz w:val="32"/>
      <w:szCs w:val="32"/>
      <w:lang w:eastAsia="ja-JP"/>
    </w:rPr>
  </w:style>
  <w:style w:type="character" w:customStyle="1" w:styleId="Heading2Char">
    <w:name w:val="Heading 2 Char"/>
    <w:basedOn w:val="DefaultParagraphFont"/>
    <w:link w:val="Heading2"/>
    <w:uiPriority w:val="9"/>
    <w:rsid w:val="00CD474F"/>
    <w:rPr>
      <w:rFonts w:asciiTheme="majorHAnsi" w:hAnsiTheme="majorHAnsi" w:cstheme="minorHAnsi"/>
      <w:b/>
      <w:color w:val="E65B01" w:themeColor="accent1" w:themeShade="BF"/>
      <w:sz w:val="28"/>
      <w:szCs w:val="28"/>
      <w:lang w:eastAsia="ja-JP"/>
    </w:rPr>
  </w:style>
  <w:style w:type="paragraph" w:styleId="Title">
    <w:name w:val="Title"/>
    <w:basedOn w:val="Normal"/>
    <w:link w:val="TitleChar"/>
    <w:uiPriority w:val="10"/>
    <w:qFormat/>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FE8637" w:themeColor="accent1"/>
      <w:spacing w:val="10"/>
      <w:sz w:val="48"/>
      <w:szCs w:val="48"/>
      <w:lang w:eastAsia="ja-JP"/>
    </w:rPr>
  </w:style>
  <w:style w:type="paragraph" w:styleId="Subtitle">
    <w:name w:val="Subtitle"/>
    <w:basedOn w:val="Normal"/>
    <w:link w:val="SubtitleChar"/>
    <w:uiPriority w:val="11"/>
    <w:qFormat/>
    <w:rPr>
      <w:i/>
      <w:color w:val="575F6D" w:themeColor="text2"/>
      <w:spacing w:val="5"/>
      <w:szCs w:val="24"/>
    </w:rPr>
  </w:style>
  <w:style w:type="character" w:customStyle="1" w:styleId="SubtitleChar">
    <w:name w:val="Subtitle Char"/>
    <w:basedOn w:val="DefaultParagraphFont"/>
    <w:link w:val="Subtitle"/>
    <w:uiPriority w:val="11"/>
    <w:rPr>
      <w:rFonts w:cstheme="minorHAnsi"/>
      <w:i/>
      <w:color w:val="575F6D" w:themeColor="text2"/>
      <w:spacing w:val="5"/>
      <w:sz w:val="24"/>
      <w:szCs w:val="24"/>
      <w:lang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14751"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spacing w:line="240" w:lineRule="auto"/>
      <w:jc w:val="right"/>
    </w:pPr>
    <w:rPr>
      <w:b/>
      <w:bCs/>
      <w:color w:val="E65B01" w:themeColor="accent1" w:themeShade="BF"/>
      <w:sz w:val="16"/>
      <w:szCs w:val="16"/>
    </w:rPr>
  </w:style>
  <w:style w:type="character" w:styleId="Emphasis">
    <w:name w:val="Emphasis"/>
    <w:uiPriority w:val="20"/>
    <w:qFormat/>
    <w:rPr>
      <w:b/>
      <w:i/>
      <w:color w:val="2B2F36"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HAnsi"/>
      <w:color w:val="414751" w:themeColor="text2" w:themeShade="BF"/>
      <w:sz w:val="20"/>
      <w:szCs w:val="20"/>
      <w:lang w:eastAsia="ja-JP"/>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rFonts w:cstheme="minorHAnsi"/>
      <w:color w:val="414751"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414751"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E65B01" w:themeColor="accent1" w:themeShade="BF"/>
      <w:lang w:eastAsia="ja-JP"/>
    </w:rPr>
  </w:style>
  <w:style w:type="character" w:customStyle="1" w:styleId="Heading5Char">
    <w:name w:val="Heading 5 Char"/>
    <w:basedOn w:val="DefaultParagraphFont"/>
    <w:link w:val="Heading5"/>
    <w:uiPriority w:val="9"/>
    <w:semiHidden/>
    <w:rPr>
      <w:rFonts w:cstheme="minorHAnsi"/>
      <w:i/>
      <w:color w:val="E65B01" w:themeColor="accent1" w:themeShade="BF"/>
      <w:lang w:eastAsia="ja-JP"/>
    </w:rPr>
  </w:style>
  <w:style w:type="character" w:customStyle="1" w:styleId="Heading6Char">
    <w:name w:val="Heading 6 Char"/>
    <w:basedOn w:val="DefaultParagraphFont"/>
    <w:link w:val="Heading6"/>
    <w:uiPriority w:val="9"/>
    <w:semiHidden/>
    <w:rPr>
      <w:rFonts w:cstheme="minorHAnsi"/>
      <w:b/>
      <w:color w:val="E65B01"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E65B01"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3667C3"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3667C3" w:themeColor="accent2" w:themeShade="BF"/>
      <w:sz w:val="18"/>
      <w:szCs w:val="18"/>
      <w:lang w:eastAsia="ja-JP"/>
    </w:rPr>
  </w:style>
  <w:style w:type="character" w:styleId="IntenseEmphasis">
    <w:name w:val="Intense Emphasis"/>
    <w:basedOn w:val="DefaultParagraphFont"/>
    <w:uiPriority w:val="21"/>
    <w:qFormat/>
    <w:rPr>
      <w:i/>
      <w:caps/>
      <w:color w:val="E65B01"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414751" w:themeColor="text2" w:themeShade="BF"/>
      <w:sz w:val="20"/>
      <w:szCs w:val="20"/>
      <w:lang w:eastAsia="ja-JP"/>
    </w:rPr>
  </w:style>
  <w:style w:type="paragraph" w:styleId="IntenseQuote">
    <w:name w:val="Intense Quote"/>
    <w:basedOn w:val="Quote"/>
    <w:link w:val="IntenseQuote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Pr>
      <w:rFonts w:cstheme="minorHAnsi"/>
      <w:color w:val="E65B01" w:themeColor="accent1" w:themeShade="BF"/>
      <w:sz w:val="20"/>
      <w:szCs w:val="20"/>
      <w:lang w:eastAsia="ja-JP"/>
    </w:rPr>
  </w:style>
  <w:style w:type="character" w:styleId="IntenseReference">
    <w:name w:val="Intense Reference"/>
    <w:basedOn w:val="DefaultParagraphFont"/>
    <w:uiPriority w:val="32"/>
    <w:qFormat/>
    <w:rPr>
      <w:rFonts w:cs="Times New Roman"/>
      <w:b/>
      <w:caps/>
      <w:color w:val="3667C3"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E65B01" w:themeColor="accent1" w:themeShade="BF"/>
    </w:rPr>
  </w:style>
  <w:style w:type="character" w:styleId="SubtleReference">
    <w:name w:val="Subtle Reference"/>
    <w:basedOn w:val="DefaultParagraphFont"/>
    <w:uiPriority w:val="31"/>
    <w:qFormat/>
    <w:rPr>
      <w:rFonts w:cs="Times New Roman"/>
      <w:b/>
      <w:i/>
      <w:color w:val="3667C3" w:themeColor="accent2" w:themeShade="BF"/>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2759A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759A0"/>
    <w:rPr>
      <w:rFonts w:eastAsiaTheme="minorEastAsia"/>
      <w:lang w:eastAsia="ja-JP"/>
    </w:rPr>
  </w:style>
  <w:style w:type="paragraph" w:customStyle="1" w:styleId="CE490426FA1F417B964E942E3A6CE9DE">
    <w:name w:val="CE490426FA1F417B964E942E3A6CE9DE"/>
    <w:rsid w:val="002759A0"/>
    <w:rPr>
      <w:rFonts w:eastAsiaTheme="minorEastAsia"/>
      <w:lang w:eastAsia="ja-JP"/>
    </w:rPr>
  </w:style>
  <w:style w:type="table" w:styleId="MediumGrid2-Accent1">
    <w:name w:val="Medium Grid 2 Accent 1"/>
    <w:basedOn w:val="TableNormal"/>
    <w:uiPriority w:val="41"/>
    <w:rsid w:val="009A1D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cPr>
      <w:shd w:val="clear" w:color="auto" w:fill="FEE1CD" w:themeFill="accent1" w:themeFillTint="3F"/>
    </w:tcPr>
    <w:tblStylePr w:type="firstRow">
      <w:rPr>
        <w:b/>
        <w:bCs/>
        <w:color w:val="000000" w:themeColor="text1"/>
      </w:rPr>
      <w:tblPr/>
      <w:tcPr>
        <w:shd w:val="clear" w:color="auto" w:fill="FFF2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6D6" w:themeFill="accent1" w:themeFillTint="33"/>
      </w:tcPr>
    </w:tblStylePr>
    <w:tblStylePr w:type="band1Vert">
      <w:tblPr/>
      <w:tcPr>
        <w:shd w:val="clear" w:color="auto" w:fill="FEC29B" w:themeFill="accent1" w:themeFillTint="7F"/>
      </w:tcPr>
    </w:tblStylePr>
    <w:tblStylePr w:type="band1Horz">
      <w:tblPr/>
      <w:tcPr>
        <w:tcBorders>
          <w:insideH w:val="single" w:sz="6" w:space="0" w:color="FE8637" w:themeColor="accent1"/>
          <w:insideV w:val="single" w:sz="6" w:space="0" w:color="FE8637" w:themeColor="accent1"/>
        </w:tcBorders>
        <w:shd w:val="clear" w:color="auto" w:fill="FEC29B" w:themeFill="accent1"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semiHidden/>
    <w:unhideWhenUsed/>
    <w:rsid w:val="000D5370"/>
    <w:pPr>
      <w:spacing w:after="0" w:line="240" w:lineRule="auto"/>
    </w:pPr>
    <w:rPr>
      <w:sz w:val="20"/>
    </w:rPr>
  </w:style>
  <w:style w:type="character" w:customStyle="1" w:styleId="FootnoteTextChar">
    <w:name w:val="Footnote Text Char"/>
    <w:basedOn w:val="DefaultParagraphFont"/>
    <w:link w:val="FootnoteText"/>
    <w:uiPriority w:val="99"/>
    <w:semiHidden/>
    <w:rsid w:val="000D5370"/>
    <w:rPr>
      <w:rFonts w:cstheme="minorHAnsi"/>
      <w:sz w:val="20"/>
      <w:szCs w:val="20"/>
      <w:lang w:eastAsia="ja-JP"/>
    </w:rPr>
  </w:style>
  <w:style w:type="character" w:styleId="FootnoteReference">
    <w:name w:val="footnote reference"/>
    <w:basedOn w:val="DefaultParagraphFont"/>
    <w:uiPriority w:val="99"/>
    <w:semiHidden/>
    <w:unhideWhenUsed/>
    <w:rsid w:val="000D5370"/>
    <w:rPr>
      <w:vertAlign w:val="superscript"/>
    </w:rPr>
  </w:style>
  <w:style w:type="paragraph" w:styleId="NormalWeb">
    <w:name w:val="Normal (Web)"/>
    <w:basedOn w:val="Normal"/>
    <w:uiPriority w:val="99"/>
    <w:semiHidden/>
    <w:unhideWhenUsed/>
    <w:rsid w:val="0041355C"/>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6E308E"/>
    <w:rPr>
      <w:color w:val="D2611C" w:themeColor="hyperlink"/>
      <w:u w:val="single"/>
    </w:rPr>
  </w:style>
  <w:style w:type="character" w:styleId="FollowedHyperlink">
    <w:name w:val="FollowedHyperlink"/>
    <w:basedOn w:val="DefaultParagraphFont"/>
    <w:uiPriority w:val="99"/>
    <w:semiHidden/>
    <w:unhideWhenUsed/>
    <w:rsid w:val="00206C5E"/>
    <w:rPr>
      <w:color w:val="3B435B" w:themeColor="followedHyperlink"/>
      <w:u w:val="single"/>
    </w:rPr>
  </w:style>
  <w:style w:type="table" w:styleId="MediumShading1-Accent1">
    <w:name w:val="Medium Shading 1 Accent 1"/>
    <w:basedOn w:val="TableNormal"/>
    <w:uiPriority w:val="41"/>
    <w:rsid w:val="0004046A"/>
    <w:pPr>
      <w:spacing w:after="0" w:line="240" w:lineRule="auto"/>
    </w:pPr>
    <w:tblPr>
      <w:tblStyleRowBandSize w:val="1"/>
      <w:tblStyleColBandSize w:val="1"/>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tblBorders>
    </w:tblPr>
    <w:tblStylePr w:type="firstRow">
      <w:pPr>
        <w:spacing w:before="0" w:after="0" w:line="240" w:lineRule="auto"/>
      </w:pPr>
      <w:rPr>
        <w:b/>
        <w:bCs/>
        <w:color w:val="FFFFFF" w:themeColor="background1"/>
      </w:rPr>
      <w:tblPr/>
      <w:tcPr>
        <w:tc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shd w:val="clear" w:color="auto" w:fill="FE8637" w:themeFill="accent1"/>
      </w:tcPr>
    </w:tblStylePr>
    <w:tblStylePr w:type="lastRow">
      <w:pPr>
        <w:spacing w:before="0" w:after="0" w:line="240" w:lineRule="auto"/>
      </w:pPr>
      <w:rPr>
        <w:b/>
        <w:bCs/>
      </w:rPr>
      <w:tblPr/>
      <w:tcPr>
        <w:tcBorders>
          <w:top w:val="double" w:sz="6"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1CD" w:themeFill="accent1" w:themeFillTint="3F"/>
      </w:tcPr>
    </w:tblStylePr>
    <w:tblStylePr w:type="band1Horz">
      <w:tblPr/>
      <w:tcPr>
        <w:tcBorders>
          <w:insideH w:val="nil"/>
          <w:insideV w:val="nil"/>
        </w:tcBorders>
        <w:shd w:val="clear" w:color="auto" w:fill="FEE1CD"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41"/>
    <w:rsid w:val="000404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1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863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863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2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29B" w:themeFill="accent1" w:themeFillTint="7F"/>
      </w:tcPr>
    </w:tblStylePr>
  </w:style>
  <w:style w:type="table" w:styleId="LightGrid-Accent1">
    <w:name w:val="Light Grid Accent 1"/>
    <w:basedOn w:val="TableNormal"/>
    <w:uiPriority w:val="41"/>
    <w:rsid w:val="00425332"/>
    <w:pPr>
      <w:spacing w:after="0" w:line="240" w:lineRule="auto"/>
    </w:pPr>
    <w:tblPr>
      <w:tblStyleRowBandSize w:val="1"/>
      <w:tblStyleColBandSize w:val="1"/>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paragraph" w:customStyle="1" w:styleId="Default">
    <w:name w:val="Default"/>
    <w:rsid w:val="00A5694C"/>
    <w:pPr>
      <w:autoSpaceDE w:val="0"/>
      <w:autoSpaceDN w:val="0"/>
      <w:adjustRightInd w:val="0"/>
      <w:spacing w:after="0" w:line="240" w:lineRule="auto"/>
    </w:pPr>
    <w:rPr>
      <w:rFonts w:ascii="Calibri" w:hAnsi="Calibri" w:cs="Calibri"/>
      <w:color w:val="000000"/>
      <w:sz w:val="24"/>
      <w:szCs w:val="24"/>
      <w:lang w:val="en-GB"/>
    </w:rPr>
  </w:style>
  <w:style w:type="paragraph" w:styleId="BodyTextIndent2">
    <w:name w:val="Body Text Indent 2"/>
    <w:basedOn w:val="Normal"/>
    <w:link w:val="BodyTextIndent2Char"/>
    <w:rsid w:val="00B6312A"/>
    <w:pPr>
      <w:spacing w:after="0" w:line="240" w:lineRule="auto"/>
      <w:ind w:left="720"/>
    </w:pPr>
    <w:rPr>
      <w:rFonts w:ascii="Arial" w:eastAsia="Times New Roman" w:hAnsi="Arial" w:cs="Arial"/>
      <w:bCs/>
      <w:sz w:val="28"/>
      <w:szCs w:val="24"/>
      <w:lang w:val="en-GB" w:eastAsia="en-US"/>
    </w:rPr>
  </w:style>
  <w:style w:type="character" w:customStyle="1" w:styleId="BodyTextIndent2Char">
    <w:name w:val="Body Text Indent 2 Char"/>
    <w:basedOn w:val="DefaultParagraphFont"/>
    <w:link w:val="BodyTextIndent2"/>
    <w:rsid w:val="00B6312A"/>
    <w:rPr>
      <w:rFonts w:ascii="Arial" w:eastAsia="Times New Roman" w:hAnsi="Arial" w:cs="Arial"/>
      <w:bCs/>
      <w:sz w:val="28"/>
      <w:szCs w:val="24"/>
      <w:lang w:val="en-GB"/>
    </w:rPr>
  </w:style>
  <w:style w:type="character" w:styleId="CommentReference">
    <w:name w:val="annotation reference"/>
    <w:basedOn w:val="DefaultParagraphFont"/>
    <w:uiPriority w:val="99"/>
    <w:semiHidden/>
    <w:unhideWhenUsed/>
    <w:rsid w:val="00F01A39"/>
    <w:rPr>
      <w:sz w:val="16"/>
      <w:szCs w:val="16"/>
    </w:rPr>
  </w:style>
  <w:style w:type="paragraph" w:styleId="CommentText">
    <w:name w:val="annotation text"/>
    <w:basedOn w:val="Normal"/>
    <w:link w:val="CommentTextChar"/>
    <w:uiPriority w:val="99"/>
    <w:semiHidden/>
    <w:unhideWhenUsed/>
    <w:rsid w:val="00F01A39"/>
    <w:pPr>
      <w:spacing w:line="240" w:lineRule="auto"/>
    </w:pPr>
    <w:rPr>
      <w:sz w:val="20"/>
    </w:rPr>
  </w:style>
  <w:style w:type="character" w:customStyle="1" w:styleId="CommentTextChar">
    <w:name w:val="Comment Text Char"/>
    <w:basedOn w:val="DefaultParagraphFont"/>
    <w:link w:val="CommentText"/>
    <w:uiPriority w:val="99"/>
    <w:semiHidden/>
    <w:rsid w:val="00F01A39"/>
    <w:rPr>
      <w:rFonts w:cstheme="minorHAns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110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91">
          <w:marLeft w:val="0"/>
          <w:marRight w:val="0"/>
          <w:marTop w:val="0"/>
          <w:marBottom w:val="0"/>
          <w:divBdr>
            <w:top w:val="none" w:sz="0" w:space="0" w:color="auto"/>
            <w:left w:val="none" w:sz="0" w:space="0" w:color="auto"/>
            <w:bottom w:val="none" w:sz="0" w:space="0" w:color="auto"/>
            <w:right w:val="none" w:sz="0" w:space="0" w:color="auto"/>
          </w:divBdr>
          <w:divsChild>
            <w:div w:id="375737498">
              <w:marLeft w:val="0"/>
              <w:marRight w:val="0"/>
              <w:marTop w:val="0"/>
              <w:marBottom w:val="0"/>
              <w:divBdr>
                <w:top w:val="none" w:sz="0" w:space="0" w:color="auto"/>
                <w:left w:val="none" w:sz="0" w:space="0" w:color="auto"/>
                <w:bottom w:val="none" w:sz="0" w:space="0" w:color="auto"/>
                <w:right w:val="none" w:sz="0" w:space="0" w:color="auto"/>
              </w:divBdr>
              <w:divsChild>
                <w:div w:id="87819225">
                  <w:marLeft w:val="0"/>
                  <w:marRight w:val="0"/>
                  <w:marTop w:val="0"/>
                  <w:marBottom w:val="0"/>
                  <w:divBdr>
                    <w:top w:val="none" w:sz="0" w:space="0" w:color="auto"/>
                    <w:left w:val="none" w:sz="0" w:space="0" w:color="auto"/>
                    <w:bottom w:val="none" w:sz="0" w:space="0" w:color="auto"/>
                    <w:right w:val="none" w:sz="0" w:space="0" w:color="auto"/>
                  </w:divBdr>
                  <w:divsChild>
                    <w:div w:id="886571502">
                      <w:marLeft w:val="0"/>
                      <w:marRight w:val="0"/>
                      <w:marTop w:val="0"/>
                      <w:marBottom w:val="0"/>
                      <w:divBdr>
                        <w:top w:val="none" w:sz="0" w:space="0" w:color="auto"/>
                        <w:left w:val="none" w:sz="0" w:space="0" w:color="auto"/>
                        <w:bottom w:val="none" w:sz="0" w:space="0" w:color="auto"/>
                        <w:right w:val="none" w:sz="0" w:space="0" w:color="auto"/>
                      </w:divBdr>
                      <w:divsChild>
                        <w:div w:id="1506944578">
                          <w:marLeft w:val="0"/>
                          <w:marRight w:val="0"/>
                          <w:marTop w:val="0"/>
                          <w:marBottom w:val="0"/>
                          <w:divBdr>
                            <w:top w:val="none" w:sz="0" w:space="0" w:color="auto"/>
                            <w:left w:val="none" w:sz="0" w:space="0" w:color="auto"/>
                            <w:bottom w:val="none" w:sz="0" w:space="0" w:color="auto"/>
                            <w:right w:val="none" w:sz="0" w:space="0" w:color="auto"/>
                          </w:divBdr>
                          <w:divsChild>
                            <w:div w:id="878394064">
                              <w:marLeft w:val="0"/>
                              <w:marRight w:val="0"/>
                              <w:marTop w:val="0"/>
                              <w:marBottom w:val="0"/>
                              <w:divBdr>
                                <w:top w:val="none" w:sz="0" w:space="0" w:color="auto"/>
                                <w:left w:val="none" w:sz="0" w:space="0" w:color="auto"/>
                                <w:bottom w:val="none" w:sz="0" w:space="0" w:color="auto"/>
                                <w:right w:val="none" w:sz="0" w:space="0" w:color="auto"/>
                              </w:divBdr>
                              <w:divsChild>
                                <w:div w:id="2116972279">
                                  <w:marLeft w:val="0"/>
                                  <w:marRight w:val="0"/>
                                  <w:marTop w:val="0"/>
                                  <w:marBottom w:val="0"/>
                                  <w:divBdr>
                                    <w:top w:val="none" w:sz="0" w:space="0" w:color="auto"/>
                                    <w:left w:val="none" w:sz="0" w:space="0" w:color="auto"/>
                                    <w:bottom w:val="none" w:sz="0" w:space="0" w:color="auto"/>
                                    <w:right w:val="none" w:sz="0" w:space="0" w:color="auto"/>
                                  </w:divBdr>
                                  <w:divsChild>
                                    <w:div w:id="102458708">
                                      <w:marLeft w:val="0"/>
                                      <w:marRight w:val="0"/>
                                      <w:marTop w:val="0"/>
                                      <w:marBottom w:val="0"/>
                                      <w:divBdr>
                                        <w:top w:val="none" w:sz="0" w:space="0" w:color="auto"/>
                                        <w:left w:val="none" w:sz="0" w:space="0" w:color="auto"/>
                                        <w:bottom w:val="none" w:sz="0" w:space="0" w:color="auto"/>
                                        <w:right w:val="none" w:sz="0" w:space="0" w:color="auto"/>
                                      </w:divBdr>
                                      <w:divsChild>
                                        <w:div w:id="1047951365">
                                          <w:marLeft w:val="0"/>
                                          <w:marRight w:val="0"/>
                                          <w:marTop w:val="0"/>
                                          <w:marBottom w:val="0"/>
                                          <w:divBdr>
                                            <w:top w:val="none" w:sz="0" w:space="0" w:color="auto"/>
                                            <w:left w:val="none" w:sz="0" w:space="0" w:color="auto"/>
                                            <w:bottom w:val="none" w:sz="0" w:space="0" w:color="auto"/>
                                            <w:right w:val="none" w:sz="0" w:space="0" w:color="auto"/>
                                          </w:divBdr>
                                          <w:divsChild>
                                            <w:div w:id="685906070">
                                              <w:marLeft w:val="0"/>
                                              <w:marRight w:val="0"/>
                                              <w:marTop w:val="0"/>
                                              <w:marBottom w:val="0"/>
                                              <w:divBdr>
                                                <w:top w:val="none" w:sz="0" w:space="0" w:color="auto"/>
                                                <w:left w:val="none" w:sz="0" w:space="0" w:color="auto"/>
                                                <w:bottom w:val="none" w:sz="0" w:space="0" w:color="auto"/>
                                                <w:right w:val="none" w:sz="0" w:space="0" w:color="auto"/>
                                              </w:divBdr>
                                              <w:divsChild>
                                                <w:div w:id="1038312372">
                                                  <w:marLeft w:val="0"/>
                                                  <w:marRight w:val="0"/>
                                                  <w:marTop w:val="0"/>
                                                  <w:marBottom w:val="0"/>
                                                  <w:divBdr>
                                                    <w:top w:val="none" w:sz="0" w:space="0" w:color="auto"/>
                                                    <w:left w:val="none" w:sz="0" w:space="0" w:color="auto"/>
                                                    <w:bottom w:val="none" w:sz="0" w:space="0" w:color="auto"/>
                                                    <w:right w:val="none" w:sz="0" w:space="0" w:color="auto"/>
                                                  </w:divBdr>
                                                  <w:divsChild>
                                                    <w:div w:id="1118447240">
                                                      <w:marLeft w:val="0"/>
                                                      <w:marRight w:val="0"/>
                                                      <w:marTop w:val="0"/>
                                                      <w:marBottom w:val="0"/>
                                                      <w:divBdr>
                                                        <w:top w:val="none" w:sz="0" w:space="0" w:color="auto"/>
                                                        <w:left w:val="none" w:sz="0" w:space="0" w:color="auto"/>
                                                        <w:bottom w:val="none" w:sz="0" w:space="0" w:color="auto"/>
                                                        <w:right w:val="none" w:sz="0" w:space="0" w:color="auto"/>
                                                      </w:divBdr>
                                                      <w:divsChild>
                                                        <w:div w:id="19608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8047695">
      <w:bodyDiv w:val="1"/>
      <w:marLeft w:val="0"/>
      <w:marRight w:val="0"/>
      <w:marTop w:val="0"/>
      <w:marBottom w:val="0"/>
      <w:divBdr>
        <w:top w:val="none" w:sz="0" w:space="0" w:color="auto"/>
        <w:left w:val="none" w:sz="0" w:space="0" w:color="auto"/>
        <w:bottom w:val="none" w:sz="0" w:space="0" w:color="auto"/>
        <w:right w:val="none" w:sz="0" w:space="0" w:color="auto"/>
      </w:divBdr>
    </w:div>
    <w:div w:id="516390482">
      <w:bodyDiv w:val="1"/>
      <w:marLeft w:val="0"/>
      <w:marRight w:val="0"/>
      <w:marTop w:val="0"/>
      <w:marBottom w:val="0"/>
      <w:divBdr>
        <w:top w:val="none" w:sz="0" w:space="0" w:color="auto"/>
        <w:left w:val="none" w:sz="0" w:space="0" w:color="auto"/>
        <w:bottom w:val="none" w:sz="0" w:space="0" w:color="auto"/>
        <w:right w:val="none" w:sz="0" w:space="0" w:color="auto"/>
      </w:divBdr>
    </w:div>
    <w:div w:id="862597052">
      <w:bodyDiv w:val="1"/>
      <w:marLeft w:val="0"/>
      <w:marRight w:val="0"/>
      <w:marTop w:val="0"/>
      <w:marBottom w:val="0"/>
      <w:divBdr>
        <w:top w:val="none" w:sz="0" w:space="0" w:color="auto"/>
        <w:left w:val="none" w:sz="0" w:space="0" w:color="auto"/>
        <w:bottom w:val="none" w:sz="0" w:space="0" w:color="auto"/>
        <w:right w:val="none" w:sz="0" w:space="0" w:color="auto"/>
      </w:divBdr>
    </w:div>
    <w:div w:id="1202279203">
      <w:bodyDiv w:val="1"/>
      <w:marLeft w:val="0"/>
      <w:marRight w:val="0"/>
      <w:marTop w:val="0"/>
      <w:marBottom w:val="0"/>
      <w:divBdr>
        <w:top w:val="none" w:sz="0" w:space="0" w:color="auto"/>
        <w:left w:val="none" w:sz="0" w:space="0" w:color="auto"/>
        <w:bottom w:val="none" w:sz="0" w:space="0" w:color="auto"/>
        <w:right w:val="none" w:sz="0" w:space="0" w:color="auto"/>
      </w:divBdr>
    </w:div>
    <w:div w:id="20406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issioningsupportteam@wokingham.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Custom 1">
      <a:majorFont>
        <a:latin typeface="Calibri"/>
        <a:ea typeface=""/>
        <a:cs typeface=""/>
      </a:majorFont>
      <a:minorFont>
        <a:latin typeface="Calibri"/>
        <a:ea typeface=""/>
        <a:cs typeface=""/>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199AD6-542C-489D-A4EB-8DEDB201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2436</Words>
  <Characters>13891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Schedule 1            Service specification</vt:lpstr>
    </vt:vector>
  </TitlesOfParts>
  <Company>Wokingham Borough Council</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Service specification</dc:title>
  <dc:subject>Social Capital and Co-production</dc:subject>
  <dc:creator>Marlena O'Donnell</dc:creator>
  <cp:lastModifiedBy>Belinda Kennedy</cp:lastModifiedBy>
  <cp:revision>2</cp:revision>
  <cp:lastPrinted>2017-12-05T11:09:00Z</cp:lastPrinted>
  <dcterms:created xsi:type="dcterms:W3CDTF">2017-12-15T12:36:00Z</dcterms:created>
  <dcterms:modified xsi:type="dcterms:W3CDTF">2017-12-15T12:36:00Z</dcterms:modified>
</cp:coreProperties>
</file>