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DA648" w14:textId="77777777" w:rsidR="00A37AE5" w:rsidRDefault="00A37AE5" w:rsidP="003D1D4D">
      <w:pPr>
        <w:pStyle w:val="Caption"/>
        <w:ind w:hanging="567"/>
        <w:rPr>
          <w:color w:val="5B9BD5" w:themeColor="accent1"/>
        </w:rPr>
      </w:pPr>
    </w:p>
    <w:p w14:paraId="09614DC1" w14:textId="77777777" w:rsidR="00A37AE5" w:rsidRDefault="00A37AE5" w:rsidP="003D1D4D">
      <w:pPr>
        <w:pStyle w:val="Caption"/>
        <w:ind w:hanging="567"/>
        <w:rPr>
          <w:color w:val="5B9BD5" w:themeColor="accent1"/>
        </w:rPr>
      </w:pPr>
    </w:p>
    <w:p w14:paraId="4EC6F742" w14:textId="77777777" w:rsidR="00A37AE5" w:rsidRDefault="00A37AE5" w:rsidP="003D1D4D">
      <w:pPr>
        <w:pStyle w:val="Caption"/>
        <w:ind w:hanging="567"/>
        <w:rPr>
          <w:color w:val="5B9BD5" w:themeColor="accent1"/>
        </w:rPr>
      </w:pPr>
    </w:p>
    <w:p w14:paraId="0172AE48" w14:textId="00BD568B" w:rsidR="00A37AE5" w:rsidRPr="00A37AE5" w:rsidRDefault="0032263E" w:rsidP="003D1D4D">
      <w:pPr>
        <w:pStyle w:val="Caption"/>
        <w:ind w:hanging="567"/>
        <w:jc w:val="center"/>
        <w:rPr>
          <w:color w:val="5B9BD5" w:themeColor="accent1"/>
          <w:sz w:val="48"/>
          <w:szCs w:val="48"/>
        </w:rPr>
      </w:pPr>
      <w:r w:rsidRPr="00A37AE5">
        <w:rPr>
          <w:color w:val="5B9BD5" w:themeColor="accent1"/>
          <w:sz w:val="48"/>
          <w:szCs w:val="48"/>
        </w:rPr>
        <w:t>YORKSHIRE &amp; HUMBER</w:t>
      </w:r>
      <w:r>
        <w:rPr>
          <w:color w:val="5B9BD5" w:themeColor="accent1"/>
          <w:sz w:val="48"/>
          <w:szCs w:val="48"/>
        </w:rPr>
        <w:t xml:space="preserve"> NHS</w:t>
      </w:r>
      <w:r w:rsidRPr="00A37AE5">
        <w:rPr>
          <w:color w:val="5B9BD5" w:themeColor="accent1"/>
          <w:sz w:val="48"/>
          <w:szCs w:val="48"/>
        </w:rPr>
        <w:t xml:space="preserve"> PHARMACEUTICAL</w:t>
      </w:r>
      <w:r>
        <w:rPr>
          <w:color w:val="5B9BD5" w:themeColor="accent1"/>
          <w:sz w:val="48"/>
          <w:szCs w:val="48"/>
        </w:rPr>
        <w:t>S</w:t>
      </w:r>
      <w:r w:rsidRPr="00A37AE5">
        <w:rPr>
          <w:color w:val="5B9BD5" w:themeColor="accent1"/>
          <w:sz w:val="48"/>
          <w:szCs w:val="48"/>
        </w:rPr>
        <w:t xml:space="preserve"> </w:t>
      </w:r>
      <w:r>
        <w:rPr>
          <w:color w:val="5B9BD5" w:themeColor="accent1"/>
          <w:sz w:val="48"/>
          <w:szCs w:val="48"/>
        </w:rPr>
        <w:t>PURCHASING</w:t>
      </w:r>
      <w:r w:rsidRPr="00A37AE5">
        <w:rPr>
          <w:color w:val="5B9BD5" w:themeColor="accent1"/>
          <w:sz w:val="48"/>
          <w:szCs w:val="48"/>
        </w:rPr>
        <w:t xml:space="preserve"> CONSORTI</w:t>
      </w:r>
      <w:r>
        <w:rPr>
          <w:color w:val="5B9BD5" w:themeColor="accent1"/>
          <w:sz w:val="48"/>
          <w:szCs w:val="48"/>
        </w:rPr>
        <w:t>UM</w:t>
      </w:r>
    </w:p>
    <w:p w14:paraId="0E0427CE" w14:textId="77777777" w:rsidR="00A37AE5" w:rsidRDefault="00A37AE5" w:rsidP="003D1D4D">
      <w:pPr>
        <w:ind w:hanging="567"/>
      </w:pPr>
    </w:p>
    <w:p w14:paraId="59F8BCA2" w14:textId="58DBEE0C" w:rsidR="00A37AE5" w:rsidRDefault="00A37AE5" w:rsidP="003D1D4D">
      <w:pPr>
        <w:pStyle w:val="Caption"/>
        <w:ind w:hanging="567"/>
      </w:pPr>
    </w:p>
    <w:p w14:paraId="084826FE" w14:textId="77777777" w:rsidR="00177A7D" w:rsidRPr="00177A7D" w:rsidRDefault="00177A7D" w:rsidP="00177A7D"/>
    <w:p w14:paraId="664B5361" w14:textId="5F91E61B" w:rsidR="00A37AE5" w:rsidRPr="00A37AE5" w:rsidRDefault="00A37AE5" w:rsidP="003D1D4D">
      <w:pPr>
        <w:pStyle w:val="Title"/>
        <w:ind w:hanging="567"/>
        <w:jc w:val="center"/>
      </w:pPr>
      <w:r w:rsidRPr="00A37AE5">
        <w:t>Document 8 - Specification</w:t>
      </w:r>
    </w:p>
    <w:p w14:paraId="633EA0F6" w14:textId="530C8F93" w:rsidR="00A37AE5" w:rsidRDefault="00A37AE5" w:rsidP="003D1D4D">
      <w:pPr>
        <w:pStyle w:val="Title"/>
        <w:ind w:hanging="567"/>
        <w:jc w:val="center"/>
      </w:pPr>
    </w:p>
    <w:p w14:paraId="23ECE82D" w14:textId="5293BDCB" w:rsidR="00177A7D" w:rsidRDefault="00177A7D" w:rsidP="00177A7D">
      <w:pPr>
        <w:rPr>
          <w:lang w:eastAsia="en-GB"/>
        </w:rPr>
      </w:pPr>
    </w:p>
    <w:p w14:paraId="08E4FE79" w14:textId="77777777" w:rsidR="00177A7D" w:rsidRPr="00177A7D" w:rsidRDefault="00177A7D" w:rsidP="00177A7D">
      <w:pPr>
        <w:rPr>
          <w:lang w:eastAsia="en-GB"/>
        </w:rPr>
      </w:pPr>
    </w:p>
    <w:p w14:paraId="12E057A7" w14:textId="409D44D0" w:rsidR="007F7508" w:rsidRDefault="00A37AE5" w:rsidP="003D1D4D">
      <w:pPr>
        <w:pStyle w:val="Title"/>
        <w:ind w:hanging="567"/>
        <w:jc w:val="center"/>
        <w:rPr>
          <w:sz w:val="36"/>
          <w:szCs w:val="36"/>
        </w:rPr>
      </w:pPr>
      <w:r w:rsidRPr="00A37AE5">
        <w:rPr>
          <w:sz w:val="36"/>
          <w:szCs w:val="36"/>
        </w:rPr>
        <w:t xml:space="preserve">Framework </w:t>
      </w:r>
      <w:r w:rsidR="001F0FE3">
        <w:rPr>
          <w:sz w:val="36"/>
          <w:szCs w:val="36"/>
        </w:rPr>
        <w:t>A</w:t>
      </w:r>
      <w:r w:rsidRPr="00A37AE5">
        <w:rPr>
          <w:sz w:val="36"/>
          <w:szCs w:val="36"/>
        </w:rPr>
        <w:t>greement for Low/Mid Tech Homecare Medicines Services</w:t>
      </w:r>
    </w:p>
    <w:p w14:paraId="6E9C88C6" w14:textId="77777777" w:rsidR="007F7508" w:rsidRDefault="007F7508" w:rsidP="003D1D4D">
      <w:pPr>
        <w:pStyle w:val="Caption"/>
        <w:ind w:hanging="567"/>
        <w:jc w:val="center"/>
        <w:rPr>
          <w:sz w:val="36"/>
          <w:szCs w:val="36"/>
        </w:rPr>
      </w:pPr>
    </w:p>
    <w:p w14:paraId="52EDB390" w14:textId="77777777" w:rsidR="00733CC9" w:rsidRDefault="00733CC9">
      <w:pPr>
        <w:spacing w:before="0" w:after="120"/>
        <w:ind w:left="0"/>
        <w:rPr>
          <w:b/>
          <w:bCs/>
          <w:smallCaps/>
          <w:color w:val="595959" w:themeColor="text1" w:themeTint="A6"/>
          <w:spacing w:val="6"/>
          <w:sz w:val="36"/>
          <w:szCs w:val="36"/>
        </w:rPr>
      </w:pPr>
      <w:r>
        <w:rPr>
          <w:sz w:val="36"/>
          <w:szCs w:val="36"/>
        </w:rPr>
        <w:br w:type="page"/>
      </w:r>
    </w:p>
    <w:p w14:paraId="5D56E743" w14:textId="2CA61BB3" w:rsidR="00733CC9" w:rsidRDefault="00B44AAB" w:rsidP="00D871C6">
      <w:pPr>
        <w:pStyle w:val="Heading1"/>
      </w:pPr>
      <w:r>
        <w:lastRenderedPageBreak/>
        <w:t>General</w:t>
      </w:r>
    </w:p>
    <w:p w14:paraId="6335ABA8" w14:textId="79B4A90D" w:rsidR="00AD33A4" w:rsidRDefault="00F06332" w:rsidP="00994A3B">
      <w:pPr>
        <w:pStyle w:val="Heading2"/>
        <w:ind w:left="0"/>
      </w:pPr>
      <w:r>
        <w:t>Introduction</w:t>
      </w:r>
    </w:p>
    <w:p w14:paraId="37A63DC7" w14:textId="120309AF" w:rsidR="00AD33A4" w:rsidRPr="00AD33A4" w:rsidRDefault="00AD33A4" w:rsidP="00AD33A4">
      <w:pPr>
        <w:ind w:left="0"/>
      </w:pPr>
      <w:r>
        <w:t>Please read Document 2 Terms of Offer.</w:t>
      </w:r>
    </w:p>
    <w:p w14:paraId="335D734A" w14:textId="77777777" w:rsidR="00D871C6" w:rsidRDefault="00D871C6" w:rsidP="00D871C6">
      <w:pPr>
        <w:spacing w:before="0"/>
        <w:ind w:left="0"/>
      </w:pPr>
    </w:p>
    <w:p w14:paraId="69F2CB6E" w14:textId="5A7CB8B6" w:rsidR="00733CC9" w:rsidRDefault="00D871C6" w:rsidP="00D871C6">
      <w:pPr>
        <w:spacing w:before="0"/>
        <w:ind w:left="0"/>
        <w:rPr>
          <w:sz w:val="22"/>
          <w:szCs w:val="22"/>
        </w:rPr>
      </w:pPr>
      <w:r w:rsidRPr="00535DDA">
        <w:rPr>
          <w:sz w:val="22"/>
          <w:szCs w:val="22"/>
        </w:rPr>
        <w:t>The Low Mid Tech Homecare Medicines Services Tender Pack contains the following</w:t>
      </w:r>
      <w:r w:rsidR="000552DF">
        <w:rPr>
          <w:sz w:val="22"/>
          <w:szCs w:val="22"/>
        </w:rPr>
        <w:t>:</w:t>
      </w:r>
    </w:p>
    <w:p w14:paraId="7DC71673" w14:textId="77777777" w:rsidR="000552DF" w:rsidRPr="00535DDA" w:rsidRDefault="000552DF" w:rsidP="00D871C6">
      <w:pPr>
        <w:spacing w:before="0"/>
        <w:ind w:left="0"/>
        <w:rPr>
          <w:sz w:val="22"/>
          <w:szCs w:val="22"/>
        </w:rPr>
      </w:pPr>
    </w:p>
    <w:p w14:paraId="2EE52236" w14:textId="16DA76D1" w:rsidR="00D871C6" w:rsidRPr="00535DDA" w:rsidRDefault="00D871C6" w:rsidP="00DC4DE8">
      <w:pPr>
        <w:pStyle w:val="NoSpacing"/>
        <w:numPr>
          <w:ilvl w:val="0"/>
          <w:numId w:val="9"/>
        </w:numPr>
        <w:spacing w:before="0"/>
        <w:rPr>
          <w:sz w:val="22"/>
          <w:szCs w:val="22"/>
        </w:rPr>
      </w:pPr>
      <w:r w:rsidRPr="00535DDA">
        <w:rPr>
          <w:sz w:val="22"/>
          <w:szCs w:val="22"/>
        </w:rPr>
        <w:t>Standard Selection Questionnaire</w:t>
      </w:r>
      <w:r w:rsidR="000552DF">
        <w:rPr>
          <w:sz w:val="22"/>
          <w:szCs w:val="22"/>
        </w:rPr>
        <w:t xml:space="preserve"> </w:t>
      </w:r>
      <w:r w:rsidR="00A362AC">
        <w:rPr>
          <w:sz w:val="22"/>
          <w:szCs w:val="22"/>
        </w:rPr>
        <w:t xml:space="preserve">(SSQ) </w:t>
      </w:r>
      <w:r w:rsidR="000552DF">
        <w:rPr>
          <w:sz w:val="22"/>
          <w:szCs w:val="22"/>
        </w:rPr>
        <w:t>-</w:t>
      </w:r>
      <w:r w:rsidRPr="00535DDA">
        <w:rPr>
          <w:sz w:val="22"/>
          <w:szCs w:val="22"/>
        </w:rPr>
        <w:t xml:space="preserve"> (complete in Atamis)</w:t>
      </w:r>
    </w:p>
    <w:p w14:paraId="275E4DC8" w14:textId="65C80FB3" w:rsidR="00D871C6" w:rsidRPr="00535DDA" w:rsidRDefault="00D871C6" w:rsidP="00DC4DE8">
      <w:pPr>
        <w:pStyle w:val="NoSpacing"/>
        <w:numPr>
          <w:ilvl w:val="0"/>
          <w:numId w:val="9"/>
        </w:numPr>
        <w:spacing w:before="0"/>
        <w:rPr>
          <w:sz w:val="22"/>
          <w:szCs w:val="22"/>
        </w:rPr>
      </w:pPr>
      <w:r w:rsidRPr="00535DDA">
        <w:rPr>
          <w:sz w:val="22"/>
          <w:szCs w:val="22"/>
        </w:rPr>
        <w:t>Document 1</w:t>
      </w:r>
      <w:r w:rsidRPr="00535DDA">
        <w:rPr>
          <w:sz w:val="22"/>
          <w:szCs w:val="22"/>
        </w:rPr>
        <w:tab/>
        <w:t xml:space="preserve">Invitation to Offer Cover letter </w:t>
      </w:r>
    </w:p>
    <w:p w14:paraId="67DAB52A" w14:textId="46A521CA" w:rsidR="00D871C6" w:rsidRPr="00535DDA" w:rsidRDefault="00D871C6" w:rsidP="00DC4DE8">
      <w:pPr>
        <w:pStyle w:val="NoSpacing"/>
        <w:numPr>
          <w:ilvl w:val="0"/>
          <w:numId w:val="9"/>
        </w:numPr>
        <w:spacing w:before="0"/>
        <w:rPr>
          <w:sz w:val="22"/>
          <w:szCs w:val="22"/>
        </w:rPr>
      </w:pPr>
      <w:r w:rsidRPr="00535DDA">
        <w:rPr>
          <w:sz w:val="22"/>
          <w:szCs w:val="22"/>
        </w:rPr>
        <w:t>Document 2</w:t>
      </w:r>
      <w:r w:rsidRPr="00535DDA">
        <w:rPr>
          <w:sz w:val="22"/>
          <w:szCs w:val="22"/>
        </w:rPr>
        <w:tab/>
        <w:t>Terms of Offer</w:t>
      </w:r>
      <w:r w:rsidR="000552DF">
        <w:rPr>
          <w:sz w:val="22"/>
          <w:szCs w:val="22"/>
        </w:rPr>
        <w:t xml:space="preserve"> -</w:t>
      </w:r>
      <w:r w:rsidRPr="00535DDA">
        <w:rPr>
          <w:sz w:val="22"/>
          <w:szCs w:val="22"/>
        </w:rPr>
        <w:t xml:space="preserve"> (complete in Atamis)</w:t>
      </w:r>
    </w:p>
    <w:p w14:paraId="4C64FF59" w14:textId="609FA567" w:rsidR="00D871C6" w:rsidRPr="00535DDA" w:rsidRDefault="00D871C6" w:rsidP="00DC4DE8">
      <w:pPr>
        <w:pStyle w:val="NoSpacing"/>
        <w:numPr>
          <w:ilvl w:val="0"/>
          <w:numId w:val="9"/>
        </w:numPr>
        <w:spacing w:before="0"/>
        <w:rPr>
          <w:sz w:val="22"/>
          <w:szCs w:val="22"/>
        </w:rPr>
      </w:pPr>
      <w:r w:rsidRPr="00535DDA">
        <w:rPr>
          <w:sz w:val="22"/>
          <w:szCs w:val="22"/>
        </w:rPr>
        <w:t xml:space="preserve">Document 3 </w:t>
      </w:r>
      <w:r w:rsidRPr="00535DDA">
        <w:rPr>
          <w:sz w:val="22"/>
          <w:szCs w:val="22"/>
        </w:rPr>
        <w:tab/>
        <w:t>Certificate of Bona Fide Offer and Non-Canvassing</w:t>
      </w:r>
      <w:r w:rsidR="000552DF">
        <w:rPr>
          <w:sz w:val="22"/>
          <w:szCs w:val="22"/>
        </w:rPr>
        <w:t xml:space="preserve"> -</w:t>
      </w:r>
      <w:r w:rsidRPr="00535DDA">
        <w:rPr>
          <w:sz w:val="22"/>
          <w:szCs w:val="22"/>
        </w:rPr>
        <w:t xml:space="preserve"> (complete in Atamis)</w:t>
      </w:r>
    </w:p>
    <w:p w14:paraId="1147A2D6" w14:textId="7F568560" w:rsidR="000200FB" w:rsidRDefault="00D871C6" w:rsidP="00DC4DE8">
      <w:pPr>
        <w:pStyle w:val="NoSpacing"/>
        <w:numPr>
          <w:ilvl w:val="0"/>
          <w:numId w:val="9"/>
        </w:numPr>
        <w:spacing w:before="0"/>
        <w:ind w:left="748" w:hanging="357"/>
        <w:rPr>
          <w:sz w:val="22"/>
          <w:szCs w:val="22"/>
        </w:rPr>
      </w:pPr>
      <w:r w:rsidRPr="00535DDA">
        <w:rPr>
          <w:sz w:val="22"/>
          <w:szCs w:val="22"/>
        </w:rPr>
        <w:t>Document 4</w:t>
      </w:r>
      <w:r w:rsidRPr="00535DDA">
        <w:rPr>
          <w:sz w:val="22"/>
          <w:szCs w:val="22"/>
        </w:rPr>
        <w:tab/>
        <w:t>Commercially Sensitive Information Schedule</w:t>
      </w:r>
      <w:r w:rsidR="000552DF">
        <w:rPr>
          <w:sz w:val="22"/>
          <w:szCs w:val="22"/>
        </w:rPr>
        <w:t xml:space="preserve"> -</w:t>
      </w:r>
      <w:r w:rsidRPr="00535DDA">
        <w:rPr>
          <w:sz w:val="22"/>
          <w:szCs w:val="22"/>
        </w:rPr>
        <w:t xml:space="preserve"> (complete and return if </w:t>
      </w:r>
    </w:p>
    <w:p w14:paraId="59A4D32B" w14:textId="08752636" w:rsidR="00D871C6" w:rsidRPr="00535DDA" w:rsidRDefault="00D871C6" w:rsidP="000200FB">
      <w:pPr>
        <w:pStyle w:val="NoSpacing"/>
        <w:spacing w:before="0"/>
        <w:ind w:left="1829" w:firstLine="331"/>
        <w:rPr>
          <w:sz w:val="22"/>
          <w:szCs w:val="22"/>
        </w:rPr>
      </w:pPr>
      <w:r w:rsidRPr="00535DDA">
        <w:rPr>
          <w:sz w:val="22"/>
          <w:szCs w:val="22"/>
        </w:rPr>
        <w:t>applicable)</w:t>
      </w:r>
    </w:p>
    <w:p w14:paraId="01082D49" w14:textId="77777777" w:rsidR="000200FB" w:rsidRDefault="00D871C6" w:rsidP="00DC4DE8">
      <w:pPr>
        <w:pStyle w:val="NoSpacing"/>
        <w:numPr>
          <w:ilvl w:val="0"/>
          <w:numId w:val="9"/>
        </w:numPr>
        <w:spacing w:before="0"/>
        <w:ind w:left="748" w:hanging="357"/>
        <w:rPr>
          <w:sz w:val="22"/>
          <w:szCs w:val="22"/>
        </w:rPr>
      </w:pPr>
      <w:r w:rsidRPr="00535DDA">
        <w:rPr>
          <w:sz w:val="22"/>
          <w:szCs w:val="22"/>
        </w:rPr>
        <w:t>Document 5</w:t>
      </w:r>
      <w:r w:rsidRPr="00535DDA">
        <w:rPr>
          <w:sz w:val="22"/>
          <w:szCs w:val="22"/>
        </w:rPr>
        <w:tab/>
        <w:t xml:space="preserve">Terms and Conditions NHS Framework Agreement for the Supply of Goods </w:t>
      </w:r>
    </w:p>
    <w:p w14:paraId="6AE6B2B3" w14:textId="77777777" w:rsidR="000200FB" w:rsidRDefault="00D871C6" w:rsidP="000200FB">
      <w:pPr>
        <w:pStyle w:val="NoSpacing"/>
        <w:spacing w:before="0"/>
        <w:ind w:left="1829" w:firstLine="331"/>
        <w:rPr>
          <w:sz w:val="22"/>
          <w:szCs w:val="22"/>
        </w:rPr>
      </w:pPr>
      <w:r w:rsidRPr="00535DDA">
        <w:rPr>
          <w:sz w:val="22"/>
          <w:szCs w:val="22"/>
        </w:rPr>
        <w:t xml:space="preserve">and the Provision of Services - Framework (Homecare Medicines) including </w:t>
      </w:r>
    </w:p>
    <w:p w14:paraId="234610A9" w14:textId="5ED6A0E1" w:rsidR="00D871C6" w:rsidRPr="00535DDA" w:rsidRDefault="00D871C6" w:rsidP="000200FB">
      <w:pPr>
        <w:pStyle w:val="NoSpacing"/>
        <w:spacing w:before="0"/>
        <w:ind w:left="1829" w:firstLine="331"/>
        <w:rPr>
          <w:sz w:val="22"/>
          <w:szCs w:val="22"/>
        </w:rPr>
      </w:pPr>
      <w:r w:rsidRPr="00535DDA">
        <w:rPr>
          <w:sz w:val="22"/>
          <w:szCs w:val="22"/>
        </w:rPr>
        <w:t>Appendix A Call Off Terms and Conditions</w:t>
      </w:r>
    </w:p>
    <w:p w14:paraId="51F9D66C" w14:textId="532B53E8" w:rsidR="00D871C6" w:rsidRPr="00535DDA" w:rsidRDefault="00D871C6" w:rsidP="00DC4DE8">
      <w:pPr>
        <w:pStyle w:val="NoSpacing"/>
        <w:numPr>
          <w:ilvl w:val="0"/>
          <w:numId w:val="9"/>
        </w:numPr>
        <w:spacing w:before="0"/>
        <w:rPr>
          <w:sz w:val="22"/>
          <w:szCs w:val="22"/>
        </w:rPr>
      </w:pPr>
      <w:r w:rsidRPr="00535DDA">
        <w:rPr>
          <w:sz w:val="22"/>
          <w:szCs w:val="22"/>
        </w:rPr>
        <w:t>Document 5a</w:t>
      </w:r>
      <w:r w:rsidRPr="00535DDA">
        <w:rPr>
          <w:sz w:val="22"/>
          <w:szCs w:val="22"/>
        </w:rPr>
        <w:tab/>
        <w:t>Example Data Protection Protocol Homecare Medicines Services</w:t>
      </w:r>
    </w:p>
    <w:p w14:paraId="78A3BB75" w14:textId="77777777" w:rsidR="00D871C6" w:rsidRPr="00535DDA" w:rsidRDefault="00D871C6" w:rsidP="00DC4DE8">
      <w:pPr>
        <w:pStyle w:val="NoSpacing"/>
        <w:numPr>
          <w:ilvl w:val="0"/>
          <w:numId w:val="9"/>
        </w:numPr>
        <w:spacing w:before="0"/>
        <w:rPr>
          <w:sz w:val="22"/>
          <w:szCs w:val="22"/>
          <w:lang w:eastAsia="en-US"/>
        </w:rPr>
      </w:pPr>
      <w:r w:rsidRPr="00535DDA">
        <w:rPr>
          <w:sz w:val="22"/>
          <w:szCs w:val="22"/>
          <w:lang w:eastAsia="en-US"/>
        </w:rPr>
        <w:t>Document 5b</w:t>
      </w:r>
      <w:r w:rsidRPr="00535DDA">
        <w:rPr>
          <w:sz w:val="22"/>
          <w:szCs w:val="22"/>
          <w:lang w:eastAsia="en-US"/>
        </w:rPr>
        <w:tab/>
        <w:t>NHS T&amp;C Schedule 7 Annex A - Order Form</w:t>
      </w:r>
    </w:p>
    <w:p w14:paraId="3C5B699F" w14:textId="77777777" w:rsidR="00D871C6" w:rsidRPr="00535DDA" w:rsidRDefault="00D871C6" w:rsidP="00DC4DE8">
      <w:pPr>
        <w:pStyle w:val="NoSpacing"/>
        <w:numPr>
          <w:ilvl w:val="0"/>
          <w:numId w:val="9"/>
        </w:numPr>
        <w:spacing w:before="0"/>
        <w:rPr>
          <w:sz w:val="22"/>
          <w:szCs w:val="22"/>
          <w:lang w:eastAsia="en-US"/>
        </w:rPr>
      </w:pPr>
      <w:r w:rsidRPr="00535DDA">
        <w:rPr>
          <w:sz w:val="22"/>
          <w:szCs w:val="22"/>
          <w:lang w:eastAsia="en-US"/>
        </w:rPr>
        <w:t>Document 6</w:t>
      </w:r>
      <w:r w:rsidRPr="00535DDA">
        <w:rPr>
          <w:sz w:val="22"/>
          <w:szCs w:val="22"/>
          <w:lang w:eastAsia="en-US"/>
        </w:rPr>
        <w:tab/>
      </w:r>
      <w:r w:rsidRPr="00535DDA">
        <w:rPr>
          <w:i/>
          <w:iCs/>
          <w:sz w:val="22"/>
          <w:szCs w:val="22"/>
          <w:lang w:eastAsia="en-US"/>
        </w:rPr>
        <w:t>Intentionally omitted</w:t>
      </w:r>
    </w:p>
    <w:p w14:paraId="19EFC4D1" w14:textId="77777777" w:rsidR="00D871C6" w:rsidRPr="00535DDA" w:rsidRDefault="00D871C6" w:rsidP="00DC4DE8">
      <w:pPr>
        <w:pStyle w:val="NoSpacing"/>
        <w:numPr>
          <w:ilvl w:val="0"/>
          <w:numId w:val="9"/>
        </w:numPr>
        <w:spacing w:before="0"/>
        <w:rPr>
          <w:sz w:val="22"/>
          <w:szCs w:val="22"/>
        </w:rPr>
      </w:pPr>
      <w:r w:rsidRPr="00535DDA">
        <w:rPr>
          <w:sz w:val="22"/>
          <w:szCs w:val="22"/>
        </w:rPr>
        <w:t>Document 7</w:t>
      </w:r>
      <w:r w:rsidRPr="00535DDA">
        <w:rPr>
          <w:sz w:val="22"/>
          <w:szCs w:val="22"/>
        </w:rPr>
        <w:tab/>
        <w:t>List of Member and Eligible Participating Authorities</w:t>
      </w:r>
    </w:p>
    <w:p w14:paraId="1E5E476A" w14:textId="1813F4C6" w:rsidR="00D871C6" w:rsidRPr="00535DDA" w:rsidRDefault="00D871C6" w:rsidP="00DC4DE8">
      <w:pPr>
        <w:pStyle w:val="NoSpacing"/>
        <w:numPr>
          <w:ilvl w:val="0"/>
          <w:numId w:val="9"/>
        </w:numPr>
        <w:spacing w:before="0"/>
        <w:rPr>
          <w:sz w:val="22"/>
          <w:szCs w:val="22"/>
        </w:rPr>
      </w:pPr>
      <w:r w:rsidRPr="00535DDA">
        <w:rPr>
          <w:sz w:val="22"/>
          <w:szCs w:val="22"/>
        </w:rPr>
        <w:t>Document 8</w:t>
      </w:r>
      <w:r w:rsidRPr="00535DDA">
        <w:rPr>
          <w:sz w:val="22"/>
          <w:szCs w:val="22"/>
        </w:rPr>
        <w:tab/>
        <w:t xml:space="preserve">Specification </w:t>
      </w:r>
      <w:r w:rsidR="000552DF">
        <w:rPr>
          <w:sz w:val="22"/>
          <w:szCs w:val="22"/>
        </w:rPr>
        <w:t xml:space="preserve">- </w:t>
      </w:r>
      <w:r w:rsidRPr="00535DDA">
        <w:rPr>
          <w:sz w:val="22"/>
          <w:szCs w:val="22"/>
        </w:rPr>
        <w:t>(this document)</w:t>
      </w:r>
    </w:p>
    <w:p w14:paraId="21E67DE8" w14:textId="76437217" w:rsidR="00D871C6" w:rsidRPr="00535DDA" w:rsidRDefault="00D871C6" w:rsidP="00DC4DE8">
      <w:pPr>
        <w:pStyle w:val="NoSpacing"/>
        <w:numPr>
          <w:ilvl w:val="0"/>
          <w:numId w:val="9"/>
        </w:numPr>
        <w:spacing w:before="0"/>
        <w:rPr>
          <w:sz w:val="22"/>
          <w:szCs w:val="22"/>
        </w:rPr>
      </w:pPr>
      <w:r w:rsidRPr="00535DDA">
        <w:rPr>
          <w:sz w:val="22"/>
          <w:szCs w:val="22"/>
        </w:rPr>
        <w:t>Document 8a</w:t>
      </w:r>
      <w:r w:rsidRPr="00535DDA">
        <w:rPr>
          <w:sz w:val="22"/>
          <w:szCs w:val="22"/>
        </w:rPr>
        <w:tab/>
        <w:t xml:space="preserve">Tender Response </w:t>
      </w:r>
      <w:r w:rsidR="000552DF">
        <w:rPr>
          <w:sz w:val="22"/>
          <w:szCs w:val="22"/>
        </w:rPr>
        <w:t xml:space="preserve">- </w:t>
      </w:r>
      <w:r w:rsidRPr="00535DDA">
        <w:rPr>
          <w:sz w:val="22"/>
          <w:szCs w:val="22"/>
        </w:rPr>
        <w:t>(complete and return)</w:t>
      </w:r>
    </w:p>
    <w:p w14:paraId="2279034D" w14:textId="15F8022F" w:rsidR="00D871C6" w:rsidRPr="00535DDA" w:rsidRDefault="00D871C6" w:rsidP="00DC4DE8">
      <w:pPr>
        <w:pStyle w:val="NoSpacing"/>
        <w:numPr>
          <w:ilvl w:val="0"/>
          <w:numId w:val="9"/>
        </w:numPr>
        <w:spacing w:before="0"/>
        <w:rPr>
          <w:sz w:val="22"/>
          <w:szCs w:val="22"/>
        </w:rPr>
      </w:pPr>
      <w:r w:rsidRPr="00535DDA">
        <w:rPr>
          <w:sz w:val="22"/>
          <w:szCs w:val="22"/>
        </w:rPr>
        <w:t>Document 8b</w:t>
      </w:r>
      <w:r w:rsidR="000200FB">
        <w:rPr>
          <w:sz w:val="22"/>
          <w:szCs w:val="22"/>
        </w:rPr>
        <w:tab/>
      </w:r>
      <w:r w:rsidRPr="00535DDA">
        <w:rPr>
          <w:sz w:val="22"/>
          <w:szCs w:val="22"/>
        </w:rPr>
        <w:t>Commercial Schedule</w:t>
      </w:r>
      <w:r w:rsidR="000552DF">
        <w:rPr>
          <w:sz w:val="22"/>
          <w:szCs w:val="22"/>
        </w:rPr>
        <w:t xml:space="preserve"> -</w:t>
      </w:r>
      <w:r w:rsidRPr="00535DDA">
        <w:rPr>
          <w:sz w:val="22"/>
          <w:szCs w:val="22"/>
        </w:rPr>
        <w:t xml:space="preserve"> (complete and return)</w:t>
      </w:r>
    </w:p>
    <w:p w14:paraId="17806888" w14:textId="77777777" w:rsidR="00D871C6" w:rsidRPr="00535DDA" w:rsidRDefault="00D871C6" w:rsidP="00DC4DE8">
      <w:pPr>
        <w:pStyle w:val="NoSpacing"/>
        <w:numPr>
          <w:ilvl w:val="0"/>
          <w:numId w:val="9"/>
        </w:numPr>
        <w:spacing w:before="0"/>
        <w:rPr>
          <w:sz w:val="22"/>
          <w:szCs w:val="22"/>
        </w:rPr>
      </w:pPr>
      <w:r w:rsidRPr="00535DDA">
        <w:rPr>
          <w:sz w:val="22"/>
          <w:szCs w:val="22"/>
        </w:rPr>
        <w:t>Document 8c</w:t>
      </w:r>
      <w:r w:rsidRPr="00535DDA">
        <w:rPr>
          <w:sz w:val="22"/>
          <w:szCs w:val="22"/>
        </w:rPr>
        <w:tab/>
        <w:t>Award Criteria and Methodology</w:t>
      </w:r>
    </w:p>
    <w:p w14:paraId="69AFFDB6" w14:textId="55F6E6C9" w:rsidR="007D2D2D" w:rsidRDefault="007D2D2D" w:rsidP="007D2D2D">
      <w:pPr>
        <w:pStyle w:val="Heading2"/>
      </w:pPr>
      <w:r>
        <w:t>Scope</w:t>
      </w:r>
    </w:p>
    <w:p w14:paraId="3A510275" w14:textId="63269B8F" w:rsidR="00F06332" w:rsidRDefault="00F06332" w:rsidP="00F06332">
      <w:pPr>
        <w:pStyle w:val="NoSpacing"/>
        <w:spacing w:before="0" w:line="240" w:lineRule="auto"/>
        <w:rPr>
          <w:sz w:val="22"/>
          <w:szCs w:val="22"/>
        </w:rPr>
      </w:pPr>
      <w:r>
        <w:rPr>
          <w:sz w:val="22"/>
          <w:szCs w:val="22"/>
        </w:rPr>
        <w:t>T</w:t>
      </w:r>
      <w:r w:rsidRPr="001B1608">
        <w:rPr>
          <w:sz w:val="22"/>
          <w:szCs w:val="22"/>
        </w:rPr>
        <w:t>his procurement exercise concerns the conclusion of a multiple provider unranked framework agreement for the supply of Low</w:t>
      </w:r>
      <w:r>
        <w:rPr>
          <w:sz w:val="22"/>
          <w:szCs w:val="22"/>
        </w:rPr>
        <w:t xml:space="preserve"> </w:t>
      </w:r>
      <w:r w:rsidRPr="001B1608">
        <w:rPr>
          <w:sz w:val="22"/>
          <w:szCs w:val="22"/>
        </w:rPr>
        <w:t>&amp;</w:t>
      </w:r>
      <w:r>
        <w:rPr>
          <w:sz w:val="22"/>
          <w:szCs w:val="22"/>
        </w:rPr>
        <w:t xml:space="preserve"> </w:t>
      </w:r>
      <w:r w:rsidRPr="001B1608">
        <w:rPr>
          <w:sz w:val="22"/>
          <w:szCs w:val="22"/>
        </w:rPr>
        <w:t>Mid Tech Homecare Medicines Services</w:t>
      </w:r>
      <w:r>
        <w:rPr>
          <w:sz w:val="22"/>
          <w:szCs w:val="22"/>
        </w:rPr>
        <w:t xml:space="preserve">, </w:t>
      </w:r>
      <w:r w:rsidRPr="001B1608">
        <w:rPr>
          <w:sz w:val="22"/>
          <w:szCs w:val="22"/>
        </w:rPr>
        <w:t xml:space="preserve">as made available under the Public Contracts Regulations 2015 Open Procedure. </w:t>
      </w:r>
      <w:r>
        <w:rPr>
          <w:sz w:val="22"/>
          <w:szCs w:val="22"/>
        </w:rPr>
        <w:t xml:space="preserve"> </w:t>
      </w:r>
      <w:r w:rsidRPr="007F7404">
        <w:rPr>
          <w:sz w:val="22"/>
          <w:szCs w:val="22"/>
        </w:rPr>
        <w:t>One or more successful Offerors will be appointed to supply goods and/or services on the terms agreed to such of the customers participating in the agreement as may place orders for such goods and/or services from time to time.</w:t>
      </w:r>
    </w:p>
    <w:p w14:paraId="7C008090" w14:textId="77777777" w:rsidR="00F06332" w:rsidRPr="00F06332" w:rsidRDefault="00F06332" w:rsidP="00F06332"/>
    <w:p w14:paraId="4395A827" w14:textId="61F29BEE" w:rsidR="007D2D2D" w:rsidRDefault="007D2D2D" w:rsidP="00535DDA">
      <w:pPr>
        <w:pStyle w:val="NoSpacing"/>
        <w:spacing w:before="0"/>
        <w:ind w:left="0"/>
        <w:rPr>
          <w:sz w:val="22"/>
          <w:szCs w:val="22"/>
        </w:rPr>
      </w:pPr>
      <w:r w:rsidRPr="00535DDA">
        <w:rPr>
          <w:sz w:val="22"/>
          <w:szCs w:val="22"/>
        </w:rPr>
        <w:t>The following service Lots are included in this Framework Agreement.</w:t>
      </w:r>
    </w:p>
    <w:p w14:paraId="3354E4AF" w14:textId="77777777" w:rsidR="005F5C7D" w:rsidRPr="00535DDA" w:rsidRDefault="005F5C7D" w:rsidP="00535DDA">
      <w:pPr>
        <w:pStyle w:val="NoSpacing"/>
        <w:spacing w:before="0"/>
        <w:ind w:left="0"/>
        <w:rPr>
          <w:sz w:val="22"/>
          <w:szCs w:val="22"/>
        </w:rPr>
      </w:pPr>
    </w:p>
    <w:p w14:paraId="5F60B55C" w14:textId="77777777" w:rsidR="007D2D2D" w:rsidRPr="00535DDA" w:rsidRDefault="007D2D2D" w:rsidP="005F5C7D">
      <w:pPr>
        <w:pStyle w:val="NoSpacing"/>
        <w:spacing w:before="0"/>
        <w:ind w:left="426"/>
        <w:rPr>
          <w:sz w:val="22"/>
          <w:szCs w:val="22"/>
        </w:rPr>
      </w:pPr>
      <w:r w:rsidRPr="00535DDA">
        <w:rPr>
          <w:sz w:val="22"/>
          <w:szCs w:val="22"/>
        </w:rPr>
        <w:t>Lot 1 - Short Turn Around Homecare Medicine Services</w:t>
      </w:r>
    </w:p>
    <w:p w14:paraId="1C1A786B" w14:textId="77777777" w:rsidR="007D2D2D" w:rsidRPr="00535DDA" w:rsidRDefault="007D2D2D" w:rsidP="005F5C7D">
      <w:pPr>
        <w:pStyle w:val="NoSpacing"/>
        <w:spacing w:before="0"/>
        <w:ind w:left="426"/>
        <w:rPr>
          <w:sz w:val="22"/>
          <w:szCs w:val="22"/>
        </w:rPr>
      </w:pPr>
      <w:r w:rsidRPr="00535DDA">
        <w:rPr>
          <w:sz w:val="22"/>
          <w:szCs w:val="22"/>
        </w:rPr>
        <w:t>Lot 2 - Standard Turn Around Homecare Medicines Services</w:t>
      </w:r>
    </w:p>
    <w:p w14:paraId="3E8A6D39" w14:textId="77777777" w:rsidR="007D2D2D" w:rsidRPr="00535DDA" w:rsidRDefault="007D2D2D" w:rsidP="005F5C7D">
      <w:pPr>
        <w:pStyle w:val="NoSpacing"/>
        <w:spacing w:before="0"/>
        <w:ind w:left="426"/>
        <w:rPr>
          <w:sz w:val="22"/>
          <w:szCs w:val="22"/>
        </w:rPr>
      </w:pPr>
      <w:r w:rsidRPr="00535DDA">
        <w:rPr>
          <w:sz w:val="22"/>
          <w:szCs w:val="22"/>
        </w:rPr>
        <w:t>Lot 3 - Controlled Collection</w:t>
      </w:r>
    </w:p>
    <w:p w14:paraId="5F8D0111" w14:textId="77777777" w:rsidR="007D2D2D" w:rsidRPr="00535DDA" w:rsidRDefault="007D2D2D" w:rsidP="005F5C7D">
      <w:pPr>
        <w:pStyle w:val="NoSpacing"/>
        <w:spacing w:before="0"/>
        <w:ind w:left="426"/>
        <w:rPr>
          <w:sz w:val="22"/>
          <w:szCs w:val="22"/>
        </w:rPr>
      </w:pPr>
      <w:r w:rsidRPr="00535DDA">
        <w:rPr>
          <w:sz w:val="22"/>
          <w:szCs w:val="22"/>
        </w:rPr>
        <w:t>Lot 4 - Clinical Services</w:t>
      </w:r>
    </w:p>
    <w:p w14:paraId="3F6ECF74" w14:textId="28693FF6" w:rsidR="007D2D2D" w:rsidRDefault="007D2D2D" w:rsidP="005F5C7D">
      <w:pPr>
        <w:pStyle w:val="NoSpacing"/>
        <w:spacing w:before="0"/>
        <w:ind w:left="426"/>
        <w:rPr>
          <w:sz w:val="22"/>
          <w:szCs w:val="22"/>
        </w:rPr>
      </w:pPr>
      <w:r w:rsidRPr="00535DDA">
        <w:rPr>
          <w:sz w:val="22"/>
          <w:szCs w:val="22"/>
        </w:rPr>
        <w:t>Lot 5 - Immunoglobulin Homecare Medicine Services</w:t>
      </w:r>
    </w:p>
    <w:p w14:paraId="68C77D0F" w14:textId="77777777" w:rsidR="003A5D0C" w:rsidRPr="00535DDA" w:rsidRDefault="003A5D0C" w:rsidP="00535DDA">
      <w:pPr>
        <w:pStyle w:val="NoSpacing"/>
        <w:spacing w:before="0"/>
        <w:ind w:left="0"/>
        <w:rPr>
          <w:sz w:val="22"/>
          <w:szCs w:val="22"/>
        </w:rPr>
      </w:pPr>
    </w:p>
    <w:p w14:paraId="19196CA9" w14:textId="4815873C" w:rsidR="007D2D2D" w:rsidRDefault="007D2D2D" w:rsidP="00535DDA">
      <w:pPr>
        <w:pStyle w:val="NoSpacing"/>
        <w:spacing w:before="0"/>
        <w:ind w:left="0"/>
        <w:rPr>
          <w:sz w:val="22"/>
          <w:szCs w:val="22"/>
        </w:rPr>
      </w:pPr>
      <w:r w:rsidRPr="00535DDA">
        <w:rPr>
          <w:sz w:val="22"/>
          <w:szCs w:val="22"/>
        </w:rPr>
        <w:t xml:space="preserve">There is no limit to the number of Lots </w:t>
      </w:r>
      <w:r w:rsidR="009A4A68">
        <w:rPr>
          <w:sz w:val="22"/>
          <w:szCs w:val="22"/>
        </w:rPr>
        <w:t xml:space="preserve">a </w:t>
      </w:r>
      <w:r w:rsidR="00A362AC">
        <w:rPr>
          <w:sz w:val="22"/>
          <w:szCs w:val="22"/>
        </w:rPr>
        <w:t>Supplier</w:t>
      </w:r>
      <w:r w:rsidRPr="00535DDA">
        <w:rPr>
          <w:sz w:val="22"/>
          <w:szCs w:val="22"/>
        </w:rPr>
        <w:t xml:space="preserve"> can offer </w:t>
      </w:r>
      <w:r w:rsidR="00AD33A4" w:rsidRPr="00535DDA">
        <w:rPr>
          <w:sz w:val="22"/>
          <w:szCs w:val="22"/>
        </w:rPr>
        <w:t>against,</w:t>
      </w:r>
      <w:r w:rsidRPr="00535DDA">
        <w:rPr>
          <w:sz w:val="22"/>
          <w:szCs w:val="22"/>
        </w:rPr>
        <w:t xml:space="preserve"> and </w:t>
      </w:r>
      <w:r w:rsidR="00A362AC">
        <w:rPr>
          <w:sz w:val="22"/>
          <w:szCs w:val="22"/>
        </w:rPr>
        <w:t>Suppliers</w:t>
      </w:r>
      <w:r w:rsidRPr="00535DDA">
        <w:rPr>
          <w:sz w:val="22"/>
          <w:szCs w:val="22"/>
        </w:rPr>
        <w:t xml:space="preserve"> are not required to bid for more than one Lot.</w:t>
      </w:r>
    </w:p>
    <w:p w14:paraId="7CF1DA04" w14:textId="77777777" w:rsidR="003A5D0C" w:rsidRPr="00535DDA" w:rsidRDefault="003A5D0C" w:rsidP="00535DDA">
      <w:pPr>
        <w:pStyle w:val="NoSpacing"/>
        <w:spacing w:before="0"/>
        <w:ind w:left="0"/>
        <w:rPr>
          <w:sz w:val="22"/>
          <w:szCs w:val="22"/>
        </w:rPr>
      </w:pPr>
    </w:p>
    <w:p w14:paraId="76487FAB" w14:textId="773DBF67" w:rsidR="007D2D2D" w:rsidRPr="00535DDA" w:rsidRDefault="007D2D2D" w:rsidP="00535DDA">
      <w:pPr>
        <w:pStyle w:val="NoSpacing"/>
        <w:spacing w:before="0"/>
        <w:ind w:left="0"/>
        <w:rPr>
          <w:sz w:val="22"/>
          <w:szCs w:val="22"/>
        </w:rPr>
      </w:pPr>
      <w:r w:rsidRPr="00535DDA">
        <w:rPr>
          <w:sz w:val="22"/>
          <w:szCs w:val="22"/>
        </w:rPr>
        <w:t xml:space="preserve">Any volume estimates provided to </w:t>
      </w:r>
      <w:r w:rsidR="00A362AC">
        <w:rPr>
          <w:sz w:val="22"/>
          <w:szCs w:val="22"/>
        </w:rPr>
        <w:t>Suppliers</w:t>
      </w:r>
      <w:r w:rsidRPr="00535DDA">
        <w:rPr>
          <w:sz w:val="22"/>
          <w:szCs w:val="22"/>
        </w:rPr>
        <w:t xml:space="preserve"> by </w:t>
      </w:r>
      <w:r w:rsidR="009A4A68">
        <w:rPr>
          <w:sz w:val="22"/>
          <w:szCs w:val="22"/>
        </w:rPr>
        <w:t xml:space="preserve">the </w:t>
      </w:r>
      <w:r w:rsidRPr="00535DDA">
        <w:rPr>
          <w:sz w:val="22"/>
          <w:szCs w:val="22"/>
        </w:rPr>
        <w:t xml:space="preserve">Authority are statements of opinion, provided in good faith and based on </w:t>
      </w:r>
      <w:proofErr w:type="gramStart"/>
      <w:r w:rsidRPr="00535DDA">
        <w:rPr>
          <w:sz w:val="22"/>
          <w:szCs w:val="22"/>
        </w:rPr>
        <w:t>past experience</w:t>
      </w:r>
      <w:proofErr w:type="gramEnd"/>
      <w:r w:rsidRPr="00535DDA">
        <w:rPr>
          <w:sz w:val="22"/>
          <w:szCs w:val="22"/>
        </w:rPr>
        <w:t xml:space="preserve"> and market knowledge, but they should not be relied upon by </w:t>
      </w:r>
      <w:r w:rsidR="00A362AC">
        <w:rPr>
          <w:sz w:val="22"/>
          <w:szCs w:val="22"/>
        </w:rPr>
        <w:t>Suppliers</w:t>
      </w:r>
      <w:r w:rsidRPr="00535DDA">
        <w:rPr>
          <w:sz w:val="22"/>
          <w:szCs w:val="22"/>
        </w:rPr>
        <w:t xml:space="preserve"> in formulating their offers.</w:t>
      </w:r>
    </w:p>
    <w:p w14:paraId="4BD2EFDB" w14:textId="77777777" w:rsidR="007D2D2D" w:rsidRPr="00535DDA" w:rsidRDefault="007D2D2D" w:rsidP="00535DDA">
      <w:pPr>
        <w:pStyle w:val="NoSpacing"/>
        <w:spacing w:before="0"/>
        <w:ind w:left="0"/>
        <w:rPr>
          <w:sz w:val="22"/>
          <w:szCs w:val="22"/>
        </w:rPr>
      </w:pPr>
    </w:p>
    <w:p w14:paraId="57283476" w14:textId="1AB808D3" w:rsidR="007D2D2D" w:rsidRPr="00535DDA" w:rsidRDefault="00CB2E23" w:rsidP="00535DDA">
      <w:pPr>
        <w:pStyle w:val="NoSpacing"/>
        <w:spacing w:before="0"/>
        <w:ind w:left="0"/>
        <w:rPr>
          <w:sz w:val="22"/>
          <w:szCs w:val="22"/>
        </w:rPr>
      </w:pPr>
      <w:r w:rsidRPr="00535DDA">
        <w:rPr>
          <w:sz w:val="22"/>
          <w:szCs w:val="22"/>
        </w:rPr>
        <w:lastRenderedPageBreak/>
        <w:t>Participating</w:t>
      </w:r>
      <w:r w:rsidR="007D2D2D" w:rsidRPr="00535DDA">
        <w:rPr>
          <w:sz w:val="22"/>
          <w:szCs w:val="22"/>
        </w:rPr>
        <w:t xml:space="preserve"> Authorities within the YHPPC may have other arrangements and contracts in place for low and mid </w:t>
      </w:r>
      <w:r w:rsidR="00535DDA">
        <w:rPr>
          <w:sz w:val="22"/>
          <w:szCs w:val="22"/>
        </w:rPr>
        <w:t>t</w:t>
      </w:r>
      <w:r w:rsidR="007D2D2D" w:rsidRPr="00535DDA">
        <w:rPr>
          <w:sz w:val="22"/>
          <w:szCs w:val="22"/>
        </w:rPr>
        <w:t xml:space="preserve">ech homecare medicines services. </w:t>
      </w:r>
      <w:r w:rsidR="00AD33A4">
        <w:rPr>
          <w:sz w:val="22"/>
          <w:szCs w:val="22"/>
        </w:rPr>
        <w:t xml:space="preserve"> </w:t>
      </w:r>
      <w:r w:rsidR="007D2D2D" w:rsidRPr="00535DDA">
        <w:rPr>
          <w:sz w:val="22"/>
          <w:szCs w:val="22"/>
        </w:rPr>
        <w:t xml:space="preserve">This </w:t>
      </w:r>
      <w:r w:rsidR="00AD33A4">
        <w:rPr>
          <w:sz w:val="22"/>
          <w:szCs w:val="22"/>
        </w:rPr>
        <w:t xml:space="preserve">framework agreement and subsequent Call of </w:t>
      </w:r>
      <w:r w:rsidR="002568C5">
        <w:rPr>
          <w:sz w:val="22"/>
          <w:szCs w:val="22"/>
        </w:rPr>
        <w:t>C</w:t>
      </w:r>
      <w:r w:rsidR="00AD33A4">
        <w:rPr>
          <w:sz w:val="22"/>
          <w:szCs w:val="22"/>
        </w:rPr>
        <w:t xml:space="preserve">ontracts </w:t>
      </w:r>
      <w:r w:rsidR="00F425C5">
        <w:rPr>
          <w:sz w:val="22"/>
          <w:szCs w:val="22"/>
        </w:rPr>
        <w:t>are intended to</w:t>
      </w:r>
      <w:r w:rsidR="007D2D2D" w:rsidRPr="00535DDA">
        <w:rPr>
          <w:sz w:val="22"/>
          <w:szCs w:val="22"/>
        </w:rPr>
        <w:t xml:space="preserve"> replace these local agreements.  Implementation will be agreed between Participating Authorities and </w:t>
      </w:r>
      <w:r w:rsidR="00A362AC">
        <w:rPr>
          <w:sz w:val="22"/>
          <w:szCs w:val="22"/>
        </w:rPr>
        <w:t>Suppliers</w:t>
      </w:r>
      <w:r w:rsidR="007D2D2D" w:rsidRPr="00535DDA">
        <w:rPr>
          <w:sz w:val="22"/>
          <w:szCs w:val="22"/>
        </w:rPr>
        <w:t xml:space="preserve"> following Award.</w:t>
      </w:r>
    </w:p>
    <w:p w14:paraId="2899716F" w14:textId="2F6E7205" w:rsidR="00A362AC" w:rsidRPr="007D2D2D" w:rsidRDefault="000027E5" w:rsidP="000027E5">
      <w:pPr>
        <w:pStyle w:val="Heading2"/>
      </w:pPr>
      <w:r>
        <w:t>A</w:t>
      </w:r>
      <w:r w:rsidR="00A362AC">
        <w:t>bbreviations</w:t>
      </w:r>
    </w:p>
    <w:tbl>
      <w:tblPr>
        <w:tblW w:w="10183" w:type="dxa"/>
        <w:tblLook w:val="04A0" w:firstRow="1" w:lastRow="0" w:firstColumn="1" w:lastColumn="0" w:noHBand="0" w:noVBand="1"/>
      </w:tblPr>
      <w:tblGrid>
        <w:gridCol w:w="1722"/>
        <w:gridCol w:w="8461"/>
      </w:tblGrid>
      <w:tr w:rsidR="00A31050" w:rsidRPr="00A362AC" w14:paraId="490B8CAD" w14:textId="77777777" w:rsidTr="00A362AC">
        <w:trPr>
          <w:trHeight w:val="300"/>
        </w:trPr>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14:paraId="6892CC37"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ABPI</w:t>
            </w:r>
          </w:p>
        </w:tc>
        <w:tc>
          <w:tcPr>
            <w:tcW w:w="8461" w:type="dxa"/>
            <w:tcBorders>
              <w:top w:val="single" w:sz="4" w:space="0" w:color="auto"/>
              <w:left w:val="nil"/>
              <w:bottom w:val="single" w:sz="4" w:space="0" w:color="auto"/>
              <w:right w:val="single" w:sz="4" w:space="0" w:color="auto"/>
            </w:tcBorders>
            <w:shd w:val="clear" w:color="auto" w:fill="auto"/>
            <w:noWrap/>
            <w:hideMark/>
          </w:tcPr>
          <w:p w14:paraId="62B15B61"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Association of the British Pharmaceutical Industry</w:t>
            </w:r>
          </w:p>
        </w:tc>
      </w:tr>
      <w:tr w:rsidR="00A31050" w:rsidRPr="00A362AC" w14:paraId="3DD54DF9" w14:textId="77777777" w:rsidTr="00ED79D3">
        <w:trPr>
          <w:trHeight w:val="300"/>
        </w:trPr>
        <w:tc>
          <w:tcPr>
            <w:tcW w:w="1722" w:type="dxa"/>
            <w:tcBorders>
              <w:top w:val="nil"/>
              <w:left w:val="single" w:sz="4" w:space="0" w:color="auto"/>
              <w:bottom w:val="single" w:sz="4" w:space="0" w:color="auto"/>
              <w:right w:val="single" w:sz="4" w:space="0" w:color="auto"/>
            </w:tcBorders>
            <w:shd w:val="clear" w:color="auto" w:fill="auto"/>
            <w:hideMark/>
          </w:tcPr>
          <w:p w14:paraId="5B20AD07"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 xml:space="preserve">BGMA </w:t>
            </w:r>
          </w:p>
        </w:tc>
        <w:tc>
          <w:tcPr>
            <w:tcW w:w="8461" w:type="dxa"/>
            <w:tcBorders>
              <w:top w:val="nil"/>
              <w:left w:val="nil"/>
              <w:bottom w:val="single" w:sz="4" w:space="0" w:color="auto"/>
              <w:right w:val="single" w:sz="4" w:space="0" w:color="auto"/>
            </w:tcBorders>
            <w:shd w:val="clear" w:color="auto" w:fill="auto"/>
            <w:noWrap/>
            <w:hideMark/>
          </w:tcPr>
          <w:p w14:paraId="0F9AB9C4"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British Generic Manufacturers Association</w:t>
            </w:r>
          </w:p>
        </w:tc>
      </w:tr>
      <w:tr w:rsidR="00A31050" w:rsidRPr="00A362AC" w14:paraId="7CCBE307" w14:textId="77777777" w:rsidTr="00ED79D3">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3B1D2505"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 xml:space="preserve">CCG </w:t>
            </w:r>
          </w:p>
        </w:tc>
        <w:tc>
          <w:tcPr>
            <w:tcW w:w="8461" w:type="dxa"/>
            <w:tcBorders>
              <w:top w:val="nil"/>
              <w:left w:val="nil"/>
              <w:bottom w:val="single" w:sz="4" w:space="0" w:color="auto"/>
              <w:right w:val="single" w:sz="4" w:space="0" w:color="auto"/>
            </w:tcBorders>
            <w:shd w:val="clear" w:color="auto" w:fill="auto"/>
            <w:hideMark/>
          </w:tcPr>
          <w:p w14:paraId="6822094E"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Clinical Commissioning Group</w:t>
            </w:r>
          </w:p>
        </w:tc>
      </w:tr>
      <w:tr w:rsidR="00A31050" w:rsidRPr="00A362AC" w14:paraId="481C5515" w14:textId="77777777" w:rsidTr="00ED79D3">
        <w:trPr>
          <w:trHeight w:val="53"/>
        </w:trPr>
        <w:tc>
          <w:tcPr>
            <w:tcW w:w="1722" w:type="dxa"/>
            <w:tcBorders>
              <w:top w:val="nil"/>
              <w:left w:val="single" w:sz="4" w:space="0" w:color="auto"/>
              <w:bottom w:val="single" w:sz="4" w:space="0" w:color="auto"/>
              <w:right w:val="single" w:sz="4" w:space="0" w:color="auto"/>
            </w:tcBorders>
            <w:shd w:val="clear" w:color="auto" w:fill="auto"/>
            <w:noWrap/>
            <w:hideMark/>
          </w:tcPr>
          <w:p w14:paraId="34D180C0"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cGCP</w:t>
            </w:r>
          </w:p>
        </w:tc>
        <w:tc>
          <w:tcPr>
            <w:tcW w:w="8461" w:type="dxa"/>
            <w:tcBorders>
              <w:top w:val="nil"/>
              <w:left w:val="nil"/>
              <w:bottom w:val="single" w:sz="4" w:space="0" w:color="auto"/>
              <w:right w:val="single" w:sz="4" w:space="0" w:color="auto"/>
            </w:tcBorders>
            <w:shd w:val="clear" w:color="000000" w:fill="FFFFFF"/>
            <w:hideMark/>
          </w:tcPr>
          <w:p w14:paraId="64450D4E" w14:textId="6659BED0"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current Good Clinical Practice guidelines</w:t>
            </w:r>
            <w:r w:rsidR="008A3D1A" w:rsidRPr="00A362AC">
              <w:rPr>
                <w:rFonts w:eastAsia="Times New Roman"/>
                <w:sz w:val="22"/>
                <w:szCs w:val="22"/>
                <w:lang w:eastAsia="en-GB"/>
              </w:rPr>
              <w:t xml:space="preserve"> </w:t>
            </w:r>
            <w:r w:rsidRPr="00A362AC">
              <w:rPr>
                <w:rFonts w:eastAsia="Times New Roman"/>
                <w:sz w:val="22"/>
                <w:szCs w:val="22"/>
                <w:lang w:eastAsia="en-GB"/>
              </w:rPr>
              <w:t>issued by MHRA.</w:t>
            </w:r>
          </w:p>
        </w:tc>
      </w:tr>
      <w:tr w:rsidR="00A31050" w:rsidRPr="00A362AC" w14:paraId="618B93F1" w14:textId="77777777" w:rsidTr="00ED79D3">
        <w:trPr>
          <w:trHeight w:val="181"/>
        </w:trPr>
        <w:tc>
          <w:tcPr>
            <w:tcW w:w="1722" w:type="dxa"/>
            <w:tcBorders>
              <w:top w:val="nil"/>
              <w:left w:val="single" w:sz="4" w:space="0" w:color="auto"/>
              <w:bottom w:val="single" w:sz="4" w:space="0" w:color="auto"/>
              <w:right w:val="single" w:sz="4" w:space="0" w:color="auto"/>
            </w:tcBorders>
            <w:shd w:val="clear" w:color="000000" w:fill="FFFFFF"/>
            <w:noWrap/>
            <w:hideMark/>
          </w:tcPr>
          <w:p w14:paraId="01F8E81D"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cGDP</w:t>
            </w:r>
          </w:p>
        </w:tc>
        <w:tc>
          <w:tcPr>
            <w:tcW w:w="8461" w:type="dxa"/>
            <w:tcBorders>
              <w:top w:val="nil"/>
              <w:left w:val="nil"/>
              <w:bottom w:val="single" w:sz="4" w:space="0" w:color="auto"/>
              <w:right w:val="single" w:sz="4" w:space="0" w:color="auto"/>
            </w:tcBorders>
            <w:shd w:val="clear" w:color="000000" w:fill="FFFFFF"/>
            <w:hideMark/>
          </w:tcPr>
          <w:p w14:paraId="44ED6013" w14:textId="635A972A"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current Good Distribution Practice guidelines</w:t>
            </w:r>
            <w:r w:rsidR="008A3D1A" w:rsidRPr="00A362AC">
              <w:rPr>
                <w:rFonts w:eastAsia="Times New Roman"/>
                <w:sz w:val="22"/>
                <w:szCs w:val="22"/>
                <w:lang w:eastAsia="en-GB"/>
              </w:rPr>
              <w:t xml:space="preserve"> </w:t>
            </w:r>
            <w:r w:rsidRPr="00A362AC">
              <w:rPr>
                <w:rFonts w:eastAsia="Times New Roman"/>
                <w:sz w:val="22"/>
                <w:szCs w:val="22"/>
                <w:lang w:eastAsia="en-GB"/>
              </w:rPr>
              <w:t>issued by MHRA.</w:t>
            </w:r>
          </w:p>
        </w:tc>
      </w:tr>
      <w:tr w:rsidR="00A31050" w:rsidRPr="00A362AC" w14:paraId="165B88FE" w14:textId="77777777" w:rsidTr="00ED79D3">
        <w:trPr>
          <w:trHeight w:val="389"/>
        </w:trPr>
        <w:tc>
          <w:tcPr>
            <w:tcW w:w="1722" w:type="dxa"/>
            <w:tcBorders>
              <w:top w:val="nil"/>
              <w:left w:val="single" w:sz="4" w:space="0" w:color="auto"/>
              <w:bottom w:val="single" w:sz="4" w:space="0" w:color="auto"/>
              <w:right w:val="single" w:sz="4" w:space="0" w:color="auto"/>
            </w:tcBorders>
            <w:shd w:val="clear" w:color="000000" w:fill="FFFFFF"/>
            <w:noWrap/>
            <w:hideMark/>
          </w:tcPr>
          <w:p w14:paraId="42B769A1"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cGMP</w:t>
            </w:r>
          </w:p>
        </w:tc>
        <w:tc>
          <w:tcPr>
            <w:tcW w:w="8461" w:type="dxa"/>
            <w:tcBorders>
              <w:top w:val="nil"/>
              <w:left w:val="nil"/>
              <w:bottom w:val="single" w:sz="4" w:space="0" w:color="auto"/>
              <w:right w:val="single" w:sz="4" w:space="0" w:color="auto"/>
            </w:tcBorders>
            <w:shd w:val="clear" w:color="000000" w:fill="FFFFFF"/>
            <w:hideMark/>
          </w:tcPr>
          <w:p w14:paraId="115C209B" w14:textId="586E8A9A"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current Good Manufacturing Practice guidelines</w:t>
            </w:r>
            <w:r w:rsidR="008A3D1A" w:rsidRPr="00A362AC">
              <w:rPr>
                <w:rFonts w:eastAsia="Times New Roman"/>
                <w:sz w:val="22"/>
                <w:szCs w:val="22"/>
                <w:lang w:eastAsia="en-GB"/>
              </w:rPr>
              <w:t xml:space="preserve"> </w:t>
            </w:r>
            <w:r w:rsidRPr="00A362AC">
              <w:rPr>
                <w:rFonts w:eastAsia="Times New Roman"/>
                <w:sz w:val="22"/>
                <w:szCs w:val="22"/>
                <w:lang w:eastAsia="en-GB"/>
              </w:rPr>
              <w:t>issued by MHRA.</w:t>
            </w:r>
          </w:p>
        </w:tc>
      </w:tr>
      <w:tr w:rsidR="00A31050" w:rsidRPr="00A362AC" w14:paraId="4252FB8D" w14:textId="77777777" w:rsidTr="00ED79D3">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50A331F8"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CMU</w:t>
            </w:r>
          </w:p>
        </w:tc>
        <w:tc>
          <w:tcPr>
            <w:tcW w:w="8461" w:type="dxa"/>
            <w:tcBorders>
              <w:top w:val="nil"/>
              <w:left w:val="nil"/>
              <w:bottom w:val="single" w:sz="4" w:space="0" w:color="auto"/>
              <w:right w:val="single" w:sz="4" w:space="0" w:color="auto"/>
            </w:tcBorders>
            <w:shd w:val="clear" w:color="auto" w:fill="auto"/>
            <w:hideMark/>
          </w:tcPr>
          <w:p w14:paraId="1FC0CBB1"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NHS England Commercial Medicines Unit</w:t>
            </w:r>
          </w:p>
        </w:tc>
      </w:tr>
      <w:tr w:rsidR="00A31050" w:rsidRPr="00A362AC" w14:paraId="4E3426FD" w14:textId="77777777" w:rsidTr="00ED79D3">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0489172F"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CPD</w:t>
            </w:r>
          </w:p>
        </w:tc>
        <w:tc>
          <w:tcPr>
            <w:tcW w:w="8461" w:type="dxa"/>
            <w:tcBorders>
              <w:top w:val="nil"/>
              <w:left w:val="nil"/>
              <w:bottom w:val="single" w:sz="4" w:space="0" w:color="auto"/>
              <w:right w:val="single" w:sz="4" w:space="0" w:color="auto"/>
            </w:tcBorders>
            <w:shd w:val="clear" w:color="auto" w:fill="auto"/>
            <w:hideMark/>
          </w:tcPr>
          <w:p w14:paraId="1A4B1A14"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Continuous Professional Development</w:t>
            </w:r>
          </w:p>
        </w:tc>
      </w:tr>
      <w:tr w:rsidR="00A31050" w:rsidRPr="00A362AC" w14:paraId="2D71C965" w14:textId="77777777" w:rsidTr="00ED79D3">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41C89AD1"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 xml:space="preserve">CRG </w:t>
            </w:r>
          </w:p>
        </w:tc>
        <w:tc>
          <w:tcPr>
            <w:tcW w:w="8461" w:type="dxa"/>
            <w:tcBorders>
              <w:top w:val="nil"/>
              <w:left w:val="nil"/>
              <w:bottom w:val="single" w:sz="4" w:space="0" w:color="auto"/>
              <w:right w:val="single" w:sz="4" w:space="0" w:color="auto"/>
            </w:tcBorders>
            <w:shd w:val="clear" w:color="auto" w:fill="auto"/>
            <w:hideMark/>
          </w:tcPr>
          <w:p w14:paraId="47E814C6"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NHS England Clinical Reference Group</w:t>
            </w:r>
          </w:p>
        </w:tc>
      </w:tr>
      <w:tr w:rsidR="00A31050" w:rsidRPr="00A362AC" w14:paraId="17E98370" w14:textId="77777777" w:rsidTr="00ED79D3">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0147FCE4"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DBS</w:t>
            </w:r>
          </w:p>
        </w:tc>
        <w:tc>
          <w:tcPr>
            <w:tcW w:w="8461" w:type="dxa"/>
            <w:tcBorders>
              <w:top w:val="nil"/>
              <w:left w:val="nil"/>
              <w:bottom w:val="single" w:sz="4" w:space="0" w:color="auto"/>
              <w:right w:val="single" w:sz="4" w:space="0" w:color="auto"/>
            </w:tcBorders>
            <w:shd w:val="clear" w:color="auto" w:fill="auto"/>
            <w:hideMark/>
          </w:tcPr>
          <w:p w14:paraId="41BD5819"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Disclosure and Barring Service</w:t>
            </w:r>
          </w:p>
        </w:tc>
      </w:tr>
      <w:tr w:rsidR="00A31050" w:rsidRPr="00A362AC" w14:paraId="5FE65522" w14:textId="77777777" w:rsidTr="00ED79D3">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74642225"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DHSC</w:t>
            </w:r>
          </w:p>
        </w:tc>
        <w:tc>
          <w:tcPr>
            <w:tcW w:w="8461" w:type="dxa"/>
            <w:tcBorders>
              <w:top w:val="nil"/>
              <w:left w:val="nil"/>
              <w:bottom w:val="single" w:sz="4" w:space="0" w:color="auto"/>
              <w:right w:val="single" w:sz="4" w:space="0" w:color="auto"/>
            </w:tcBorders>
            <w:shd w:val="clear" w:color="auto" w:fill="auto"/>
            <w:hideMark/>
          </w:tcPr>
          <w:p w14:paraId="407EEA11"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Department of Health and Social Care</w:t>
            </w:r>
          </w:p>
        </w:tc>
      </w:tr>
      <w:tr w:rsidR="00A31050" w:rsidRPr="00A362AC" w14:paraId="631D7094" w14:textId="77777777" w:rsidTr="009A4A68">
        <w:trPr>
          <w:trHeight w:val="473"/>
        </w:trPr>
        <w:tc>
          <w:tcPr>
            <w:tcW w:w="1722" w:type="dxa"/>
            <w:tcBorders>
              <w:top w:val="nil"/>
              <w:left w:val="single" w:sz="4" w:space="0" w:color="auto"/>
              <w:bottom w:val="single" w:sz="4" w:space="0" w:color="auto"/>
              <w:right w:val="single" w:sz="4" w:space="0" w:color="auto"/>
            </w:tcBorders>
            <w:shd w:val="clear" w:color="auto" w:fill="auto"/>
            <w:noWrap/>
            <w:hideMark/>
          </w:tcPr>
          <w:p w14:paraId="225CD3B8"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DTAC</w:t>
            </w:r>
          </w:p>
        </w:tc>
        <w:tc>
          <w:tcPr>
            <w:tcW w:w="8461" w:type="dxa"/>
            <w:tcBorders>
              <w:top w:val="nil"/>
              <w:left w:val="nil"/>
              <w:bottom w:val="single" w:sz="4" w:space="0" w:color="auto"/>
              <w:right w:val="single" w:sz="4" w:space="0" w:color="auto"/>
            </w:tcBorders>
            <w:shd w:val="clear" w:color="auto" w:fill="auto"/>
            <w:hideMark/>
          </w:tcPr>
          <w:p w14:paraId="5E32EF91"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Digital Technical Assessment Criteria as defined by  NHS X - https://www.nhsx.nhs.uk/key-tools-and-info/digital-technology-assessment-criteria-dtac/</w:t>
            </w:r>
          </w:p>
        </w:tc>
      </w:tr>
      <w:tr w:rsidR="00A31050" w:rsidRPr="00A362AC" w14:paraId="4F7D49DD" w14:textId="77777777" w:rsidTr="00ED79D3">
        <w:trPr>
          <w:trHeight w:val="600"/>
        </w:trPr>
        <w:tc>
          <w:tcPr>
            <w:tcW w:w="1722" w:type="dxa"/>
            <w:tcBorders>
              <w:top w:val="nil"/>
              <w:left w:val="single" w:sz="4" w:space="0" w:color="auto"/>
              <w:bottom w:val="single" w:sz="4" w:space="0" w:color="auto"/>
              <w:right w:val="single" w:sz="4" w:space="0" w:color="auto"/>
            </w:tcBorders>
            <w:shd w:val="clear" w:color="auto" w:fill="auto"/>
            <w:noWrap/>
            <w:hideMark/>
          </w:tcPr>
          <w:p w14:paraId="7B74D4F9"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FHIR</w:t>
            </w:r>
          </w:p>
        </w:tc>
        <w:tc>
          <w:tcPr>
            <w:tcW w:w="8461" w:type="dxa"/>
            <w:tcBorders>
              <w:top w:val="nil"/>
              <w:left w:val="nil"/>
              <w:bottom w:val="single" w:sz="4" w:space="0" w:color="auto"/>
              <w:right w:val="single" w:sz="4" w:space="0" w:color="auto"/>
            </w:tcBorders>
            <w:shd w:val="clear" w:color="auto" w:fill="auto"/>
            <w:hideMark/>
          </w:tcPr>
          <w:p w14:paraId="4C1B5449"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Fast Healthcare Interoperability Resources (FHIR) is the global industry standard for passing healthcare data between systems.</w:t>
            </w:r>
          </w:p>
        </w:tc>
      </w:tr>
      <w:tr w:rsidR="00A31050" w:rsidRPr="00A362AC" w14:paraId="68C8D73B" w14:textId="77777777" w:rsidTr="00ED79D3">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148778DB"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GPhC</w:t>
            </w:r>
          </w:p>
        </w:tc>
        <w:tc>
          <w:tcPr>
            <w:tcW w:w="8461" w:type="dxa"/>
            <w:tcBorders>
              <w:top w:val="nil"/>
              <w:left w:val="nil"/>
              <w:bottom w:val="single" w:sz="4" w:space="0" w:color="auto"/>
              <w:right w:val="single" w:sz="4" w:space="0" w:color="auto"/>
            </w:tcBorders>
            <w:shd w:val="clear" w:color="auto" w:fill="auto"/>
            <w:hideMark/>
          </w:tcPr>
          <w:p w14:paraId="2C342DAC"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General Pharmaceutical Council</w:t>
            </w:r>
          </w:p>
        </w:tc>
      </w:tr>
      <w:tr w:rsidR="00A31050" w:rsidRPr="00A362AC" w14:paraId="6BA9661C" w14:textId="77777777" w:rsidTr="00ED79D3">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7BF5D1AA"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HCP</w:t>
            </w:r>
          </w:p>
        </w:tc>
        <w:tc>
          <w:tcPr>
            <w:tcW w:w="8461" w:type="dxa"/>
            <w:tcBorders>
              <w:top w:val="nil"/>
              <w:left w:val="nil"/>
              <w:bottom w:val="single" w:sz="4" w:space="0" w:color="auto"/>
              <w:right w:val="single" w:sz="4" w:space="0" w:color="auto"/>
            </w:tcBorders>
            <w:shd w:val="clear" w:color="auto" w:fill="auto"/>
            <w:hideMark/>
          </w:tcPr>
          <w:p w14:paraId="207961CB"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Health Care Professional</w:t>
            </w:r>
          </w:p>
        </w:tc>
      </w:tr>
      <w:tr w:rsidR="00A31050" w:rsidRPr="00A362AC" w14:paraId="22E2AB39" w14:textId="77777777" w:rsidTr="00ED79D3">
        <w:trPr>
          <w:trHeight w:val="818"/>
        </w:trPr>
        <w:tc>
          <w:tcPr>
            <w:tcW w:w="1722" w:type="dxa"/>
            <w:tcBorders>
              <w:top w:val="nil"/>
              <w:left w:val="single" w:sz="4" w:space="0" w:color="auto"/>
              <w:bottom w:val="single" w:sz="4" w:space="0" w:color="auto"/>
              <w:right w:val="single" w:sz="4" w:space="0" w:color="auto"/>
            </w:tcBorders>
            <w:shd w:val="clear" w:color="auto" w:fill="auto"/>
            <w:noWrap/>
            <w:hideMark/>
          </w:tcPr>
          <w:p w14:paraId="5CBF374E"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ICH</w:t>
            </w:r>
          </w:p>
        </w:tc>
        <w:tc>
          <w:tcPr>
            <w:tcW w:w="8461" w:type="dxa"/>
            <w:tcBorders>
              <w:top w:val="nil"/>
              <w:left w:val="nil"/>
              <w:bottom w:val="single" w:sz="4" w:space="0" w:color="auto"/>
              <w:right w:val="single" w:sz="4" w:space="0" w:color="auto"/>
            </w:tcBorders>
            <w:shd w:val="clear" w:color="auto" w:fill="auto"/>
            <w:hideMark/>
          </w:tcPr>
          <w:p w14:paraId="2EB9A459"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The International Council for Harmonisation of Technical Requirements for Pharmaceuticals for Human Use https://www.ich.org/ is the organisation that produces guidance on good clinical practice (GCP or cGCP)</w:t>
            </w:r>
          </w:p>
        </w:tc>
      </w:tr>
      <w:tr w:rsidR="00A31050" w:rsidRPr="00A362AC" w14:paraId="23DD1CF1" w14:textId="77777777" w:rsidTr="009A4A68">
        <w:trPr>
          <w:trHeight w:val="755"/>
        </w:trPr>
        <w:tc>
          <w:tcPr>
            <w:tcW w:w="1722" w:type="dxa"/>
            <w:tcBorders>
              <w:top w:val="nil"/>
              <w:left w:val="single" w:sz="4" w:space="0" w:color="auto"/>
              <w:bottom w:val="single" w:sz="4" w:space="0" w:color="auto"/>
              <w:right w:val="single" w:sz="4" w:space="0" w:color="auto"/>
            </w:tcBorders>
            <w:shd w:val="clear" w:color="auto" w:fill="auto"/>
            <w:noWrap/>
            <w:hideMark/>
          </w:tcPr>
          <w:p w14:paraId="6CCF68B8"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 xml:space="preserve">LFPSE </w:t>
            </w:r>
          </w:p>
        </w:tc>
        <w:tc>
          <w:tcPr>
            <w:tcW w:w="8461" w:type="dxa"/>
            <w:tcBorders>
              <w:top w:val="nil"/>
              <w:left w:val="nil"/>
              <w:bottom w:val="single" w:sz="4" w:space="0" w:color="auto"/>
              <w:right w:val="single" w:sz="4" w:space="0" w:color="auto"/>
            </w:tcBorders>
            <w:shd w:val="clear" w:color="auto" w:fill="auto"/>
            <w:hideMark/>
          </w:tcPr>
          <w:p w14:paraId="6BF151D4"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Learning From Patient Safety Events (previously called the patient safety incident management system – PSIMS – during development) is replacing the current National Reporting and Learning System (NRLS) and Strategic Executive Information System (StEIS), to offer better support for staff from all health and care sectors.</w:t>
            </w:r>
          </w:p>
        </w:tc>
      </w:tr>
      <w:tr w:rsidR="00A31050" w:rsidRPr="00A362AC" w14:paraId="22806727" w14:textId="77777777" w:rsidTr="00ED79D3">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74AC04D1"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MHRA</w:t>
            </w:r>
          </w:p>
        </w:tc>
        <w:tc>
          <w:tcPr>
            <w:tcW w:w="8461" w:type="dxa"/>
            <w:tcBorders>
              <w:top w:val="nil"/>
              <w:left w:val="nil"/>
              <w:bottom w:val="single" w:sz="4" w:space="0" w:color="auto"/>
              <w:right w:val="single" w:sz="4" w:space="0" w:color="auto"/>
            </w:tcBorders>
            <w:shd w:val="clear" w:color="auto" w:fill="auto"/>
            <w:noWrap/>
            <w:hideMark/>
          </w:tcPr>
          <w:p w14:paraId="0641B9C5"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Medicines and Healthcare Products Regulatory Agency</w:t>
            </w:r>
          </w:p>
        </w:tc>
      </w:tr>
      <w:tr w:rsidR="00A31050" w:rsidRPr="00A362AC" w14:paraId="604C2729" w14:textId="77777777" w:rsidTr="00ED79D3">
        <w:trPr>
          <w:trHeight w:val="300"/>
        </w:trPr>
        <w:tc>
          <w:tcPr>
            <w:tcW w:w="1722" w:type="dxa"/>
            <w:tcBorders>
              <w:top w:val="nil"/>
              <w:left w:val="single" w:sz="4" w:space="0" w:color="auto"/>
              <w:bottom w:val="single" w:sz="4" w:space="0" w:color="auto"/>
              <w:right w:val="single" w:sz="4" w:space="0" w:color="auto"/>
            </w:tcBorders>
            <w:shd w:val="clear" w:color="auto" w:fill="auto"/>
            <w:hideMark/>
          </w:tcPr>
          <w:p w14:paraId="3301F991"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NCHA</w:t>
            </w:r>
          </w:p>
        </w:tc>
        <w:tc>
          <w:tcPr>
            <w:tcW w:w="8461" w:type="dxa"/>
            <w:tcBorders>
              <w:top w:val="nil"/>
              <w:left w:val="nil"/>
              <w:bottom w:val="single" w:sz="4" w:space="0" w:color="auto"/>
              <w:right w:val="single" w:sz="4" w:space="0" w:color="auto"/>
            </w:tcBorders>
            <w:shd w:val="clear" w:color="auto" w:fill="auto"/>
            <w:noWrap/>
            <w:hideMark/>
          </w:tcPr>
          <w:p w14:paraId="6DD00491"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National Clinical Homecare Association</w:t>
            </w:r>
          </w:p>
        </w:tc>
      </w:tr>
      <w:tr w:rsidR="00A31050" w:rsidRPr="00A362AC" w14:paraId="1808A91D" w14:textId="77777777" w:rsidTr="009A4A68">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64872CBB"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NHMC</w:t>
            </w:r>
          </w:p>
        </w:tc>
        <w:tc>
          <w:tcPr>
            <w:tcW w:w="8461" w:type="dxa"/>
            <w:tcBorders>
              <w:top w:val="nil"/>
              <w:left w:val="nil"/>
              <w:bottom w:val="single" w:sz="4" w:space="0" w:color="auto"/>
              <w:right w:val="single" w:sz="4" w:space="0" w:color="auto"/>
            </w:tcBorders>
            <w:shd w:val="clear" w:color="auto" w:fill="auto"/>
            <w:noWrap/>
            <w:hideMark/>
          </w:tcPr>
          <w:p w14:paraId="30CBDDCC"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National Homecare Medicines Committee</w:t>
            </w:r>
          </w:p>
        </w:tc>
      </w:tr>
      <w:tr w:rsidR="00A31050" w:rsidRPr="00A362AC" w14:paraId="1AE61C50" w14:textId="77777777" w:rsidTr="009A4A68">
        <w:trPr>
          <w:trHeight w:val="300"/>
        </w:trPr>
        <w:tc>
          <w:tcPr>
            <w:tcW w:w="1722" w:type="dxa"/>
            <w:tcBorders>
              <w:top w:val="single" w:sz="4" w:space="0" w:color="auto"/>
              <w:left w:val="single" w:sz="4" w:space="0" w:color="auto"/>
              <w:right w:val="single" w:sz="4" w:space="0" w:color="auto"/>
            </w:tcBorders>
            <w:shd w:val="clear" w:color="auto" w:fill="auto"/>
            <w:noWrap/>
            <w:hideMark/>
          </w:tcPr>
          <w:p w14:paraId="1F4C7463"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NHS</w:t>
            </w:r>
          </w:p>
        </w:tc>
        <w:tc>
          <w:tcPr>
            <w:tcW w:w="8461" w:type="dxa"/>
            <w:tcBorders>
              <w:top w:val="single" w:sz="4" w:space="0" w:color="auto"/>
              <w:left w:val="nil"/>
              <w:right w:val="single" w:sz="4" w:space="0" w:color="auto"/>
            </w:tcBorders>
            <w:shd w:val="clear" w:color="auto" w:fill="auto"/>
            <w:hideMark/>
          </w:tcPr>
          <w:p w14:paraId="5319ABF1"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National Health Service</w:t>
            </w:r>
          </w:p>
        </w:tc>
      </w:tr>
      <w:tr w:rsidR="00A31050" w:rsidRPr="00A362AC" w14:paraId="47228B92" w14:textId="77777777" w:rsidTr="009A4A68">
        <w:trPr>
          <w:trHeight w:val="300"/>
        </w:trPr>
        <w:tc>
          <w:tcPr>
            <w:tcW w:w="1722" w:type="dxa"/>
            <w:tcBorders>
              <w:left w:val="single" w:sz="4" w:space="0" w:color="auto"/>
              <w:bottom w:val="single" w:sz="4" w:space="0" w:color="auto"/>
              <w:right w:val="single" w:sz="4" w:space="0" w:color="auto"/>
            </w:tcBorders>
            <w:shd w:val="clear" w:color="auto" w:fill="auto"/>
            <w:noWrap/>
            <w:hideMark/>
          </w:tcPr>
          <w:p w14:paraId="08D8E1C9"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NHSX</w:t>
            </w:r>
          </w:p>
        </w:tc>
        <w:tc>
          <w:tcPr>
            <w:tcW w:w="8461" w:type="dxa"/>
            <w:tcBorders>
              <w:left w:val="nil"/>
              <w:bottom w:val="single" w:sz="4" w:space="0" w:color="auto"/>
              <w:right w:val="single" w:sz="4" w:space="0" w:color="auto"/>
            </w:tcBorders>
            <w:shd w:val="clear" w:color="auto" w:fill="auto"/>
            <w:noWrap/>
            <w:hideMark/>
          </w:tcPr>
          <w:p w14:paraId="035AA2C2"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now part of the NHS Transformation Directorate</w:t>
            </w:r>
          </w:p>
        </w:tc>
      </w:tr>
      <w:tr w:rsidR="00A31050" w:rsidRPr="00A362AC" w14:paraId="0BD7C438" w14:textId="77777777" w:rsidTr="00ED79D3">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1351487E"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NMC</w:t>
            </w:r>
          </w:p>
        </w:tc>
        <w:tc>
          <w:tcPr>
            <w:tcW w:w="8461" w:type="dxa"/>
            <w:tcBorders>
              <w:top w:val="nil"/>
              <w:left w:val="nil"/>
              <w:bottom w:val="single" w:sz="4" w:space="0" w:color="auto"/>
              <w:right w:val="single" w:sz="4" w:space="0" w:color="auto"/>
            </w:tcBorders>
            <w:shd w:val="clear" w:color="auto" w:fill="auto"/>
            <w:hideMark/>
          </w:tcPr>
          <w:p w14:paraId="3056C531"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Nursing and Midwifery Council</w:t>
            </w:r>
          </w:p>
        </w:tc>
      </w:tr>
      <w:tr w:rsidR="00A31050" w:rsidRPr="00A362AC" w14:paraId="03E2BD37" w14:textId="77777777" w:rsidTr="00ED79D3">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6F8F3C88"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 xml:space="preserve">NPSA </w:t>
            </w:r>
          </w:p>
        </w:tc>
        <w:tc>
          <w:tcPr>
            <w:tcW w:w="8461" w:type="dxa"/>
            <w:tcBorders>
              <w:top w:val="nil"/>
              <w:left w:val="nil"/>
              <w:bottom w:val="single" w:sz="4" w:space="0" w:color="auto"/>
              <w:right w:val="single" w:sz="4" w:space="0" w:color="auto"/>
            </w:tcBorders>
            <w:shd w:val="clear" w:color="auto" w:fill="auto"/>
            <w:hideMark/>
          </w:tcPr>
          <w:p w14:paraId="65122357"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National Patient Safety Agency</w:t>
            </w:r>
          </w:p>
        </w:tc>
      </w:tr>
      <w:tr w:rsidR="00A31050" w:rsidRPr="00A362AC" w14:paraId="108AADEA" w14:textId="77777777" w:rsidTr="00ED79D3">
        <w:trPr>
          <w:trHeight w:val="716"/>
        </w:trPr>
        <w:tc>
          <w:tcPr>
            <w:tcW w:w="1722" w:type="dxa"/>
            <w:tcBorders>
              <w:top w:val="nil"/>
              <w:left w:val="single" w:sz="4" w:space="0" w:color="auto"/>
              <w:bottom w:val="single" w:sz="4" w:space="0" w:color="auto"/>
              <w:right w:val="single" w:sz="4" w:space="0" w:color="auto"/>
            </w:tcBorders>
            <w:shd w:val="clear" w:color="000000" w:fill="FFFFFF"/>
            <w:hideMark/>
          </w:tcPr>
          <w:p w14:paraId="2C819D15"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NRLS</w:t>
            </w:r>
          </w:p>
        </w:tc>
        <w:tc>
          <w:tcPr>
            <w:tcW w:w="8461" w:type="dxa"/>
            <w:tcBorders>
              <w:top w:val="nil"/>
              <w:left w:val="nil"/>
              <w:bottom w:val="single" w:sz="4" w:space="0" w:color="auto"/>
              <w:right w:val="single" w:sz="4" w:space="0" w:color="auto"/>
            </w:tcBorders>
            <w:shd w:val="clear" w:color="000000" w:fill="FFFFFF"/>
            <w:hideMark/>
          </w:tcPr>
          <w:p w14:paraId="0373E7A7" w14:textId="6914C77E"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central database of patient safety information held by</w:t>
            </w:r>
            <w:r w:rsidR="008A3D1A" w:rsidRPr="00A362AC">
              <w:rPr>
                <w:rFonts w:eastAsia="Times New Roman"/>
                <w:sz w:val="22"/>
                <w:szCs w:val="22"/>
                <w:lang w:eastAsia="en-GB"/>
              </w:rPr>
              <w:t xml:space="preserve"> </w:t>
            </w:r>
            <w:r w:rsidRPr="00A362AC">
              <w:rPr>
                <w:rFonts w:eastAsia="Times New Roman"/>
                <w:sz w:val="22"/>
                <w:szCs w:val="22"/>
                <w:lang w:eastAsia="en-GB"/>
              </w:rPr>
              <w:t>the NHS Commissioning Board Special Health Authority</w:t>
            </w:r>
            <w:r w:rsidR="008A3D1A" w:rsidRPr="00A362AC">
              <w:rPr>
                <w:rFonts w:eastAsia="Times New Roman"/>
                <w:sz w:val="22"/>
                <w:szCs w:val="22"/>
                <w:lang w:eastAsia="en-GB"/>
              </w:rPr>
              <w:t xml:space="preserve"> </w:t>
            </w:r>
            <w:r w:rsidRPr="00A362AC">
              <w:rPr>
                <w:rFonts w:eastAsia="Times New Roman"/>
                <w:sz w:val="22"/>
                <w:szCs w:val="22"/>
                <w:lang w:eastAsia="en-GB"/>
              </w:rPr>
              <w:t>(the NRLS was previously developed by the National</w:t>
            </w:r>
            <w:r w:rsidR="008A3D1A" w:rsidRPr="00A362AC">
              <w:rPr>
                <w:rFonts w:eastAsia="Times New Roman"/>
                <w:sz w:val="22"/>
                <w:szCs w:val="22"/>
                <w:lang w:eastAsia="en-GB"/>
              </w:rPr>
              <w:t xml:space="preserve"> </w:t>
            </w:r>
            <w:r w:rsidRPr="00A362AC">
              <w:rPr>
                <w:rFonts w:eastAsia="Times New Roman"/>
                <w:sz w:val="22"/>
                <w:szCs w:val="22"/>
                <w:lang w:eastAsia="en-GB"/>
              </w:rPr>
              <w:t>Patient Safety Agency or NPSA).</w:t>
            </w:r>
          </w:p>
        </w:tc>
      </w:tr>
      <w:tr w:rsidR="00A31050" w:rsidRPr="00A362AC" w14:paraId="5547050C" w14:textId="77777777" w:rsidTr="00ED79D3">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333E9EFC"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PIL</w:t>
            </w:r>
          </w:p>
        </w:tc>
        <w:tc>
          <w:tcPr>
            <w:tcW w:w="8461" w:type="dxa"/>
            <w:tcBorders>
              <w:top w:val="nil"/>
              <w:left w:val="nil"/>
              <w:bottom w:val="single" w:sz="4" w:space="0" w:color="auto"/>
              <w:right w:val="single" w:sz="4" w:space="0" w:color="auto"/>
            </w:tcBorders>
            <w:shd w:val="clear" w:color="auto" w:fill="auto"/>
            <w:hideMark/>
          </w:tcPr>
          <w:p w14:paraId="0465ED23"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Patient Information Leaflet</w:t>
            </w:r>
          </w:p>
        </w:tc>
      </w:tr>
      <w:tr w:rsidR="00A31050" w:rsidRPr="00A362AC" w14:paraId="78400AED" w14:textId="77777777" w:rsidTr="00ED79D3">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20997314"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PVG</w:t>
            </w:r>
          </w:p>
        </w:tc>
        <w:tc>
          <w:tcPr>
            <w:tcW w:w="8461" w:type="dxa"/>
            <w:tcBorders>
              <w:top w:val="nil"/>
              <w:left w:val="nil"/>
              <w:bottom w:val="single" w:sz="4" w:space="0" w:color="auto"/>
              <w:right w:val="single" w:sz="4" w:space="0" w:color="auto"/>
            </w:tcBorders>
            <w:shd w:val="clear" w:color="auto" w:fill="auto"/>
            <w:noWrap/>
            <w:hideMark/>
          </w:tcPr>
          <w:p w14:paraId="39E09850"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 xml:space="preserve">Protection of vulnerable groups scheme. Scottish equivalent of DBS </w:t>
            </w:r>
          </w:p>
        </w:tc>
      </w:tr>
      <w:tr w:rsidR="00A31050" w:rsidRPr="00A362AC" w14:paraId="28AD433D" w14:textId="77777777" w:rsidTr="005F5C7D">
        <w:trPr>
          <w:trHeight w:val="300"/>
        </w:trPr>
        <w:tc>
          <w:tcPr>
            <w:tcW w:w="1722" w:type="dxa"/>
            <w:tcBorders>
              <w:top w:val="nil"/>
              <w:left w:val="single" w:sz="4" w:space="0" w:color="auto"/>
              <w:bottom w:val="single" w:sz="4" w:space="0" w:color="auto"/>
              <w:right w:val="single" w:sz="4" w:space="0" w:color="auto"/>
            </w:tcBorders>
            <w:shd w:val="clear" w:color="auto" w:fill="auto"/>
            <w:noWrap/>
            <w:hideMark/>
          </w:tcPr>
          <w:p w14:paraId="4BF02C72"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RCN</w:t>
            </w:r>
          </w:p>
        </w:tc>
        <w:tc>
          <w:tcPr>
            <w:tcW w:w="8461" w:type="dxa"/>
            <w:tcBorders>
              <w:top w:val="nil"/>
              <w:left w:val="nil"/>
              <w:bottom w:val="single" w:sz="4" w:space="0" w:color="auto"/>
              <w:right w:val="single" w:sz="4" w:space="0" w:color="auto"/>
            </w:tcBorders>
            <w:shd w:val="clear" w:color="auto" w:fill="auto"/>
            <w:hideMark/>
          </w:tcPr>
          <w:p w14:paraId="57E5DF1D"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Royal College of Nursing</w:t>
            </w:r>
          </w:p>
        </w:tc>
      </w:tr>
      <w:tr w:rsidR="00A31050" w:rsidRPr="00A362AC" w14:paraId="53883BFC" w14:textId="77777777" w:rsidTr="005F5C7D">
        <w:trPr>
          <w:trHeight w:val="300"/>
        </w:trPr>
        <w:tc>
          <w:tcPr>
            <w:tcW w:w="1722" w:type="dxa"/>
            <w:tcBorders>
              <w:top w:val="single" w:sz="4" w:space="0" w:color="auto"/>
              <w:left w:val="single" w:sz="4" w:space="0" w:color="auto"/>
              <w:bottom w:val="single" w:sz="4" w:space="0" w:color="auto"/>
              <w:right w:val="single" w:sz="4" w:space="0" w:color="auto"/>
            </w:tcBorders>
            <w:shd w:val="clear" w:color="auto" w:fill="auto"/>
            <w:noWrap/>
            <w:hideMark/>
          </w:tcPr>
          <w:p w14:paraId="19F93DA0"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RPS</w:t>
            </w:r>
          </w:p>
        </w:tc>
        <w:tc>
          <w:tcPr>
            <w:tcW w:w="8461" w:type="dxa"/>
            <w:tcBorders>
              <w:top w:val="single" w:sz="4" w:space="0" w:color="auto"/>
              <w:left w:val="nil"/>
              <w:bottom w:val="single" w:sz="4" w:space="0" w:color="auto"/>
              <w:right w:val="single" w:sz="4" w:space="0" w:color="auto"/>
            </w:tcBorders>
            <w:shd w:val="clear" w:color="auto" w:fill="auto"/>
            <w:hideMark/>
          </w:tcPr>
          <w:p w14:paraId="09BDDB06" w14:textId="77777777" w:rsidR="00A31050" w:rsidRPr="00A362AC" w:rsidRDefault="00A31050" w:rsidP="00A31050">
            <w:pPr>
              <w:spacing w:before="0" w:line="240" w:lineRule="auto"/>
              <w:ind w:left="0"/>
              <w:rPr>
                <w:rFonts w:eastAsia="Times New Roman"/>
                <w:sz w:val="22"/>
                <w:szCs w:val="22"/>
                <w:lang w:eastAsia="en-GB"/>
              </w:rPr>
            </w:pPr>
            <w:r w:rsidRPr="00A362AC">
              <w:rPr>
                <w:rFonts w:eastAsia="Times New Roman"/>
                <w:sz w:val="22"/>
                <w:szCs w:val="22"/>
                <w:lang w:eastAsia="en-GB"/>
              </w:rPr>
              <w:t>Royal Pharmaceutical Society</w:t>
            </w:r>
          </w:p>
        </w:tc>
      </w:tr>
    </w:tbl>
    <w:p w14:paraId="036E752B" w14:textId="3A8B8EA2" w:rsidR="0082068F" w:rsidRDefault="0082068F" w:rsidP="003D1D4D">
      <w:pPr>
        <w:pStyle w:val="Caption"/>
        <w:ind w:hanging="567"/>
        <w:jc w:val="center"/>
      </w:pPr>
    </w:p>
    <w:p w14:paraId="3D0A53CC" w14:textId="3EE88EC2" w:rsidR="00A362AC" w:rsidRPr="00A362AC" w:rsidRDefault="007D1742" w:rsidP="009A4A68">
      <w:pPr>
        <w:pStyle w:val="Heading2"/>
        <w:numPr>
          <w:ilvl w:val="0"/>
          <w:numId w:val="0"/>
        </w:numPr>
      </w:pPr>
      <w:r>
        <w:lastRenderedPageBreak/>
        <w:t>4</w:t>
      </w:r>
      <w:r w:rsidR="00824346">
        <w:t>.</w:t>
      </w:r>
      <w:r w:rsidR="00A362AC">
        <w:t>Definitions</w:t>
      </w:r>
    </w:p>
    <w:tbl>
      <w:tblPr>
        <w:tblW w:w="10229" w:type="dxa"/>
        <w:tblLook w:val="04A0" w:firstRow="1" w:lastRow="0" w:firstColumn="1" w:lastColumn="0" w:noHBand="0" w:noVBand="1"/>
      </w:tblPr>
      <w:tblGrid>
        <w:gridCol w:w="2689"/>
        <w:gridCol w:w="7540"/>
      </w:tblGrid>
      <w:tr w:rsidR="00ED79D3" w:rsidRPr="00A362AC" w14:paraId="6D451965" w14:textId="77777777" w:rsidTr="00A362AC">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14:paraId="6F69A716"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AccessNI</w:t>
            </w:r>
          </w:p>
        </w:tc>
        <w:tc>
          <w:tcPr>
            <w:tcW w:w="7540" w:type="dxa"/>
            <w:tcBorders>
              <w:top w:val="single" w:sz="4" w:space="0" w:color="auto"/>
              <w:left w:val="nil"/>
              <w:bottom w:val="single" w:sz="4" w:space="0" w:color="auto"/>
              <w:right w:val="single" w:sz="4" w:space="0" w:color="auto"/>
            </w:tcBorders>
            <w:shd w:val="clear" w:color="auto" w:fill="auto"/>
            <w:noWrap/>
            <w:hideMark/>
          </w:tcPr>
          <w:p w14:paraId="433BEECD"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 xml:space="preserve">Northern Ireland equivalent of DBS </w:t>
            </w:r>
          </w:p>
        </w:tc>
      </w:tr>
      <w:tr w:rsidR="00ED79D3" w:rsidRPr="00A362AC" w14:paraId="70F21322" w14:textId="77777777" w:rsidTr="009A4A68">
        <w:trPr>
          <w:trHeight w:val="322"/>
        </w:trPr>
        <w:tc>
          <w:tcPr>
            <w:tcW w:w="2689" w:type="dxa"/>
            <w:tcBorders>
              <w:top w:val="nil"/>
              <w:left w:val="single" w:sz="4" w:space="0" w:color="auto"/>
              <w:bottom w:val="single" w:sz="4" w:space="0" w:color="auto"/>
              <w:right w:val="single" w:sz="4" w:space="0" w:color="auto"/>
            </w:tcBorders>
            <w:shd w:val="clear" w:color="000000" w:fill="FFFFFF"/>
            <w:noWrap/>
            <w:hideMark/>
          </w:tcPr>
          <w:p w14:paraId="0EEC1940"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Activity Data</w:t>
            </w:r>
          </w:p>
        </w:tc>
        <w:tc>
          <w:tcPr>
            <w:tcW w:w="7540" w:type="dxa"/>
            <w:tcBorders>
              <w:top w:val="nil"/>
              <w:left w:val="nil"/>
              <w:bottom w:val="single" w:sz="4" w:space="0" w:color="auto"/>
              <w:right w:val="single" w:sz="4" w:space="0" w:color="auto"/>
            </w:tcBorders>
            <w:shd w:val="clear" w:color="000000" w:fill="FFFFFF"/>
            <w:hideMark/>
          </w:tcPr>
          <w:p w14:paraId="129172E9"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management information dataset pertaining to financial activity (individual line items invoiced by the Supplier) during the reporting period.</w:t>
            </w:r>
          </w:p>
        </w:tc>
      </w:tr>
      <w:tr w:rsidR="00ED79D3" w:rsidRPr="00A362AC" w14:paraId="2BA189E2" w14:textId="77777777" w:rsidTr="009A4A68">
        <w:trPr>
          <w:trHeight w:val="1241"/>
        </w:trPr>
        <w:tc>
          <w:tcPr>
            <w:tcW w:w="2689" w:type="dxa"/>
            <w:tcBorders>
              <w:top w:val="nil"/>
              <w:left w:val="single" w:sz="4" w:space="0" w:color="auto"/>
              <w:bottom w:val="single" w:sz="4" w:space="0" w:color="auto"/>
              <w:right w:val="single" w:sz="4" w:space="0" w:color="auto"/>
            </w:tcBorders>
            <w:shd w:val="clear" w:color="000000" w:fill="FFFFFF"/>
            <w:noWrap/>
            <w:hideMark/>
          </w:tcPr>
          <w:p w14:paraId="11D4EBED"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 xml:space="preserve">Adverse Drug Reaction </w:t>
            </w:r>
          </w:p>
        </w:tc>
        <w:tc>
          <w:tcPr>
            <w:tcW w:w="7540" w:type="dxa"/>
            <w:tcBorders>
              <w:top w:val="nil"/>
              <w:left w:val="nil"/>
              <w:bottom w:val="single" w:sz="4" w:space="0" w:color="auto"/>
              <w:right w:val="single" w:sz="4" w:space="0" w:color="auto"/>
            </w:tcBorders>
            <w:shd w:val="clear" w:color="000000" w:fill="FFFFFF"/>
            <w:hideMark/>
          </w:tcPr>
          <w:p w14:paraId="306B9E38" w14:textId="77777777" w:rsidR="00ED79D3" w:rsidRPr="00A362AC" w:rsidRDefault="00ED79D3" w:rsidP="009A4A68">
            <w:pPr>
              <w:spacing w:before="0" w:line="240" w:lineRule="auto"/>
              <w:ind w:left="0"/>
              <w:rPr>
                <w:rFonts w:eastAsia="Times New Roman"/>
                <w:sz w:val="22"/>
                <w:szCs w:val="22"/>
                <w:lang w:eastAsia="en-GB"/>
              </w:rPr>
            </w:pPr>
            <w:r w:rsidRPr="00A362AC">
              <w:rPr>
                <w:rFonts w:eastAsia="Times New Roman"/>
                <w:sz w:val="22"/>
                <w:szCs w:val="22"/>
                <w:lang w:eastAsia="en-GB"/>
              </w:rPr>
              <w:t>is a response to a medicinal product that is noxious and unintended effects resulting not only from the authorised use of a medicinal product at normal doses, but also from medication errors and uses outside the terms of the marketing authorisation, including the misuse, off-label use and abuse of the medicinal product. The definition of Adverse Drug Reaction would also normally include incidents of noxious and unintended effects arising from unlicensed use, misuse and abuse of medicines.</w:t>
            </w:r>
          </w:p>
        </w:tc>
      </w:tr>
      <w:tr w:rsidR="00ED79D3" w:rsidRPr="00A362AC" w14:paraId="79B5317E" w14:textId="77777777" w:rsidTr="00ED79D3">
        <w:trPr>
          <w:trHeight w:val="600"/>
        </w:trPr>
        <w:tc>
          <w:tcPr>
            <w:tcW w:w="2689" w:type="dxa"/>
            <w:tcBorders>
              <w:top w:val="nil"/>
              <w:left w:val="single" w:sz="4" w:space="0" w:color="auto"/>
              <w:bottom w:val="single" w:sz="4" w:space="0" w:color="auto"/>
              <w:right w:val="single" w:sz="4" w:space="0" w:color="auto"/>
            </w:tcBorders>
            <w:shd w:val="clear" w:color="000000" w:fill="FFFFFF"/>
            <w:hideMark/>
          </w:tcPr>
          <w:p w14:paraId="6F337E23"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Agreement</w:t>
            </w:r>
          </w:p>
        </w:tc>
        <w:tc>
          <w:tcPr>
            <w:tcW w:w="7540" w:type="dxa"/>
            <w:tcBorders>
              <w:top w:val="nil"/>
              <w:left w:val="nil"/>
              <w:bottom w:val="single" w:sz="4" w:space="0" w:color="auto"/>
              <w:right w:val="single" w:sz="4" w:space="0" w:color="auto"/>
            </w:tcBorders>
            <w:shd w:val="clear" w:color="000000" w:fill="FFFFFF"/>
            <w:hideMark/>
          </w:tcPr>
          <w:p w14:paraId="257AF928"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 xml:space="preserve">means the framework agreement or contract document(s) including </w:t>
            </w:r>
            <w:proofErr w:type="spellStart"/>
            <w:proofErr w:type="gramStart"/>
            <w:r w:rsidRPr="00A362AC">
              <w:rPr>
                <w:rFonts w:eastAsia="Times New Roman"/>
                <w:sz w:val="22"/>
                <w:szCs w:val="22"/>
                <w:lang w:eastAsia="en-GB"/>
              </w:rPr>
              <w:t>it's</w:t>
            </w:r>
            <w:proofErr w:type="spellEnd"/>
            <w:proofErr w:type="gramEnd"/>
            <w:r w:rsidRPr="00A362AC">
              <w:rPr>
                <w:rFonts w:eastAsia="Times New Roman"/>
                <w:sz w:val="22"/>
                <w:szCs w:val="22"/>
                <w:lang w:eastAsia="en-GB"/>
              </w:rPr>
              <w:t xml:space="preserve"> terms and conditions.</w:t>
            </w:r>
          </w:p>
        </w:tc>
      </w:tr>
      <w:tr w:rsidR="00ED79D3" w:rsidRPr="00A362AC" w14:paraId="49982AC5" w14:textId="77777777" w:rsidTr="00ED79D3">
        <w:trPr>
          <w:trHeight w:val="300"/>
        </w:trPr>
        <w:tc>
          <w:tcPr>
            <w:tcW w:w="2689" w:type="dxa"/>
            <w:tcBorders>
              <w:top w:val="nil"/>
              <w:left w:val="single" w:sz="4" w:space="0" w:color="auto"/>
              <w:bottom w:val="single" w:sz="4" w:space="0" w:color="auto"/>
              <w:right w:val="single" w:sz="4" w:space="0" w:color="auto"/>
            </w:tcBorders>
            <w:shd w:val="clear" w:color="000000" w:fill="FFFFFF"/>
            <w:noWrap/>
            <w:hideMark/>
          </w:tcPr>
          <w:p w14:paraId="3738B74B"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Ancillary List</w:t>
            </w:r>
          </w:p>
        </w:tc>
        <w:tc>
          <w:tcPr>
            <w:tcW w:w="7540" w:type="dxa"/>
            <w:tcBorders>
              <w:top w:val="nil"/>
              <w:left w:val="nil"/>
              <w:bottom w:val="single" w:sz="4" w:space="0" w:color="auto"/>
              <w:right w:val="single" w:sz="4" w:space="0" w:color="auto"/>
            </w:tcBorders>
            <w:shd w:val="clear" w:color="000000" w:fill="FFFFFF"/>
            <w:hideMark/>
          </w:tcPr>
          <w:p w14:paraId="15DC904A"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means any document so named and provided with this specification.</w:t>
            </w:r>
          </w:p>
        </w:tc>
      </w:tr>
      <w:tr w:rsidR="00ED79D3" w:rsidRPr="00A362AC" w14:paraId="76DA3BCD" w14:textId="77777777" w:rsidTr="009A4A68">
        <w:trPr>
          <w:trHeight w:val="118"/>
        </w:trPr>
        <w:tc>
          <w:tcPr>
            <w:tcW w:w="2689" w:type="dxa"/>
            <w:tcBorders>
              <w:top w:val="nil"/>
              <w:left w:val="single" w:sz="4" w:space="0" w:color="auto"/>
              <w:bottom w:val="single" w:sz="4" w:space="0" w:color="auto"/>
              <w:right w:val="single" w:sz="4" w:space="0" w:color="auto"/>
            </w:tcBorders>
            <w:shd w:val="clear" w:color="000000" w:fill="FFFFFF"/>
            <w:noWrap/>
            <w:hideMark/>
          </w:tcPr>
          <w:p w14:paraId="6DAD90C5"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Authorised Person</w:t>
            </w:r>
          </w:p>
        </w:tc>
        <w:tc>
          <w:tcPr>
            <w:tcW w:w="7540" w:type="dxa"/>
            <w:tcBorders>
              <w:top w:val="nil"/>
              <w:left w:val="nil"/>
              <w:bottom w:val="single" w:sz="4" w:space="0" w:color="auto"/>
              <w:right w:val="single" w:sz="4" w:space="0" w:color="auto"/>
            </w:tcBorders>
            <w:shd w:val="clear" w:color="000000" w:fill="FFFFFF"/>
            <w:hideMark/>
          </w:tcPr>
          <w:p w14:paraId="3697C12A"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means an individual with sufficient authority and/or qualification within an organisation to formally represent that organisation.</w:t>
            </w:r>
          </w:p>
        </w:tc>
      </w:tr>
      <w:tr w:rsidR="00ED79D3" w:rsidRPr="00A362AC" w14:paraId="3DAA7CCC" w14:textId="77777777" w:rsidTr="00ED79D3">
        <w:trPr>
          <w:trHeight w:val="300"/>
        </w:trPr>
        <w:tc>
          <w:tcPr>
            <w:tcW w:w="2689" w:type="dxa"/>
            <w:tcBorders>
              <w:top w:val="nil"/>
              <w:left w:val="single" w:sz="4" w:space="0" w:color="auto"/>
              <w:bottom w:val="single" w:sz="4" w:space="0" w:color="auto"/>
              <w:right w:val="single" w:sz="4" w:space="0" w:color="auto"/>
            </w:tcBorders>
            <w:shd w:val="clear" w:color="000000" w:fill="FFFFFF"/>
            <w:noWrap/>
            <w:hideMark/>
          </w:tcPr>
          <w:p w14:paraId="2D35159E"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Bank Holiday</w:t>
            </w:r>
          </w:p>
        </w:tc>
        <w:tc>
          <w:tcPr>
            <w:tcW w:w="7540" w:type="dxa"/>
            <w:tcBorders>
              <w:top w:val="nil"/>
              <w:left w:val="nil"/>
              <w:bottom w:val="single" w:sz="4" w:space="0" w:color="auto"/>
              <w:right w:val="single" w:sz="4" w:space="0" w:color="auto"/>
            </w:tcBorders>
            <w:shd w:val="clear" w:color="000000" w:fill="FFFFFF"/>
            <w:hideMark/>
          </w:tcPr>
          <w:p w14:paraId="688B28D6"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means the UK nationally recognised Bank Holidays</w:t>
            </w:r>
          </w:p>
        </w:tc>
      </w:tr>
      <w:tr w:rsidR="00ED79D3" w:rsidRPr="00A362AC" w14:paraId="0A476E74" w14:textId="77777777" w:rsidTr="009A4A68">
        <w:trPr>
          <w:trHeight w:val="271"/>
        </w:trPr>
        <w:tc>
          <w:tcPr>
            <w:tcW w:w="2689" w:type="dxa"/>
            <w:tcBorders>
              <w:top w:val="nil"/>
              <w:left w:val="single" w:sz="4" w:space="0" w:color="auto"/>
              <w:bottom w:val="single" w:sz="4" w:space="0" w:color="auto"/>
              <w:right w:val="single" w:sz="4" w:space="0" w:color="auto"/>
            </w:tcBorders>
            <w:shd w:val="clear" w:color="auto" w:fill="auto"/>
            <w:noWrap/>
            <w:hideMark/>
          </w:tcPr>
          <w:p w14:paraId="50827CE5"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Buffer Stock</w:t>
            </w:r>
          </w:p>
        </w:tc>
        <w:tc>
          <w:tcPr>
            <w:tcW w:w="7540" w:type="dxa"/>
            <w:tcBorders>
              <w:top w:val="nil"/>
              <w:left w:val="nil"/>
              <w:bottom w:val="single" w:sz="4" w:space="0" w:color="auto"/>
              <w:right w:val="single" w:sz="4" w:space="0" w:color="auto"/>
            </w:tcBorders>
            <w:shd w:val="clear" w:color="auto" w:fill="auto"/>
            <w:hideMark/>
          </w:tcPr>
          <w:p w14:paraId="38FE2E6A"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Safety stock of ancillaries, medicines and equipment held in home as backup for emergency use.</w:t>
            </w:r>
          </w:p>
        </w:tc>
      </w:tr>
      <w:tr w:rsidR="00ED79D3" w:rsidRPr="00A362AC" w14:paraId="1AC2B4DF" w14:textId="77777777" w:rsidTr="00ED79D3">
        <w:trPr>
          <w:trHeight w:val="300"/>
        </w:trPr>
        <w:tc>
          <w:tcPr>
            <w:tcW w:w="2689" w:type="dxa"/>
            <w:tcBorders>
              <w:top w:val="nil"/>
              <w:left w:val="single" w:sz="4" w:space="0" w:color="auto"/>
              <w:bottom w:val="single" w:sz="4" w:space="0" w:color="auto"/>
              <w:right w:val="single" w:sz="4" w:space="0" w:color="auto"/>
            </w:tcBorders>
            <w:shd w:val="clear" w:color="000000" w:fill="FFFFFF"/>
            <w:noWrap/>
            <w:hideMark/>
          </w:tcPr>
          <w:p w14:paraId="716518BA"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Business Days</w:t>
            </w:r>
          </w:p>
        </w:tc>
        <w:tc>
          <w:tcPr>
            <w:tcW w:w="7540" w:type="dxa"/>
            <w:tcBorders>
              <w:top w:val="nil"/>
              <w:left w:val="nil"/>
              <w:bottom w:val="single" w:sz="4" w:space="0" w:color="auto"/>
              <w:right w:val="single" w:sz="4" w:space="0" w:color="auto"/>
            </w:tcBorders>
            <w:shd w:val="clear" w:color="000000" w:fill="FFFFFF"/>
            <w:hideMark/>
          </w:tcPr>
          <w:p w14:paraId="4E728770"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Monday - Friday excluding Bank Holidays</w:t>
            </w:r>
          </w:p>
        </w:tc>
      </w:tr>
      <w:tr w:rsidR="00ED79D3" w:rsidRPr="00A362AC" w14:paraId="1107CB1C" w14:textId="77777777" w:rsidTr="009A4A68">
        <w:trPr>
          <w:trHeight w:val="1613"/>
        </w:trPr>
        <w:tc>
          <w:tcPr>
            <w:tcW w:w="2689" w:type="dxa"/>
            <w:tcBorders>
              <w:top w:val="nil"/>
              <w:left w:val="single" w:sz="4" w:space="0" w:color="auto"/>
              <w:bottom w:val="single" w:sz="4" w:space="0" w:color="auto"/>
              <w:right w:val="single" w:sz="4" w:space="0" w:color="auto"/>
            </w:tcBorders>
            <w:shd w:val="clear" w:color="000000" w:fill="FFFFFF"/>
            <w:hideMark/>
          </w:tcPr>
          <w:p w14:paraId="3AA1990B"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Caldicott principles</w:t>
            </w:r>
          </w:p>
        </w:tc>
        <w:tc>
          <w:tcPr>
            <w:tcW w:w="7540" w:type="dxa"/>
            <w:tcBorders>
              <w:top w:val="nil"/>
              <w:left w:val="nil"/>
              <w:bottom w:val="single" w:sz="4" w:space="0" w:color="auto"/>
              <w:right w:val="single" w:sz="4" w:space="0" w:color="auto"/>
            </w:tcBorders>
            <w:shd w:val="clear" w:color="auto" w:fill="auto"/>
            <w:hideMark/>
          </w:tcPr>
          <w:p w14:paraId="64790027" w14:textId="77777777" w:rsidR="00ED79D3" w:rsidRPr="00A362AC" w:rsidRDefault="00ED79D3" w:rsidP="009A4A68">
            <w:pPr>
              <w:spacing w:before="0" w:line="240" w:lineRule="auto"/>
              <w:ind w:left="0"/>
              <w:rPr>
                <w:rFonts w:eastAsia="Times New Roman"/>
                <w:sz w:val="22"/>
                <w:szCs w:val="22"/>
                <w:lang w:eastAsia="en-GB"/>
              </w:rPr>
            </w:pPr>
            <w:r w:rsidRPr="00A362AC">
              <w:rPr>
                <w:rFonts w:eastAsia="Times New Roman"/>
                <w:sz w:val="22"/>
                <w:szCs w:val="22"/>
                <w:lang w:eastAsia="en-GB"/>
              </w:rPr>
              <w:t>Principles for sharing of patient information.  Caldicott review: information governance in the health and care system - a report published by Department of Health 26 April 2013.  Following a request from the Secretary of State for Health, Dame Fiona Caldicott carried out this independent review of information sharing to ensure that there is an appropriate balance between the protection of patient information and the use and sharing of information to improve patient care.</w:t>
            </w:r>
          </w:p>
        </w:tc>
      </w:tr>
      <w:tr w:rsidR="00ED79D3" w:rsidRPr="00A362AC" w14:paraId="4EE83991" w14:textId="77777777" w:rsidTr="00ED79D3">
        <w:trPr>
          <w:trHeight w:val="600"/>
        </w:trPr>
        <w:tc>
          <w:tcPr>
            <w:tcW w:w="2689" w:type="dxa"/>
            <w:tcBorders>
              <w:top w:val="nil"/>
              <w:left w:val="single" w:sz="4" w:space="0" w:color="auto"/>
              <w:bottom w:val="single" w:sz="4" w:space="0" w:color="auto"/>
              <w:right w:val="single" w:sz="4" w:space="0" w:color="auto"/>
            </w:tcBorders>
            <w:shd w:val="clear" w:color="000000" w:fill="FFFFFF"/>
            <w:hideMark/>
          </w:tcPr>
          <w:p w14:paraId="7307BD12"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Call-off Contract</w:t>
            </w:r>
          </w:p>
        </w:tc>
        <w:tc>
          <w:tcPr>
            <w:tcW w:w="7540" w:type="dxa"/>
            <w:tcBorders>
              <w:top w:val="nil"/>
              <w:left w:val="nil"/>
              <w:bottom w:val="single" w:sz="4" w:space="0" w:color="auto"/>
              <w:right w:val="single" w:sz="4" w:space="0" w:color="auto"/>
            </w:tcBorders>
            <w:shd w:val="clear" w:color="auto" w:fill="auto"/>
            <w:hideMark/>
          </w:tcPr>
          <w:p w14:paraId="0AED5BD2" w14:textId="3C87CD92"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 xml:space="preserve">means an agreement between the Supplier and the </w:t>
            </w:r>
            <w:r w:rsidR="00CB2E23" w:rsidRPr="00A362AC">
              <w:rPr>
                <w:rFonts w:eastAsia="Times New Roman"/>
                <w:sz w:val="22"/>
                <w:szCs w:val="22"/>
                <w:lang w:eastAsia="en-GB"/>
              </w:rPr>
              <w:t>Participating</w:t>
            </w:r>
            <w:r w:rsidRPr="00A362AC">
              <w:rPr>
                <w:rFonts w:eastAsia="Times New Roman"/>
                <w:sz w:val="22"/>
                <w:szCs w:val="22"/>
                <w:lang w:eastAsia="en-GB"/>
              </w:rPr>
              <w:t xml:space="preserve"> Authority in accordance with the terms of an overarching framework agreement.</w:t>
            </w:r>
          </w:p>
        </w:tc>
      </w:tr>
      <w:tr w:rsidR="00ED79D3" w:rsidRPr="00A362AC" w14:paraId="39667E2F" w14:textId="77777777" w:rsidTr="00ED79D3">
        <w:trPr>
          <w:trHeight w:val="300"/>
        </w:trPr>
        <w:tc>
          <w:tcPr>
            <w:tcW w:w="2689" w:type="dxa"/>
            <w:tcBorders>
              <w:top w:val="nil"/>
              <w:left w:val="single" w:sz="4" w:space="0" w:color="auto"/>
              <w:bottom w:val="single" w:sz="4" w:space="0" w:color="auto"/>
              <w:right w:val="single" w:sz="4" w:space="0" w:color="auto"/>
            </w:tcBorders>
            <w:shd w:val="clear" w:color="000000" w:fill="FFFFFF"/>
            <w:hideMark/>
          </w:tcPr>
          <w:p w14:paraId="3DF544F2"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Certification</w:t>
            </w:r>
          </w:p>
        </w:tc>
        <w:tc>
          <w:tcPr>
            <w:tcW w:w="7540" w:type="dxa"/>
            <w:tcBorders>
              <w:top w:val="nil"/>
              <w:left w:val="nil"/>
              <w:bottom w:val="single" w:sz="4" w:space="0" w:color="auto"/>
              <w:right w:val="single" w:sz="4" w:space="0" w:color="auto"/>
            </w:tcBorders>
            <w:shd w:val="clear" w:color="auto" w:fill="auto"/>
            <w:hideMark/>
          </w:tcPr>
          <w:p w14:paraId="0562C685"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 xml:space="preserve">means a relevant and auditable guarantee that an action has been undertaken. </w:t>
            </w:r>
          </w:p>
        </w:tc>
      </w:tr>
      <w:tr w:rsidR="00ED79D3" w:rsidRPr="00A362AC" w14:paraId="16C802EB" w14:textId="77777777" w:rsidTr="0082068F">
        <w:trPr>
          <w:trHeight w:val="1332"/>
        </w:trPr>
        <w:tc>
          <w:tcPr>
            <w:tcW w:w="2689" w:type="dxa"/>
            <w:tcBorders>
              <w:top w:val="nil"/>
              <w:left w:val="single" w:sz="4" w:space="0" w:color="auto"/>
              <w:bottom w:val="single" w:sz="4" w:space="0" w:color="auto"/>
              <w:right w:val="single" w:sz="4" w:space="0" w:color="auto"/>
            </w:tcBorders>
            <w:shd w:val="clear" w:color="000000" w:fill="FFFFFF"/>
            <w:noWrap/>
            <w:hideMark/>
          </w:tcPr>
          <w:p w14:paraId="2C03AED0"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 xml:space="preserve">Chief Pharmacist or equivalent </w:t>
            </w:r>
          </w:p>
        </w:tc>
        <w:tc>
          <w:tcPr>
            <w:tcW w:w="7540" w:type="dxa"/>
            <w:tcBorders>
              <w:top w:val="nil"/>
              <w:left w:val="nil"/>
              <w:bottom w:val="single" w:sz="4" w:space="0" w:color="auto"/>
              <w:right w:val="single" w:sz="4" w:space="0" w:color="auto"/>
            </w:tcBorders>
            <w:shd w:val="clear" w:color="000000" w:fill="FFFFFF"/>
            <w:hideMark/>
          </w:tcPr>
          <w:p w14:paraId="24561DF5"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for the purposes of this specification this term is used to describe the senior pharmacist responsible for the provision of professional pharmacy services within the homecare organisation for example the Chief Pharmacist of an NHS Foundation Trust, or the Superintendent Pharmacist in a third party homecare service provider, or the lead Pharmacist in a commissioning organisation.</w:t>
            </w:r>
          </w:p>
        </w:tc>
      </w:tr>
      <w:tr w:rsidR="00ED79D3" w:rsidRPr="00A362AC" w14:paraId="18169EC6" w14:textId="77777777" w:rsidTr="0082068F">
        <w:trPr>
          <w:trHeight w:val="850"/>
        </w:trPr>
        <w:tc>
          <w:tcPr>
            <w:tcW w:w="2689" w:type="dxa"/>
            <w:tcBorders>
              <w:top w:val="single" w:sz="4" w:space="0" w:color="auto"/>
              <w:left w:val="single" w:sz="4" w:space="0" w:color="auto"/>
              <w:bottom w:val="single" w:sz="4" w:space="0" w:color="auto"/>
              <w:right w:val="single" w:sz="4" w:space="0" w:color="auto"/>
            </w:tcBorders>
            <w:shd w:val="clear" w:color="000000" w:fill="FFFFFF"/>
            <w:noWrap/>
            <w:hideMark/>
          </w:tcPr>
          <w:p w14:paraId="1224ACB8"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 xml:space="preserve">Clinical Outcome </w:t>
            </w:r>
          </w:p>
        </w:tc>
        <w:tc>
          <w:tcPr>
            <w:tcW w:w="7540" w:type="dxa"/>
            <w:tcBorders>
              <w:top w:val="single" w:sz="4" w:space="0" w:color="auto"/>
              <w:left w:val="nil"/>
              <w:bottom w:val="single" w:sz="4" w:space="0" w:color="auto"/>
              <w:right w:val="single" w:sz="4" w:space="0" w:color="auto"/>
            </w:tcBorders>
            <w:shd w:val="clear" w:color="000000" w:fill="FFFFFF"/>
            <w:hideMark/>
          </w:tcPr>
          <w:p w14:paraId="2402BCED"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an objective measure of the</w:t>
            </w:r>
            <w:r w:rsidRPr="00A362AC">
              <w:rPr>
                <w:rFonts w:eastAsia="Times New Roman"/>
                <w:sz w:val="22"/>
                <w:szCs w:val="22"/>
                <w:lang w:eastAsia="en-GB"/>
              </w:rPr>
              <w:br/>
              <w:t>health, wellbeing or quality of life of a patient following</w:t>
            </w:r>
            <w:r w:rsidRPr="00A362AC">
              <w:rPr>
                <w:rFonts w:eastAsia="Times New Roman"/>
                <w:sz w:val="22"/>
                <w:szCs w:val="22"/>
                <w:lang w:eastAsia="en-GB"/>
              </w:rPr>
              <w:br/>
              <w:t>a clinical intervention.</w:t>
            </w:r>
          </w:p>
        </w:tc>
      </w:tr>
      <w:tr w:rsidR="00ED79D3" w:rsidRPr="00A362AC" w14:paraId="68C75F13" w14:textId="77777777" w:rsidTr="0082068F">
        <w:trPr>
          <w:trHeight w:val="359"/>
        </w:trPr>
        <w:tc>
          <w:tcPr>
            <w:tcW w:w="2689" w:type="dxa"/>
            <w:tcBorders>
              <w:top w:val="single" w:sz="4" w:space="0" w:color="auto"/>
              <w:left w:val="single" w:sz="4" w:space="0" w:color="auto"/>
              <w:bottom w:val="single" w:sz="4" w:space="0" w:color="auto"/>
              <w:right w:val="single" w:sz="4" w:space="0" w:color="auto"/>
            </w:tcBorders>
            <w:shd w:val="clear" w:color="000000" w:fill="FFFFFF"/>
            <w:noWrap/>
            <w:hideMark/>
          </w:tcPr>
          <w:p w14:paraId="36D5E121"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 xml:space="preserve">Clinical Responsibility </w:t>
            </w:r>
          </w:p>
        </w:tc>
        <w:tc>
          <w:tcPr>
            <w:tcW w:w="7540" w:type="dxa"/>
            <w:tcBorders>
              <w:top w:val="single" w:sz="4" w:space="0" w:color="auto"/>
              <w:left w:val="nil"/>
              <w:bottom w:val="single" w:sz="4" w:space="0" w:color="auto"/>
              <w:right w:val="single" w:sz="4" w:space="0" w:color="auto"/>
            </w:tcBorders>
            <w:shd w:val="clear" w:color="000000" w:fill="FFFFFF"/>
            <w:hideMark/>
          </w:tcPr>
          <w:p w14:paraId="462A889A" w14:textId="77777777" w:rsidR="00ED79D3" w:rsidRPr="00A362AC" w:rsidRDefault="00ED79D3" w:rsidP="009A4A68">
            <w:pPr>
              <w:spacing w:before="0" w:line="240" w:lineRule="auto"/>
              <w:ind w:left="0"/>
              <w:rPr>
                <w:rFonts w:eastAsia="Times New Roman"/>
                <w:sz w:val="22"/>
                <w:szCs w:val="22"/>
                <w:lang w:eastAsia="en-GB"/>
              </w:rPr>
            </w:pPr>
            <w:r w:rsidRPr="00A362AC">
              <w:rPr>
                <w:rFonts w:eastAsia="Times New Roman"/>
                <w:sz w:val="22"/>
                <w:szCs w:val="22"/>
                <w:lang w:eastAsia="en-GB"/>
              </w:rPr>
              <w:t>responsibility for a particular</w:t>
            </w:r>
            <w:r w:rsidRPr="00A362AC">
              <w:rPr>
                <w:rFonts w:eastAsia="Times New Roman"/>
                <w:sz w:val="22"/>
                <w:szCs w:val="22"/>
                <w:lang w:eastAsia="en-GB"/>
              </w:rPr>
              <w:br/>
              <w:t>aspect of a patient's healthcare.</w:t>
            </w:r>
          </w:p>
        </w:tc>
      </w:tr>
      <w:tr w:rsidR="00ED79D3" w:rsidRPr="00A362AC" w14:paraId="56B8C9AB" w14:textId="77777777" w:rsidTr="0082068F">
        <w:trPr>
          <w:trHeight w:val="900"/>
        </w:trPr>
        <w:tc>
          <w:tcPr>
            <w:tcW w:w="2689" w:type="dxa"/>
            <w:tcBorders>
              <w:top w:val="nil"/>
              <w:left w:val="single" w:sz="4" w:space="0" w:color="auto"/>
              <w:bottom w:val="single" w:sz="4" w:space="0" w:color="auto"/>
              <w:right w:val="single" w:sz="4" w:space="0" w:color="auto"/>
            </w:tcBorders>
            <w:shd w:val="clear" w:color="000000" w:fill="FFFFFF"/>
            <w:hideMark/>
          </w:tcPr>
          <w:p w14:paraId="439741A8"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Clinical Service Pathway</w:t>
            </w:r>
          </w:p>
        </w:tc>
        <w:tc>
          <w:tcPr>
            <w:tcW w:w="7540" w:type="dxa"/>
            <w:tcBorders>
              <w:top w:val="nil"/>
              <w:left w:val="nil"/>
              <w:bottom w:val="single" w:sz="4" w:space="0" w:color="auto"/>
              <w:right w:val="single" w:sz="4" w:space="0" w:color="auto"/>
            </w:tcBorders>
            <w:shd w:val="clear" w:color="auto" w:fill="auto"/>
            <w:hideMark/>
          </w:tcPr>
          <w:p w14:paraId="1CBE9723"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is a collection of Clinical Service Protocols and relevant Standard Operating Procedures that together make up the Clinical Service that is expected from the Homecare Service that is being contracted. (would need to include a summary)</w:t>
            </w:r>
          </w:p>
        </w:tc>
      </w:tr>
      <w:tr w:rsidR="00ED79D3" w:rsidRPr="00A362AC" w14:paraId="3877CC07" w14:textId="77777777" w:rsidTr="0082068F">
        <w:trPr>
          <w:trHeight w:val="1833"/>
        </w:trPr>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14:paraId="0A1D888E"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lastRenderedPageBreak/>
              <w:t>Clinical Service Protocol</w:t>
            </w:r>
          </w:p>
        </w:tc>
        <w:tc>
          <w:tcPr>
            <w:tcW w:w="7540" w:type="dxa"/>
            <w:tcBorders>
              <w:top w:val="single" w:sz="4" w:space="0" w:color="auto"/>
              <w:left w:val="nil"/>
              <w:bottom w:val="single" w:sz="4" w:space="0" w:color="auto"/>
              <w:right w:val="single" w:sz="4" w:space="0" w:color="auto"/>
            </w:tcBorders>
            <w:shd w:val="clear" w:color="auto" w:fill="auto"/>
            <w:hideMark/>
          </w:tcPr>
          <w:p w14:paraId="2A0C647D" w14:textId="77777777" w:rsidR="00ED79D3" w:rsidRPr="00A362AC" w:rsidRDefault="00ED79D3" w:rsidP="0082068F">
            <w:pPr>
              <w:spacing w:before="0" w:line="240" w:lineRule="auto"/>
              <w:ind w:left="0"/>
              <w:rPr>
                <w:rFonts w:eastAsia="Times New Roman"/>
                <w:sz w:val="22"/>
                <w:szCs w:val="22"/>
                <w:lang w:eastAsia="en-GB"/>
              </w:rPr>
            </w:pPr>
            <w:r w:rsidRPr="00A362AC">
              <w:rPr>
                <w:rFonts w:eastAsia="Times New Roman"/>
                <w:sz w:val="22"/>
                <w:szCs w:val="22"/>
                <w:lang w:eastAsia="en-GB"/>
              </w:rPr>
              <w:t>– the Clinical Service Protocol</w:t>
            </w:r>
            <w:r w:rsidRPr="00A362AC">
              <w:rPr>
                <w:rFonts w:eastAsia="Times New Roman"/>
                <w:sz w:val="22"/>
                <w:szCs w:val="22"/>
                <w:lang w:eastAsia="en-GB"/>
              </w:rPr>
              <w:br/>
              <w:t>indicates the actions to be undertaken and the records</w:t>
            </w:r>
            <w:r w:rsidRPr="00A362AC">
              <w:rPr>
                <w:rFonts w:eastAsia="Times New Roman"/>
                <w:sz w:val="22"/>
                <w:szCs w:val="22"/>
                <w:lang w:eastAsia="en-GB"/>
              </w:rPr>
              <w:br/>
              <w:t>to be kept during the provision of a clinical service and</w:t>
            </w:r>
            <w:r w:rsidRPr="00A362AC">
              <w:rPr>
                <w:rFonts w:eastAsia="Times New Roman"/>
                <w:sz w:val="22"/>
                <w:szCs w:val="22"/>
                <w:lang w:eastAsia="en-GB"/>
              </w:rPr>
              <w:br/>
              <w:t>is equivalent to a Standard Operating Procedure for that</w:t>
            </w:r>
            <w:r w:rsidRPr="00A362AC">
              <w:rPr>
                <w:rFonts w:eastAsia="Times New Roman"/>
                <w:sz w:val="22"/>
                <w:szCs w:val="22"/>
                <w:lang w:eastAsia="en-GB"/>
              </w:rPr>
              <w:br/>
              <w:t>clinical element of the service.</w:t>
            </w:r>
            <w:r w:rsidRPr="00A362AC">
              <w:rPr>
                <w:rFonts w:eastAsia="Times New Roman"/>
                <w:sz w:val="22"/>
                <w:szCs w:val="22"/>
                <w:lang w:eastAsia="en-GB"/>
              </w:rPr>
              <w:br/>
            </w:r>
            <w:r w:rsidRPr="00A362AC">
              <w:rPr>
                <w:rFonts w:eastAsia="Times New Roman"/>
                <w:sz w:val="22"/>
                <w:szCs w:val="22"/>
                <w:lang w:eastAsia="en-GB"/>
              </w:rPr>
              <w:br/>
              <w:t xml:space="preserve">Please refer to page 16 and 17 of the "Handbook for Homecare Services in England, May 2014"  </w:t>
            </w:r>
          </w:p>
        </w:tc>
      </w:tr>
      <w:tr w:rsidR="00ED79D3" w:rsidRPr="00A362AC" w14:paraId="583C9AC5" w14:textId="77777777" w:rsidTr="0082068F">
        <w:trPr>
          <w:trHeight w:val="1587"/>
        </w:trPr>
        <w:tc>
          <w:tcPr>
            <w:tcW w:w="2689" w:type="dxa"/>
            <w:tcBorders>
              <w:top w:val="single" w:sz="4" w:space="0" w:color="auto"/>
              <w:left w:val="single" w:sz="4" w:space="0" w:color="auto"/>
              <w:bottom w:val="single" w:sz="4" w:space="0" w:color="auto"/>
              <w:right w:val="single" w:sz="4" w:space="0" w:color="auto"/>
            </w:tcBorders>
            <w:shd w:val="clear" w:color="000000" w:fill="FFFFFF"/>
            <w:noWrap/>
            <w:hideMark/>
          </w:tcPr>
          <w:p w14:paraId="66DB005B"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 xml:space="preserve">Clinically Screened </w:t>
            </w:r>
          </w:p>
        </w:tc>
        <w:tc>
          <w:tcPr>
            <w:tcW w:w="7540" w:type="dxa"/>
            <w:tcBorders>
              <w:top w:val="single" w:sz="4" w:space="0" w:color="auto"/>
              <w:left w:val="nil"/>
              <w:bottom w:val="single" w:sz="4" w:space="0" w:color="auto"/>
              <w:right w:val="single" w:sz="4" w:space="0" w:color="auto"/>
            </w:tcBorders>
            <w:shd w:val="clear" w:color="000000" w:fill="FFFFFF"/>
            <w:hideMark/>
          </w:tcPr>
          <w:p w14:paraId="7AA99EC3"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Screening using clinical knowledge</w:t>
            </w:r>
            <w:r w:rsidRPr="00A362AC">
              <w:rPr>
                <w:rFonts w:eastAsia="Times New Roman"/>
                <w:sz w:val="22"/>
                <w:szCs w:val="22"/>
                <w:lang w:eastAsia="en-GB"/>
              </w:rPr>
              <w:br/>
              <w:t>and professional judgement, for the purposes of this</w:t>
            </w:r>
            <w:r w:rsidRPr="00A362AC">
              <w:rPr>
                <w:rFonts w:eastAsia="Times New Roman"/>
                <w:sz w:val="22"/>
                <w:szCs w:val="22"/>
                <w:lang w:eastAsia="en-GB"/>
              </w:rPr>
              <w:br/>
              <w:t>handbook the term is also used to indicate the provision</w:t>
            </w:r>
            <w:r w:rsidRPr="00A362AC">
              <w:rPr>
                <w:rFonts w:eastAsia="Times New Roman"/>
                <w:sz w:val="22"/>
                <w:szCs w:val="22"/>
                <w:lang w:eastAsia="en-GB"/>
              </w:rPr>
              <w:br/>
              <w:t>of a 'second pair of eyes check' by a suitably qualified</w:t>
            </w:r>
            <w:r w:rsidRPr="00A362AC">
              <w:rPr>
                <w:rFonts w:eastAsia="Times New Roman"/>
                <w:sz w:val="22"/>
                <w:szCs w:val="22"/>
                <w:lang w:eastAsia="en-GB"/>
              </w:rPr>
              <w:br/>
              <w:t>healthcare professional who has access to the patients</w:t>
            </w:r>
            <w:r w:rsidRPr="00A362AC">
              <w:rPr>
                <w:rFonts w:eastAsia="Times New Roman"/>
                <w:sz w:val="22"/>
                <w:szCs w:val="22"/>
                <w:lang w:eastAsia="en-GB"/>
              </w:rPr>
              <w:br/>
              <w:t>clinical record.</w:t>
            </w:r>
          </w:p>
        </w:tc>
      </w:tr>
      <w:tr w:rsidR="00ED79D3" w:rsidRPr="00A362AC" w14:paraId="263CE70A" w14:textId="77777777" w:rsidTr="00ED79D3">
        <w:trPr>
          <w:trHeight w:val="300"/>
        </w:trPr>
        <w:tc>
          <w:tcPr>
            <w:tcW w:w="2689" w:type="dxa"/>
            <w:tcBorders>
              <w:top w:val="nil"/>
              <w:left w:val="single" w:sz="4" w:space="0" w:color="auto"/>
              <w:bottom w:val="single" w:sz="4" w:space="0" w:color="auto"/>
              <w:right w:val="single" w:sz="4" w:space="0" w:color="auto"/>
            </w:tcBorders>
            <w:shd w:val="clear" w:color="000000" w:fill="FFFFFF"/>
            <w:hideMark/>
          </w:tcPr>
          <w:p w14:paraId="280A6231"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Complaint</w:t>
            </w:r>
          </w:p>
        </w:tc>
        <w:tc>
          <w:tcPr>
            <w:tcW w:w="7540" w:type="dxa"/>
            <w:tcBorders>
              <w:top w:val="nil"/>
              <w:left w:val="nil"/>
              <w:bottom w:val="single" w:sz="4" w:space="0" w:color="auto"/>
              <w:right w:val="single" w:sz="4" w:space="0" w:color="auto"/>
            </w:tcBorders>
            <w:shd w:val="clear" w:color="000000" w:fill="FFFFFF"/>
            <w:hideMark/>
          </w:tcPr>
          <w:p w14:paraId="3165B77C"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 xml:space="preserve">As defined in the RPS Homecare handbook appendix 19 </w:t>
            </w:r>
          </w:p>
        </w:tc>
      </w:tr>
      <w:tr w:rsidR="00ED79D3" w:rsidRPr="00A362AC" w14:paraId="18DC3D55" w14:textId="77777777" w:rsidTr="00ED79D3">
        <w:trPr>
          <w:trHeight w:val="300"/>
        </w:trPr>
        <w:tc>
          <w:tcPr>
            <w:tcW w:w="2689" w:type="dxa"/>
            <w:tcBorders>
              <w:top w:val="nil"/>
              <w:left w:val="single" w:sz="4" w:space="0" w:color="auto"/>
              <w:bottom w:val="single" w:sz="4" w:space="0" w:color="auto"/>
              <w:right w:val="single" w:sz="4" w:space="0" w:color="auto"/>
            </w:tcBorders>
            <w:shd w:val="clear" w:color="000000" w:fill="FFFFFF"/>
            <w:hideMark/>
          </w:tcPr>
          <w:p w14:paraId="0978400E"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Consignment</w:t>
            </w:r>
          </w:p>
        </w:tc>
        <w:tc>
          <w:tcPr>
            <w:tcW w:w="7540" w:type="dxa"/>
            <w:tcBorders>
              <w:top w:val="nil"/>
              <w:left w:val="nil"/>
              <w:bottom w:val="single" w:sz="4" w:space="0" w:color="auto"/>
              <w:right w:val="single" w:sz="4" w:space="0" w:color="auto"/>
            </w:tcBorders>
            <w:shd w:val="clear" w:color="000000" w:fill="FFFFFF"/>
            <w:hideMark/>
          </w:tcPr>
          <w:p w14:paraId="653E0F42"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means appropriately packaged Products delivery</w:t>
            </w:r>
          </w:p>
        </w:tc>
      </w:tr>
      <w:tr w:rsidR="00ED79D3" w:rsidRPr="00A362AC" w14:paraId="07A8C98C" w14:textId="77777777" w:rsidTr="00ED79D3">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14:paraId="54299E00"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Delivery</w:t>
            </w:r>
          </w:p>
        </w:tc>
        <w:tc>
          <w:tcPr>
            <w:tcW w:w="7540" w:type="dxa"/>
            <w:tcBorders>
              <w:top w:val="nil"/>
              <w:left w:val="nil"/>
              <w:bottom w:val="single" w:sz="4" w:space="0" w:color="auto"/>
              <w:right w:val="single" w:sz="4" w:space="0" w:color="auto"/>
            </w:tcBorders>
            <w:shd w:val="clear" w:color="auto" w:fill="auto"/>
            <w:noWrap/>
            <w:hideMark/>
          </w:tcPr>
          <w:p w14:paraId="5B9F41B6"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Delivery to patient’s normal place of residence or other community location.</w:t>
            </w:r>
          </w:p>
        </w:tc>
      </w:tr>
      <w:tr w:rsidR="00ED79D3" w:rsidRPr="00A362AC" w14:paraId="341BF687" w14:textId="77777777" w:rsidTr="00ED79D3">
        <w:trPr>
          <w:trHeight w:val="1200"/>
        </w:trPr>
        <w:tc>
          <w:tcPr>
            <w:tcW w:w="2689" w:type="dxa"/>
            <w:tcBorders>
              <w:top w:val="nil"/>
              <w:left w:val="single" w:sz="4" w:space="0" w:color="auto"/>
              <w:bottom w:val="single" w:sz="4" w:space="0" w:color="auto"/>
              <w:right w:val="single" w:sz="4" w:space="0" w:color="auto"/>
            </w:tcBorders>
            <w:shd w:val="clear" w:color="000000" w:fill="FFFFFF"/>
            <w:noWrap/>
            <w:hideMark/>
          </w:tcPr>
          <w:p w14:paraId="7148BEF2"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Digital Solutions</w:t>
            </w:r>
          </w:p>
        </w:tc>
        <w:tc>
          <w:tcPr>
            <w:tcW w:w="7540" w:type="dxa"/>
            <w:tcBorders>
              <w:top w:val="nil"/>
              <w:left w:val="nil"/>
              <w:bottom w:val="single" w:sz="4" w:space="0" w:color="auto"/>
              <w:right w:val="single" w:sz="4" w:space="0" w:color="auto"/>
            </w:tcBorders>
            <w:shd w:val="clear" w:color="000000" w:fill="FFFFFF"/>
            <w:hideMark/>
          </w:tcPr>
          <w:p w14:paraId="0ED247DF"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A series of solution delivered through digital technology to improve the homecare service processes for staff involved and enhance the service experience and treatment outcome for patients. The solutions can be provided for web, desktop, mobile applications and other cloud-based devices/platforms.</w:t>
            </w:r>
          </w:p>
        </w:tc>
      </w:tr>
      <w:tr w:rsidR="00ED79D3" w:rsidRPr="00A362AC" w14:paraId="3507F653" w14:textId="77777777" w:rsidTr="00ED79D3">
        <w:trPr>
          <w:trHeight w:val="300"/>
        </w:trPr>
        <w:tc>
          <w:tcPr>
            <w:tcW w:w="2689" w:type="dxa"/>
            <w:tcBorders>
              <w:top w:val="nil"/>
              <w:left w:val="single" w:sz="4" w:space="0" w:color="auto"/>
              <w:bottom w:val="single" w:sz="4" w:space="0" w:color="auto"/>
              <w:right w:val="single" w:sz="4" w:space="0" w:color="auto"/>
            </w:tcBorders>
            <w:shd w:val="clear" w:color="000000" w:fill="FFFFFF"/>
            <w:noWrap/>
            <w:hideMark/>
          </w:tcPr>
          <w:p w14:paraId="2FCD5B95"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Equipment List</w:t>
            </w:r>
          </w:p>
        </w:tc>
        <w:tc>
          <w:tcPr>
            <w:tcW w:w="7540" w:type="dxa"/>
            <w:tcBorders>
              <w:top w:val="nil"/>
              <w:left w:val="nil"/>
              <w:bottom w:val="single" w:sz="4" w:space="0" w:color="auto"/>
              <w:right w:val="single" w:sz="4" w:space="0" w:color="auto"/>
            </w:tcBorders>
            <w:shd w:val="clear" w:color="000000" w:fill="FFFFFF"/>
            <w:hideMark/>
          </w:tcPr>
          <w:p w14:paraId="743F21FE"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means any document so named and provided with this specification.</w:t>
            </w:r>
          </w:p>
        </w:tc>
      </w:tr>
      <w:tr w:rsidR="00ED79D3" w:rsidRPr="00A362AC" w14:paraId="5EDAD41C" w14:textId="77777777" w:rsidTr="00ED79D3">
        <w:trPr>
          <w:trHeight w:val="300"/>
        </w:trPr>
        <w:tc>
          <w:tcPr>
            <w:tcW w:w="2689" w:type="dxa"/>
            <w:tcBorders>
              <w:top w:val="nil"/>
              <w:left w:val="single" w:sz="4" w:space="0" w:color="auto"/>
              <w:bottom w:val="single" w:sz="4" w:space="0" w:color="auto"/>
              <w:right w:val="single" w:sz="4" w:space="0" w:color="auto"/>
            </w:tcBorders>
            <w:shd w:val="clear" w:color="000000" w:fill="FFFFFF"/>
            <w:noWrap/>
            <w:hideMark/>
          </w:tcPr>
          <w:p w14:paraId="0D819B1B"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Home</w:t>
            </w:r>
          </w:p>
        </w:tc>
        <w:tc>
          <w:tcPr>
            <w:tcW w:w="7540" w:type="dxa"/>
            <w:tcBorders>
              <w:top w:val="nil"/>
              <w:left w:val="nil"/>
              <w:bottom w:val="single" w:sz="4" w:space="0" w:color="auto"/>
              <w:right w:val="single" w:sz="4" w:space="0" w:color="auto"/>
            </w:tcBorders>
            <w:shd w:val="clear" w:color="000000" w:fill="FFFFFF"/>
            <w:hideMark/>
          </w:tcPr>
          <w:p w14:paraId="40282331"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means patient's domicile or normal place of residence.</w:t>
            </w:r>
          </w:p>
        </w:tc>
      </w:tr>
      <w:tr w:rsidR="00ED79D3" w:rsidRPr="00A362AC" w14:paraId="1DB20F3F" w14:textId="77777777" w:rsidTr="009A4A68">
        <w:trPr>
          <w:trHeight w:val="297"/>
        </w:trPr>
        <w:tc>
          <w:tcPr>
            <w:tcW w:w="2689" w:type="dxa"/>
            <w:tcBorders>
              <w:top w:val="nil"/>
              <w:left w:val="single" w:sz="4" w:space="0" w:color="auto"/>
              <w:bottom w:val="single" w:sz="4" w:space="0" w:color="auto"/>
              <w:right w:val="single" w:sz="4" w:space="0" w:color="auto"/>
            </w:tcBorders>
            <w:shd w:val="clear" w:color="000000" w:fill="FFFFFF"/>
            <w:noWrap/>
            <w:hideMark/>
          </w:tcPr>
          <w:p w14:paraId="0C0810B0"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 xml:space="preserve">Homecare pharmacist </w:t>
            </w:r>
          </w:p>
        </w:tc>
        <w:tc>
          <w:tcPr>
            <w:tcW w:w="7540" w:type="dxa"/>
            <w:tcBorders>
              <w:top w:val="nil"/>
              <w:left w:val="nil"/>
              <w:bottom w:val="single" w:sz="4" w:space="0" w:color="auto"/>
              <w:right w:val="single" w:sz="4" w:space="0" w:color="auto"/>
            </w:tcBorders>
            <w:shd w:val="clear" w:color="000000" w:fill="FFFFFF"/>
            <w:hideMark/>
          </w:tcPr>
          <w:p w14:paraId="2C74F399"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a pharmacist with appropriate competence in provision and administration of homecare services.</w:t>
            </w:r>
          </w:p>
        </w:tc>
      </w:tr>
      <w:tr w:rsidR="00ED79D3" w:rsidRPr="00A362AC" w14:paraId="1D3755F1" w14:textId="77777777" w:rsidTr="00ED79D3">
        <w:trPr>
          <w:trHeight w:val="591"/>
        </w:trPr>
        <w:tc>
          <w:tcPr>
            <w:tcW w:w="2689" w:type="dxa"/>
            <w:tcBorders>
              <w:top w:val="nil"/>
              <w:left w:val="single" w:sz="4" w:space="0" w:color="auto"/>
              <w:bottom w:val="single" w:sz="4" w:space="0" w:color="auto"/>
              <w:right w:val="single" w:sz="4" w:space="0" w:color="auto"/>
            </w:tcBorders>
            <w:shd w:val="clear" w:color="000000" w:fill="FFFFFF"/>
            <w:noWrap/>
            <w:hideMark/>
          </w:tcPr>
          <w:p w14:paraId="52FFB57C"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 xml:space="preserve">Homecare team </w:t>
            </w:r>
          </w:p>
        </w:tc>
        <w:tc>
          <w:tcPr>
            <w:tcW w:w="7540" w:type="dxa"/>
            <w:tcBorders>
              <w:top w:val="nil"/>
              <w:left w:val="nil"/>
              <w:bottom w:val="single" w:sz="4" w:space="0" w:color="auto"/>
              <w:right w:val="single" w:sz="4" w:space="0" w:color="auto"/>
            </w:tcBorders>
            <w:shd w:val="clear" w:color="000000" w:fill="FFFFFF"/>
            <w:hideMark/>
          </w:tcPr>
          <w:p w14:paraId="36E22878"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multidisciplinary and cross organisational team involved in the management and delivery of a homecare service.</w:t>
            </w:r>
          </w:p>
        </w:tc>
      </w:tr>
      <w:tr w:rsidR="00ED79D3" w:rsidRPr="00A362AC" w14:paraId="15EE7292" w14:textId="77777777" w:rsidTr="009A4A68">
        <w:trPr>
          <w:trHeight w:val="596"/>
        </w:trPr>
        <w:tc>
          <w:tcPr>
            <w:tcW w:w="2689" w:type="dxa"/>
            <w:tcBorders>
              <w:top w:val="nil"/>
              <w:left w:val="single" w:sz="4" w:space="0" w:color="auto"/>
              <w:bottom w:val="single" w:sz="4" w:space="0" w:color="auto"/>
              <w:right w:val="single" w:sz="4" w:space="0" w:color="auto"/>
            </w:tcBorders>
            <w:shd w:val="clear" w:color="000000" w:fill="FFFFFF"/>
            <w:noWrap/>
            <w:hideMark/>
          </w:tcPr>
          <w:p w14:paraId="6EE8C9ED"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Individual Care Plan</w:t>
            </w:r>
          </w:p>
        </w:tc>
        <w:tc>
          <w:tcPr>
            <w:tcW w:w="7540" w:type="dxa"/>
            <w:tcBorders>
              <w:top w:val="nil"/>
              <w:left w:val="nil"/>
              <w:bottom w:val="single" w:sz="4" w:space="0" w:color="auto"/>
              <w:right w:val="single" w:sz="4" w:space="0" w:color="auto"/>
            </w:tcBorders>
            <w:shd w:val="clear" w:color="auto" w:fill="auto"/>
            <w:hideMark/>
          </w:tcPr>
          <w:p w14:paraId="73977EF5" w14:textId="77777777" w:rsidR="00ED79D3" w:rsidRPr="00A362AC" w:rsidRDefault="00ED79D3" w:rsidP="009A4A68">
            <w:pPr>
              <w:spacing w:before="0" w:line="240" w:lineRule="auto"/>
              <w:ind w:left="0"/>
              <w:rPr>
                <w:rFonts w:eastAsia="Times New Roman"/>
                <w:sz w:val="22"/>
                <w:szCs w:val="22"/>
                <w:lang w:eastAsia="en-GB"/>
              </w:rPr>
            </w:pPr>
            <w:r w:rsidRPr="00A362AC">
              <w:rPr>
                <w:rFonts w:eastAsia="Times New Roman"/>
                <w:sz w:val="22"/>
                <w:szCs w:val="22"/>
                <w:lang w:eastAsia="en-GB"/>
              </w:rPr>
              <w:t xml:space="preserve">the medicines pathway defined for a specific individual patient giving chosen options from the </w:t>
            </w:r>
            <w:proofErr w:type="gramStart"/>
            <w:r w:rsidRPr="00A362AC">
              <w:rPr>
                <w:rFonts w:eastAsia="Times New Roman"/>
                <w:sz w:val="22"/>
                <w:szCs w:val="22"/>
                <w:lang w:eastAsia="en-GB"/>
              </w:rPr>
              <w:t>medicines</w:t>
            </w:r>
            <w:proofErr w:type="gramEnd"/>
            <w:r w:rsidRPr="00A362AC">
              <w:rPr>
                <w:rFonts w:eastAsia="Times New Roman"/>
                <w:sz w:val="22"/>
                <w:szCs w:val="22"/>
                <w:lang w:eastAsia="en-GB"/>
              </w:rPr>
              <w:t xml:space="preserve"> pathway and additional tests, reviews and services to be provided and any risk control measures or special instructions to be implemented due to the patient's individual circumstances. Please refer to page 14 of the "Handbook for Homecare Services in England, May 2014"  </w:t>
            </w:r>
          </w:p>
        </w:tc>
      </w:tr>
      <w:tr w:rsidR="00ED79D3" w:rsidRPr="00A362AC" w14:paraId="5E4802BB" w14:textId="77777777" w:rsidTr="007E09E8">
        <w:trPr>
          <w:trHeight w:val="1058"/>
        </w:trPr>
        <w:tc>
          <w:tcPr>
            <w:tcW w:w="2689" w:type="dxa"/>
            <w:tcBorders>
              <w:top w:val="nil"/>
              <w:left w:val="single" w:sz="4" w:space="0" w:color="auto"/>
              <w:bottom w:val="single" w:sz="4" w:space="0" w:color="auto"/>
              <w:right w:val="single" w:sz="4" w:space="0" w:color="auto"/>
            </w:tcBorders>
            <w:shd w:val="clear" w:color="000000" w:fill="FFFFFF"/>
            <w:noWrap/>
            <w:hideMark/>
          </w:tcPr>
          <w:p w14:paraId="77ADFE5D"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Key Performance Indicators (KPI's)</w:t>
            </w:r>
          </w:p>
        </w:tc>
        <w:tc>
          <w:tcPr>
            <w:tcW w:w="7540" w:type="dxa"/>
            <w:tcBorders>
              <w:top w:val="nil"/>
              <w:left w:val="nil"/>
              <w:bottom w:val="single" w:sz="4" w:space="0" w:color="auto"/>
              <w:right w:val="single" w:sz="4" w:space="0" w:color="auto"/>
            </w:tcBorders>
            <w:shd w:val="clear" w:color="000000" w:fill="FFFFFF"/>
            <w:hideMark/>
          </w:tcPr>
          <w:p w14:paraId="69041FE2"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Key Performance Indicators are quantifiable measurements, agreed to beforehand, that reflect the critical success factors of an organisation.</w:t>
            </w:r>
            <w:r w:rsidRPr="00A362AC">
              <w:rPr>
                <w:rFonts w:eastAsia="Times New Roman"/>
                <w:sz w:val="22"/>
                <w:szCs w:val="22"/>
                <w:lang w:eastAsia="en-GB"/>
              </w:rPr>
              <w:br/>
            </w:r>
            <w:r w:rsidRPr="00A362AC">
              <w:rPr>
                <w:rFonts w:eastAsia="Times New Roman"/>
                <w:sz w:val="22"/>
                <w:szCs w:val="22"/>
                <w:lang w:eastAsia="en-GB"/>
              </w:rPr>
              <w:br/>
              <w:t>Please refer to page 24 and 25 of the "Handbook for Homecare Services in England, May 2014"  This refers to Appendix 10.</w:t>
            </w:r>
          </w:p>
        </w:tc>
      </w:tr>
      <w:tr w:rsidR="00ED79D3" w:rsidRPr="00A362AC" w14:paraId="6144FF65" w14:textId="77777777" w:rsidTr="007E09E8">
        <w:trPr>
          <w:trHeight w:val="900"/>
        </w:trPr>
        <w:tc>
          <w:tcPr>
            <w:tcW w:w="2689" w:type="dxa"/>
            <w:tcBorders>
              <w:top w:val="single" w:sz="4" w:space="0" w:color="auto"/>
              <w:left w:val="single" w:sz="4" w:space="0" w:color="auto"/>
              <w:right w:val="single" w:sz="4" w:space="0" w:color="auto"/>
            </w:tcBorders>
            <w:shd w:val="clear" w:color="000000" w:fill="FFFFFF"/>
            <w:noWrap/>
            <w:hideMark/>
          </w:tcPr>
          <w:p w14:paraId="0B9DB3C7"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Management Information</w:t>
            </w:r>
          </w:p>
        </w:tc>
        <w:tc>
          <w:tcPr>
            <w:tcW w:w="7540" w:type="dxa"/>
            <w:tcBorders>
              <w:top w:val="single" w:sz="4" w:space="0" w:color="auto"/>
              <w:left w:val="nil"/>
              <w:right w:val="single" w:sz="4" w:space="0" w:color="auto"/>
            </w:tcBorders>
            <w:shd w:val="clear" w:color="auto" w:fill="auto"/>
            <w:hideMark/>
          </w:tcPr>
          <w:p w14:paraId="3C0685BA" w14:textId="5A8C2E78"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 xml:space="preserve">regular reports requested by the contracting authority or </w:t>
            </w:r>
            <w:r w:rsidR="00CB2E23" w:rsidRPr="00A362AC">
              <w:rPr>
                <w:rFonts w:eastAsia="Times New Roman"/>
                <w:sz w:val="22"/>
                <w:szCs w:val="22"/>
                <w:lang w:eastAsia="en-GB"/>
              </w:rPr>
              <w:t>Participating</w:t>
            </w:r>
            <w:r w:rsidRPr="00A362AC">
              <w:rPr>
                <w:rFonts w:eastAsia="Times New Roman"/>
                <w:sz w:val="22"/>
                <w:szCs w:val="22"/>
                <w:lang w:eastAsia="en-GB"/>
              </w:rPr>
              <w:t xml:space="preserve"> Authority for the purpose of monitoring the performance of the service. Including but not limited to Key Performance Indicators (KPIs) and Activity Data.</w:t>
            </w:r>
          </w:p>
        </w:tc>
      </w:tr>
      <w:tr w:rsidR="00ED79D3" w:rsidRPr="00A362AC" w14:paraId="486169D8" w14:textId="77777777" w:rsidTr="0082068F">
        <w:trPr>
          <w:trHeight w:val="1200"/>
        </w:trPr>
        <w:tc>
          <w:tcPr>
            <w:tcW w:w="2689" w:type="dxa"/>
            <w:tcBorders>
              <w:left w:val="single" w:sz="4" w:space="0" w:color="auto"/>
              <w:bottom w:val="single" w:sz="4" w:space="0" w:color="auto"/>
              <w:right w:val="single" w:sz="4" w:space="0" w:color="auto"/>
            </w:tcBorders>
            <w:shd w:val="clear" w:color="auto" w:fill="auto"/>
            <w:noWrap/>
            <w:hideMark/>
          </w:tcPr>
          <w:p w14:paraId="2F06A2D4"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Manufacturing Licence (MLA)</w:t>
            </w:r>
          </w:p>
        </w:tc>
        <w:tc>
          <w:tcPr>
            <w:tcW w:w="7540" w:type="dxa"/>
            <w:tcBorders>
              <w:left w:val="nil"/>
              <w:bottom w:val="single" w:sz="4" w:space="0" w:color="auto"/>
              <w:right w:val="single" w:sz="4" w:space="0" w:color="auto"/>
            </w:tcBorders>
            <w:shd w:val="clear" w:color="auto" w:fill="auto"/>
            <w:hideMark/>
          </w:tcPr>
          <w:p w14:paraId="2CA17064" w14:textId="77777777" w:rsidR="00ED79D3" w:rsidRPr="00A362AC" w:rsidRDefault="00ED79D3" w:rsidP="009A4A68">
            <w:pPr>
              <w:spacing w:before="0" w:line="240" w:lineRule="auto"/>
              <w:ind w:left="0"/>
              <w:rPr>
                <w:rFonts w:eastAsia="Times New Roman"/>
                <w:sz w:val="22"/>
                <w:szCs w:val="22"/>
                <w:lang w:eastAsia="en-GB"/>
              </w:rPr>
            </w:pPr>
            <w:r w:rsidRPr="00A362AC">
              <w:rPr>
                <w:rFonts w:eastAsia="Times New Roman"/>
                <w:sz w:val="22"/>
                <w:szCs w:val="22"/>
                <w:lang w:eastAsia="en-GB"/>
              </w:rPr>
              <w:t>A manufacturing license agreement (MLA) is an agreement between an inventor and a manufacturer. The agreement allows a third party to produce and use the inventor's product for payment in royalties or a specific lump sum. There are no specific regulations regarding MLAs.</w:t>
            </w:r>
          </w:p>
        </w:tc>
      </w:tr>
      <w:tr w:rsidR="00ED79D3" w:rsidRPr="00A362AC" w14:paraId="2BA905CC" w14:textId="77777777" w:rsidTr="0082068F">
        <w:trPr>
          <w:trHeight w:val="1200"/>
        </w:trPr>
        <w:tc>
          <w:tcPr>
            <w:tcW w:w="2689" w:type="dxa"/>
            <w:tcBorders>
              <w:top w:val="single" w:sz="4" w:space="0" w:color="auto"/>
              <w:left w:val="single" w:sz="4" w:space="0" w:color="auto"/>
              <w:bottom w:val="single" w:sz="4" w:space="0" w:color="auto"/>
              <w:right w:val="single" w:sz="4" w:space="0" w:color="auto"/>
            </w:tcBorders>
            <w:shd w:val="clear" w:color="000000" w:fill="FFFFFF"/>
            <w:noWrap/>
            <w:hideMark/>
          </w:tcPr>
          <w:p w14:paraId="5C26622D"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 xml:space="preserve">Marketing Authorisation </w:t>
            </w:r>
          </w:p>
        </w:tc>
        <w:tc>
          <w:tcPr>
            <w:tcW w:w="7540" w:type="dxa"/>
            <w:tcBorders>
              <w:top w:val="single" w:sz="4" w:space="0" w:color="auto"/>
              <w:left w:val="nil"/>
              <w:bottom w:val="single" w:sz="4" w:space="0" w:color="auto"/>
              <w:right w:val="single" w:sz="4" w:space="0" w:color="auto"/>
            </w:tcBorders>
            <w:shd w:val="clear" w:color="000000" w:fill="FFFFFF"/>
            <w:hideMark/>
          </w:tcPr>
          <w:p w14:paraId="479148F7"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 xml:space="preserve">Medicinal products must be the subject of a marketing authorisation (MA) from the MHRA before being placed on the market, unless they are exempt (see Unlicensed Medicines). Medicines with a MA carry a PLGB number. Licensed medicines manufactured prior to EU exit may bear </w:t>
            </w:r>
            <w:proofErr w:type="gramStart"/>
            <w:r w:rsidRPr="00A362AC">
              <w:rPr>
                <w:rFonts w:eastAsia="Times New Roman"/>
                <w:sz w:val="22"/>
                <w:szCs w:val="22"/>
                <w:lang w:eastAsia="en-GB"/>
              </w:rPr>
              <w:t>a</w:t>
            </w:r>
            <w:proofErr w:type="gramEnd"/>
            <w:r w:rsidRPr="00A362AC">
              <w:rPr>
                <w:rFonts w:eastAsia="Times New Roman"/>
                <w:sz w:val="22"/>
                <w:szCs w:val="22"/>
                <w:lang w:eastAsia="en-GB"/>
              </w:rPr>
              <w:t xml:space="preserve"> EU or PL number.   </w:t>
            </w:r>
          </w:p>
        </w:tc>
      </w:tr>
      <w:tr w:rsidR="00ED79D3" w:rsidRPr="00A362AC" w14:paraId="360F5810" w14:textId="77777777" w:rsidTr="0082068F">
        <w:trPr>
          <w:trHeight w:val="567"/>
        </w:trPr>
        <w:tc>
          <w:tcPr>
            <w:tcW w:w="2689" w:type="dxa"/>
            <w:tcBorders>
              <w:top w:val="single" w:sz="4" w:space="0" w:color="auto"/>
              <w:left w:val="single" w:sz="4" w:space="0" w:color="auto"/>
              <w:bottom w:val="single" w:sz="4" w:space="0" w:color="auto"/>
              <w:right w:val="single" w:sz="4" w:space="0" w:color="auto"/>
            </w:tcBorders>
            <w:shd w:val="clear" w:color="000000" w:fill="FFFFFF"/>
            <w:noWrap/>
            <w:hideMark/>
          </w:tcPr>
          <w:p w14:paraId="0E502354"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lastRenderedPageBreak/>
              <w:t xml:space="preserve">Medication Errors </w:t>
            </w:r>
          </w:p>
        </w:tc>
        <w:tc>
          <w:tcPr>
            <w:tcW w:w="7540" w:type="dxa"/>
            <w:tcBorders>
              <w:top w:val="single" w:sz="4" w:space="0" w:color="auto"/>
              <w:left w:val="nil"/>
              <w:bottom w:val="single" w:sz="4" w:space="0" w:color="auto"/>
              <w:right w:val="single" w:sz="4" w:space="0" w:color="auto"/>
            </w:tcBorders>
            <w:shd w:val="clear" w:color="000000" w:fill="FFFFFF"/>
            <w:hideMark/>
          </w:tcPr>
          <w:p w14:paraId="3367F42E"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 xml:space="preserve">any Patient Safety Incident where there has been an error in the process of prescribing, preparing, dispensing, administering, monitoring or providing advice on medicines. These Patient Safety Incidents can be divided into two </w:t>
            </w:r>
            <w:proofErr w:type="gramStart"/>
            <w:r w:rsidRPr="00A362AC">
              <w:rPr>
                <w:rFonts w:eastAsia="Times New Roman"/>
                <w:sz w:val="22"/>
                <w:szCs w:val="22"/>
                <w:lang w:eastAsia="en-GB"/>
              </w:rPr>
              <w:t>categories;</w:t>
            </w:r>
            <w:proofErr w:type="gramEnd"/>
            <w:r w:rsidRPr="00A362AC">
              <w:rPr>
                <w:rFonts w:eastAsia="Times New Roman"/>
                <w:sz w:val="22"/>
                <w:szCs w:val="22"/>
                <w:lang w:eastAsia="en-GB"/>
              </w:rPr>
              <w:t xml:space="preserve"> errors of commission or errors of omission. The former </w:t>
            </w:r>
            <w:proofErr w:type="gramStart"/>
            <w:r w:rsidRPr="00A362AC">
              <w:rPr>
                <w:rFonts w:eastAsia="Times New Roman"/>
                <w:sz w:val="22"/>
                <w:szCs w:val="22"/>
                <w:lang w:eastAsia="en-GB"/>
              </w:rPr>
              <w:t>include</w:t>
            </w:r>
            <w:proofErr w:type="gramEnd"/>
            <w:r w:rsidRPr="00A362AC">
              <w:rPr>
                <w:rFonts w:eastAsia="Times New Roman"/>
                <w:sz w:val="22"/>
                <w:szCs w:val="22"/>
                <w:lang w:eastAsia="en-GB"/>
              </w:rPr>
              <w:t>, for example, wrong medicine or wrong dose. The latter include, for example, omitted dose or a failure to monitor, such as international normalised ratio for anticoagulant therapy. The definition of medication errors would also normally include Patient Safety Incidents arising from unlicensed use, misuse and abuse of medicines.</w:t>
            </w:r>
          </w:p>
        </w:tc>
      </w:tr>
      <w:tr w:rsidR="00ED79D3" w:rsidRPr="00A362AC" w14:paraId="23B4B727" w14:textId="77777777" w:rsidTr="009A4A68">
        <w:trPr>
          <w:trHeight w:val="1228"/>
        </w:trPr>
        <w:tc>
          <w:tcPr>
            <w:tcW w:w="2689" w:type="dxa"/>
            <w:tcBorders>
              <w:top w:val="nil"/>
              <w:left w:val="single" w:sz="4" w:space="0" w:color="auto"/>
              <w:bottom w:val="single" w:sz="4" w:space="0" w:color="auto"/>
              <w:right w:val="single" w:sz="4" w:space="0" w:color="auto"/>
            </w:tcBorders>
            <w:shd w:val="clear" w:color="000000" w:fill="FFFFFF"/>
            <w:noWrap/>
          </w:tcPr>
          <w:p w14:paraId="05B21F01"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Medicines Homecare Pathway</w:t>
            </w:r>
          </w:p>
        </w:tc>
        <w:tc>
          <w:tcPr>
            <w:tcW w:w="7540" w:type="dxa"/>
            <w:tcBorders>
              <w:top w:val="single" w:sz="4" w:space="0" w:color="auto"/>
              <w:left w:val="nil"/>
              <w:bottom w:val="single" w:sz="4" w:space="0" w:color="auto"/>
              <w:right w:val="single" w:sz="4" w:space="0" w:color="auto"/>
            </w:tcBorders>
            <w:shd w:val="clear" w:color="auto" w:fill="auto"/>
            <w:noWrap/>
          </w:tcPr>
          <w:p w14:paraId="71F373F7" w14:textId="44747791" w:rsidR="00ED79D3" w:rsidRPr="00D64D2B" w:rsidRDefault="00ED79D3" w:rsidP="0082068F">
            <w:pPr>
              <w:spacing w:before="0" w:line="240" w:lineRule="auto"/>
              <w:ind w:left="0"/>
              <w:rPr>
                <w:rFonts w:eastAsia="Times New Roman"/>
                <w:sz w:val="22"/>
                <w:szCs w:val="22"/>
                <w:lang w:eastAsia="en-GB"/>
              </w:rPr>
            </w:pPr>
            <w:r w:rsidRPr="00A362AC">
              <w:rPr>
                <w:rFonts w:eastAsia="Times New Roman"/>
                <w:sz w:val="22"/>
                <w:szCs w:val="22"/>
                <w:lang w:eastAsia="en-GB"/>
              </w:rPr>
              <w:t xml:space="preserve">the expected treatment to be provided within the homecare service including diagnosis, referral, dosage routes and frequencies, routine tests, decision points, treatment end points and interventions and service options available at the different stages of the </w:t>
            </w:r>
            <w:proofErr w:type="gramStart"/>
            <w:r w:rsidRPr="00A362AC">
              <w:rPr>
                <w:rFonts w:eastAsia="Times New Roman"/>
                <w:sz w:val="22"/>
                <w:szCs w:val="22"/>
                <w:lang w:eastAsia="en-GB"/>
              </w:rPr>
              <w:t>medicines</w:t>
            </w:r>
            <w:proofErr w:type="gramEnd"/>
            <w:r w:rsidRPr="00A362AC">
              <w:rPr>
                <w:rFonts w:eastAsia="Times New Roman"/>
                <w:sz w:val="22"/>
                <w:szCs w:val="22"/>
                <w:lang w:eastAsia="en-GB"/>
              </w:rPr>
              <w:t xml:space="preserve"> pathway.</w:t>
            </w:r>
            <w:r w:rsidRPr="00A362AC">
              <w:rPr>
                <w:rFonts w:eastAsia="Times New Roman"/>
                <w:sz w:val="22"/>
                <w:szCs w:val="22"/>
                <w:lang w:eastAsia="en-GB"/>
              </w:rPr>
              <w:br/>
            </w:r>
            <w:r w:rsidRPr="00A362AC">
              <w:rPr>
                <w:rFonts w:eastAsia="Times New Roman"/>
                <w:sz w:val="22"/>
                <w:szCs w:val="22"/>
                <w:lang w:eastAsia="en-GB"/>
              </w:rPr>
              <w:br/>
              <w:t>Please refer to the "Handbook for Homecare Services in England, May 2014", and the example at Appendix 6.</w:t>
            </w:r>
          </w:p>
        </w:tc>
      </w:tr>
      <w:tr w:rsidR="00ED79D3" w:rsidRPr="00A362AC" w14:paraId="45D09EA1" w14:textId="77777777" w:rsidTr="00ED79D3">
        <w:trPr>
          <w:trHeight w:val="1077"/>
        </w:trPr>
        <w:tc>
          <w:tcPr>
            <w:tcW w:w="2689" w:type="dxa"/>
            <w:tcBorders>
              <w:top w:val="nil"/>
              <w:left w:val="single" w:sz="4" w:space="0" w:color="auto"/>
              <w:bottom w:val="single" w:sz="4" w:space="0" w:color="auto"/>
              <w:right w:val="single" w:sz="4" w:space="0" w:color="auto"/>
            </w:tcBorders>
            <w:shd w:val="clear" w:color="auto" w:fill="auto"/>
            <w:noWrap/>
          </w:tcPr>
          <w:p w14:paraId="66E326B6"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National Clinical Homecare Association (NCHA)</w:t>
            </w:r>
          </w:p>
        </w:tc>
        <w:tc>
          <w:tcPr>
            <w:tcW w:w="7540" w:type="dxa"/>
            <w:tcBorders>
              <w:top w:val="nil"/>
              <w:left w:val="nil"/>
              <w:bottom w:val="single" w:sz="4" w:space="0" w:color="auto"/>
              <w:right w:val="single" w:sz="4" w:space="0" w:color="auto"/>
            </w:tcBorders>
            <w:shd w:val="clear" w:color="auto" w:fill="auto"/>
            <w:noWrap/>
          </w:tcPr>
          <w:p w14:paraId="33510243" w14:textId="77777777" w:rsidR="00ED79D3" w:rsidRPr="00A362AC" w:rsidRDefault="00ED79D3" w:rsidP="00D803A8">
            <w:pPr>
              <w:spacing w:before="0" w:line="240" w:lineRule="auto"/>
              <w:ind w:left="0"/>
              <w:rPr>
                <w:rFonts w:eastAsia="Times New Roman"/>
                <w:color w:val="000000"/>
                <w:sz w:val="22"/>
                <w:szCs w:val="22"/>
                <w:lang w:eastAsia="en-GB"/>
              </w:rPr>
            </w:pPr>
            <w:r w:rsidRPr="00A362AC">
              <w:rPr>
                <w:rFonts w:eastAsia="Times New Roman"/>
                <w:sz w:val="22"/>
                <w:szCs w:val="22"/>
                <w:lang w:eastAsia="en-GB"/>
              </w:rPr>
              <w:t>represents and promotes the patient-led interests of</w:t>
            </w:r>
            <w:r w:rsidRPr="00A362AC">
              <w:rPr>
                <w:rFonts w:eastAsia="Times New Roman"/>
                <w:sz w:val="22"/>
                <w:szCs w:val="22"/>
                <w:lang w:eastAsia="en-GB"/>
              </w:rPr>
              <w:br/>
              <w:t>specific organisations whose primary activity is to provide</w:t>
            </w:r>
            <w:r w:rsidRPr="00A362AC">
              <w:rPr>
                <w:rFonts w:eastAsia="Times New Roman"/>
                <w:sz w:val="22"/>
                <w:szCs w:val="22"/>
                <w:lang w:eastAsia="en-GB"/>
              </w:rPr>
              <w:br/>
              <w:t>medical supplies, support and clinical services to patients</w:t>
            </w:r>
            <w:r w:rsidRPr="00A362AC">
              <w:rPr>
                <w:rFonts w:eastAsia="Times New Roman"/>
                <w:sz w:val="22"/>
                <w:szCs w:val="22"/>
                <w:lang w:eastAsia="en-GB"/>
              </w:rPr>
              <w:br/>
              <w:t>in the community.</w:t>
            </w:r>
          </w:p>
        </w:tc>
      </w:tr>
      <w:tr w:rsidR="00ED79D3" w:rsidRPr="00A362AC" w14:paraId="4A8823CA" w14:textId="77777777" w:rsidTr="009A4A68">
        <w:trPr>
          <w:trHeight w:val="58"/>
        </w:trPr>
        <w:tc>
          <w:tcPr>
            <w:tcW w:w="2689" w:type="dxa"/>
            <w:tcBorders>
              <w:top w:val="nil"/>
              <w:left w:val="single" w:sz="4" w:space="0" w:color="auto"/>
              <w:bottom w:val="single" w:sz="4" w:space="0" w:color="auto"/>
              <w:right w:val="single" w:sz="4" w:space="0" w:color="auto"/>
            </w:tcBorders>
            <w:shd w:val="clear" w:color="000000" w:fill="FFFFFF"/>
            <w:noWrap/>
            <w:hideMark/>
          </w:tcPr>
          <w:p w14:paraId="6F625B9B"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Non-clinical Home Visit Protocol</w:t>
            </w:r>
          </w:p>
        </w:tc>
        <w:tc>
          <w:tcPr>
            <w:tcW w:w="7540" w:type="dxa"/>
            <w:tcBorders>
              <w:top w:val="nil"/>
              <w:left w:val="nil"/>
              <w:bottom w:val="single" w:sz="4" w:space="0" w:color="auto"/>
              <w:right w:val="single" w:sz="4" w:space="0" w:color="auto"/>
            </w:tcBorders>
            <w:shd w:val="clear" w:color="000000" w:fill="FFFFFF"/>
            <w:hideMark/>
          </w:tcPr>
          <w:p w14:paraId="2B613056"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is the set of instructions describing a non-clinical activity involving</w:t>
            </w:r>
            <w:r w:rsidRPr="00A362AC">
              <w:rPr>
                <w:rFonts w:eastAsia="Times New Roman"/>
                <w:sz w:val="22"/>
                <w:szCs w:val="22"/>
                <w:lang w:eastAsia="en-GB"/>
              </w:rPr>
              <w:br/>
              <w:t>entry into the patient's home equivalent to a standard</w:t>
            </w:r>
            <w:r w:rsidRPr="00A362AC">
              <w:rPr>
                <w:rFonts w:eastAsia="Times New Roman"/>
                <w:sz w:val="22"/>
                <w:szCs w:val="22"/>
                <w:lang w:eastAsia="en-GB"/>
              </w:rPr>
              <w:br/>
              <w:t>operating procedure for that activity.</w:t>
            </w:r>
          </w:p>
        </w:tc>
      </w:tr>
      <w:tr w:rsidR="00ED79D3" w:rsidRPr="00A362AC" w14:paraId="3966ABDE" w14:textId="77777777" w:rsidTr="009A4A68">
        <w:trPr>
          <w:trHeight w:val="415"/>
        </w:trPr>
        <w:tc>
          <w:tcPr>
            <w:tcW w:w="2689" w:type="dxa"/>
            <w:tcBorders>
              <w:top w:val="nil"/>
              <w:left w:val="single" w:sz="4" w:space="0" w:color="auto"/>
              <w:bottom w:val="single" w:sz="4" w:space="0" w:color="auto"/>
              <w:right w:val="single" w:sz="4" w:space="0" w:color="auto"/>
            </w:tcBorders>
            <w:shd w:val="clear" w:color="000000" w:fill="FFFFFF"/>
            <w:noWrap/>
            <w:hideMark/>
          </w:tcPr>
          <w:p w14:paraId="63D1E056"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Normal Service Hours</w:t>
            </w:r>
          </w:p>
        </w:tc>
        <w:tc>
          <w:tcPr>
            <w:tcW w:w="7540" w:type="dxa"/>
            <w:tcBorders>
              <w:top w:val="nil"/>
              <w:left w:val="nil"/>
              <w:bottom w:val="single" w:sz="4" w:space="0" w:color="auto"/>
              <w:right w:val="single" w:sz="4" w:space="0" w:color="auto"/>
            </w:tcBorders>
            <w:shd w:val="clear" w:color="000000" w:fill="FFFFFF"/>
            <w:hideMark/>
          </w:tcPr>
          <w:p w14:paraId="059828EC" w14:textId="77777777" w:rsidR="00ED79D3" w:rsidRPr="00A362AC" w:rsidRDefault="00ED79D3" w:rsidP="009A4A68">
            <w:pPr>
              <w:spacing w:before="0" w:line="240" w:lineRule="auto"/>
              <w:ind w:left="0"/>
              <w:rPr>
                <w:rFonts w:eastAsia="Times New Roman"/>
                <w:sz w:val="22"/>
                <w:szCs w:val="22"/>
                <w:lang w:eastAsia="en-GB"/>
              </w:rPr>
            </w:pPr>
            <w:r w:rsidRPr="00A362AC">
              <w:rPr>
                <w:rFonts w:eastAsia="Times New Roman"/>
                <w:sz w:val="22"/>
                <w:szCs w:val="22"/>
                <w:lang w:eastAsia="en-GB"/>
              </w:rPr>
              <w:t>As specified under each activity e.g. Patient service helpline, delivery, clinical service protocol, home visit protocol.</w:t>
            </w:r>
          </w:p>
        </w:tc>
      </w:tr>
      <w:tr w:rsidR="00ED79D3" w:rsidRPr="00A362AC" w14:paraId="219C6C25" w14:textId="77777777" w:rsidTr="009A4A68">
        <w:trPr>
          <w:trHeight w:val="182"/>
        </w:trPr>
        <w:tc>
          <w:tcPr>
            <w:tcW w:w="2689" w:type="dxa"/>
            <w:tcBorders>
              <w:top w:val="nil"/>
              <w:left w:val="single" w:sz="4" w:space="0" w:color="auto"/>
              <w:bottom w:val="single" w:sz="4" w:space="0" w:color="auto"/>
              <w:right w:val="single" w:sz="4" w:space="0" w:color="auto"/>
            </w:tcBorders>
            <w:shd w:val="clear" w:color="000000" w:fill="FFFFFF"/>
            <w:hideMark/>
          </w:tcPr>
          <w:p w14:paraId="32DC3E17"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Normal Working Hours</w:t>
            </w:r>
          </w:p>
        </w:tc>
        <w:tc>
          <w:tcPr>
            <w:tcW w:w="7540" w:type="dxa"/>
            <w:tcBorders>
              <w:top w:val="nil"/>
              <w:left w:val="nil"/>
              <w:bottom w:val="single" w:sz="4" w:space="0" w:color="auto"/>
              <w:right w:val="single" w:sz="4" w:space="0" w:color="auto"/>
            </w:tcBorders>
            <w:shd w:val="clear" w:color="000000" w:fill="FFFFFF"/>
            <w:hideMark/>
          </w:tcPr>
          <w:p w14:paraId="4646B50C" w14:textId="77777777" w:rsidR="00ED79D3" w:rsidRPr="00A362AC" w:rsidRDefault="00ED79D3" w:rsidP="009A4A68">
            <w:pPr>
              <w:spacing w:before="0" w:line="240" w:lineRule="auto"/>
              <w:ind w:left="0"/>
              <w:rPr>
                <w:rFonts w:eastAsia="Times New Roman"/>
                <w:sz w:val="22"/>
                <w:szCs w:val="22"/>
                <w:lang w:eastAsia="en-GB"/>
              </w:rPr>
            </w:pPr>
            <w:r w:rsidRPr="00A362AC">
              <w:rPr>
                <w:rFonts w:eastAsia="Times New Roman"/>
                <w:sz w:val="22"/>
                <w:szCs w:val="22"/>
                <w:lang w:eastAsia="en-GB"/>
              </w:rPr>
              <w:t>As specified in the General Section for Homecare Administration Staff</w:t>
            </w:r>
          </w:p>
        </w:tc>
      </w:tr>
      <w:tr w:rsidR="00ED79D3" w:rsidRPr="00A362AC" w14:paraId="7B90C4FA" w14:textId="77777777" w:rsidTr="00ED79D3">
        <w:trPr>
          <w:trHeight w:val="300"/>
        </w:trPr>
        <w:tc>
          <w:tcPr>
            <w:tcW w:w="2689" w:type="dxa"/>
            <w:tcBorders>
              <w:top w:val="nil"/>
              <w:left w:val="single" w:sz="4" w:space="0" w:color="auto"/>
              <w:bottom w:val="single" w:sz="4" w:space="0" w:color="auto"/>
              <w:right w:val="single" w:sz="4" w:space="0" w:color="auto"/>
            </w:tcBorders>
            <w:shd w:val="clear" w:color="000000" w:fill="FFFFFF"/>
            <w:hideMark/>
          </w:tcPr>
          <w:p w14:paraId="08ED98AB"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 xml:space="preserve">Off label use </w:t>
            </w:r>
          </w:p>
        </w:tc>
        <w:tc>
          <w:tcPr>
            <w:tcW w:w="7540" w:type="dxa"/>
            <w:tcBorders>
              <w:top w:val="nil"/>
              <w:left w:val="nil"/>
              <w:bottom w:val="single" w:sz="4" w:space="0" w:color="auto"/>
              <w:right w:val="single" w:sz="4" w:space="0" w:color="auto"/>
            </w:tcBorders>
            <w:shd w:val="clear" w:color="auto" w:fill="auto"/>
            <w:hideMark/>
          </w:tcPr>
          <w:p w14:paraId="1E0687B4" w14:textId="77777777" w:rsidR="00ED79D3" w:rsidRPr="00A362AC" w:rsidRDefault="00ED79D3" w:rsidP="009A4A68">
            <w:pPr>
              <w:spacing w:before="0" w:line="240" w:lineRule="auto"/>
              <w:ind w:left="0"/>
              <w:rPr>
                <w:rFonts w:eastAsia="Times New Roman"/>
                <w:sz w:val="22"/>
                <w:szCs w:val="22"/>
                <w:lang w:eastAsia="en-GB"/>
              </w:rPr>
            </w:pPr>
            <w:r w:rsidRPr="00A362AC">
              <w:rPr>
                <w:rFonts w:eastAsia="Times New Roman"/>
                <w:sz w:val="22"/>
                <w:szCs w:val="22"/>
                <w:lang w:eastAsia="en-GB"/>
              </w:rPr>
              <w:t>use of a licensed medicine outside the terms of its marketing authorisation (product licence)</w:t>
            </w:r>
          </w:p>
        </w:tc>
      </w:tr>
      <w:tr w:rsidR="00ED79D3" w:rsidRPr="00A362AC" w14:paraId="04CDF65F" w14:textId="77777777" w:rsidTr="00ED79D3">
        <w:trPr>
          <w:trHeight w:val="309"/>
        </w:trPr>
        <w:tc>
          <w:tcPr>
            <w:tcW w:w="2689" w:type="dxa"/>
            <w:tcBorders>
              <w:top w:val="nil"/>
              <w:left w:val="single" w:sz="4" w:space="0" w:color="auto"/>
              <w:bottom w:val="single" w:sz="4" w:space="0" w:color="auto"/>
              <w:right w:val="single" w:sz="4" w:space="0" w:color="auto"/>
            </w:tcBorders>
            <w:shd w:val="clear" w:color="000000" w:fill="FFFFFF"/>
            <w:noWrap/>
            <w:hideMark/>
          </w:tcPr>
          <w:p w14:paraId="7BE19AAF"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 xml:space="preserve">Out of hours </w:t>
            </w:r>
          </w:p>
        </w:tc>
        <w:tc>
          <w:tcPr>
            <w:tcW w:w="7540" w:type="dxa"/>
            <w:tcBorders>
              <w:top w:val="nil"/>
              <w:left w:val="nil"/>
              <w:bottom w:val="single" w:sz="4" w:space="0" w:color="auto"/>
              <w:right w:val="single" w:sz="4" w:space="0" w:color="auto"/>
            </w:tcBorders>
            <w:shd w:val="clear" w:color="000000" w:fill="FFFFFF"/>
            <w:hideMark/>
          </w:tcPr>
          <w:p w14:paraId="18F8331F"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Any time not specified as normal service hours for the relevant activity</w:t>
            </w:r>
          </w:p>
        </w:tc>
      </w:tr>
      <w:tr w:rsidR="00ED79D3" w:rsidRPr="00A362AC" w14:paraId="6DCBDF99" w14:textId="77777777" w:rsidTr="00ED79D3">
        <w:trPr>
          <w:trHeight w:val="300"/>
        </w:trPr>
        <w:tc>
          <w:tcPr>
            <w:tcW w:w="2689" w:type="dxa"/>
            <w:tcBorders>
              <w:top w:val="nil"/>
              <w:left w:val="single" w:sz="4" w:space="0" w:color="auto"/>
              <w:bottom w:val="single" w:sz="4" w:space="0" w:color="auto"/>
              <w:right w:val="single" w:sz="4" w:space="0" w:color="auto"/>
            </w:tcBorders>
            <w:shd w:val="clear" w:color="000000" w:fill="FFFFFF"/>
            <w:hideMark/>
          </w:tcPr>
          <w:p w14:paraId="6C714046"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Parties</w:t>
            </w:r>
          </w:p>
        </w:tc>
        <w:tc>
          <w:tcPr>
            <w:tcW w:w="7540" w:type="dxa"/>
            <w:tcBorders>
              <w:top w:val="nil"/>
              <w:left w:val="nil"/>
              <w:bottom w:val="single" w:sz="4" w:space="0" w:color="auto"/>
              <w:right w:val="single" w:sz="4" w:space="0" w:color="auto"/>
            </w:tcBorders>
            <w:shd w:val="clear" w:color="auto" w:fill="auto"/>
            <w:hideMark/>
          </w:tcPr>
          <w:p w14:paraId="4FBBAC3F" w14:textId="731FBA09"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 xml:space="preserve">relates to the collective of the Supplier, Contracting Authority and </w:t>
            </w:r>
            <w:r w:rsidR="00CB2E23" w:rsidRPr="00A362AC">
              <w:rPr>
                <w:rFonts w:eastAsia="Times New Roman"/>
                <w:sz w:val="22"/>
                <w:szCs w:val="22"/>
                <w:lang w:eastAsia="en-GB"/>
              </w:rPr>
              <w:t>Participating</w:t>
            </w:r>
            <w:r w:rsidRPr="00A362AC">
              <w:rPr>
                <w:rFonts w:eastAsia="Times New Roman"/>
                <w:sz w:val="22"/>
                <w:szCs w:val="22"/>
                <w:lang w:eastAsia="en-GB"/>
              </w:rPr>
              <w:t xml:space="preserve"> Authority to the extent relevant and applicable to the specific context.</w:t>
            </w:r>
          </w:p>
        </w:tc>
      </w:tr>
      <w:tr w:rsidR="00ED79D3" w:rsidRPr="00A362AC" w14:paraId="78B5304A" w14:textId="77777777" w:rsidTr="00ED79D3">
        <w:trPr>
          <w:trHeight w:val="600"/>
        </w:trPr>
        <w:tc>
          <w:tcPr>
            <w:tcW w:w="2689" w:type="dxa"/>
            <w:tcBorders>
              <w:top w:val="nil"/>
              <w:left w:val="single" w:sz="4" w:space="0" w:color="auto"/>
              <w:bottom w:val="single" w:sz="4" w:space="0" w:color="auto"/>
              <w:right w:val="single" w:sz="4" w:space="0" w:color="auto"/>
            </w:tcBorders>
            <w:shd w:val="clear" w:color="000000" w:fill="FFFFFF"/>
            <w:hideMark/>
          </w:tcPr>
          <w:p w14:paraId="414DF44E"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Patient</w:t>
            </w:r>
          </w:p>
        </w:tc>
        <w:tc>
          <w:tcPr>
            <w:tcW w:w="7540" w:type="dxa"/>
            <w:tcBorders>
              <w:top w:val="nil"/>
              <w:left w:val="nil"/>
              <w:bottom w:val="single" w:sz="4" w:space="0" w:color="auto"/>
              <w:right w:val="single" w:sz="4" w:space="0" w:color="auto"/>
            </w:tcBorders>
            <w:shd w:val="clear" w:color="000000" w:fill="FFFFFF"/>
            <w:hideMark/>
          </w:tcPr>
          <w:p w14:paraId="66A23AC3"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means the individual receiving the homecare service and/or as applicable their carer or parent/guardian.</w:t>
            </w:r>
          </w:p>
        </w:tc>
      </w:tr>
      <w:tr w:rsidR="00ED79D3" w:rsidRPr="00A362AC" w14:paraId="1900524D" w14:textId="77777777" w:rsidTr="007E09E8">
        <w:trPr>
          <w:trHeight w:val="600"/>
        </w:trPr>
        <w:tc>
          <w:tcPr>
            <w:tcW w:w="2689" w:type="dxa"/>
            <w:tcBorders>
              <w:top w:val="single" w:sz="4" w:space="0" w:color="auto"/>
              <w:left w:val="single" w:sz="4" w:space="0" w:color="auto"/>
              <w:bottom w:val="single" w:sz="4" w:space="0" w:color="auto"/>
              <w:right w:val="single" w:sz="4" w:space="0" w:color="auto"/>
            </w:tcBorders>
            <w:shd w:val="clear" w:color="000000" w:fill="FFFFFF"/>
            <w:hideMark/>
          </w:tcPr>
          <w:p w14:paraId="5A0A84D6" w14:textId="382EA35F"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 xml:space="preserve">Patient Safety Incidents </w:t>
            </w:r>
          </w:p>
        </w:tc>
        <w:tc>
          <w:tcPr>
            <w:tcW w:w="7540" w:type="dxa"/>
            <w:tcBorders>
              <w:top w:val="single" w:sz="4" w:space="0" w:color="auto"/>
              <w:left w:val="nil"/>
              <w:bottom w:val="single" w:sz="4" w:space="0" w:color="auto"/>
              <w:right w:val="single" w:sz="4" w:space="0" w:color="auto"/>
            </w:tcBorders>
            <w:shd w:val="clear" w:color="000000" w:fill="FFFFFF"/>
            <w:hideMark/>
          </w:tcPr>
          <w:p w14:paraId="6096EC9E"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NRLS defines Patient Safety</w:t>
            </w:r>
            <w:r w:rsidRPr="00A362AC">
              <w:rPr>
                <w:rFonts w:eastAsia="Times New Roman"/>
                <w:sz w:val="22"/>
                <w:szCs w:val="22"/>
                <w:lang w:eastAsia="en-GB"/>
              </w:rPr>
              <w:br/>
              <w:t>Incidents as any unintended or unexpected incident which could have, or did, lead to harm for one or more patients receiving NHS-funded healthcare. For the purposes of this specification, this definition is extended to also cover non-NHS funded healthcare received as part of homecare services in England.</w:t>
            </w:r>
          </w:p>
        </w:tc>
      </w:tr>
      <w:tr w:rsidR="00ED79D3" w:rsidRPr="00A362AC" w14:paraId="65E82C8C" w14:textId="77777777" w:rsidTr="007E09E8">
        <w:trPr>
          <w:trHeight w:val="53"/>
        </w:trPr>
        <w:tc>
          <w:tcPr>
            <w:tcW w:w="2689" w:type="dxa"/>
            <w:tcBorders>
              <w:top w:val="single" w:sz="4" w:space="0" w:color="auto"/>
              <w:left w:val="single" w:sz="4" w:space="0" w:color="auto"/>
              <w:bottom w:val="single" w:sz="4" w:space="0" w:color="auto"/>
              <w:right w:val="single" w:sz="4" w:space="0" w:color="auto"/>
            </w:tcBorders>
            <w:shd w:val="clear" w:color="000000" w:fill="FFFFFF"/>
            <w:noWrap/>
            <w:hideMark/>
          </w:tcPr>
          <w:p w14:paraId="3C6212D7"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 xml:space="preserve">Patient’s home </w:t>
            </w:r>
          </w:p>
        </w:tc>
        <w:tc>
          <w:tcPr>
            <w:tcW w:w="7540" w:type="dxa"/>
            <w:tcBorders>
              <w:top w:val="single" w:sz="4" w:space="0" w:color="auto"/>
              <w:left w:val="nil"/>
              <w:bottom w:val="single" w:sz="4" w:space="0" w:color="auto"/>
              <w:right w:val="single" w:sz="4" w:space="0" w:color="auto"/>
            </w:tcBorders>
            <w:shd w:val="clear" w:color="000000" w:fill="FFFFFF"/>
            <w:hideMark/>
          </w:tcPr>
          <w:p w14:paraId="197984CB"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the patient’s normal place of residence or other community location.</w:t>
            </w:r>
          </w:p>
        </w:tc>
      </w:tr>
      <w:tr w:rsidR="00ED79D3" w:rsidRPr="00A362AC" w14:paraId="01770841" w14:textId="77777777" w:rsidTr="007E09E8">
        <w:trPr>
          <w:trHeight w:val="153"/>
        </w:trPr>
        <w:tc>
          <w:tcPr>
            <w:tcW w:w="2689" w:type="dxa"/>
            <w:tcBorders>
              <w:top w:val="nil"/>
              <w:left w:val="single" w:sz="4" w:space="0" w:color="auto"/>
              <w:bottom w:val="single" w:sz="4" w:space="0" w:color="auto"/>
              <w:right w:val="single" w:sz="4" w:space="0" w:color="auto"/>
            </w:tcBorders>
            <w:shd w:val="clear" w:color="auto" w:fill="auto"/>
            <w:noWrap/>
            <w:hideMark/>
          </w:tcPr>
          <w:p w14:paraId="1701D7AB"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Pick-up</w:t>
            </w:r>
          </w:p>
        </w:tc>
        <w:tc>
          <w:tcPr>
            <w:tcW w:w="7540" w:type="dxa"/>
            <w:tcBorders>
              <w:top w:val="nil"/>
              <w:left w:val="nil"/>
              <w:bottom w:val="single" w:sz="4" w:space="0" w:color="auto"/>
              <w:right w:val="single" w:sz="4" w:space="0" w:color="auto"/>
            </w:tcBorders>
            <w:shd w:val="clear" w:color="auto" w:fill="auto"/>
            <w:hideMark/>
          </w:tcPr>
          <w:p w14:paraId="3CBB88AC"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Collection of Products supplied by the Supplier from specific controlled collection sites.</w:t>
            </w:r>
          </w:p>
        </w:tc>
      </w:tr>
      <w:tr w:rsidR="00ED79D3" w:rsidRPr="00A362AC" w14:paraId="191DF87C" w14:textId="77777777" w:rsidTr="007E09E8">
        <w:trPr>
          <w:trHeight w:val="61"/>
        </w:trPr>
        <w:tc>
          <w:tcPr>
            <w:tcW w:w="2689" w:type="dxa"/>
            <w:tcBorders>
              <w:top w:val="single" w:sz="4" w:space="0" w:color="auto"/>
              <w:left w:val="single" w:sz="4" w:space="0" w:color="auto"/>
              <w:bottom w:val="single" w:sz="4" w:space="0" w:color="auto"/>
              <w:right w:val="single" w:sz="4" w:space="0" w:color="auto"/>
            </w:tcBorders>
            <w:shd w:val="clear" w:color="000000" w:fill="FFFFFF"/>
            <w:noWrap/>
            <w:hideMark/>
          </w:tcPr>
          <w:p w14:paraId="4E8449F4"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Prescription</w:t>
            </w:r>
          </w:p>
        </w:tc>
        <w:tc>
          <w:tcPr>
            <w:tcW w:w="7540" w:type="dxa"/>
            <w:tcBorders>
              <w:top w:val="single" w:sz="4" w:space="0" w:color="auto"/>
              <w:left w:val="nil"/>
              <w:bottom w:val="single" w:sz="4" w:space="0" w:color="auto"/>
              <w:right w:val="single" w:sz="4" w:space="0" w:color="auto"/>
            </w:tcBorders>
            <w:shd w:val="clear" w:color="auto" w:fill="auto"/>
            <w:hideMark/>
          </w:tcPr>
          <w:p w14:paraId="4415F327"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means any document so named and compliant with requirements set out in law.</w:t>
            </w:r>
          </w:p>
        </w:tc>
      </w:tr>
      <w:tr w:rsidR="00ED79D3" w:rsidRPr="00A362AC" w14:paraId="7BDC7737" w14:textId="77777777" w:rsidTr="007E09E8">
        <w:trPr>
          <w:trHeight w:val="300"/>
        </w:trPr>
        <w:tc>
          <w:tcPr>
            <w:tcW w:w="2689" w:type="dxa"/>
            <w:tcBorders>
              <w:top w:val="single" w:sz="4" w:space="0" w:color="auto"/>
              <w:left w:val="single" w:sz="4" w:space="0" w:color="auto"/>
              <w:bottom w:val="single" w:sz="4" w:space="0" w:color="auto"/>
              <w:right w:val="single" w:sz="4" w:space="0" w:color="auto"/>
            </w:tcBorders>
            <w:shd w:val="clear" w:color="000000" w:fill="FFFFFF"/>
            <w:noWrap/>
            <w:hideMark/>
          </w:tcPr>
          <w:p w14:paraId="2DD2744E"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Product List</w:t>
            </w:r>
          </w:p>
        </w:tc>
        <w:tc>
          <w:tcPr>
            <w:tcW w:w="7540" w:type="dxa"/>
            <w:tcBorders>
              <w:top w:val="single" w:sz="4" w:space="0" w:color="auto"/>
              <w:left w:val="nil"/>
              <w:bottom w:val="single" w:sz="4" w:space="0" w:color="auto"/>
              <w:right w:val="single" w:sz="4" w:space="0" w:color="auto"/>
            </w:tcBorders>
            <w:shd w:val="clear" w:color="000000" w:fill="FFFFFF"/>
            <w:hideMark/>
          </w:tcPr>
          <w:p w14:paraId="7DC4A435"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means any document so named and provided with this specification.</w:t>
            </w:r>
          </w:p>
        </w:tc>
      </w:tr>
      <w:tr w:rsidR="00ED79D3" w:rsidRPr="00A362AC" w14:paraId="00D40220" w14:textId="77777777" w:rsidTr="0082068F">
        <w:trPr>
          <w:trHeight w:val="300"/>
        </w:trPr>
        <w:tc>
          <w:tcPr>
            <w:tcW w:w="2689" w:type="dxa"/>
            <w:tcBorders>
              <w:top w:val="single" w:sz="4" w:space="0" w:color="auto"/>
              <w:left w:val="single" w:sz="4" w:space="0" w:color="auto"/>
              <w:bottom w:val="single" w:sz="4" w:space="0" w:color="auto"/>
              <w:right w:val="single" w:sz="4" w:space="0" w:color="auto"/>
            </w:tcBorders>
            <w:shd w:val="clear" w:color="000000" w:fill="FFFFFF"/>
            <w:noWrap/>
            <w:hideMark/>
          </w:tcPr>
          <w:p w14:paraId="53D683D2" w14:textId="0ABC2586"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Products</w:t>
            </w:r>
          </w:p>
        </w:tc>
        <w:tc>
          <w:tcPr>
            <w:tcW w:w="7540" w:type="dxa"/>
            <w:tcBorders>
              <w:top w:val="single" w:sz="4" w:space="0" w:color="auto"/>
              <w:left w:val="nil"/>
              <w:bottom w:val="single" w:sz="4" w:space="0" w:color="auto"/>
              <w:right w:val="single" w:sz="4" w:space="0" w:color="auto"/>
            </w:tcBorders>
            <w:shd w:val="clear" w:color="000000" w:fill="FFFFFF"/>
            <w:hideMark/>
          </w:tcPr>
          <w:p w14:paraId="678BFF74"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means any one, or combination of, medicines, ancillaries and equipment supplied to the Patient by the Supplier.</w:t>
            </w:r>
          </w:p>
        </w:tc>
      </w:tr>
      <w:tr w:rsidR="00ED79D3" w:rsidRPr="00A362AC" w14:paraId="7834A910" w14:textId="77777777" w:rsidTr="0082068F">
        <w:trPr>
          <w:trHeight w:val="600"/>
        </w:trPr>
        <w:tc>
          <w:tcPr>
            <w:tcW w:w="2689" w:type="dxa"/>
            <w:tcBorders>
              <w:top w:val="single" w:sz="4" w:space="0" w:color="auto"/>
              <w:left w:val="single" w:sz="4" w:space="0" w:color="auto"/>
              <w:bottom w:val="single" w:sz="4" w:space="0" w:color="auto"/>
              <w:right w:val="single" w:sz="4" w:space="0" w:color="auto"/>
            </w:tcBorders>
            <w:shd w:val="clear" w:color="000000" w:fill="FFFFFF"/>
            <w:noWrap/>
            <w:hideMark/>
          </w:tcPr>
          <w:p w14:paraId="60623833" w14:textId="227F240E" w:rsidR="00ED79D3" w:rsidRPr="00A362AC" w:rsidRDefault="00CB2E23" w:rsidP="00D803A8">
            <w:pPr>
              <w:spacing w:before="0" w:line="240" w:lineRule="auto"/>
              <w:ind w:left="0"/>
              <w:rPr>
                <w:rFonts w:eastAsia="Times New Roman"/>
                <w:sz w:val="22"/>
                <w:szCs w:val="22"/>
                <w:lang w:eastAsia="en-GB"/>
              </w:rPr>
            </w:pPr>
            <w:r w:rsidRPr="00A362AC">
              <w:rPr>
                <w:rFonts w:eastAsia="Times New Roman"/>
                <w:sz w:val="22"/>
                <w:szCs w:val="22"/>
                <w:lang w:eastAsia="en-GB"/>
              </w:rPr>
              <w:t>Participating</w:t>
            </w:r>
            <w:r w:rsidR="00ED79D3" w:rsidRPr="00A362AC">
              <w:rPr>
                <w:rFonts w:eastAsia="Times New Roman"/>
                <w:sz w:val="22"/>
                <w:szCs w:val="22"/>
                <w:lang w:eastAsia="en-GB"/>
              </w:rPr>
              <w:t xml:space="preserve"> Authority </w:t>
            </w:r>
          </w:p>
        </w:tc>
        <w:tc>
          <w:tcPr>
            <w:tcW w:w="7540" w:type="dxa"/>
            <w:tcBorders>
              <w:top w:val="single" w:sz="4" w:space="0" w:color="auto"/>
              <w:left w:val="single" w:sz="4" w:space="0" w:color="auto"/>
              <w:bottom w:val="single" w:sz="4" w:space="0" w:color="auto"/>
              <w:right w:val="single" w:sz="4" w:space="0" w:color="auto"/>
            </w:tcBorders>
            <w:shd w:val="clear" w:color="000000" w:fill="FFFFFF"/>
            <w:hideMark/>
          </w:tcPr>
          <w:p w14:paraId="3312EDAC" w14:textId="72CCD37D"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 xml:space="preserve">the framework agreement owner (as applicable) or organisation letting the contract in the event of a standalone contract. </w:t>
            </w:r>
            <w:r w:rsidRPr="00A362AC">
              <w:rPr>
                <w:rFonts w:eastAsia="Times New Roman"/>
                <w:sz w:val="22"/>
                <w:szCs w:val="22"/>
                <w:lang w:eastAsia="en-GB"/>
              </w:rPr>
              <w:br/>
              <w:t>the Trust or other organisation</w:t>
            </w:r>
            <w:r w:rsidRPr="00A362AC">
              <w:rPr>
                <w:rFonts w:eastAsia="Times New Roman"/>
                <w:sz w:val="22"/>
                <w:szCs w:val="22"/>
                <w:lang w:eastAsia="en-GB"/>
              </w:rPr>
              <w:br/>
              <w:t xml:space="preserve">that is </w:t>
            </w:r>
            <w:r w:rsidR="00CB2E23" w:rsidRPr="00A362AC">
              <w:rPr>
                <w:rFonts w:eastAsia="Times New Roman"/>
                <w:sz w:val="22"/>
                <w:szCs w:val="22"/>
                <w:lang w:eastAsia="en-GB"/>
              </w:rPr>
              <w:t>Participating</w:t>
            </w:r>
            <w:r w:rsidRPr="00A362AC">
              <w:rPr>
                <w:rFonts w:eastAsia="Times New Roman"/>
                <w:sz w:val="22"/>
                <w:szCs w:val="22"/>
                <w:lang w:eastAsia="en-GB"/>
              </w:rPr>
              <w:t xml:space="preserve"> the homecare service for its patients.</w:t>
            </w:r>
          </w:p>
        </w:tc>
      </w:tr>
      <w:tr w:rsidR="00ED79D3" w:rsidRPr="00A362AC" w14:paraId="37B99618" w14:textId="77777777" w:rsidTr="0082068F">
        <w:trPr>
          <w:trHeight w:val="53"/>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14:paraId="1746B2E4"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lastRenderedPageBreak/>
              <w:t xml:space="preserve">Serious Adverse Drug Reaction </w:t>
            </w:r>
          </w:p>
        </w:tc>
        <w:tc>
          <w:tcPr>
            <w:tcW w:w="7540" w:type="dxa"/>
            <w:tcBorders>
              <w:top w:val="single" w:sz="4" w:space="0" w:color="auto"/>
              <w:left w:val="single" w:sz="4" w:space="0" w:color="auto"/>
              <w:bottom w:val="single" w:sz="4" w:space="0" w:color="auto"/>
              <w:right w:val="single" w:sz="4" w:space="0" w:color="auto"/>
            </w:tcBorders>
            <w:shd w:val="clear" w:color="auto" w:fill="auto"/>
            <w:hideMark/>
          </w:tcPr>
          <w:p w14:paraId="0E4993D9"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an adverse drug</w:t>
            </w:r>
            <w:r w:rsidRPr="00A362AC">
              <w:rPr>
                <w:rFonts w:eastAsia="Times New Roman"/>
                <w:sz w:val="22"/>
                <w:szCs w:val="22"/>
                <w:lang w:eastAsia="en-GB"/>
              </w:rPr>
              <w:br/>
              <w:t>reaction that is fatal, life-threatening, disabling, incapacitating, result in congenital abnormalities; and results in or prolong hospitalisation.</w:t>
            </w:r>
          </w:p>
        </w:tc>
      </w:tr>
      <w:tr w:rsidR="00ED79D3" w:rsidRPr="00A362AC" w14:paraId="5DB58734" w14:textId="77777777" w:rsidTr="0082068F">
        <w:trPr>
          <w:trHeight w:val="475"/>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14:paraId="65BFDB47"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Service Activation including service re-activation</w:t>
            </w:r>
          </w:p>
        </w:tc>
        <w:tc>
          <w:tcPr>
            <w:tcW w:w="7540" w:type="dxa"/>
            <w:tcBorders>
              <w:top w:val="single" w:sz="4" w:space="0" w:color="auto"/>
              <w:left w:val="nil"/>
              <w:bottom w:val="single" w:sz="4" w:space="0" w:color="auto"/>
              <w:right w:val="single" w:sz="4" w:space="0" w:color="auto"/>
            </w:tcBorders>
            <w:shd w:val="clear" w:color="auto" w:fill="auto"/>
            <w:hideMark/>
          </w:tcPr>
          <w:p w14:paraId="0C4C145A"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means the point at which all valid registration details have been received by the Supplier and first attempt to contact the patient to make the supply of Products is complete</w:t>
            </w:r>
          </w:p>
        </w:tc>
      </w:tr>
      <w:tr w:rsidR="00ED79D3" w:rsidRPr="00A362AC" w14:paraId="037673F7" w14:textId="77777777" w:rsidTr="009A4A68">
        <w:trPr>
          <w:trHeight w:val="58"/>
        </w:trPr>
        <w:tc>
          <w:tcPr>
            <w:tcW w:w="2689" w:type="dxa"/>
            <w:tcBorders>
              <w:top w:val="nil"/>
              <w:left w:val="single" w:sz="4" w:space="0" w:color="auto"/>
              <w:bottom w:val="single" w:sz="4" w:space="0" w:color="auto"/>
              <w:right w:val="single" w:sz="4" w:space="0" w:color="auto"/>
            </w:tcBorders>
            <w:shd w:val="clear" w:color="auto" w:fill="auto"/>
            <w:noWrap/>
            <w:hideMark/>
          </w:tcPr>
          <w:p w14:paraId="1810ACCF"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Service Level Agreement</w:t>
            </w:r>
          </w:p>
        </w:tc>
        <w:tc>
          <w:tcPr>
            <w:tcW w:w="7540" w:type="dxa"/>
            <w:tcBorders>
              <w:top w:val="nil"/>
              <w:left w:val="nil"/>
              <w:bottom w:val="single" w:sz="4" w:space="0" w:color="auto"/>
              <w:right w:val="single" w:sz="4" w:space="0" w:color="auto"/>
            </w:tcBorders>
            <w:shd w:val="clear" w:color="auto" w:fill="auto"/>
            <w:hideMark/>
          </w:tcPr>
          <w:p w14:paraId="52C24FA6" w14:textId="70E1027C"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 xml:space="preserve">means an agreement between the Supplier and the </w:t>
            </w:r>
            <w:r w:rsidR="00CB2E23" w:rsidRPr="00A362AC">
              <w:rPr>
                <w:rFonts w:eastAsia="Times New Roman"/>
                <w:sz w:val="22"/>
                <w:szCs w:val="22"/>
                <w:lang w:eastAsia="en-GB"/>
              </w:rPr>
              <w:t>Participating</w:t>
            </w:r>
            <w:r w:rsidRPr="00A362AC">
              <w:rPr>
                <w:rFonts w:eastAsia="Times New Roman"/>
                <w:sz w:val="22"/>
                <w:szCs w:val="22"/>
                <w:lang w:eastAsia="en-GB"/>
              </w:rPr>
              <w:t xml:space="preserve"> Authority in accordance with the terms of an overarching framework agreement.</w:t>
            </w:r>
          </w:p>
        </w:tc>
      </w:tr>
      <w:tr w:rsidR="00ED79D3" w:rsidRPr="00A362AC" w14:paraId="4A61C7C6" w14:textId="77777777" w:rsidTr="00ED79D3">
        <w:trPr>
          <w:trHeight w:val="600"/>
        </w:trPr>
        <w:tc>
          <w:tcPr>
            <w:tcW w:w="2689" w:type="dxa"/>
            <w:tcBorders>
              <w:top w:val="nil"/>
              <w:left w:val="single" w:sz="4" w:space="0" w:color="auto"/>
              <w:bottom w:val="single" w:sz="4" w:space="0" w:color="auto"/>
              <w:right w:val="single" w:sz="4" w:space="0" w:color="auto"/>
            </w:tcBorders>
            <w:shd w:val="clear" w:color="000000" w:fill="FFFFFF"/>
            <w:noWrap/>
            <w:hideMark/>
          </w:tcPr>
          <w:p w14:paraId="724B8A58"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 xml:space="preserve">Service Level Summary </w:t>
            </w:r>
          </w:p>
        </w:tc>
        <w:tc>
          <w:tcPr>
            <w:tcW w:w="7540" w:type="dxa"/>
            <w:tcBorders>
              <w:top w:val="nil"/>
              <w:left w:val="nil"/>
              <w:bottom w:val="single" w:sz="4" w:space="0" w:color="auto"/>
              <w:right w:val="single" w:sz="4" w:space="0" w:color="auto"/>
            </w:tcBorders>
            <w:shd w:val="clear" w:color="000000" w:fill="FFFFFF"/>
            <w:hideMark/>
          </w:tcPr>
          <w:p w14:paraId="570733F9" w14:textId="5FAA6069"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 xml:space="preserve">document outlining the services and service levels a Supplier has agreed to provide for a </w:t>
            </w:r>
            <w:r w:rsidR="00CB2E23" w:rsidRPr="00A362AC">
              <w:rPr>
                <w:rFonts w:eastAsia="Times New Roman"/>
                <w:sz w:val="22"/>
                <w:szCs w:val="22"/>
                <w:lang w:eastAsia="en-GB"/>
              </w:rPr>
              <w:t>Participating</w:t>
            </w:r>
            <w:r w:rsidRPr="00A362AC">
              <w:rPr>
                <w:rFonts w:eastAsia="Times New Roman"/>
                <w:sz w:val="22"/>
                <w:szCs w:val="22"/>
                <w:lang w:eastAsia="en-GB"/>
              </w:rPr>
              <w:t xml:space="preserve"> authority during a formal tender process. This document is for information only and does not form part of the contractual relationship between the parties.</w:t>
            </w:r>
          </w:p>
        </w:tc>
      </w:tr>
      <w:tr w:rsidR="00ED79D3" w:rsidRPr="00A362AC" w14:paraId="2BAB0EEA" w14:textId="77777777" w:rsidTr="009A4A68">
        <w:trPr>
          <w:trHeight w:val="293"/>
        </w:trPr>
        <w:tc>
          <w:tcPr>
            <w:tcW w:w="2689" w:type="dxa"/>
            <w:tcBorders>
              <w:top w:val="nil"/>
              <w:left w:val="single" w:sz="4" w:space="0" w:color="auto"/>
              <w:bottom w:val="single" w:sz="4" w:space="0" w:color="auto"/>
              <w:right w:val="single" w:sz="4" w:space="0" w:color="auto"/>
            </w:tcBorders>
            <w:shd w:val="clear" w:color="auto" w:fill="auto"/>
            <w:noWrap/>
            <w:hideMark/>
          </w:tcPr>
          <w:p w14:paraId="2439DB7C"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Services</w:t>
            </w:r>
          </w:p>
        </w:tc>
        <w:tc>
          <w:tcPr>
            <w:tcW w:w="7540" w:type="dxa"/>
            <w:tcBorders>
              <w:top w:val="nil"/>
              <w:left w:val="nil"/>
              <w:bottom w:val="single" w:sz="4" w:space="0" w:color="auto"/>
              <w:right w:val="single" w:sz="4" w:space="0" w:color="auto"/>
            </w:tcBorders>
            <w:shd w:val="clear" w:color="auto" w:fill="auto"/>
            <w:hideMark/>
          </w:tcPr>
          <w:p w14:paraId="5AA5F4BE" w14:textId="77777777" w:rsidR="00ED79D3" w:rsidRPr="00A362AC" w:rsidRDefault="00ED79D3" w:rsidP="009A4A68">
            <w:pPr>
              <w:spacing w:before="0" w:line="240" w:lineRule="auto"/>
              <w:ind w:left="0"/>
              <w:rPr>
                <w:rFonts w:eastAsia="Times New Roman"/>
                <w:sz w:val="22"/>
                <w:szCs w:val="22"/>
                <w:lang w:eastAsia="en-GB"/>
              </w:rPr>
            </w:pPr>
            <w:r w:rsidRPr="00A362AC">
              <w:rPr>
                <w:rFonts w:eastAsia="Times New Roman"/>
                <w:sz w:val="22"/>
                <w:szCs w:val="22"/>
                <w:lang w:eastAsia="en-GB"/>
              </w:rPr>
              <w:t>means the services outlined in this specification including non-clinical and clinical.</w:t>
            </w:r>
          </w:p>
        </w:tc>
      </w:tr>
      <w:tr w:rsidR="00ED79D3" w:rsidRPr="00A362AC" w14:paraId="38384701" w14:textId="77777777" w:rsidTr="00ED79D3">
        <w:trPr>
          <w:trHeight w:val="300"/>
        </w:trPr>
        <w:tc>
          <w:tcPr>
            <w:tcW w:w="2689" w:type="dxa"/>
            <w:tcBorders>
              <w:top w:val="nil"/>
              <w:left w:val="single" w:sz="4" w:space="0" w:color="auto"/>
              <w:bottom w:val="single" w:sz="4" w:space="0" w:color="auto"/>
              <w:right w:val="single" w:sz="4" w:space="0" w:color="auto"/>
            </w:tcBorders>
            <w:shd w:val="clear" w:color="000000" w:fill="FFFFFF"/>
            <w:noWrap/>
            <w:hideMark/>
          </w:tcPr>
          <w:p w14:paraId="5C680471"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Shared Care</w:t>
            </w:r>
          </w:p>
        </w:tc>
        <w:tc>
          <w:tcPr>
            <w:tcW w:w="7540" w:type="dxa"/>
            <w:tcBorders>
              <w:top w:val="nil"/>
              <w:left w:val="nil"/>
              <w:bottom w:val="single" w:sz="4" w:space="0" w:color="auto"/>
              <w:right w:val="single" w:sz="4" w:space="0" w:color="auto"/>
            </w:tcBorders>
            <w:shd w:val="clear" w:color="000000" w:fill="FFFFFF"/>
            <w:hideMark/>
          </w:tcPr>
          <w:p w14:paraId="1D7F504C" w14:textId="4F1B7DDC"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for the purposes of this specification this term is used to describe the joint participation of multiple organisations in the planned delivery of care for patients informed by an enhanced information exchange over and above routine discharge and referral letters. The lead healthcare professional with clinical responsibility for the patient is defined, normally within the Individual Patient Care Plan, and understood by each healthcare professional involved in the provision of the shared care. Each healthcare professional involved in delivering the care has a professional duty of care to the patient. This involves taking responsibility for their own actions, ensuring relevant information arising from their actions is shared with other healthcare professionals involved in the patient’s care, and ensuring they have access to relevant clinical information shared by other healthcare professionals and using that information to inform their professional decisions about the patient’s care.</w:t>
            </w:r>
          </w:p>
        </w:tc>
      </w:tr>
      <w:tr w:rsidR="00ED79D3" w:rsidRPr="00A362AC" w14:paraId="09EEA569" w14:textId="77777777" w:rsidTr="009A4A68">
        <w:trPr>
          <w:trHeight w:val="195"/>
        </w:trPr>
        <w:tc>
          <w:tcPr>
            <w:tcW w:w="2689" w:type="dxa"/>
            <w:tcBorders>
              <w:top w:val="nil"/>
              <w:left w:val="single" w:sz="4" w:space="0" w:color="auto"/>
              <w:bottom w:val="single" w:sz="4" w:space="0" w:color="auto"/>
              <w:right w:val="single" w:sz="4" w:space="0" w:color="auto"/>
            </w:tcBorders>
            <w:shd w:val="clear" w:color="auto" w:fill="auto"/>
            <w:noWrap/>
            <w:hideMark/>
          </w:tcPr>
          <w:p w14:paraId="6208D192"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Socially Clean</w:t>
            </w:r>
          </w:p>
        </w:tc>
        <w:tc>
          <w:tcPr>
            <w:tcW w:w="7540" w:type="dxa"/>
            <w:tcBorders>
              <w:top w:val="nil"/>
              <w:left w:val="nil"/>
              <w:bottom w:val="single" w:sz="4" w:space="0" w:color="auto"/>
              <w:right w:val="single" w:sz="4" w:space="0" w:color="auto"/>
            </w:tcBorders>
            <w:shd w:val="clear" w:color="000000" w:fill="FFFFFF"/>
            <w:hideMark/>
          </w:tcPr>
          <w:p w14:paraId="075CB093"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clean to a socially acceptable standard for personal hygiene purposes but not disinfected nor sterilised.</w:t>
            </w:r>
          </w:p>
        </w:tc>
      </w:tr>
      <w:tr w:rsidR="00ED79D3" w:rsidRPr="00A362AC" w14:paraId="70067B31" w14:textId="77777777" w:rsidTr="00ED79D3">
        <w:trPr>
          <w:trHeight w:val="600"/>
        </w:trPr>
        <w:tc>
          <w:tcPr>
            <w:tcW w:w="2689" w:type="dxa"/>
            <w:tcBorders>
              <w:top w:val="nil"/>
              <w:left w:val="single" w:sz="4" w:space="0" w:color="auto"/>
              <w:bottom w:val="single" w:sz="4" w:space="0" w:color="auto"/>
              <w:right w:val="single" w:sz="4" w:space="0" w:color="auto"/>
            </w:tcBorders>
            <w:shd w:val="clear" w:color="000000" w:fill="FFFFFF"/>
            <w:hideMark/>
          </w:tcPr>
          <w:p w14:paraId="234C74DA"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Specified Medicines Ancillaries and Equipment</w:t>
            </w:r>
          </w:p>
        </w:tc>
        <w:tc>
          <w:tcPr>
            <w:tcW w:w="7540" w:type="dxa"/>
            <w:tcBorders>
              <w:top w:val="nil"/>
              <w:left w:val="nil"/>
              <w:bottom w:val="single" w:sz="4" w:space="0" w:color="auto"/>
              <w:right w:val="single" w:sz="4" w:space="0" w:color="auto"/>
            </w:tcBorders>
            <w:shd w:val="clear" w:color="000000" w:fill="FFFFFF"/>
            <w:hideMark/>
          </w:tcPr>
          <w:p w14:paraId="472BA284"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Any product included in the relevant medicines, ancillary or equipment lists</w:t>
            </w:r>
          </w:p>
        </w:tc>
      </w:tr>
      <w:tr w:rsidR="00ED79D3" w:rsidRPr="00A362AC" w14:paraId="08F87CB0" w14:textId="77777777" w:rsidTr="007E09E8">
        <w:trPr>
          <w:trHeight w:val="58"/>
        </w:trPr>
        <w:tc>
          <w:tcPr>
            <w:tcW w:w="2689" w:type="dxa"/>
            <w:tcBorders>
              <w:top w:val="nil"/>
              <w:left w:val="single" w:sz="4" w:space="0" w:color="auto"/>
              <w:bottom w:val="single" w:sz="4" w:space="0" w:color="auto"/>
              <w:right w:val="single" w:sz="4" w:space="0" w:color="auto"/>
            </w:tcBorders>
            <w:shd w:val="clear" w:color="000000" w:fill="FFFFFF"/>
            <w:hideMark/>
          </w:tcPr>
          <w:p w14:paraId="43B0ED74"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Supplier</w:t>
            </w:r>
          </w:p>
        </w:tc>
        <w:tc>
          <w:tcPr>
            <w:tcW w:w="7540" w:type="dxa"/>
            <w:tcBorders>
              <w:top w:val="nil"/>
              <w:left w:val="nil"/>
              <w:bottom w:val="single" w:sz="4" w:space="0" w:color="auto"/>
              <w:right w:val="single" w:sz="4" w:space="0" w:color="auto"/>
            </w:tcBorders>
            <w:shd w:val="clear" w:color="000000" w:fill="FFFFFF"/>
            <w:hideMark/>
          </w:tcPr>
          <w:p w14:paraId="75924F48" w14:textId="3B6EA9A8"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 xml:space="preserve">the primary contractor who enters into an agreement with the </w:t>
            </w:r>
            <w:r w:rsidR="00CB2E23" w:rsidRPr="00A362AC">
              <w:rPr>
                <w:rFonts w:eastAsia="Times New Roman"/>
                <w:sz w:val="22"/>
                <w:szCs w:val="22"/>
                <w:lang w:eastAsia="en-GB"/>
              </w:rPr>
              <w:t>Participating</w:t>
            </w:r>
            <w:r w:rsidRPr="00A362AC">
              <w:rPr>
                <w:rFonts w:eastAsia="Times New Roman"/>
                <w:sz w:val="22"/>
                <w:szCs w:val="22"/>
                <w:lang w:eastAsia="en-GB"/>
              </w:rPr>
              <w:t xml:space="preserve"> authority to supply goods and/or services.</w:t>
            </w:r>
          </w:p>
        </w:tc>
      </w:tr>
      <w:tr w:rsidR="00ED79D3" w:rsidRPr="00A362AC" w14:paraId="06A9905B" w14:textId="77777777" w:rsidTr="007E09E8">
        <w:trPr>
          <w:trHeight w:val="900"/>
        </w:trPr>
        <w:tc>
          <w:tcPr>
            <w:tcW w:w="2689" w:type="dxa"/>
            <w:tcBorders>
              <w:top w:val="single" w:sz="4" w:space="0" w:color="auto"/>
              <w:left w:val="single" w:sz="4" w:space="0" w:color="auto"/>
              <w:bottom w:val="single" w:sz="4" w:space="0" w:color="auto"/>
              <w:right w:val="single" w:sz="4" w:space="0" w:color="auto"/>
            </w:tcBorders>
            <w:shd w:val="clear" w:color="000000" w:fill="FFFFFF"/>
            <w:noWrap/>
            <w:hideMark/>
          </w:tcPr>
          <w:p w14:paraId="3FD42568"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Unlicensed medicine (Specials)</w:t>
            </w:r>
          </w:p>
        </w:tc>
        <w:tc>
          <w:tcPr>
            <w:tcW w:w="7540" w:type="dxa"/>
            <w:tcBorders>
              <w:top w:val="single" w:sz="4" w:space="0" w:color="auto"/>
              <w:left w:val="single" w:sz="4" w:space="0" w:color="auto"/>
              <w:bottom w:val="single" w:sz="4" w:space="0" w:color="auto"/>
              <w:right w:val="single" w:sz="4" w:space="0" w:color="auto"/>
            </w:tcBorders>
            <w:shd w:val="clear" w:color="000000" w:fill="FFFFFF"/>
            <w:hideMark/>
          </w:tcPr>
          <w:p w14:paraId="48ABECD5"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Medicines that are exempt from the requirement to hold a marketing authorisation under Regulation 167 of the Human Medicines Regulations 2012 are referred to as Specials. The manufacturer or assembler of Specials must hold a Manufacturer’s “Specials” Licence granted by the MHRA.</w:t>
            </w:r>
            <w:r w:rsidRPr="00A362AC">
              <w:rPr>
                <w:rFonts w:eastAsia="Times New Roman"/>
                <w:sz w:val="22"/>
                <w:szCs w:val="22"/>
                <w:lang w:eastAsia="en-GB"/>
              </w:rPr>
              <w:br/>
              <w:t xml:space="preserve">https://www.gov.uk/government/publications/supply-unlicensed-medicinal-products-specials </w:t>
            </w:r>
          </w:p>
        </w:tc>
      </w:tr>
      <w:tr w:rsidR="00ED79D3" w:rsidRPr="00A362AC" w14:paraId="1FCFCAA8" w14:textId="77777777" w:rsidTr="007E09E8">
        <w:trPr>
          <w:trHeight w:val="468"/>
        </w:trPr>
        <w:tc>
          <w:tcPr>
            <w:tcW w:w="2689" w:type="dxa"/>
            <w:tcBorders>
              <w:top w:val="single" w:sz="4" w:space="0" w:color="auto"/>
              <w:left w:val="single" w:sz="4" w:space="0" w:color="auto"/>
              <w:bottom w:val="single" w:sz="4" w:space="0" w:color="auto"/>
              <w:right w:val="single" w:sz="4" w:space="0" w:color="auto"/>
            </w:tcBorders>
            <w:shd w:val="clear" w:color="000000" w:fill="FFFFFF"/>
            <w:noWrap/>
            <w:hideMark/>
          </w:tcPr>
          <w:p w14:paraId="3213B8E5"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Unspecified Medicines Ancillaries and Equipment</w:t>
            </w:r>
          </w:p>
        </w:tc>
        <w:tc>
          <w:tcPr>
            <w:tcW w:w="7540" w:type="dxa"/>
            <w:tcBorders>
              <w:top w:val="single" w:sz="4" w:space="0" w:color="auto"/>
              <w:left w:val="nil"/>
              <w:bottom w:val="single" w:sz="4" w:space="0" w:color="auto"/>
              <w:right w:val="single" w:sz="4" w:space="0" w:color="auto"/>
            </w:tcBorders>
            <w:shd w:val="clear" w:color="000000" w:fill="FFFFFF"/>
            <w:hideMark/>
          </w:tcPr>
          <w:p w14:paraId="39A8E7C2"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Any product not included in the relevant medicines, ancillary or equipment lists</w:t>
            </w:r>
          </w:p>
        </w:tc>
      </w:tr>
      <w:tr w:rsidR="00ED79D3" w:rsidRPr="00A362AC" w14:paraId="6BD5C5EA" w14:textId="77777777" w:rsidTr="007E09E8">
        <w:trPr>
          <w:trHeight w:val="600"/>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019E45F5"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Wholesale Dealers Licence</w:t>
            </w:r>
          </w:p>
        </w:tc>
        <w:tc>
          <w:tcPr>
            <w:tcW w:w="7540" w:type="dxa"/>
            <w:tcBorders>
              <w:top w:val="single" w:sz="4" w:space="0" w:color="auto"/>
              <w:left w:val="nil"/>
              <w:bottom w:val="single" w:sz="4" w:space="0" w:color="auto"/>
              <w:right w:val="single" w:sz="4" w:space="0" w:color="auto"/>
            </w:tcBorders>
            <w:shd w:val="clear" w:color="000000" w:fill="FFFFFF"/>
            <w:hideMark/>
          </w:tcPr>
          <w:p w14:paraId="2FEE80F3" w14:textId="77777777" w:rsidR="00ED79D3" w:rsidRPr="00A362AC" w:rsidRDefault="00ED79D3" w:rsidP="00D803A8">
            <w:pPr>
              <w:spacing w:before="0" w:line="240" w:lineRule="auto"/>
              <w:ind w:left="0"/>
              <w:rPr>
                <w:rFonts w:eastAsia="Times New Roman"/>
                <w:sz w:val="22"/>
                <w:szCs w:val="22"/>
                <w:lang w:eastAsia="en-GB"/>
              </w:rPr>
            </w:pPr>
            <w:r w:rsidRPr="00A362AC">
              <w:rPr>
                <w:rFonts w:eastAsia="Times New Roman"/>
                <w:sz w:val="22"/>
                <w:szCs w:val="22"/>
                <w:lang w:eastAsia="en-GB"/>
              </w:rPr>
              <w:t xml:space="preserve">Any company or individual wishing to wholesale deal (defined as selling, supplying or procuring to anyone other than the end-user) medicinal products within GB must hold a wholesale dealer's licence (WDA(H)). </w:t>
            </w:r>
          </w:p>
        </w:tc>
      </w:tr>
    </w:tbl>
    <w:p w14:paraId="4271F96F" w14:textId="77777777" w:rsidR="00ED79D3" w:rsidRDefault="00ED79D3" w:rsidP="003D1D4D">
      <w:pPr>
        <w:pStyle w:val="Caption"/>
        <w:ind w:hanging="567"/>
        <w:jc w:val="center"/>
      </w:pPr>
    </w:p>
    <w:p w14:paraId="3D807D44" w14:textId="77777777" w:rsidR="009210D5" w:rsidRPr="005E7316" w:rsidRDefault="009210D5" w:rsidP="003D1D4D">
      <w:pPr>
        <w:pStyle w:val="Heading1"/>
        <w:ind w:hanging="567"/>
      </w:pPr>
      <w:bookmarkStart w:id="1" w:name="_Toc75953670"/>
      <w:bookmarkStart w:id="2" w:name="_Toc75953671"/>
      <w:bookmarkStart w:id="3" w:name="_Toc75953672"/>
      <w:bookmarkStart w:id="4" w:name="_Toc75953682"/>
      <w:bookmarkStart w:id="5" w:name="_Toc75953695"/>
      <w:bookmarkStart w:id="6" w:name="_Toc75953696"/>
      <w:bookmarkStart w:id="7" w:name="_Toc77259094"/>
      <w:bookmarkStart w:id="8" w:name="_Hlk73702096"/>
      <w:bookmarkStart w:id="9" w:name="_Toc77259095"/>
      <w:bookmarkStart w:id="10" w:name="_Hlk73702171"/>
      <w:bookmarkStart w:id="11" w:name="_Hlk75764110"/>
      <w:bookmarkStart w:id="12" w:name="_Hlk73697851"/>
      <w:bookmarkEnd w:id="1"/>
      <w:bookmarkEnd w:id="2"/>
      <w:bookmarkEnd w:id="3"/>
      <w:bookmarkEnd w:id="4"/>
      <w:bookmarkEnd w:id="5"/>
      <w:bookmarkEnd w:id="6"/>
      <w:r w:rsidRPr="00586649">
        <w:lastRenderedPageBreak/>
        <w:t>General</w:t>
      </w:r>
      <w:bookmarkEnd w:id="7"/>
    </w:p>
    <w:bookmarkEnd w:id="8"/>
    <w:p w14:paraId="03D59090" w14:textId="52478637" w:rsidR="00D162CE" w:rsidRDefault="009E4F18" w:rsidP="00DC4DE8">
      <w:pPr>
        <w:pStyle w:val="Heading2"/>
        <w:numPr>
          <w:ilvl w:val="0"/>
          <w:numId w:val="10"/>
        </w:numPr>
      </w:pPr>
      <w:r w:rsidRPr="00586649">
        <w:t xml:space="preserve">Overall </w:t>
      </w:r>
      <w:r w:rsidRPr="0089359B">
        <w:t>Service</w:t>
      </w:r>
      <w:bookmarkEnd w:id="9"/>
    </w:p>
    <w:p w14:paraId="518A1111" w14:textId="1D59F8F4" w:rsidR="00893F04" w:rsidRPr="00893F04" w:rsidRDefault="00893F04" w:rsidP="003D1D4D">
      <w:pPr>
        <w:pStyle w:val="Heading3"/>
        <w:ind w:hanging="567"/>
      </w:pPr>
      <w:bookmarkStart w:id="13" w:name="_Hlk75764000"/>
      <w:bookmarkStart w:id="14" w:name="_Hlk75764059"/>
      <w:bookmarkStart w:id="15" w:name="_Hlk73702233"/>
      <w:bookmarkEnd w:id="10"/>
      <w:r w:rsidRPr="00893F04">
        <w:t>The requirements detailed in this specification are in addition to the NHS Framework Agreement for the Supply of Goods and the Provision of Services - Framework (Homecare Medicines</w:t>
      </w:r>
      <w:r w:rsidR="00464A8C">
        <w:t xml:space="preserve"> - YHPPC</w:t>
      </w:r>
      <w:r w:rsidRPr="00893F04">
        <w:t xml:space="preserve">) </w:t>
      </w:r>
    </w:p>
    <w:p w14:paraId="73B3B3D2" w14:textId="244A9DDD" w:rsidR="00511BE7" w:rsidRPr="00893F04" w:rsidRDefault="00184584" w:rsidP="003D1D4D">
      <w:pPr>
        <w:pStyle w:val="Heading3"/>
        <w:ind w:hanging="567"/>
      </w:pPr>
      <w:r w:rsidRPr="00893F04">
        <w:t xml:space="preserve">The Medicines Homecare Pathway(s) </w:t>
      </w:r>
      <w:bookmarkEnd w:id="13"/>
      <w:bookmarkEnd w:id="14"/>
      <w:r w:rsidR="00DC4DE8">
        <w:t>will be provided by Participating Authorities at point of Contract implementation.</w:t>
      </w:r>
    </w:p>
    <w:bookmarkEnd w:id="11"/>
    <w:bookmarkEnd w:id="12"/>
    <w:bookmarkEnd w:id="15"/>
    <w:p w14:paraId="0C78E78D" w14:textId="11C08DB8" w:rsidR="00D23494" w:rsidRPr="00893F04" w:rsidRDefault="00D23494" w:rsidP="003D1D4D">
      <w:pPr>
        <w:pStyle w:val="Heading3"/>
        <w:ind w:hanging="567"/>
      </w:pPr>
      <w:r w:rsidRPr="00893F04">
        <w:t xml:space="preserve">Suppliers will work in partnership with the </w:t>
      </w:r>
      <w:bookmarkStart w:id="16" w:name="_Hlk122012095"/>
      <w:r w:rsidR="00CB2E23">
        <w:t>Participating</w:t>
      </w:r>
      <w:r w:rsidRPr="00893F04">
        <w:t xml:space="preserve"> Authority </w:t>
      </w:r>
      <w:bookmarkEnd w:id="16"/>
      <w:r w:rsidRPr="00893F04">
        <w:t>to ensure:</w:t>
      </w:r>
    </w:p>
    <w:p w14:paraId="70DCF70A" w14:textId="77777777" w:rsidR="00D23494" w:rsidRPr="00893F04" w:rsidRDefault="00D23494" w:rsidP="00DC4DE8">
      <w:pPr>
        <w:pStyle w:val="ListParagraph"/>
        <w:ind w:hanging="567"/>
      </w:pPr>
      <w:r w:rsidRPr="00893F04">
        <w:t>Patient safety</w:t>
      </w:r>
    </w:p>
    <w:p w14:paraId="28B44DFC" w14:textId="77777777" w:rsidR="00893F04" w:rsidRPr="00893F04" w:rsidRDefault="00D23494" w:rsidP="00DC4DE8">
      <w:pPr>
        <w:pStyle w:val="ListParagraph"/>
        <w:ind w:hanging="567"/>
      </w:pPr>
      <w:r w:rsidRPr="00893F04">
        <w:t>Best possible clinical outcomes</w:t>
      </w:r>
    </w:p>
    <w:p w14:paraId="3260A972" w14:textId="3735DEE2" w:rsidR="00D23494" w:rsidRPr="00893F04" w:rsidRDefault="00D23494" w:rsidP="00DC4DE8">
      <w:pPr>
        <w:pStyle w:val="ListParagraph"/>
        <w:ind w:hanging="567"/>
      </w:pPr>
      <w:r w:rsidRPr="00893F04">
        <w:t>Patient satisfaction</w:t>
      </w:r>
    </w:p>
    <w:p w14:paraId="415141D2" w14:textId="409F64DB" w:rsidR="00D23494" w:rsidRPr="00893F04" w:rsidRDefault="00D23494" w:rsidP="00DC4DE8">
      <w:pPr>
        <w:pStyle w:val="ListParagraph"/>
        <w:ind w:hanging="567"/>
      </w:pPr>
      <w:r w:rsidRPr="00893F04">
        <w:t xml:space="preserve">Minimal additional costs to the </w:t>
      </w:r>
      <w:r w:rsidR="00CB2E23">
        <w:t>Participating</w:t>
      </w:r>
      <w:r w:rsidR="000D0B76" w:rsidRPr="00893F04">
        <w:t xml:space="preserve"> Authority </w:t>
      </w:r>
      <w:r w:rsidRPr="00893F04">
        <w:t>as a publicly funded body.</w:t>
      </w:r>
    </w:p>
    <w:p w14:paraId="53B8EFCE" w14:textId="6C5B223A" w:rsidR="00D23494" w:rsidRPr="00893F04" w:rsidRDefault="00893F04" w:rsidP="003D1D4D">
      <w:pPr>
        <w:pStyle w:val="Heading3"/>
        <w:ind w:hanging="567"/>
      </w:pPr>
      <w:r w:rsidRPr="00893F04">
        <w:t>In addition</w:t>
      </w:r>
      <w:r w:rsidR="00D23494" w:rsidRPr="00893F04">
        <w:t xml:space="preserve"> prescribed treatments are delivered in accordance with:</w:t>
      </w:r>
    </w:p>
    <w:p w14:paraId="78D496FC" w14:textId="3C0B4F20" w:rsidR="00D23494" w:rsidRPr="00893F04" w:rsidRDefault="00D23494" w:rsidP="00DC4DE8">
      <w:pPr>
        <w:pStyle w:val="ListParagraph"/>
        <w:ind w:hanging="567"/>
      </w:pPr>
      <w:r w:rsidRPr="00893F04">
        <w:t>the Medicines Homecare Pathway</w:t>
      </w:r>
    </w:p>
    <w:p w14:paraId="1888C29A" w14:textId="353F9317" w:rsidR="009F5208" w:rsidRPr="00893F04" w:rsidRDefault="00D23494" w:rsidP="00DC4DE8">
      <w:pPr>
        <w:pStyle w:val="ListParagraph"/>
        <w:ind w:hanging="567"/>
      </w:pPr>
      <w:r w:rsidRPr="00893F04">
        <w:t>Individual Patient Care Plan and Equality and Diversity policy if special needs have been identified</w:t>
      </w:r>
    </w:p>
    <w:p w14:paraId="1FBA0B27" w14:textId="1F6FA139" w:rsidR="00D23494" w:rsidRPr="00893F04" w:rsidRDefault="00D23494" w:rsidP="00DC4DE8">
      <w:pPr>
        <w:pStyle w:val="ListParagraph"/>
        <w:ind w:hanging="567"/>
      </w:pPr>
      <w:r w:rsidRPr="00893F04">
        <w:t>any written instructions from the clinician responsible for the patient's treatment.</w:t>
      </w:r>
    </w:p>
    <w:p w14:paraId="010C671A" w14:textId="50686C78" w:rsidR="00E02D31" w:rsidRPr="00893F04" w:rsidRDefault="00E02D31" w:rsidP="003D1D4D">
      <w:pPr>
        <w:pStyle w:val="Heading3"/>
        <w:ind w:hanging="567"/>
      </w:pPr>
      <w:r w:rsidRPr="00893F04">
        <w:t xml:space="preserve">The Supplier's normal working hours (hours of service provision) must match or exceed Monday to Friday </w:t>
      </w:r>
      <w:r w:rsidR="00DF4720" w:rsidRPr="00893F04">
        <w:t xml:space="preserve"> </w:t>
      </w:r>
      <w:r w:rsidRPr="00893F04">
        <w:t>09:00hrs - 17</w:t>
      </w:r>
      <w:r w:rsidR="005D5A1D">
        <w:t>:</w:t>
      </w:r>
      <w:r w:rsidRPr="00893F04">
        <w:t>30hrs excluding bank holidays.</w:t>
      </w:r>
    </w:p>
    <w:p w14:paraId="2972B39D" w14:textId="135DCBF1" w:rsidR="00893F04" w:rsidRPr="00893F04" w:rsidRDefault="005F2254" w:rsidP="003D1D4D">
      <w:pPr>
        <w:pStyle w:val="Heading3"/>
        <w:ind w:hanging="567"/>
      </w:pPr>
      <w:r w:rsidRPr="00893F04">
        <w:t>The frequency of deliveries depends on the treatment</w:t>
      </w:r>
      <w:r w:rsidR="00893F04" w:rsidRPr="00893F04">
        <w:t xml:space="preserve"> and individual patient</w:t>
      </w:r>
      <w:r w:rsidR="001F6165">
        <w:t xml:space="preserve"> in accordance with the Medicines Homecare Pathway</w:t>
      </w:r>
      <w:r w:rsidR="00893F04" w:rsidRPr="00893F04">
        <w:t>.  Delivery frequencies available under this framework will be provided in the commercial schedule</w:t>
      </w:r>
      <w:r w:rsidRPr="00893F04">
        <w:t xml:space="preserve">. </w:t>
      </w:r>
      <w:r w:rsidR="00893F04" w:rsidRPr="00893F04">
        <w:t>The delivery cycle required will be specified on the prescription.</w:t>
      </w:r>
      <w:r w:rsidR="005538E8">
        <w:t xml:space="preserve">  </w:t>
      </w:r>
      <w:r w:rsidR="005538E8" w:rsidRPr="005538E8">
        <w:t xml:space="preserve"> Should deliveries be required more or less frequently, the Supplier will be notified by the </w:t>
      </w:r>
      <w:r w:rsidR="00CB2E23">
        <w:t>Participating</w:t>
      </w:r>
      <w:r w:rsidR="005538E8" w:rsidRPr="005538E8">
        <w:t xml:space="preserve"> Authority.</w:t>
      </w:r>
    </w:p>
    <w:p w14:paraId="0ED13064" w14:textId="5270A7F0" w:rsidR="008766AE" w:rsidRPr="00893F04" w:rsidRDefault="008766AE" w:rsidP="003D1D4D">
      <w:pPr>
        <w:pStyle w:val="Heading3"/>
        <w:ind w:hanging="567"/>
      </w:pPr>
      <w:r w:rsidRPr="00893F04">
        <w:t>Deliveries should be arranged at times acceptable to the patient</w:t>
      </w:r>
      <w:r w:rsidR="005D5A1D">
        <w:t xml:space="preserve">s </w:t>
      </w:r>
      <w:r w:rsidRPr="00893F04">
        <w:t>and with minimum disruption to the patient work/life balance.</w:t>
      </w:r>
    </w:p>
    <w:p w14:paraId="01083207" w14:textId="07C0BAE5" w:rsidR="00893F04" w:rsidRPr="00893F04" w:rsidRDefault="003575EA" w:rsidP="003D1D4D">
      <w:pPr>
        <w:pStyle w:val="Heading3"/>
        <w:ind w:hanging="567"/>
      </w:pPr>
      <w:r w:rsidRPr="00893F04">
        <w:t xml:space="preserve">As specified </w:t>
      </w:r>
      <w:r w:rsidR="005F2254" w:rsidRPr="00893F04">
        <w:t xml:space="preserve">in the Agreement where sub-contractors are used either routinely or for contingencies for the provision of products and service, all requirements within this specification will be extended to the sub-contractor's organisation and staff.  It is the responsibility of the Supplier to provide evidence that all sub-contractors meet these requirements and to inform the </w:t>
      </w:r>
      <w:r w:rsidR="00CB2E23">
        <w:t>Participating</w:t>
      </w:r>
      <w:r w:rsidR="005F2254" w:rsidRPr="00893F04">
        <w:t xml:space="preserve"> Authority of </w:t>
      </w:r>
      <w:proofErr w:type="gramStart"/>
      <w:r w:rsidR="005F2254" w:rsidRPr="00893F04">
        <w:t>any and all</w:t>
      </w:r>
      <w:proofErr w:type="gramEnd"/>
      <w:r w:rsidR="005F2254" w:rsidRPr="00893F04">
        <w:t xml:space="preserve"> intended subcontracted parts of the service.  Suppliers must maintain the list of applicable sub-contractors provided in response to the </w:t>
      </w:r>
      <w:r w:rsidR="005D5A1D">
        <w:t xml:space="preserve">Standard </w:t>
      </w:r>
      <w:r w:rsidR="005F2254" w:rsidRPr="00893F04">
        <w:t>Selection Questionnaire (S</w:t>
      </w:r>
      <w:r w:rsidR="005D5A1D">
        <w:t>S</w:t>
      </w:r>
      <w:r w:rsidR="005F2254" w:rsidRPr="00893F04">
        <w:t xml:space="preserve">Q). </w:t>
      </w:r>
      <w:r w:rsidR="005D5A1D">
        <w:t xml:space="preserve"> </w:t>
      </w:r>
      <w:r w:rsidR="005F2254" w:rsidRPr="00893F04">
        <w:t xml:space="preserve">The list of sub-contractors is subject to change control provisions of this specification including gaining approval from the </w:t>
      </w:r>
      <w:r w:rsidR="00CB2E23">
        <w:t>Participating</w:t>
      </w:r>
      <w:r w:rsidR="005F2254" w:rsidRPr="00893F04">
        <w:t xml:space="preserve"> Authority for any changes.</w:t>
      </w:r>
    </w:p>
    <w:p w14:paraId="031424D0" w14:textId="6083D231" w:rsidR="008766AE" w:rsidRPr="00893F04" w:rsidRDefault="005D5A1D" w:rsidP="003D1D4D">
      <w:pPr>
        <w:pStyle w:val="Heading3"/>
        <w:ind w:hanging="567"/>
      </w:pPr>
      <w:r>
        <w:t>Supplier</w:t>
      </w:r>
      <w:r w:rsidR="008766AE" w:rsidRPr="00893F04">
        <w:t>s must have KPI's in place with all subcontractors</w:t>
      </w:r>
      <w:r w:rsidR="007B40BC">
        <w:t xml:space="preserve">.  </w:t>
      </w:r>
      <w:r w:rsidR="007B40BC" w:rsidRPr="00893F04">
        <w:t>T</w:t>
      </w:r>
      <w:r w:rsidR="007B40BC">
        <w:t>h</w:t>
      </w:r>
      <w:r w:rsidR="008766AE" w:rsidRPr="00893F04">
        <w:t>ese should be regularly reviewed</w:t>
      </w:r>
      <w:r w:rsidR="007B40BC">
        <w:t xml:space="preserve"> and available if requested by Authority or </w:t>
      </w:r>
      <w:r w:rsidR="00CB2E23">
        <w:t>Participating</w:t>
      </w:r>
      <w:r w:rsidR="007B40BC">
        <w:t xml:space="preserve"> Authority</w:t>
      </w:r>
      <w:r w:rsidR="008766AE" w:rsidRPr="00893F04">
        <w:t>.</w:t>
      </w:r>
    </w:p>
    <w:p w14:paraId="26A6CA28" w14:textId="1445A5A7" w:rsidR="009C3D7B" w:rsidRPr="00586649" w:rsidRDefault="009C3D7B" w:rsidP="003D1D4D">
      <w:pPr>
        <w:pStyle w:val="Heading2"/>
        <w:ind w:hanging="567"/>
      </w:pPr>
      <w:bookmarkStart w:id="17" w:name="_Toc75939185"/>
      <w:bookmarkStart w:id="18" w:name="_Toc75944161"/>
      <w:bookmarkStart w:id="19" w:name="_Toc75944227"/>
      <w:bookmarkStart w:id="20" w:name="_Toc75944293"/>
      <w:bookmarkStart w:id="21" w:name="_Toc75953698"/>
      <w:bookmarkStart w:id="22" w:name="_Toc75939186"/>
      <w:bookmarkStart w:id="23" w:name="_Toc75944162"/>
      <w:bookmarkStart w:id="24" w:name="_Toc75944228"/>
      <w:bookmarkStart w:id="25" w:name="_Toc75944294"/>
      <w:bookmarkStart w:id="26" w:name="_Toc75953699"/>
      <w:bookmarkStart w:id="27" w:name="_Toc75939187"/>
      <w:bookmarkStart w:id="28" w:name="_Toc75944163"/>
      <w:bookmarkStart w:id="29" w:name="_Toc75944229"/>
      <w:bookmarkStart w:id="30" w:name="_Toc75944295"/>
      <w:bookmarkStart w:id="31" w:name="_Toc75953700"/>
      <w:bookmarkStart w:id="32" w:name="_Toc75939188"/>
      <w:bookmarkStart w:id="33" w:name="_Toc75944164"/>
      <w:bookmarkStart w:id="34" w:name="_Toc75944230"/>
      <w:bookmarkStart w:id="35" w:name="_Toc75944296"/>
      <w:bookmarkStart w:id="36" w:name="_Toc75953701"/>
      <w:bookmarkStart w:id="37" w:name="_Toc476144477"/>
      <w:bookmarkStart w:id="38" w:name="_Toc7725909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586649">
        <w:t xml:space="preserve">Quality Guidelines and Regulatory </w:t>
      </w:r>
      <w:r w:rsidRPr="005E7316">
        <w:t>Compliance</w:t>
      </w:r>
      <w:bookmarkEnd w:id="37"/>
      <w:bookmarkEnd w:id="38"/>
    </w:p>
    <w:p w14:paraId="59076700" w14:textId="3D7278E4" w:rsidR="00327B23" w:rsidRPr="004F3C0C" w:rsidRDefault="00327B23" w:rsidP="003D1D4D">
      <w:pPr>
        <w:pStyle w:val="Heading3"/>
        <w:ind w:hanging="567"/>
      </w:pPr>
      <w:r w:rsidRPr="004F3C0C">
        <w:t xml:space="preserve">The </w:t>
      </w:r>
      <w:r w:rsidR="00CB2E23">
        <w:t>Participating</w:t>
      </w:r>
      <w:r w:rsidRPr="004F3C0C">
        <w:t xml:space="preserve"> Authority and Supplier will comply with the current Royal Pharmaceutical Society (RPS) Professional Standards for Homecare Services in England and Wales. </w:t>
      </w:r>
      <w:r w:rsidR="005D5A1D">
        <w:t xml:space="preserve"> </w:t>
      </w:r>
      <w:r w:rsidRPr="004F3C0C">
        <w:t xml:space="preserve">To the extent applicable, the Supplier and </w:t>
      </w:r>
      <w:r w:rsidR="00CB2E23">
        <w:t>Participating</w:t>
      </w:r>
      <w:r w:rsidRPr="004F3C0C">
        <w:t xml:space="preserve"> Authority shall comply with all requirements of relevant regulatory bodies e.g. General Pharmaceutical Council, Medicines and Health Regulatory Agency, Care Quality Commission and Nursing and Midwifery Council.</w:t>
      </w:r>
      <w:r w:rsidR="005F2254" w:rsidRPr="004F3C0C">
        <w:t xml:space="preserve"> </w:t>
      </w:r>
      <w:r w:rsidR="005D5A1D">
        <w:t xml:space="preserve"> </w:t>
      </w:r>
      <w:r w:rsidRPr="004F3C0C">
        <w:t xml:space="preserve">Suppliers </w:t>
      </w:r>
      <w:r w:rsidRPr="004F3C0C">
        <w:lastRenderedPageBreak/>
        <w:t>should make use of all applicable national standard, and all NHMC approved, documentation / guidance where available.</w:t>
      </w:r>
    </w:p>
    <w:p w14:paraId="46CA3B3A" w14:textId="0A57FA6F" w:rsidR="003575EA" w:rsidRPr="004F3C0C" w:rsidRDefault="003575EA" w:rsidP="003D1D4D">
      <w:pPr>
        <w:pStyle w:val="Heading3"/>
        <w:ind w:hanging="567"/>
      </w:pPr>
      <w:r w:rsidRPr="004F3C0C">
        <w:t>The Supplier will carry out self-inspections of their quality system at regular intervals and record the results and raise corrective and preventative actions for any non-conformances found.</w:t>
      </w:r>
    </w:p>
    <w:p w14:paraId="761CDFF4" w14:textId="08ED6209" w:rsidR="003575EA" w:rsidRPr="004F3C0C" w:rsidRDefault="003575EA" w:rsidP="003D1D4D">
      <w:pPr>
        <w:pStyle w:val="Heading3"/>
        <w:ind w:hanging="567"/>
      </w:pPr>
      <w:r w:rsidRPr="004F3C0C">
        <w:t xml:space="preserve">The </w:t>
      </w:r>
      <w:r w:rsidR="00CB2E23">
        <w:t>Participating</w:t>
      </w:r>
      <w:r w:rsidR="005F2254" w:rsidRPr="004F3C0C">
        <w:t xml:space="preserve"> Authority retains the right to audit in accordance with the Agreement.</w:t>
      </w:r>
      <w:r w:rsidR="005D5A1D">
        <w:t xml:space="preserve"> </w:t>
      </w:r>
      <w:r w:rsidR="005F2254" w:rsidRPr="004F3C0C">
        <w:t xml:space="preserve"> The Supplier will be given an opportunity to respond to any issues raised by a Compliance Audit.  A Summary of results of Compliance Audits including the Supplier's responses may be shared with other relevant NHS </w:t>
      </w:r>
      <w:r w:rsidR="00CB2E23">
        <w:t>Participating</w:t>
      </w:r>
      <w:r w:rsidR="005F2254" w:rsidRPr="004F3C0C">
        <w:t xml:space="preserve"> Authorities.</w:t>
      </w:r>
    </w:p>
    <w:p w14:paraId="013D825F" w14:textId="57C1D57B" w:rsidR="00730CF4" w:rsidRPr="00586649" w:rsidRDefault="00730CF4" w:rsidP="003D1D4D">
      <w:pPr>
        <w:pStyle w:val="Heading2"/>
        <w:ind w:hanging="567"/>
      </w:pPr>
      <w:bookmarkStart w:id="39" w:name="_Toc75953703"/>
      <w:bookmarkStart w:id="40" w:name="_Toc75939190"/>
      <w:bookmarkStart w:id="41" w:name="_Toc75944166"/>
      <w:bookmarkStart w:id="42" w:name="_Toc75944232"/>
      <w:bookmarkStart w:id="43" w:name="_Toc75944298"/>
      <w:bookmarkStart w:id="44" w:name="_Toc75953704"/>
      <w:bookmarkStart w:id="45" w:name="_Toc75939191"/>
      <w:bookmarkStart w:id="46" w:name="_Toc75944167"/>
      <w:bookmarkStart w:id="47" w:name="_Toc75944233"/>
      <w:bookmarkStart w:id="48" w:name="_Toc75944299"/>
      <w:bookmarkStart w:id="49" w:name="_Toc75953705"/>
      <w:bookmarkStart w:id="50" w:name="_Toc75939192"/>
      <w:bookmarkStart w:id="51" w:name="_Toc75944168"/>
      <w:bookmarkStart w:id="52" w:name="_Toc75944234"/>
      <w:bookmarkStart w:id="53" w:name="_Toc75944300"/>
      <w:bookmarkStart w:id="54" w:name="_Toc75953706"/>
      <w:bookmarkStart w:id="55" w:name="_Toc75939193"/>
      <w:bookmarkStart w:id="56" w:name="_Toc75944169"/>
      <w:bookmarkStart w:id="57" w:name="_Toc75944235"/>
      <w:bookmarkStart w:id="58" w:name="_Toc75944301"/>
      <w:bookmarkStart w:id="59" w:name="_Toc75953707"/>
      <w:bookmarkStart w:id="60" w:name="_Hlk73692382"/>
      <w:bookmarkStart w:id="61" w:name="_Toc77259097"/>
      <w:bookmarkStart w:id="62" w:name="_Hlk73692404"/>
      <w:bookmarkStart w:id="63" w:name="_Hlk73694234"/>
      <w:bookmarkStart w:id="64" w:name="_Hlk73693662"/>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586649">
        <w:t>Selection</w:t>
      </w:r>
      <w:bookmarkEnd w:id="60"/>
      <w:r w:rsidR="003731D3" w:rsidRPr="00586649">
        <w:t>, Registration of Patients and Service Activation</w:t>
      </w:r>
      <w:bookmarkEnd w:id="61"/>
    </w:p>
    <w:p w14:paraId="08666DC9" w14:textId="1F130314" w:rsidR="003575EA" w:rsidRDefault="009E06EF" w:rsidP="003D1D4D">
      <w:pPr>
        <w:pStyle w:val="Heading3"/>
        <w:ind w:hanging="567"/>
      </w:pPr>
      <w:bookmarkStart w:id="65" w:name="_Hlk73694176"/>
      <w:bookmarkStart w:id="66" w:name="_Hlk73697718"/>
      <w:bookmarkEnd w:id="62"/>
      <w:bookmarkEnd w:id="63"/>
      <w:bookmarkEnd w:id="64"/>
      <w:r w:rsidRPr="00875B0E">
        <w:t xml:space="preserve">Patient </w:t>
      </w:r>
      <w:r w:rsidR="00576BFA" w:rsidRPr="00875B0E">
        <w:t>s</w:t>
      </w:r>
      <w:r w:rsidR="005F2254" w:rsidRPr="00875B0E">
        <w:t xml:space="preserve">election is the responsibility of the </w:t>
      </w:r>
      <w:r w:rsidR="00CB2E23">
        <w:t>Participating</w:t>
      </w:r>
      <w:r w:rsidR="005F2254" w:rsidRPr="00875B0E">
        <w:t xml:space="preserve"> Authority.  An initial patient suitability and needs assessment will be carried out by a competent member of staff appointed by the </w:t>
      </w:r>
      <w:r w:rsidR="00CB2E23">
        <w:t>Participating</w:t>
      </w:r>
      <w:r w:rsidR="005F2254" w:rsidRPr="00875B0E">
        <w:t xml:space="preserve"> Authority.</w:t>
      </w:r>
      <w:r w:rsidR="005D5A1D">
        <w:t xml:space="preserve"> </w:t>
      </w:r>
      <w:r w:rsidR="005F2254" w:rsidRPr="00875B0E">
        <w:t xml:space="preserve"> The </w:t>
      </w:r>
      <w:r w:rsidR="00CB2E23">
        <w:t>Participating</w:t>
      </w:r>
      <w:r w:rsidR="005F2254" w:rsidRPr="00875B0E">
        <w:t xml:space="preserve"> Authority will explain the patient's responsibilities and confirm the patient’s motivation and suitability for the homecare service.  This will include appropriate assessment of the patient’s home environment or other</w:t>
      </w:r>
      <w:r w:rsidR="00B230A3" w:rsidRPr="00875B0E">
        <w:t xml:space="preserve"> </w:t>
      </w:r>
      <w:r w:rsidR="005F2254" w:rsidRPr="00875B0E">
        <w:t>location where the services will be delivered and identify any special needs in an individual patient care plan.</w:t>
      </w:r>
    </w:p>
    <w:p w14:paraId="4FE3FD9D" w14:textId="636E2158" w:rsidR="00174F15" w:rsidRPr="00174F15" w:rsidRDefault="00174F15" w:rsidP="00174F15">
      <w:pPr>
        <w:pStyle w:val="Heading3"/>
        <w:ind w:hanging="573"/>
      </w:pPr>
      <w:r w:rsidRPr="000971A6">
        <w:rPr>
          <w:rFonts w:eastAsia="Times New Roman"/>
          <w:color w:val="000000"/>
          <w:lang w:eastAsia="en-GB"/>
        </w:rPr>
        <w:t>Further to the initial patient suitability and needs assessment carried out by the P</w:t>
      </w:r>
      <w:r>
        <w:rPr>
          <w:rFonts w:eastAsia="Times New Roman"/>
          <w:color w:val="000000"/>
          <w:lang w:eastAsia="en-GB"/>
        </w:rPr>
        <w:t xml:space="preserve">articipating </w:t>
      </w:r>
      <w:r w:rsidRPr="000971A6">
        <w:rPr>
          <w:rFonts w:eastAsia="Times New Roman"/>
          <w:color w:val="000000"/>
          <w:lang w:eastAsia="en-GB"/>
        </w:rPr>
        <w:t xml:space="preserve">Authority, the </w:t>
      </w:r>
      <w:r>
        <w:rPr>
          <w:rFonts w:eastAsia="Times New Roman"/>
          <w:color w:val="000000"/>
          <w:lang w:eastAsia="en-GB"/>
        </w:rPr>
        <w:t>Supplier</w:t>
      </w:r>
      <w:r w:rsidRPr="000971A6">
        <w:rPr>
          <w:rFonts w:eastAsia="Times New Roman"/>
          <w:color w:val="000000"/>
          <w:lang w:eastAsia="en-GB"/>
        </w:rPr>
        <w:t xml:space="preserve"> is responsible for confirming the patient's suitability for the homecare services</w:t>
      </w:r>
      <w:r w:rsidRPr="000971A6">
        <w:rPr>
          <w:rFonts w:eastAsia="Times New Roman"/>
          <w:i/>
          <w:iCs/>
          <w:color w:val="000000"/>
          <w:lang w:eastAsia="en-GB"/>
        </w:rPr>
        <w:t xml:space="preserve">.  </w:t>
      </w:r>
      <w:r w:rsidRPr="000971A6">
        <w:rPr>
          <w:rFonts w:eastAsia="Times New Roman"/>
          <w:color w:val="000000"/>
          <w:lang w:eastAsia="en-GB"/>
        </w:rPr>
        <w:br/>
        <w:t xml:space="preserve">Assessment of the patient's home environment is the responsibility of the </w:t>
      </w:r>
      <w:r>
        <w:rPr>
          <w:rFonts w:eastAsia="Times New Roman"/>
          <w:color w:val="000000"/>
          <w:lang w:eastAsia="en-GB"/>
        </w:rPr>
        <w:t xml:space="preserve">Supplier </w:t>
      </w:r>
      <w:r w:rsidRPr="000971A6">
        <w:rPr>
          <w:rFonts w:eastAsia="Times New Roman"/>
          <w:color w:val="000000"/>
          <w:lang w:eastAsia="en-GB"/>
        </w:rPr>
        <w:t xml:space="preserve">and should be undertaken within 3 </w:t>
      </w:r>
      <w:r w:rsidR="009621C0">
        <w:rPr>
          <w:rFonts w:eastAsia="Times New Roman"/>
          <w:color w:val="000000"/>
          <w:lang w:eastAsia="en-GB"/>
        </w:rPr>
        <w:t xml:space="preserve">business </w:t>
      </w:r>
      <w:r w:rsidRPr="000971A6">
        <w:rPr>
          <w:rFonts w:eastAsia="Times New Roman"/>
          <w:color w:val="000000"/>
          <w:lang w:eastAsia="en-GB"/>
        </w:rPr>
        <w:t>days of a request being made</w:t>
      </w:r>
      <w:r>
        <w:rPr>
          <w:rFonts w:eastAsia="Times New Roman"/>
          <w:color w:val="000000"/>
          <w:lang w:eastAsia="en-GB"/>
        </w:rPr>
        <w:t xml:space="preserve"> (this is after the 5 </w:t>
      </w:r>
      <w:r w:rsidR="009621C0">
        <w:rPr>
          <w:rFonts w:eastAsia="Times New Roman"/>
          <w:color w:val="000000"/>
          <w:lang w:eastAsia="en-GB"/>
        </w:rPr>
        <w:t>business</w:t>
      </w:r>
      <w:r>
        <w:rPr>
          <w:rFonts w:eastAsia="Times New Roman"/>
          <w:color w:val="000000"/>
          <w:lang w:eastAsia="en-GB"/>
        </w:rPr>
        <w:t xml:space="preserve"> days registration period)</w:t>
      </w:r>
      <w:r w:rsidRPr="000971A6">
        <w:rPr>
          <w:rFonts w:eastAsia="Times New Roman"/>
          <w:color w:val="000000"/>
          <w:lang w:eastAsia="en-GB"/>
        </w:rPr>
        <w:t xml:space="preserve">. </w:t>
      </w:r>
      <w:r w:rsidRPr="000971A6">
        <w:rPr>
          <w:rFonts w:eastAsia="Times New Roman"/>
          <w:color w:val="000000"/>
          <w:lang w:eastAsia="en-GB"/>
        </w:rPr>
        <w:br/>
      </w:r>
      <w:r w:rsidRPr="000971A6">
        <w:rPr>
          <w:rFonts w:eastAsia="Times New Roman"/>
          <w:lang w:eastAsia="en-GB"/>
        </w:rPr>
        <w:t xml:space="preserve">Remote assessments of the care environment should be validated at the first appropriate visit of </w:t>
      </w:r>
      <w:r>
        <w:rPr>
          <w:rFonts w:eastAsia="Times New Roman"/>
          <w:lang w:eastAsia="en-GB"/>
        </w:rPr>
        <w:t>Supplie</w:t>
      </w:r>
      <w:r w:rsidRPr="000971A6">
        <w:rPr>
          <w:rFonts w:eastAsia="Times New Roman"/>
          <w:lang w:eastAsia="en-GB"/>
        </w:rPr>
        <w:t xml:space="preserve">r staff to deliver the homecare service. </w:t>
      </w:r>
      <w:r w:rsidRPr="000971A6">
        <w:rPr>
          <w:rFonts w:eastAsia="Times New Roman"/>
          <w:lang w:eastAsia="en-GB"/>
        </w:rPr>
        <w:br/>
      </w:r>
      <w:r w:rsidRPr="000971A6">
        <w:rPr>
          <w:rFonts w:eastAsia="Times New Roman"/>
          <w:color w:val="000000"/>
          <w:lang w:eastAsia="en-GB"/>
        </w:rPr>
        <w:t xml:space="preserve">Any issues or additional special needs identified by the </w:t>
      </w:r>
      <w:r>
        <w:rPr>
          <w:rFonts w:eastAsia="Times New Roman"/>
          <w:color w:val="000000"/>
          <w:lang w:eastAsia="en-GB"/>
        </w:rPr>
        <w:t xml:space="preserve">Supplier </w:t>
      </w:r>
      <w:r w:rsidRPr="000971A6">
        <w:rPr>
          <w:rFonts w:eastAsia="Times New Roman"/>
          <w:color w:val="000000"/>
          <w:lang w:eastAsia="en-GB"/>
        </w:rPr>
        <w:t>must be notified to the P</w:t>
      </w:r>
      <w:r>
        <w:rPr>
          <w:rFonts w:eastAsia="Times New Roman"/>
          <w:color w:val="000000"/>
          <w:lang w:eastAsia="en-GB"/>
        </w:rPr>
        <w:t xml:space="preserve">articipating </w:t>
      </w:r>
      <w:r w:rsidRPr="000971A6">
        <w:rPr>
          <w:rFonts w:eastAsia="Times New Roman"/>
          <w:color w:val="000000"/>
          <w:lang w:eastAsia="en-GB"/>
        </w:rPr>
        <w:t xml:space="preserve">Authority within </w:t>
      </w:r>
      <w:r w:rsidRPr="000971A6">
        <w:rPr>
          <w:rFonts w:eastAsia="Times New Roman"/>
          <w:lang w:eastAsia="en-GB"/>
        </w:rPr>
        <w:t xml:space="preserve">2 </w:t>
      </w:r>
      <w:r w:rsidR="009621C0">
        <w:rPr>
          <w:rFonts w:eastAsia="Times New Roman"/>
          <w:color w:val="000000"/>
          <w:lang w:eastAsia="en-GB"/>
        </w:rPr>
        <w:t>business</w:t>
      </w:r>
      <w:r w:rsidRPr="000971A6">
        <w:rPr>
          <w:rFonts w:eastAsia="Times New Roman"/>
          <w:color w:val="000000"/>
          <w:lang w:eastAsia="en-GB"/>
        </w:rPr>
        <w:t xml:space="preserve"> days.  </w:t>
      </w:r>
    </w:p>
    <w:p w14:paraId="3C900239" w14:textId="12086142" w:rsidR="00875B0E" w:rsidRPr="00875B0E" w:rsidRDefault="009E06EF" w:rsidP="003D1D4D">
      <w:pPr>
        <w:pStyle w:val="Heading3"/>
        <w:ind w:hanging="567"/>
      </w:pPr>
      <w:r w:rsidRPr="00875B0E">
        <w:t xml:space="preserve">The </w:t>
      </w:r>
      <w:r w:rsidR="00CB2E23">
        <w:t>Participating</w:t>
      </w:r>
      <w:r w:rsidRPr="00875B0E">
        <w:t xml:space="preserve"> Authority </w:t>
      </w:r>
      <w:r w:rsidR="005F2254" w:rsidRPr="00875B0E">
        <w:t>will securely transmit to the supplier the specified registration information including, where applicable, details of an individual care plan. Where applicable, the registration information will include a date where product and</w:t>
      </w:r>
      <w:r w:rsidR="005538E8">
        <w:t>/or</w:t>
      </w:r>
      <w:r w:rsidR="005F2254" w:rsidRPr="00875B0E">
        <w:t xml:space="preserve"> service is first required.</w:t>
      </w:r>
      <w:r w:rsidR="008766AE" w:rsidRPr="00875B0E">
        <w:t xml:space="preserve">  The registration form will give the confirmed or expected activation date for the Homecare Service.</w:t>
      </w:r>
    </w:p>
    <w:p w14:paraId="2A1B500C" w14:textId="6E1CDACE" w:rsidR="00576BFA" w:rsidRPr="00875B0E" w:rsidRDefault="00576BFA" w:rsidP="003D1D4D">
      <w:pPr>
        <w:pStyle w:val="Heading3"/>
        <w:ind w:hanging="567"/>
      </w:pPr>
      <w:r w:rsidRPr="00875B0E">
        <w:t xml:space="preserve">Where a registration form is used the NHMC approved template will be used unless </w:t>
      </w:r>
      <w:r w:rsidR="005538E8" w:rsidRPr="00875B0E">
        <w:t>otherwise</w:t>
      </w:r>
      <w:r w:rsidRPr="00875B0E">
        <w:t xml:space="preserve"> specified in the </w:t>
      </w:r>
      <w:r w:rsidR="00910615">
        <w:t>Order Form</w:t>
      </w:r>
      <w:r w:rsidRPr="00875B0E">
        <w:t>.  Th</w:t>
      </w:r>
      <w:r w:rsidR="005538E8">
        <w:t>e NHMC template</w:t>
      </w:r>
      <w:r w:rsidR="00BE5BFC">
        <w:t xml:space="preserve"> </w:t>
      </w:r>
      <w:r w:rsidRPr="00875B0E">
        <w:t>can be found on the RPS Website Homecare Handbook Appendices.</w:t>
      </w:r>
      <w:r w:rsidR="008766AE" w:rsidRPr="00875B0E">
        <w:t xml:space="preserve">  </w:t>
      </w:r>
    </w:p>
    <w:p w14:paraId="6DB27500" w14:textId="668FA232" w:rsidR="009E06EF" w:rsidRPr="00875B0E" w:rsidRDefault="009E06EF" w:rsidP="003D1D4D">
      <w:pPr>
        <w:pStyle w:val="Heading3"/>
        <w:ind w:hanging="567"/>
      </w:pPr>
      <w:bookmarkStart w:id="67" w:name="_Ref78271939"/>
      <w:r w:rsidRPr="00875B0E">
        <w:t xml:space="preserve">On receipt </w:t>
      </w:r>
      <w:bookmarkEnd w:id="67"/>
      <w:r w:rsidR="00FA212B" w:rsidRPr="00875B0E">
        <w:t xml:space="preserve">of valid registration information, the Supplier will log the patient onto their systems.  Any special needs identified in the individual patient care plan, or otherwise identified by the Supplier will be considered by the Supplier and any safety concerns or additional costs for product or service items not included in this specification raised with the </w:t>
      </w:r>
      <w:r w:rsidR="00CB2E23">
        <w:t>Participating</w:t>
      </w:r>
      <w:r w:rsidR="00FA212B" w:rsidRPr="00875B0E">
        <w:t xml:space="preserve"> Authority before the patient is designated as ready for service activation.</w:t>
      </w:r>
      <w:r w:rsidR="00910615">
        <w:t xml:space="preserve"> </w:t>
      </w:r>
      <w:r w:rsidR="00FA212B" w:rsidRPr="00875B0E">
        <w:t xml:space="preserve"> The Supplier has the right to decline to accept patients with additional special needs onto the homecare service. </w:t>
      </w:r>
      <w:r w:rsidR="00910615">
        <w:t xml:space="preserve"> </w:t>
      </w:r>
      <w:r w:rsidR="00FA212B" w:rsidRPr="00875B0E">
        <w:t xml:space="preserve">The patient's details should be recorded on the Supplier's systems and Service Activation completed within </w:t>
      </w:r>
      <w:r w:rsidR="00875B0E" w:rsidRPr="00875B0E">
        <w:t>5</w:t>
      </w:r>
      <w:r w:rsidR="00FA212B" w:rsidRPr="00875B0E">
        <w:t xml:space="preserve"> </w:t>
      </w:r>
      <w:r w:rsidR="00A31050">
        <w:t>business</w:t>
      </w:r>
      <w:r w:rsidR="00FA212B" w:rsidRPr="00875B0E">
        <w:t xml:space="preserve"> days subject to the timely receipt of the initial prescription and purchase order as detailed in the specification.</w:t>
      </w:r>
    </w:p>
    <w:p w14:paraId="29E653C9" w14:textId="022070EE" w:rsidR="00875B0E" w:rsidRPr="00875B0E" w:rsidRDefault="009E06EF" w:rsidP="003D1D4D">
      <w:pPr>
        <w:pStyle w:val="Heading3"/>
        <w:ind w:hanging="567"/>
      </w:pPr>
      <w:r w:rsidRPr="00875B0E">
        <w:t xml:space="preserve">The </w:t>
      </w:r>
      <w:r w:rsidR="00CB2E23">
        <w:t>Participating</w:t>
      </w:r>
      <w:r w:rsidRPr="00875B0E">
        <w:t xml:space="preserve"> Authority </w:t>
      </w:r>
      <w:r w:rsidR="00FA212B" w:rsidRPr="00875B0E">
        <w:t>will complete and securely transmit to the Supplier an initial</w:t>
      </w:r>
      <w:r w:rsidR="00875B0E" w:rsidRPr="00875B0E">
        <w:t xml:space="preserve"> legally valid</w:t>
      </w:r>
      <w:r w:rsidR="00FA212B" w:rsidRPr="00875B0E">
        <w:t xml:space="preserve"> prescription for medicines, ancillaries and equipment as required for the first treatment period, plus a specified quantity of buffer stock and its associated purchase order.</w:t>
      </w:r>
    </w:p>
    <w:p w14:paraId="6425BF81" w14:textId="110E48BC" w:rsidR="00875B0E" w:rsidRPr="00875B0E" w:rsidRDefault="00875B0E" w:rsidP="003D1D4D">
      <w:pPr>
        <w:pStyle w:val="Heading3"/>
        <w:ind w:hanging="567"/>
      </w:pPr>
      <w:r w:rsidRPr="00875B0E">
        <w:lastRenderedPageBreak/>
        <w:t xml:space="preserve">Prescriptions templates used for these services should be based on the NHMC approved template unless otherwise specified in </w:t>
      </w:r>
      <w:r w:rsidR="00910615">
        <w:t>the Order Form</w:t>
      </w:r>
      <w:r w:rsidRPr="00875B0E">
        <w:t>.  Th</w:t>
      </w:r>
      <w:r w:rsidR="005538E8">
        <w:t>e NHMC template can</w:t>
      </w:r>
      <w:r w:rsidRPr="00875B0E">
        <w:t xml:space="preserve"> be found on the RPS Website Homecare Handbook Appendices.  </w:t>
      </w:r>
    </w:p>
    <w:p w14:paraId="5CB9C4B7" w14:textId="58341C4D" w:rsidR="00890EEE" w:rsidRPr="00875B0E" w:rsidRDefault="00890EEE" w:rsidP="003D1D4D">
      <w:pPr>
        <w:pStyle w:val="Heading3"/>
        <w:ind w:hanging="567"/>
      </w:pPr>
      <w:r w:rsidRPr="00875B0E">
        <w:t xml:space="preserve">Training </w:t>
      </w:r>
      <w:r w:rsidR="00FA212B" w:rsidRPr="00875B0E">
        <w:t xml:space="preserve">Patients to self-administer medicines will be the responsibility of the </w:t>
      </w:r>
      <w:r w:rsidR="00CB2E23">
        <w:t>Participating</w:t>
      </w:r>
      <w:r w:rsidR="00FA212B" w:rsidRPr="00875B0E">
        <w:t xml:space="preserve"> Authority unless specified as a Clinical Service to be provided by the Supplier (see Clinical Service and Home </w:t>
      </w:r>
      <w:r w:rsidR="00BE5BFC">
        <w:t>V</w:t>
      </w:r>
      <w:r w:rsidR="00FA212B" w:rsidRPr="00875B0E">
        <w:t xml:space="preserve">isit </w:t>
      </w:r>
      <w:r w:rsidR="006C5DA9">
        <w:t>Section</w:t>
      </w:r>
      <w:r w:rsidR="00BE5BFC">
        <w:t>s</w:t>
      </w:r>
      <w:r w:rsidR="00FA212B" w:rsidRPr="00875B0E">
        <w:t>), or as detailed in the agreed Individual Patient Care Plan.</w:t>
      </w:r>
    </w:p>
    <w:p w14:paraId="1BB98BEC" w14:textId="1EEA410C" w:rsidR="00890EEE" w:rsidRPr="00875B0E" w:rsidRDefault="00890EEE" w:rsidP="003D1D4D">
      <w:pPr>
        <w:pStyle w:val="Heading3"/>
        <w:ind w:hanging="567"/>
      </w:pPr>
      <w:r w:rsidRPr="00875B0E">
        <w:t xml:space="preserve">Patients </w:t>
      </w:r>
      <w:r w:rsidR="00FA212B" w:rsidRPr="00875B0E">
        <w:t xml:space="preserve">who are self-administering medicines at home must be assessed as competent to self-administer on initiation of the service and at 12 month intervals thereafter.  Competency assessments of the </w:t>
      </w:r>
      <w:proofErr w:type="gramStart"/>
      <w:r w:rsidR="00FA212B" w:rsidRPr="00875B0E">
        <w:t>patients</w:t>
      </w:r>
      <w:proofErr w:type="gramEnd"/>
      <w:r w:rsidR="00FA212B" w:rsidRPr="00875B0E">
        <w:t xml:space="preserve"> following training is the responsibility of the </w:t>
      </w:r>
      <w:r w:rsidR="00CB2E23">
        <w:t>Participating</w:t>
      </w:r>
      <w:r w:rsidR="00FA212B" w:rsidRPr="00875B0E">
        <w:t xml:space="preserve"> Authority unless specified as a Clinical Service to be provided by the Supplier or as detailed in the agreed Individual Patient Care Plan. </w:t>
      </w:r>
      <w:r w:rsidR="00910615">
        <w:t xml:space="preserve"> </w:t>
      </w:r>
      <w:r w:rsidR="00FA212B" w:rsidRPr="00875B0E">
        <w:t xml:space="preserve">Competency documentation for a </w:t>
      </w:r>
      <w:proofErr w:type="gramStart"/>
      <w:r w:rsidR="00FA212B" w:rsidRPr="00875B0E">
        <w:t>patient self-administering medicines</w:t>
      </w:r>
      <w:proofErr w:type="gramEnd"/>
      <w:r w:rsidR="00FA212B" w:rsidRPr="00875B0E">
        <w:t xml:space="preserve"> will be held in the patient record and shared with the other party on request.</w:t>
      </w:r>
    </w:p>
    <w:p w14:paraId="5E6D462F" w14:textId="1BCE206F" w:rsidR="00890EEE" w:rsidRPr="00875B0E" w:rsidRDefault="00890EEE" w:rsidP="003D1D4D">
      <w:pPr>
        <w:pStyle w:val="Heading3"/>
        <w:ind w:hanging="567"/>
      </w:pPr>
      <w:r w:rsidRPr="00875B0E">
        <w:t xml:space="preserve">The </w:t>
      </w:r>
      <w:r w:rsidR="00CB2E23">
        <w:t>Participating</w:t>
      </w:r>
      <w:r w:rsidRPr="00875B0E">
        <w:t xml:space="preserve"> Authority </w:t>
      </w:r>
      <w:r w:rsidR="00FA212B" w:rsidRPr="00875B0E">
        <w:t>will re-assess the patient’s suitability for homecare periodically.</w:t>
      </w:r>
      <w:r w:rsidR="00910615">
        <w:t xml:space="preserve"> </w:t>
      </w:r>
      <w:r w:rsidR="00FA212B" w:rsidRPr="00875B0E">
        <w:t xml:space="preserve"> The Supplier must inform the </w:t>
      </w:r>
      <w:r w:rsidR="00CB2E23">
        <w:t>Participating</w:t>
      </w:r>
      <w:r w:rsidR="00FA212B" w:rsidRPr="00875B0E">
        <w:t xml:space="preserve"> Authority of any concerns regarding patients’, or their home environment’s, suitability for receipt of the requested homecare medicines service.</w:t>
      </w:r>
    </w:p>
    <w:p w14:paraId="5D73BEC6" w14:textId="4D2E1A84" w:rsidR="003A1CD1" w:rsidRPr="00875B0E" w:rsidRDefault="003A1CD1" w:rsidP="003D1D4D">
      <w:pPr>
        <w:pStyle w:val="Heading3"/>
        <w:ind w:hanging="567"/>
      </w:pPr>
      <w:r w:rsidRPr="00875B0E">
        <w:t xml:space="preserve">The Supplier </w:t>
      </w:r>
      <w:r w:rsidR="00FA212B" w:rsidRPr="00875B0E">
        <w:t xml:space="preserve">will notify the </w:t>
      </w:r>
      <w:r w:rsidR="00CB2E23">
        <w:t>Participating</w:t>
      </w:r>
      <w:r w:rsidR="00FA212B" w:rsidRPr="00875B0E">
        <w:t xml:space="preserve"> Authority of any issue preventing the service activation for a patient on the confirmed activation date, or any patient for whom an expected service activation date has not been confirmed.</w:t>
      </w:r>
    </w:p>
    <w:p w14:paraId="3CBCB043" w14:textId="2F2ADF42" w:rsidR="007E43C4" w:rsidRPr="00586649" w:rsidRDefault="00F449FC" w:rsidP="003D1D4D">
      <w:pPr>
        <w:pStyle w:val="Heading2"/>
        <w:ind w:hanging="567"/>
      </w:pPr>
      <w:bookmarkStart w:id="68" w:name="_Toc75939195"/>
      <w:bookmarkStart w:id="69" w:name="_Toc75944171"/>
      <w:bookmarkStart w:id="70" w:name="_Toc75944237"/>
      <w:bookmarkStart w:id="71" w:name="_Toc75944303"/>
      <w:bookmarkStart w:id="72" w:name="_Toc75953709"/>
      <w:bookmarkStart w:id="73" w:name="_Toc77259098"/>
      <w:bookmarkStart w:id="74" w:name="_Hlk73694070"/>
      <w:bookmarkStart w:id="75" w:name="_Hlk73694200"/>
      <w:bookmarkEnd w:id="68"/>
      <w:bookmarkEnd w:id="69"/>
      <w:bookmarkEnd w:id="70"/>
      <w:bookmarkEnd w:id="71"/>
      <w:bookmarkEnd w:id="72"/>
      <w:r w:rsidRPr="00586649">
        <w:t>Communication with the Patient</w:t>
      </w:r>
      <w:bookmarkEnd w:id="73"/>
    </w:p>
    <w:bookmarkEnd w:id="65"/>
    <w:bookmarkEnd w:id="66"/>
    <w:bookmarkEnd w:id="74"/>
    <w:bookmarkEnd w:id="75"/>
    <w:p w14:paraId="3B4E3636" w14:textId="1F7324C2" w:rsidR="00163BE7" w:rsidRPr="005538E1" w:rsidRDefault="00163BE7" w:rsidP="003D1D4D">
      <w:pPr>
        <w:pStyle w:val="Heading3"/>
        <w:ind w:hanging="567"/>
      </w:pPr>
      <w:r w:rsidRPr="005538E1">
        <w:t>Communication with the patient should be initiated by the Supplier only as needed to deliver the homecare service.</w:t>
      </w:r>
    </w:p>
    <w:p w14:paraId="1F55F288" w14:textId="5303DFDF" w:rsidR="00163BE7" w:rsidRPr="005538E1" w:rsidRDefault="00163BE7" w:rsidP="003D1D4D">
      <w:pPr>
        <w:pStyle w:val="Heading3"/>
        <w:ind w:hanging="567"/>
      </w:pPr>
      <w:r w:rsidRPr="005538E1">
        <w:t>Good communication is needed between all parties.  Suppliers should be able to have effective and prompt communication with patient and Participating Authorities.</w:t>
      </w:r>
    </w:p>
    <w:p w14:paraId="6BF2E306" w14:textId="641C3463" w:rsidR="00875B0E" w:rsidRPr="005538E1" w:rsidRDefault="003A66F8" w:rsidP="003D1D4D">
      <w:pPr>
        <w:pStyle w:val="Heading3"/>
        <w:ind w:hanging="567"/>
      </w:pPr>
      <w:r w:rsidRPr="005538E1">
        <w:t xml:space="preserve">The </w:t>
      </w:r>
      <w:r w:rsidR="00CB2E23">
        <w:t>Participating</w:t>
      </w:r>
      <w:r w:rsidRPr="005538E1">
        <w:t xml:space="preserve"> Authority </w:t>
      </w:r>
      <w:r w:rsidR="00FA212B" w:rsidRPr="005538E1">
        <w:t xml:space="preserve">will </w:t>
      </w:r>
      <w:r w:rsidRPr="005538E1">
        <w:t xml:space="preserve">provide information of the service </w:t>
      </w:r>
      <w:r w:rsidR="005538E8">
        <w:t xml:space="preserve">to the patient </w:t>
      </w:r>
      <w:r w:rsidRPr="005538E1">
        <w:t>prior to referral to the Supplier</w:t>
      </w:r>
      <w:r w:rsidR="002550AF" w:rsidRPr="005538E1">
        <w:t>.</w:t>
      </w:r>
      <w:r w:rsidR="00875B0E" w:rsidRPr="005538E1">
        <w:t xml:space="preserve">  </w:t>
      </w:r>
    </w:p>
    <w:p w14:paraId="1183ACC1" w14:textId="24704554" w:rsidR="008C1ED0" w:rsidRDefault="003A66F8" w:rsidP="003D1D4D">
      <w:pPr>
        <w:pStyle w:val="Heading3"/>
        <w:ind w:hanging="567"/>
      </w:pPr>
      <w:r w:rsidRPr="005538E1">
        <w:t xml:space="preserve">The Supplier </w:t>
      </w:r>
      <w:r w:rsidR="00FA212B" w:rsidRPr="005538E1">
        <w:t>will</w:t>
      </w:r>
      <w:r w:rsidRPr="005538E1">
        <w:t xml:space="preserve"> make the 1st attempt to contact the patient within 5 </w:t>
      </w:r>
      <w:r w:rsidR="00A31050">
        <w:t>business days</w:t>
      </w:r>
      <w:r w:rsidRPr="005538E1">
        <w:t xml:space="preserve"> of receipt of valid </w:t>
      </w:r>
      <w:r w:rsidR="00365435" w:rsidRPr="005538E1">
        <w:t>registration</w:t>
      </w:r>
      <w:r w:rsidR="008C1ED0" w:rsidRPr="005538E1">
        <w:t xml:space="preserve"> </w:t>
      </w:r>
      <w:r w:rsidRPr="005538E1">
        <w:t>and</w:t>
      </w:r>
      <w:r w:rsidR="001862B5">
        <w:t>/or</w:t>
      </w:r>
      <w:r w:rsidRPr="005538E1">
        <w:t xml:space="preserve"> prescription.</w:t>
      </w:r>
    </w:p>
    <w:p w14:paraId="5E6A832D" w14:textId="5F3A8F9E" w:rsidR="003A66F8" w:rsidRPr="005538E1" w:rsidRDefault="003A66F8" w:rsidP="003D1D4D">
      <w:pPr>
        <w:pStyle w:val="Heading3"/>
        <w:ind w:hanging="567"/>
      </w:pPr>
      <w:r w:rsidRPr="005538E1">
        <w:t xml:space="preserve">The Supplier </w:t>
      </w:r>
      <w:r w:rsidR="00FA212B" w:rsidRPr="005538E1">
        <w:t>will</w:t>
      </w:r>
      <w:r w:rsidRPr="005538E1">
        <w:t xml:space="preserve"> provide patient information in accordance with the specified service and the data protection protocol no later than the first delivery.</w:t>
      </w:r>
      <w:r w:rsidR="00973AC5">
        <w:t xml:space="preserve"> </w:t>
      </w:r>
      <w:r w:rsidR="00FA212B" w:rsidRPr="005538E1">
        <w:t xml:space="preserve"> </w:t>
      </w:r>
      <w:r w:rsidRPr="005538E1">
        <w:t xml:space="preserve">Any patient information provided to patients by </w:t>
      </w:r>
      <w:r w:rsidR="001613B7">
        <w:t>Suppliers</w:t>
      </w:r>
      <w:r w:rsidRPr="005538E1">
        <w:t xml:space="preserve"> shall be subject to change control provisions within this specification.</w:t>
      </w:r>
    </w:p>
    <w:p w14:paraId="33C53DF8" w14:textId="77777777" w:rsidR="00FA212B" w:rsidRPr="005538E1" w:rsidRDefault="003A66F8" w:rsidP="003D1D4D">
      <w:pPr>
        <w:pStyle w:val="Heading3"/>
        <w:ind w:hanging="567"/>
      </w:pPr>
      <w:r w:rsidRPr="005538E1">
        <w:t xml:space="preserve">The patient information </w:t>
      </w:r>
      <w:r w:rsidR="00FA212B" w:rsidRPr="005538E1">
        <w:t>will detail useful and helpful information for patients and carers, this should include:</w:t>
      </w:r>
    </w:p>
    <w:p w14:paraId="30E7266A" w14:textId="43E10B24" w:rsidR="00FA212B" w:rsidRPr="005538E1" w:rsidRDefault="00FA212B" w:rsidP="00DC4DE8">
      <w:pPr>
        <w:pStyle w:val="ListParagraph"/>
        <w:ind w:hanging="567"/>
      </w:pPr>
      <w:r w:rsidRPr="005538E1">
        <w:t>Welcome to the service</w:t>
      </w:r>
    </w:p>
    <w:p w14:paraId="2EB989C0" w14:textId="5B5078AB" w:rsidR="00FA212B" w:rsidRPr="005538E1" w:rsidRDefault="00FA212B" w:rsidP="00DC4DE8">
      <w:pPr>
        <w:pStyle w:val="ListParagraph"/>
        <w:ind w:hanging="567"/>
      </w:pPr>
      <w:r w:rsidRPr="005538E1">
        <w:t>The roles of any of the Supplier's staff they will encounter during the service</w:t>
      </w:r>
    </w:p>
    <w:p w14:paraId="1EE64B0A" w14:textId="74F8945B" w:rsidR="00FA212B" w:rsidRPr="005538E1" w:rsidRDefault="00FA212B" w:rsidP="00DC4DE8">
      <w:pPr>
        <w:pStyle w:val="ListParagraph"/>
        <w:ind w:hanging="567"/>
      </w:pPr>
      <w:r w:rsidRPr="005538E1">
        <w:t>Therapy information – description of service, deliveries, equipment, visits and their responsibilities as appropriate to their Medicines Homecare Pathway</w:t>
      </w:r>
    </w:p>
    <w:p w14:paraId="03D992A2" w14:textId="154C1E8A" w:rsidR="00FA212B" w:rsidRPr="005538E1" w:rsidRDefault="00FA212B" w:rsidP="00DC4DE8">
      <w:pPr>
        <w:pStyle w:val="ListParagraph"/>
        <w:ind w:hanging="567"/>
      </w:pPr>
      <w:r w:rsidRPr="005538E1">
        <w:t>How to arrange deliveries of medicines, ancillaries or equipment or other visits</w:t>
      </w:r>
    </w:p>
    <w:p w14:paraId="4CDAF5B7" w14:textId="3B5AED60" w:rsidR="00FA212B" w:rsidRPr="005538E1" w:rsidRDefault="00FA212B" w:rsidP="00DC4DE8">
      <w:pPr>
        <w:pStyle w:val="ListParagraph"/>
        <w:ind w:hanging="567"/>
      </w:pPr>
      <w:r w:rsidRPr="005538E1">
        <w:t>How to handle and store medicines, e.g. use equipment provided</w:t>
      </w:r>
    </w:p>
    <w:p w14:paraId="07115569" w14:textId="7A3CB37E" w:rsidR="00FA212B" w:rsidRPr="005538E1" w:rsidRDefault="00FA212B" w:rsidP="00DC4DE8">
      <w:pPr>
        <w:pStyle w:val="ListParagraph"/>
        <w:ind w:hanging="567"/>
      </w:pPr>
      <w:r w:rsidRPr="005538E1">
        <w:t>How to access patient support services provided</w:t>
      </w:r>
    </w:p>
    <w:p w14:paraId="3F064E26" w14:textId="5183A8FB" w:rsidR="00FA212B" w:rsidRPr="005538E1" w:rsidRDefault="00FA212B" w:rsidP="00DC4DE8">
      <w:pPr>
        <w:pStyle w:val="ListParagraph"/>
        <w:ind w:hanging="567"/>
      </w:pPr>
      <w:r w:rsidRPr="005538E1">
        <w:t>Patient Services opening hours, out of hours and emergency contacts</w:t>
      </w:r>
    </w:p>
    <w:p w14:paraId="6FF0D9B3" w14:textId="57ACB26B" w:rsidR="00FA212B" w:rsidRPr="005538E1" w:rsidRDefault="00FA212B" w:rsidP="00DC4DE8">
      <w:pPr>
        <w:pStyle w:val="ListParagraph"/>
        <w:ind w:hanging="567"/>
      </w:pPr>
      <w:r w:rsidRPr="005538E1">
        <w:t xml:space="preserve">Who to contact if... e.g. running short of medicines or ancillaries </w:t>
      </w:r>
    </w:p>
    <w:p w14:paraId="05DC9653" w14:textId="5610A3D2" w:rsidR="00FA212B" w:rsidRPr="005538E1" w:rsidRDefault="00FA212B" w:rsidP="00DC4DE8">
      <w:pPr>
        <w:pStyle w:val="ListParagraph"/>
        <w:ind w:hanging="567"/>
      </w:pPr>
      <w:r w:rsidRPr="005538E1">
        <w:t>What to do if... e.g. clinical adverse event occurs, equipment fails</w:t>
      </w:r>
    </w:p>
    <w:p w14:paraId="7A7FB003" w14:textId="06299594" w:rsidR="00FA212B" w:rsidRPr="005538E1" w:rsidRDefault="00FA212B" w:rsidP="00DC4DE8">
      <w:pPr>
        <w:pStyle w:val="ListParagraph"/>
        <w:ind w:hanging="567"/>
      </w:pPr>
      <w:r w:rsidRPr="005538E1">
        <w:t xml:space="preserve">How their confidentiality will be </w:t>
      </w:r>
      <w:r w:rsidR="003E7682" w:rsidRPr="005538E1">
        <w:t>maintained,</w:t>
      </w:r>
      <w:r w:rsidRPr="005538E1">
        <w:t xml:space="preserve"> and personal data used</w:t>
      </w:r>
    </w:p>
    <w:p w14:paraId="0F905655" w14:textId="2608A6FF" w:rsidR="00FA212B" w:rsidRPr="005538E1" w:rsidRDefault="00FA212B" w:rsidP="00DC4DE8">
      <w:pPr>
        <w:pStyle w:val="ListParagraph"/>
        <w:ind w:hanging="567"/>
      </w:pPr>
      <w:r w:rsidRPr="005538E1">
        <w:t>How to complain about the homecare service</w:t>
      </w:r>
    </w:p>
    <w:p w14:paraId="2F4CBC71" w14:textId="58CD3588" w:rsidR="00FA212B" w:rsidRPr="005538E1" w:rsidRDefault="00FA212B" w:rsidP="00DC4DE8">
      <w:pPr>
        <w:pStyle w:val="ListParagraph"/>
        <w:ind w:hanging="567"/>
      </w:pPr>
      <w:r w:rsidRPr="005538E1">
        <w:lastRenderedPageBreak/>
        <w:t>Provide an opportunity for a patient to request an alternative and/or additional delivery address in the local vicinity e.g.: work place.</w:t>
      </w:r>
    </w:p>
    <w:p w14:paraId="2DE6126B" w14:textId="20561871" w:rsidR="00FA212B" w:rsidRPr="005538E1" w:rsidRDefault="00FA212B" w:rsidP="00DC4DE8">
      <w:pPr>
        <w:pStyle w:val="ListParagraph"/>
        <w:ind w:hanging="567"/>
      </w:pPr>
      <w:r w:rsidRPr="005538E1">
        <w:t>Privacy notice</w:t>
      </w:r>
    </w:p>
    <w:p w14:paraId="64491D8C" w14:textId="53C6881B" w:rsidR="00FA212B" w:rsidRPr="005538E1" w:rsidRDefault="00FA212B" w:rsidP="00DC4DE8">
      <w:pPr>
        <w:pStyle w:val="ListParagraph"/>
        <w:ind w:hanging="567"/>
      </w:pPr>
      <w:r w:rsidRPr="005538E1">
        <w:t>Travel service</w:t>
      </w:r>
    </w:p>
    <w:p w14:paraId="7EFEBAF3" w14:textId="77777777" w:rsidR="00875B0E" w:rsidRPr="005538E1" w:rsidRDefault="00633588" w:rsidP="003D1D4D">
      <w:pPr>
        <w:pStyle w:val="Heading3"/>
        <w:ind w:hanging="567"/>
      </w:pPr>
      <w:r w:rsidRPr="005538E1">
        <w:t>The supplier</w:t>
      </w:r>
      <w:r w:rsidR="008C4D01" w:rsidRPr="005538E1">
        <w:t xml:space="preserve"> must provide an inbound patient queries and complaints service during </w:t>
      </w:r>
      <w:proofErr w:type="gramStart"/>
      <w:r w:rsidR="008C4D01" w:rsidRPr="005538E1">
        <w:t>hours of service</w:t>
      </w:r>
      <w:proofErr w:type="gramEnd"/>
      <w:r w:rsidR="008C4D01" w:rsidRPr="005538E1">
        <w:t xml:space="preserve"> provision offering timely response to patient queries with </w:t>
      </w:r>
      <w:r w:rsidR="00875B0E" w:rsidRPr="005538E1">
        <w:t>the</w:t>
      </w:r>
      <w:r w:rsidR="00576BFA" w:rsidRPr="005538E1">
        <w:t xml:space="preserve"> following attributes preferred; </w:t>
      </w:r>
    </w:p>
    <w:p w14:paraId="3D28F737" w14:textId="01DC58B5" w:rsidR="00875B0E" w:rsidRPr="005538E1" w:rsidRDefault="005538E1" w:rsidP="00DC4DE8">
      <w:pPr>
        <w:pStyle w:val="ListParagraph"/>
        <w:ind w:hanging="567"/>
      </w:pPr>
      <w:r w:rsidRPr="005538E1">
        <w:t>A</w:t>
      </w:r>
      <w:r w:rsidR="00576BFA" w:rsidRPr="005538E1">
        <w:t>vailable between 08:00hrs and 18:00hrs weekdays and 09:00 to 12:00 on Saturdays with answer phone outside those hours</w:t>
      </w:r>
    </w:p>
    <w:p w14:paraId="3EB59450" w14:textId="2ED81117" w:rsidR="00576BFA" w:rsidRPr="005538E1" w:rsidRDefault="00576BFA" w:rsidP="00DC4DE8">
      <w:pPr>
        <w:pStyle w:val="ListParagraph"/>
        <w:ind w:hanging="567"/>
      </w:pPr>
      <w:r w:rsidRPr="005538E1">
        <w:t>Free phone number (from landline)</w:t>
      </w:r>
    </w:p>
    <w:p w14:paraId="57078C5D" w14:textId="42EE9398" w:rsidR="00576BFA" w:rsidRPr="005538E1" w:rsidRDefault="00576BFA" w:rsidP="00DC4DE8">
      <w:pPr>
        <w:pStyle w:val="ListParagraph"/>
        <w:ind w:hanging="567"/>
      </w:pPr>
      <w:r w:rsidRPr="005538E1">
        <w:t>Alternative Standard phone number for Mobiles to call</w:t>
      </w:r>
    </w:p>
    <w:p w14:paraId="24A8EB3D" w14:textId="203A3C8B" w:rsidR="00576BFA" w:rsidRPr="005538E1" w:rsidRDefault="005538E1" w:rsidP="00DC4DE8">
      <w:pPr>
        <w:pStyle w:val="ListParagraph"/>
        <w:ind w:hanging="567"/>
      </w:pPr>
      <w:r w:rsidRPr="005538E1">
        <w:t>D</w:t>
      </w:r>
      <w:r w:rsidR="00576BFA" w:rsidRPr="005538E1">
        <w:t>edicated Nurse on call phone number for clinical emergencies</w:t>
      </w:r>
    </w:p>
    <w:p w14:paraId="46DBDAC9" w14:textId="16E39176" w:rsidR="00633588" w:rsidRPr="005538E1" w:rsidRDefault="00633588" w:rsidP="003D1D4D">
      <w:pPr>
        <w:pStyle w:val="Heading3"/>
        <w:ind w:hanging="567"/>
      </w:pPr>
      <w:r w:rsidRPr="005538E1">
        <w:t xml:space="preserve">Communication / information in relation </w:t>
      </w:r>
      <w:r w:rsidR="008C4D01" w:rsidRPr="005538E1">
        <w:t>to the homecare service will be in English.</w:t>
      </w:r>
      <w:r w:rsidR="00973AC5">
        <w:t xml:space="preserve"> </w:t>
      </w:r>
      <w:r w:rsidR="008C4D01" w:rsidRPr="005538E1">
        <w:t xml:space="preserve"> Should a patient not be fluent in English, information will be provided in their own language.  Where appropriate this must also be available in pictorial format, and large print. </w:t>
      </w:r>
    </w:p>
    <w:p w14:paraId="449DAE87" w14:textId="4CBC6978" w:rsidR="00E31CBA" w:rsidRPr="005538E1" w:rsidRDefault="00265A27" w:rsidP="003D1D4D">
      <w:pPr>
        <w:pStyle w:val="Heading3"/>
        <w:ind w:hanging="567"/>
      </w:pPr>
      <w:r w:rsidRPr="005538E1">
        <w:t xml:space="preserve">All contact between the </w:t>
      </w:r>
      <w:r w:rsidR="00904166" w:rsidRPr="005538E1">
        <w:t>Supplier</w:t>
      </w:r>
      <w:r w:rsidRPr="005538E1">
        <w:t xml:space="preserve"> and the patient must be logged and records made available to the </w:t>
      </w:r>
      <w:r w:rsidR="00CB2E23">
        <w:t>Participating</w:t>
      </w:r>
      <w:r w:rsidRPr="005538E1">
        <w:t xml:space="preserve"> Authority on request.</w:t>
      </w:r>
    </w:p>
    <w:p w14:paraId="6FA14539" w14:textId="1FB92B01" w:rsidR="00E31CBA" w:rsidRPr="00586649" w:rsidRDefault="00E31CBA" w:rsidP="003D1D4D">
      <w:pPr>
        <w:pStyle w:val="Heading2"/>
        <w:ind w:hanging="567"/>
      </w:pPr>
      <w:bookmarkStart w:id="76" w:name="_Toc77259099"/>
      <w:bookmarkStart w:id="77" w:name="_Hlk73699166"/>
      <w:bookmarkStart w:id="78" w:name="_Hlk73699187"/>
      <w:r w:rsidRPr="00586649">
        <w:t>Stock Management in the Home</w:t>
      </w:r>
      <w:bookmarkEnd w:id="76"/>
    </w:p>
    <w:bookmarkEnd w:id="77"/>
    <w:bookmarkEnd w:id="78"/>
    <w:p w14:paraId="66DFDF13" w14:textId="3336C8A3" w:rsidR="00E5498D" w:rsidRDefault="00E5498D" w:rsidP="003D1D4D">
      <w:pPr>
        <w:pStyle w:val="Heading3"/>
        <w:ind w:hanging="567"/>
      </w:pPr>
      <w:r w:rsidRPr="004F3C0C">
        <w:t>It is expected</w:t>
      </w:r>
      <w:r w:rsidR="008C4D01" w:rsidRPr="004F3C0C">
        <w:t xml:space="preserve"> that patients will maintain buffer stock in the home</w:t>
      </w:r>
      <w:r w:rsidR="009347E7">
        <w:t>.  This will be agreed between Supplier and Participating Authority and documented within the Schedule 7 - Order Form of the Agreement.</w:t>
      </w:r>
    </w:p>
    <w:p w14:paraId="0869FB7E" w14:textId="37EC96CF" w:rsidR="005538E1" w:rsidRPr="005538E1" w:rsidRDefault="005538E1" w:rsidP="003D1D4D">
      <w:pPr>
        <w:pStyle w:val="Heading3"/>
        <w:ind w:hanging="567"/>
      </w:pPr>
      <w:r>
        <w:t xml:space="preserve">Where there are patients unsuitable for buffer stock arrangements this will be communicated to the Supplier by the </w:t>
      </w:r>
      <w:r w:rsidR="00CB2E23">
        <w:t>Participating</w:t>
      </w:r>
      <w:r>
        <w:t xml:space="preserve"> Authority to be recorded on the patient notes.</w:t>
      </w:r>
    </w:p>
    <w:p w14:paraId="01EF43EC" w14:textId="6138ACE3" w:rsidR="00E5498D" w:rsidRPr="004E6C5E" w:rsidRDefault="00E5498D" w:rsidP="003D1D4D">
      <w:pPr>
        <w:pStyle w:val="Heading3"/>
        <w:ind w:hanging="567"/>
      </w:pPr>
      <w:r w:rsidRPr="004E6C5E">
        <w:t xml:space="preserve">The Supplier will </w:t>
      </w:r>
      <w:r w:rsidR="003E7682" w:rsidRPr="004E6C5E">
        <w:t>check,</w:t>
      </w:r>
      <w:r w:rsidRPr="004E6C5E">
        <w:t xml:space="preserve"> </w:t>
      </w:r>
      <w:r w:rsidR="008C4D01" w:rsidRPr="004E6C5E">
        <w:t xml:space="preserve">and record patient reported stock levels </w:t>
      </w:r>
      <w:r w:rsidR="009347E7" w:rsidRPr="004E6C5E">
        <w:t>prior to arrangement of the next delivery.</w:t>
      </w:r>
      <w:r w:rsidR="008C4D01" w:rsidRPr="004E6C5E">
        <w:t xml:space="preserve">   </w:t>
      </w:r>
      <w:r w:rsidR="009347E7" w:rsidRPr="004E6C5E">
        <w:t>Where able (depending on service type) and</w:t>
      </w:r>
      <w:r w:rsidR="008C4D01" w:rsidRPr="004E6C5E">
        <w:t xml:space="preserve"> </w:t>
      </w:r>
      <w:r w:rsidR="009347E7" w:rsidRPr="004E6C5E">
        <w:t>s</w:t>
      </w:r>
      <w:r w:rsidR="008C4D01" w:rsidRPr="004E6C5E">
        <w:t xml:space="preserve">ubject to the consent of patient, Supplier's staff will undertake a stock check of medicines, ancillaries and equipment in the </w:t>
      </w:r>
      <w:r w:rsidR="00301E6F" w:rsidRPr="004E6C5E">
        <w:t>patient’s</w:t>
      </w:r>
      <w:r w:rsidR="008C4D01" w:rsidRPr="004E6C5E">
        <w:t xml:space="preserve"> home (or location of service provision) at the time of nurse visits or at the time of medication deliveries or annually or every 3 months.</w:t>
      </w:r>
      <w:r w:rsidR="009347E7" w:rsidRPr="004E6C5E">
        <w:t xml:space="preserve"> </w:t>
      </w:r>
      <w:r w:rsidR="008C4D01" w:rsidRPr="004E6C5E">
        <w:t xml:space="preserve"> Evidence of suspected over or under use must be reported to the </w:t>
      </w:r>
      <w:r w:rsidR="00CB2E23" w:rsidRPr="004E6C5E">
        <w:t>Participating</w:t>
      </w:r>
      <w:r w:rsidR="008C4D01" w:rsidRPr="004E6C5E">
        <w:t xml:space="preserve"> Authority within 2 </w:t>
      </w:r>
      <w:r w:rsidR="00A31050" w:rsidRPr="004E6C5E">
        <w:t>business days</w:t>
      </w:r>
      <w:r w:rsidR="008C4D01" w:rsidRPr="004E6C5E">
        <w:t xml:space="preserve">.  </w:t>
      </w:r>
    </w:p>
    <w:p w14:paraId="2452E934" w14:textId="11927659" w:rsidR="00163BE7" w:rsidRPr="008E2187" w:rsidRDefault="00163BE7" w:rsidP="003D1D4D">
      <w:pPr>
        <w:pStyle w:val="Heading3"/>
        <w:ind w:hanging="567"/>
      </w:pPr>
      <w:r w:rsidRPr="008E2187">
        <w:t>The Supplier will work with patients to ensure an appropriate stock level within the patients home as agreed by the Participating Authority.  Stock should not be allowed to exceed this agreed level due to risk of loss given a fridge failure or waste of ancillaries.</w:t>
      </w:r>
    </w:p>
    <w:p w14:paraId="6A1A9212" w14:textId="3ADF5801" w:rsidR="00921FC2" w:rsidRPr="008E2187" w:rsidRDefault="00E5498D" w:rsidP="003D1D4D">
      <w:pPr>
        <w:pStyle w:val="Heading3"/>
        <w:ind w:hanging="567"/>
      </w:pPr>
      <w:r w:rsidRPr="008E2187">
        <w:t xml:space="preserve">Subject </w:t>
      </w:r>
      <w:r w:rsidR="008C4D01" w:rsidRPr="008E2187">
        <w:t>to the patients or carers consent, stock identified as past its expiry date or unusable for any other reason must be removed from the patient’s home at the earliest opportunity to ensure patient safety.</w:t>
      </w:r>
      <w:r w:rsidR="008E2187" w:rsidRPr="008E2187">
        <w:t xml:space="preserve">  </w:t>
      </w:r>
      <w:r w:rsidR="008C4D01" w:rsidRPr="008E2187">
        <w:t xml:space="preserve">The Supplier must log such events as incidents and report to the </w:t>
      </w:r>
      <w:r w:rsidR="00CB2E23">
        <w:t>Participating</w:t>
      </w:r>
      <w:r w:rsidR="008C4D01" w:rsidRPr="008E2187">
        <w:t xml:space="preserve"> Authority as agreed in this specification.</w:t>
      </w:r>
    </w:p>
    <w:p w14:paraId="7D2364FB" w14:textId="6CE27AA0" w:rsidR="00921FC2" w:rsidRPr="00586649" w:rsidRDefault="00921FC2" w:rsidP="003D1D4D">
      <w:pPr>
        <w:pStyle w:val="Heading2"/>
        <w:ind w:hanging="567"/>
      </w:pPr>
      <w:bookmarkStart w:id="79" w:name="_Toc77259100"/>
      <w:r w:rsidRPr="00586649">
        <w:t>Clinical Waste Management</w:t>
      </w:r>
      <w:bookmarkEnd w:id="79"/>
    </w:p>
    <w:p w14:paraId="67DDE2B4" w14:textId="46BECBA4" w:rsidR="0016657C" w:rsidRPr="00922577" w:rsidRDefault="000432E6" w:rsidP="0016657C">
      <w:pPr>
        <w:pStyle w:val="Heading3"/>
        <w:ind w:hanging="567"/>
      </w:pPr>
      <w:r w:rsidRPr="008E2187">
        <w:t xml:space="preserve">The Supplier </w:t>
      </w:r>
      <w:r w:rsidR="008C4D01" w:rsidRPr="008E2187">
        <w:t xml:space="preserve">will be responsible for the safe disposal of the patient’s clinical waste generated through the provision of the Service at intervals agreed with the </w:t>
      </w:r>
      <w:r w:rsidR="00CB2E23">
        <w:t>Participating</w:t>
      </w:r>
      <w:r w:rsidR="008C4D01" w:rsidRPr="008E2187">
        <w:t xml:space="preserve"> Authority and will provide approved sharps disposal boxes and appropriate clinical waste containers.  </w:t>
      </w:r>
      <w:r w:rsidR="00997817">
        <w:t xml:space="preserve"> </w:t>
      </w:r>
      <w:r w:rsidR="008C4D01" w:rsidRPr="008E2187">
        <w:t xml:space="preserve">All current UK law and regulations on clinical waste must be adhered to by </w:t>
      </w:r>
      <w:r w:rsidR="00CE2CD8" w:rsidRPr="008E2187">
        <w:t>the Supplier</w:t>
      </w:r>
      <w:r w:rsidR="008C4D01" w:rsidRPr="008E2187">
        <w:t xml:space="preserve"> including the collection, transportation and disposal of clinical waste.</w:t>
      </w:r>
      <w:r w:rsidR="00997817">
        <w:t xml:space="preserve"> </w:t>
      </w:r>
      <w:r w:rsidR="0016657C" w:rsidRPr="0016657C">
        <w:t xml:space="preserve"> </w:t>
      </w:r>
      <w:r w:rsidR="0016657C" w:rsidRPr="00922577">
        <w:t xml:space="preserve">Suppliers or their approved sub-contractor </w:t>
      </w:r>
      <w:r w:rsidR="0016657C">
        <w:t xml:space="preserve">must </w:t>
      </w:r>
      <w:r w:rsidR="0016657C" w:rsidRPr="00922577">
        <w:t>have a waste collection license which covers the relevant waste collection activity and must make this available on request.</w:t>
      </w:r>
    </w:p>
    <w:p w14:paraId="3D64A3C2" w14:textId="2097393B" w:rsidR="00922577" w:rsidRPr="00922577" w:rsidRDefault="00922577" w:rsidP="003D1D4D">
      <w:pPr>
        <w:pStyle w:val="Heading3"/>
        <w:ind w:hanging="567"/>
      </w:pPr>
      <w:r w:rsidRPr="00922577">
        <w:lastRenderedPageBreak/>
        <w:t>Returned medicines which have been outside the control of the Supplier or an approved sub-contractor (e.g. delivered to a patient) must not be reissued to another patient by the Supplier</w:t>
      </w:r>
      <w:r w:rsidR="00997817">
        <w:t>.</w:t>
      </w:r>
    </w:p>
    <w:p w14:paraId="3310A126" w14:textId="5043595B" w:rsidR="00921FC2" w:rsidRPr="00586649" w:rsidRDefault="00921FC2" w:rsidP="003D1D4D">
      <w:pPr>
        <w:pStyle w:val="Heading2"/>
        <w:ind w:hanging="567"/>
      </w:pPr>
      <w:bookmarkStart w:id="80" w:name="_Toc77259101"/>
      <w:r w:rsidRPr="00586649">
        <w:t>Care Away from Home / Travel Service - General</w:t>
      </w:r>
      <w:bookmarkEnd w:id="80"/>
    </w:p>
    <w:p w14:paraId="18B9CD74" w14:textId="63E7E514" w:rsidR="000432E6" w:rsidRPr="008E2187" w:rsidRDefault="000432E6" w:rsidP="003D1D4D">
      <w:pPr>
        <w:pStyle w:val="Heading3"/>
        <w:ind w:hanging="567"/>
      </w:pPr>
      <w:r w:rsidRPr="008E2187">
        <w:t xml:space="preserve">There </w:t>
      </w:r>
      <w:r w:rsidR="0086407C" w:rsidRPr="008E2187">
        <w:t>will continue to be a range of situations where it is appropriate to arrange short notice delivery to addresses other than the patient's home address (e.g. patient's being re-admitted to hospital at short notice).</w:t>
      </w:r>
    </w:p>
    <w:p w14:paraId="17164517" w14:textId="564D641E" w:rsidR="000432E6" w:rsidRPr="008E2187" w:rsidRDefault="000432E6" w:rsidP="003D1D4D">
      <w:pPr>
        <w:pStyle w:val="Heading3"/>
        <w:ind w:hanging="567"/>
      </w:pPr>
      <w:r w:rsidRPr="008E2187">
        <w:t xml:space="preserve">Suppliers may </w:t>
      </w:r>
      <w:r w:rsidR="0086407C" w:rsidRPr="008E2187">
        <w:t>be asked to deliver to different UK addresses in term time compared to holiday time. e.g. students with home and term time addresses.</w:t>
      </w:r>
    </w:p>
    <w:p w14:paraId="3303DE6B" w14:textId="67FF445C" w:rsidR="0086407C" w:rsidRPr="008E2187" w:rsidRDefault="000432E6" w:rsidP="003D1D4D">
      <w:pPr>
        <w:pStyle w:val="Heading3"/>
        <w:ind w:hanging="567"/>
      </w:pPr>
      <w:r w:rsidRPr="008E2187">
        <w:t xml:space="preserve">The Supplier </w:t>
      </w:r>
      <w:r w:rsidR="0086407C" w:rsidRPr="008E2187">
        <w:t xml:space="preserve">will be required in exceptional circumstances to provide additional supplies to cover patient holidays and travel away from </w:t>
      </w:r>
      <w:r w:rsidR="00885392" w:rsidRPr="008E2187">
        <w:t>home to</w:t>
      </w:r>
      <w:r w:rsidR="0086407C" w:rsidRPr="008E2187">
        <w:t xml:space="preserve"> any address in the UK mainland including islands accessible by road plus the Isle of Wight and the Isles of </w:t>
      </w:r>
      <w:proofErr w:type="gramStart"/>
      <w:r w:rsidR="0086407C" w:rsidRPr="008E2187">
        <w:t>Scilly;</w:t>
      </w:r>
      <w:proofErr w:type="gramEnd"/>
      <w:r w:rsidR="0086407C" w:rsidRPr="008E2187">
        <w:t xml:space="preserve"> or England and its Islands.</w:t>
      </w:r>
    </w:p>
    <w:p w14:paraId="4A66BBFF" w14:textId="567DCBE4" w:rsidR="000432E6" w:rsidRPr="008E2187" w:rsidRDefault="0086407C" w:rsidP="003D1D4D">
      <w:pPr>
        <w:pStyle w:val="Heading3"/>
        <w:ind w:hanging="567"/>
      </w:pPr>
      <w:r w:rsidRPr="008E2187">
        <w:t>The holiday service should include delivery of all medicines, ancillaries and equipment and clinical services; return of equipment, ancillaries and excess medicines; and disposal of clinical waste as appropriate.</w:t>
      </w:r>
    </w:p>
    <w:p w14:paraId="07EFE536" w14:textId="2C50A93D" w:rsidR="0086407C" w:rsidRPr="008E2187" w:rsidRDefault="000432E6" w:rsidP="003D1D4D">
      <w:pPr>
        <w:pStyle w:val="Heading3"/>
        <w:ind w:hanging="567"/>
      </w:pPr>
      <w:r w:rsidRPr="008E2187">
        <w:t xml:space="preserve">Patient </w:t>
      </w:r>
      <w:r w:rsidR="0086407C" w:rsidRPr="008E2187">
        <w:t xml:space="preserve">Information will advise that Patients are required to provide at least 4 </w:t>
      </w:r>
      <w:r w:rsidR="009914EB" w:rsidRPr="008E2187">
        <w:t>week’s notice</w:t>
      </w:r>
      <w:r w:rsidR="0086407C" w:rsidRPr="008E2187">
        <w:t xml:space="preserve"> of travel plans within the UK in order that the Supplier can make necessary arrangements for service delivery.</w:t>
      </w:r>
      <w:r w:rsidR="00997817">
        <w:t xml:space="preserve"> </w:t>
      </w:r>
      <w:r w:rsidR="0086407C" w:rsidRPr="008E2187">
        <w:t xml:space="preserve"> If patients are planning to travel abroad, and notify the Supplier, the Supplier must notify the </w:t>
      </w:r>
      <w:r w:rsidR="00CB2E23">
        <w:t>Participating</w:t>
      </w:r>
      <w:r w:rsidR="0086407C" w:rsidRPr="008E2187">
        <w:t xml:space="preserve"> Authority at least 4 weeks in advance of the departure date.  </w:t>
      </w:r>
      <w:r w:rsidR="00997817">
        <w:t xml:space="preserve"> </w:t>
      </w:r>
      <w:r w:rsidR="0086407C" w:rsidRPr="008E2187">
        <w:t>Arrangements to administer the therapy whilst abroad are the responsibility of the specialist nursing team at the referring hospital.</w:t>
      </w:r>
      <w:r w:rsidR="00997817">
        <w:t xml:space="preserve"> </w:t>
      </w:r>
      <w:r w:rsidR="0086407C" w:rsidRPr="008E2187">
        <w:t xml:space="preserve"> The Supplier may be asked to supply letters for international travel or to arrange cold chain deliveries in some circumstances (translated into other languages as required). </w:t>
      </w:r>
      <w:r w:rsidR="00997817">
        <w:t xml:space="preserve"> </w:t>
      </w:r>
      <w:r w:rsidR="0086407C" w:rsidRPr="008E2187">
        <w:t xml:space="preserve">They may also be asked to provide advice/assistance with the packaging of drug for transportation or to deliver to UK airports and ports on request. </w:t>
      </w:r>
    </w:p>
    <w:p w14:paraId="5EB8BE99" w14:textId="225F6520" w:rsidR="00DB78DD" w:rsidRPr="008E2187" w:rsidRDefault="0086407C" w:rsidP="003D1D4D">
      <w:pPr>
        <w:pStyle w:val="Heading3"/>
        <w:ind w:hanging="567"/>
      </w:pPr>
      <w:r w:rsidRPr="008E2187">
        <w:t xml:space="preserve">Any holiday services that include provision of clinical services in alternative locations must be subject to a Suitability and Needs Assessment and arranged with the full knowledge and support of the clinical team responsible for the </w:t>
      </w:r>
      <w:r w:rsidR="00301E6F" w:rsidRPr="008E2187">
        <w:t>patient’s</w:t>
      </w:r>
      <w:r w:rsidRPr="008E2187">
        <w:t xml:space="preserve"> treatment.</w:t>
      </w:r>
      <w:r w:rsidR="00997817">
        <w:t xml:space="preserve"> </w:t>
      </w:r>
      <w:r w:rsidRPr="008E2187">
        <w:t xml:space="preserve"> The patient is responsible for obtaining appropriate medical insurance which will allow them to obtain appropriate medical advice and treatment locally and to cover any unplanned events.</w:t>
      </w:r>
      <w:r w:rsidR="00997817">
        <w:t xml:space="preserve"> </w:t>
      </w:r>
      <w:r w:rsidRPr="008E2187">
        <w:t xml:space="preserve"> The Supplier may be contacted to </w:t>
      </w:r>
      <w:proofErr w:type="gramStart"/>
      <w:r w:rsidRPr="008E2187">
        <w:t>provide assistance</w:t>
      </w:r>
      <w:proofErr w:type="gramEnd"/>
      <w:r w:rsidRPr="008E2187">
        <w:t>, however there is no responsibility to get medicines or ancillaries to the patient should the patient not be able to return home as planned.</w:t>
      </w:r>
    </w:p>
    <w:p w14:paraId="0372C308" w14:textId="2BA36AC7" w:rsidR="00921FC2" w:rsidRPr="00586649" w:rsidRDefault="00921FC2" w:rsidP="003D1D4D">
      <w:pPr>
        <w:pStyle w:val="Heading2"/>
        <w:ind w:hanging="567"/>
      </w:pPr>
      <w:bookmarkStart w:id="81" w:name="_Toc77259102"/>
      <w:r w:rsidRPr="00586649">
        <w:t>Amendment, Interruption and Termination of a Patients Homecare Service</w:t>
      </w:r>
      <w:bookmarkEnd w:id="81"/>
    </w:p>
    <w:p w14:paraId="0B630A03" w14:textId="524F3DFE" w:rsidR="00DB78DD" w:rsidRPr="008E2187" w:rsidRDefault="00DB78DD" w:rsidP="003D1D4D">
      <w:pPr>
        <w:pStyle w:val="Heading3"/>
        <w:ind w:hanging="567"/>
      </w:pPr>
      <w:r w:rsidRPr="008E2187">
        <w:t xml:space="preserve">The Supplier </w:t>
      </w:r>
      <w:r w:rsidR="0086407C" w:rsidRPr="008E2187">
        <w:t xml:space="preserve">must have processes in place to manage amendment, interruption or cessation of the homecare service for an individual patient on notification from the </w:t>
      </w:r>
      <w:r w:rsidR="00CB2E23">
        <w:t>Participating</w:t>
      </w:r>
      <w:r w:rsidR="0086407C" w:rsidRPr="008E2187">
        <w:t xml:space="preserve"> Authority.</w:t>
      </w:r>
      <w:r w:rsidR="00997817">
        <w:t xml:space="preserve"> </w:t>
      </w:r>
      <w:r w:rsidR="0086407C" w:rsidRPr="008E2187">
        <w:t xml:space="preserve"> The </w:t>
      </w:r>
      <w:r w:rsidR="00CB2E23">
        <w:t>Participating</w:t>
      </w:r>
      <w:r w:rsidR="0086407C" w:rsidRPr="008E2187">
        <w:t xml:space="preserve"> Authority may request the Supplier to collect medicines, ancillaries and equipment and dispose or recycle them as appropriate.</w:t>
      </w:r>
      <w:r w:rsidR="00997817">
        <w:t xml:space="preserve"> </w:t>
      </w:r>
      <w:r w:rsidR="0086407C" w:rsidRPr="008E2187">
        <w:t xml:space="preserve"> In the event of a patient’s death the process described will be carried out with </w:t>
      </w:r>
      <w:proofErr w:type="gramStart"/>
      <w:r w:rsidR="0086407C" w:rsidRPr="008E2187">
        <w:t>particular sensitivity</w:t>
      </w:r>
      <w:proofErr w:type="gramEnd"/>
      <w:r w:rsidR="0086407C" w:rsidRPr="008E2187">
        <w:t xml:space="preserve"> at a time convenient to the patient’s family or carer.</w:t>
      </w:r>
    </w:p>
    <w:p w14:paraId="7217CEBB" w14:textId="3080004F" w:rsidR="00DB78DD" w:rsidRPr="008E2187" w:rsidRDefault="00DB78DD" w:rsidP="003D1D4D">
      <w:pPr>
        <w:pStyle w:val="Heading3"/>
        <w:ind w:hanging="567"/>
      </w:pPr>
      <w:r w:rsidRPr="008E2187">
        <w:t xml:space="preserve">Any instruction </w:t>
      </w:r>
      <w:r w:rsidR="0086407C" w:rsidRPr="008E2187">
        <w:t xml:space="preserve">from the </w:t>
      </w:r>
      <w:r w:rsidR="00CB2E23">
        <w:t>Participating</w:t>
      </w:r>
      <w:r w:rsidR="0086407C" w:rsidRPr="008E2187">
        <w:t xml:space="preserve"> Authority to amend, interrupt or cease the homecare service for an individual patient must be implemented within 2 </w:t>
      </w:r>
      <w:r w:rsidR="00A31050">
        <w:t>business days</w:t>
      </w:r>
      <w:r w:rsidR="0086407C" w:rsidRPr="008E2187">
        <w:t>.</w:t>
      </w:r>
      <w:r w:rsidR="00997817">
        <w:t xml:space="preserve"> </w:t>
      </w:r>
      <w:r w:rsidR="0086407C" w:rsidRPr="008E2187">
        <w:t xml:space="preserve"> The </w:t>
      </w:r>
      <w:r w:rsidR="00CB2E23">
        <w:t>Participating</w:t>
      </w:r>
      <w:r w:rsidR="0086407C" w:rsidRPr="008E2187">
        <w:t xml:space="preserve"> Authority will not be responsible for any costs or losses incurred by the Supplier for products or services (excluding equipment see below) provided later than the 2nd </w:t>
      </w:r>
      <w:r w:rsidR="009621C0">
        <w:t>business</w:t>
      </w:r>
      <w:r w:rsidR="0086407C" w:rsidRPr="008E2187">
        <w:t xml:space="preserve"> day after notification of interruption or termination of service.</w:t>
      </w:r>
      <w:r w:rsidR="00997817">
        <w:t xml:space="preserve"> </w:t>
      </w:r>
      <w:r w:rsidR="0086407C" w:rsidRPr="008E2187">
        <w:t xml:space="preserve">  Confirmation must be provided in writing by the </w:t>
      </w:r>
      <w:r w:rsidR="00CB2E23">
        <w:t>Participating</w:t>
      </w:r>
      <w:r w:rsidR="0086407C" w:rsidRPr="008E2187">
        <w:t xml:space="preserve"> Authority if initial instruction is verbal.</w:t>
      </w:r>
      <w:r w:rsidR="00997817">
        <w:t xml:space="preserve"> </w:t>
      </w:r>
      <w:r w:rsidR="0086407C" w:rsidRPr="008E2187">
        <w:t xml:space="preserve"> Service re-activation will be in accordance with the Service Activation provisions within the Selection, Registration of Patients and Service Activation section of the specification.</w:t>
      </w:r>
    </w:p>
    <w:p w14:paraId="71C03B78" w14:textId="2547F316" w:rsidR="00921FC2" w:rsidRPr="008E2187" w:rsidRDefault="00DD637A" w:rsidP="003D1D4D">
      <w:pPr>
        <w:pStyle w:val="Heading3"/>
        <w:ind w:hanging="567"/>
      </w:pPr>
      <w:r w:rsidRPr="008E2187">
        <w:lastRenderedPageBreak/>
        <w:t>All equipment</w:t>
      </w:r>
      <w:r w:rsidR="0086407C" w:rsidRPr="008E2187">
        <w:t>, ancillaries and unwanted medicines must be collected by the Supplier within 1</w:t>
      </w:r>
      <w:r w:rsidR="008E2187" w:rsidRPr="008E2187">
        <w:t>0</w:t>
      </w:r>
      <w:r w:rsidR="0086407C" w:rsidRPr="008E2187">
        <w:t xml:space="preserve"> </w:t>
      </w:r>
      <w:r w:rsidR="00A31050">
        <w:t>business days</w:t>
      </w:r>
      <w:r w:rsidR="0086407C" w:rsidRPr="008E2187">
        <w:t xml:space="preserve"> of the termination of the homecare service or as agreed with the patient. </w:t>
      </w:r>
      <w:r w:rsidR="00997817">
        <w:t xml:space="preserve"> </w:t>
      </w:r>
      <w:r w:rsidR="0086407C" w:rsidRPr="008E2187">
        <w:t xml:space="preserve">Equipment rental will not be charged beyond 10 </w:t>
      </w:r>
      <w:r w:rsidR="00A31050">
        <w:t>business days</w:t>
      </w:r>
      <w:r w:rsidR="0086407C" w:rsidRPr="008E2187">
        <w:t>.</w:t>
      </w:r>
    </w:p>
    <w:p w14:paraId="352E2A51" w14:textId="6650CF91" w:rsidR="00921FC2" w:rsidRPr="00586649" w:rsidRDefault="00921FC2" w:rsidP="003D1D4D">
      <w:pPr>
        <w:pStyle w:val="Heading2"/>
        <w:ind w:hanging="567"/>
      </w:pPr>
      <w:bookmarkStart w:id="82" w:name="_Toc77259103"/>
      <w:bookmarkStart w:id="83" w:name="_Hlk73702365"/>
      <w:r w:rsidRPr="00586649">
        <w:t xml:space="preserve">Communication with </w:t>
      </w:r>
      <w:r w:rsidR="00CB2E23">
        <w:t>Participating</w:t>
      </w:r>
      <w:r w:rsidRPr="00586649">
        <w:t xml:space="preserve"> Authority</w:t>
      </w:r>
      <w:bookmarkEnd w:id="82"/>
    </w:p>
    <w:bookmarkEnd w:id="83"/>
    <w:p w14:paraId="3B5AEAE5" w14:textId="5DFE35DF" w:rsidR="008E2187" w:rsidRPr="008E2187" w:rsidRDefault="008E2187" w:rsidP="003D1D4D">
      <w:pPr>
        <w:pStyle w:val="Heading3"/>
        <w:ind w:hanging="567"/>
      </w:pPr>
      <w:r w:rsidRPr="008E2187">
        <w:t>The Supplier must ensure robust communication processes are in place to support the provision of the homecare service</w:t>
      </w:r>
      <w:r>
        <w:t>.</w:t>
      </w:r>
    </w:p>
    <w:p w14:paraId="37CA4BFD" w14:textId="6700A82F" w:rsidR="00320FD4" w:rsidRPr="008E2187" w:rsidRDefault="00320FD4" w:rsidP="003D1D4D">
      <w:pPr>
        <w:pStyle w:val="Heading3"/>
        <w:ind w:hanging="567"/>
      </w:pPr>
      <w:r w:rsidRPr="008E2187">
        <w:t xml:space="preserve">The Supplier and </w:t>
      </w:r>
      <w:r w:rsidR="00CB2E23">
        <w:t>Participating</w:t>
      </w:r>
      <w:r w:rsidRPr="008E2187">
        <w:t xml:space="preserve"> </w:t>
      </w:r>
      <w:r w:rsidR="00814C96" w:rsidRPr="008E2187">
        <w:t>Authority will provide and maintain an up to date, comprehensive contact matrix relevant to the service including named individuals (where appropriate), role, telephone number and email address.</w:t>
      </w:r>
    </w:p>
    <w:p w14:paraId="65390595" w14:textId="15C08709" w:rsidR="00814C96" w:rsidRPr="008E2187" w:rsidRDefault="00904166" w:rsidP="003D1D4D">
      <w:pPr>
        <w:pStyle w:val="Heading3"/>
        <w:ind w:hanging="567"/>
      </w:pPr>
      <w:r w:rsidRPr="008E2187">
        <w:t>Supplier</w:t>
      </w:r>
      <w:r w:rsidR="00814C96" w:rsidRPr="008E2187">
        <w:t xml:space="preserve"> to provide a service for resolution of service queries, complaints and contract management.  The following attributes are preferred or the minimum requirements </w:t>
      </w:r>
    </w:p>
    <w:p w14:paraId="06321699" w14:textId="139460E1" w:rsidR="00814C96" w:rsidRPr="008E2187" w:rsidRDefault="00814C96" w:rsidP="00DC4DE8">
      <w:pPr>
        <w:pStyle w:val="ListParagraph"/>
        <w:ind w:hanging="567"/>
      </w:pPr>
      <w:r w:rsidRPr="008E2187">
        <w:t xml:space="preserve">available by telephone between 08:00hrs and 18:00hrs weekdays and 09:00 to 12:00 on Saturdays with answer phone outside those hours </w:t>
      </w:r>
    </w:p>
    <w:p w14:paraId="0191DE79" w14:textId="394F244A" w:rsidR="00814C96" w:rsidRPr="008E2187" w:rsidRDefault="00814C96" w:rsidP="00DC4DE8">
      <w:pPr>
        <w:pStyle w:val="ListParagraph"/>
        <w:ind w:hanging="567"/>
      </w:pPr>
      <w:r w:rsidRPr="008E2187">
        <w:t>Standard line number - not a Premium rate line</w:t>
      </w:r>
    </w:p>
    <w:p w14:paraId="15DAF0E4" w14:textId="23A9A1EB" w:rsidR="00814C96" w:rsidRPr="008E2187" w:rsidRDefault="00814C96" w:rsidP="00DC4DE8">
      <w:pPr>
        <w:pStyle w:val="ListParagraph"/>
        <w:ind w:hanging="567"/>
      </w:pPr>
      <w:r w:rsidRPr="008E2187">
        <w:t xml:space="preserve">secure e-mail for exchange of patient identifiable information </w:t>
      </w:r>
    </w:p>
    <w:p w14:paraId="0B85DD93" w14:textId="6657EC3B" w:rsidR="00C50F6B" w:rsidRPr="008E2187" w:rsidRDefault="00814C96" w:rsidP="00DC4DE8">
      <w:pPr>
        <w:pStyle w:val="ListParagraph"/>
        <w:ind w:hanging="567"/>
      </w:pPr>
      <w:r w:rsidRPr="008E2187">
        <w:t>named contract manager and deputy</w:t>
      </w:r>
      <w:r w:rsidR="00C50F6B" w:rsidRPr="008E2187">
        <w:t xml:space="preserve"> </w:t>
      </w:r>
    </w:p>
    <w:p w14:paraId="0B8D7FED" w14:textId="0A02061C" w:rsidR="00C50F6B" w:rsidRPr="008E2187" w:rsidRDefault="00C50F6B" w:rsidP="003D1D4D">
      <w:pPr>
        <w:pStyle w:val="Heading3"/>
        <w:ind w:hanging="567"/>
      </w:pPr>
      <w:r w:rsidRPr="008E2187">
        <w:t xml:space="preserve">All </w:t>
      </w:r>
      <w:r w:rsidR="00814C96" w:rsidRPr="008E2187">
        <w:t xml:space="preserve">contact between the Supplier and the </w:t>
      </w:r>
      <w:r w:rsidR="00CB2E23">
        <w:t>Participating</w:t>
      </w:r>
      <w:r w:rsidR="00814C96" w:rsidRPr="008E2187">
        <w:t xml:space="preserve"> Authority must be logged and records made available to the </w:t>
      </w:r>
      <w:r w:rsidR="00CB2E23">
        <w:t>Participating</w:t>
      </w:r>
      <w:r w:rsidR="00814C96" w:rsidRPr="008E2187">
        <w:t xml:space="preserve"> Authority on request.</w:t>
      </w:r>
    </w:p>
    <w:p w14:paraId="1D0B69B0" w14:textId="4D0A1095" w:rsidR="00C50F6B" w:rsidRDefault="00C50F6B" w:rsidP="003D1D4D">
      <w:pPr>
        <w:pStyle w:val="Heading3"/>
        <w:ind w:hanging="567"/>
      </w:pPr>
      <w:r w:rsidRPr="008E2187">
        <w:t xml:space="preserve">The Supplier </w:t>
      </w:r>
      <w:r w:rsidR="00814C96" w:rsidRPr="008E2187">
        <w:t xml:space="preserve">will use the patient's NHS number or the </w:t>
      </w:r>
      <w:r w:rsidR="00CB2E23">
        <w:t>Participating</w:t>
      </w:r>
      <w:r w:rsidR="00814C96" w:rsidRPr="008E2187">
        <w:t xml:space="preserve"> Authority's local patient identifier as set out in the registration information to identify each patient once the registration has been accepted.</w:t>
      </w:r>
    </w:p>
    <w:p w14:paraId="162B0E28" w14:textId="78541C54" w:rsidR="00091784" w:rsidRPr="00091784" w:rsidRDefault="00091784" w:rsidP="00091784">
      <w:pPr>
        <w:pStyle w:val="Heading3"/>
        <w:ind w:hanging="573"/>
      </w:pPr>
      <w:r>
        <w:t xml:space="preserve">The Supplier maybe requested to use clinic number or other form or </w:t>
      </w:r>
      <w:r w:rsidR="00D64D2B">
        <w:t>anonymised</w:t>
      </w:r>
      <w:r>
        <w:t xml:space="preserve"> patient identifier</w:t>
      </w:r>
      <w:r w:rsidR="00D64D2B">
        <w:t>(e.g. GUM number)</w:t>
      </w:r>
      <w:r w:rsidR="00D64D2B" w:rsidRPr="00D64D2B">
        <w:t xml:space="preserve"> </w:t>
      </w:r>
      <w:r w:rsidR="00D64D2B" w:rsidRPr="008E2187">
        <w:t>as set out in the registration information to identify each patient once the registration has been accepted</w:t>
      </w:r>
      <w:r w:rsidR="00D64D2B">
        <w:t>.</w:t>
      </w:r>
    </w:p>
    <w:p w14:paraId="03DA860B" w14:textId="29C8DB3F" w:rsidR="00921FC2" w:rsidRPr="00586649" w:rsidRDefault="000E02AA" w:rsidP="003D1D4D">
      <w:pPr>
        <w:pStyle w:val="Heading2"/>
        <w:ind w:hanging="567"/>
      </w:pPr>
      <w:bookmarkStart w:id="84" w:name="_Toc77259104"/>
      <w:r w:rsidRPr="00586649">
        <w:t>Performance Monitoring and Management Information</w:t>
      </w:r>
      <w:bookmarkEnd w:id="84"/>
    </w:p>
    <w:p w14:paraId="77048335" w14:textId="521D163A" w:rsidR="00AF1BC9" w:rsidRPr="00660C5E" w:rsidRDefault="001123F1" w:rsidP="003D1D4D">
      <w:pPr>
        <w:pStyle w:val="Heading3"/>
        <w:ind w:hanging="567"/>
      </w:pPr>
      <w:r w:rsidRPr="00660C5E">
        <w:t>The Supplier</w:t>
      </w:r>
      <w:r w:rsidR="00814C96" w:rsidRPr="00660C5E">
        <w:t xml:space="preserve"> and </w:t>
      </w:r>
      <w:r w:rsidR="00CB2E23">
        <w:t>Participating</w:t>
      </w:r>
      <w:r w:rsidR="00814C96" w:rsidRPr="00660C5E">
        <w:t xml:space="preserve"> Authority are responsible for managing the quality of the homecare services.  This is managed via the collection of management Information and regular supplier review meetings.  Management Information is to be delivered to the </w:t>
      </w:r>
      <w:r w:rsidR="00CB2E23">
        <w:t>Participating</w:t>
      </w:r>
      <w:r w:rsidR="00814C96" w:rsidRPr="00660C5E">
        <w:t xml:space="preserve"> Authority as specified.</w:t>
      </w:r>
    </w:p>
    <w:p w14:paraId="10E02D56" w14:textId="77777777" w:rsidR="00814C96" w:rsidRPr="00660C5E" w:rsidRDefault="00814C96" w:rsidP="003D1D4D">
      <w:pPr>
        <w:pStyle w:val="Heading3"/>
        <w:ind w:hanging="567"/>
      </w:pPr>
      <w:r w:rsidRPr="00660C5E">
        <w:t xml:space="preserve">Monthly Management Information report templates should be completed for the previous calendar month by the 10th business day of the next calendar month. </w:t>
      </w:r>
    </w:p>
    <w:p w14:paraId="3488DE19" w14:textId="3FEF31F8" w:rsidR="008E2187" w:rsidRPr="00660C5E" w:rsidRDefault="008E2187" w:rsidP="003D1D4D">
      <w:pPr>
        <w:pStyle w:val="Heading3"/>
        <w:ind w:hanging="567"/>
      </w:pPr>
      <w:r w:rsidRPr="00660C5E">
        <w:t>Current m</w:t>
      </w:r>
      <w:r w:rsidR="00814C96" w:rsidRPr="00660C5E">
        <w:t xml:space="preserve">onthly </w:t>
      </w:r>
      <w:r w:rsidRPr="00660C5E">
        <w:t>r</w:t>
      </w:r>
      <w:r w:rsidR="00814C96" w:rsidRPr="00660C5E">
        <w:t>eport templates are provided</w:t>
      </w:r>
      <w:r w:rsidRPr="00660C5E">
        <w:t xml:space="preserve"> in Appendix </w:t>
      </w:r>
      <w:r w:rsidR="00DC4DE8">
        <w:t>A</w:t>
      </w:r>
      <w:r w:rsidR="00814C96" w:rsidRPr="00660C5E">
        <w:t xml:space="preserve"> </w:t>
      </w:r>
    </w:p>
    <w:p w14:paraId="52F0233E" w14:textId="4A1E7DEA" w:rsidR="008E2187" w:rsidRDefault="00814C96" w:rsidP="00DC4DE8">
      <w:pPr>
        <w:pStyle w:val="ListParagraph"/>
        <w:numPr>
          <w:ilvl w:val="0"/>
          <w:numId w:val="6"/>
        </w:numPr>
        <w:spacing w:before="0"/>
        <w:ind w:firstLine="1265"/>
      </w:pPr>
      <w:r w:rsidRPr="00660C5E">
        <w:t xml:space="preserve">Activity Report  </w:t>
      </w:r>
    </w:p>
    <w:p w14:paraId="17340BDB" w14:textId="372996C9" w:rsidR="001123F1" w:rsidRDefault="00814C96" w:rsidP="00DC4DE8">
      <w:pPr>
        <w:pStyle w:val="ListParagraph"/>
        <w:numPr>
          <w:ilvl w:val="0"/>
          <w:numId w:val="6"/>
        </w:numPr>
        <w:spacing w:before="0"/>
        <w:ind w:firstLine="1265"/>
      </w:pPr>
      <w:r w:rsidRPr="00660C5E">
        <w:t>Key Performance Indicator Report</w:t>
      </w:r>
    </w:p>
    <w:p w14:paraId="518A66AC" w14:textId="078D8FDF" w:rsidR="00174F15" w:rsidRDefault="00174F15" w:rsidP="00DC4DE8">
      <w:pPr>
        <w:pStyle w:val="ListParagraph"/>
        <w:numPr>
          <w:ilvl w:val="0"/>
          <w:numId w:val="6"/>
        </w:numPr>
        <w:spacing w:before="0"/>
        <w:ind w:left="2127" w:hanging="142"/>
      </w:pPr>
      <w:r>
        <w:t>Complaint and Incid</w:t>
      </w:r>
      <w:r w:rsidR="004B0BC5">
        <w:t>ent Report</w:t>
      </w:r>
    </w:p>
    <w:p w14:paraId="0C46959D" w14:textId="3F97ABB7" w:rsidR="00174F15" w:rsidRPr="00A7376B" w:rsidRDefault="00174F15" w:rsidP="00174F15">
      <w:pPr>
        <w:pStyle w:val="Heading3"/>
        <w:ind w:hanging="573"/>
      </w:pPr>
      <w:r w:rsidRPr="00A7376B">
        <w:rPr>
          <w:rFonts w:eastAsia="Times New Roman"/>
          <w:lang w:eastAsia="en-GB"/>
        </w:rPr>
        <w:t xml:space="preserve">The Supplier is required to submit dispensing information to the Purchasing Authority using the form which can be found in Appendix </w:t>
      </w:r>
      <w:r w:rsidR="00DC4DE8">
        <w:rPr>
          <w:rFonts w:eastAsia="Times New Roman"/>
          <w:lang w:eastAsia="en-GB"/>
        </w:rPr>
        <w:t>A</w:t>
      </w:r>
      <w:r w:rsidRPr="00A7376B">
        <w:rPr>
          <w:rFonts w:eastAsia="Times New Roman"/>
          <w:lang w:eastAsia="en-GB"/>
        </w:rPr>
        <w:t>.</w:t>
      </w:r>
      <w:r w:rsidR="00A7376B" w:rsidRPr="00A7376B">
        <w:rPr>
          <w:rFonts w:eastAsia="Times New Roman"/>
          <w:lang w:eastAsia="en-GB"/>
        </w:rPr>
        <w:t xml:space="preserve"> </w:t>
      </w:r>
      <w:r w:rsidRPr="00A7376B">
        <w:rPr>
          <w:rFonts w:eastAsia="Times New Roman"/>
          <w:lang w:eastAsia="en-GB"/>
        </w:rPr>
        <w:t xml:space="preserve"> The data fields may change throughout the life of the </w:t>
      </w:r>
      <w:r w:rsidR="008834C4" w:rsidRPr="00A7376B">
        <w:rPr>
          <w:rFonts w:eastAsia="Times New Roman"/>
          <w:lang w:eastAsia="en-GB"/>
        </w:rPr>
        <w:t>Framework</w:t>
      </w:r>
      <w:r w:rsidRPr="00A7376B">
        <w:rPr>
          <w:rFonts w:eastAsia="Times New Roman"/>
          <w:lang w:eastAsia="en-GB"/>
        </w:rPr>
        <w:t xml:space="preserve"> and in future the Supplier may be asked to send/upload the information directly to MDSAS.</w:t>
      </w:r>
    </w:p>
    <w:p w14:paraId="61D57232" w14:textId="0447765B" w:rsidR="00FD746D" w:rsidRPr="00660C5E" w:rsidRDefault="00FD746D" w:rsidP="003D1D4D">
      <w:pPr>
        <w:pStyle w:val="Heading3"/>
        <w:ind w:hanging="567"/>
      </w:pPr>
      <w:r w:rsidRPr="00660C5E">
        <w:t>Suppliers should use the national templates for monthly management reports where available. The Authority may share Participating Authority level information wit</w:t>
      </w:r>
      <w:r w:rsidR="0016657C">
        <w:t>hin the YHPPC members.</w:t>
      </w:r>
    </w:p>
    <w:p w14:paraId="0B5F6D7D" w14:textId="6385D3CA" w:rsidR="00FD746D" w:rsidRPr="00660C5E" w:rsidRDefault="00FD746D" w:rsidP="003D1D4D">
      <w:pPr>
        <w:pStyle w:val="Heading3"/>
        <w:ind w:hanging="567"/>
      </w:pPr>
      <w:r w:rsidRPr="00660C5E">
        <w:lastRenderedPageBreak/>
        <w:t xml:space="preserve">Requests for backing data in reference to the standard monthly Management Information may be requested by the Participating Authority and/or Authority.  The data requested will be provided by the Supplier within 5 </w:t>
      </w:r>
      <w:r w:rsidR="00A31050">
        <w:t>Business days</w:t>
      </w:r>
      <w:r w:rsidRPr="00660C5E">
        <w:t xml:space="preserve"> of the request unless otherwise agreed.</w:t>
      </w:r>
    </w:p>
    <w:p w14:paraId="3D9A21F1" w14:textId="6B7D4D48" w:rsidR="001123F1" w:rsidRPr="00A7376B" w:rsidRDefault="00F20C57" w:rsidP="003D1D4D">
      <w:pPr>
        <w:pStyle w:val="Heading3"/>
        <w:ind w:hanging="567"/>
      </w:pPr>
      <w:r w:rsidRPr="00A7376B">
        <w:t>The Supplier will comply with all reasonable requests for management data (including supporting data for Monthly Management Information reports</w:t>
      </w:r>
      <w:r w:rsidR="008834C4" w:rsidRPr="00A7376B">
        <w:t xml:space="preserve"> and dispensing information to support national recording of product information</w:t>
      </w:r>
      <w:r w:rsidRPr="00A7376B">
        <w:t>)</w:t>
      </w:r>
      <w:r w:rsidR="008834C4" w:rsidRPr="00A7376B">
        <w:t>.</w:t>
      </w:r>
      <w:r w:rsidRPr="00A7376B">
        <w:t xml:space="preserve"> </w:t>
      </w:r>
    </w:p>
    <w:p w14:paraId="09A45EB8" w14:textId="369FD95F" w:rsidR="00FD746D" w:rsidRPr="00660C5E" w:rsidRDefault="00FD746D" w:rsidP="003D1D4D">
      <w:pPr>
        <w:pStyle w:val="Heading3"/>
        <w:ind w:hanging="567"/>
      </w:pPr>
      <w:r w:rsidRPr="00660C5E">
        <w:t xml:space="preserve">In addition to the standard </w:t>
      </w:r>
      <w:r w:rsidR="002A5BD2">
        <w:t>M</w:t>
      </w:r>
      <w:r w:rsidRPr="00660C5E">
        <w:t xml:space="preserve">onthly Management information </w:t>
      </w:r>
      <w:r w:rsidR="007851DA">
        <w:t>the</w:t>
      </w:r>
      <w:r w:rsidRPr="00660C5E">
        <w:t xml:space="preserve"> Supplier will comply with all reasonable requests by the Department of Health</w:t>
      </w:r>
      <w:r w:rsidR="002A5BD2">
        <w:t xml:space="preserve"> and Social </w:t>
      </w:r>
      <w:r w:rsidR="0016657C">
        <w:t>C</w:t>
      </w:r>
      <w:r w:rsidR="002A5BD2">
        <w:t>are</w:t>
      </w:r>
      <w:r w:rsidRPr="00660C5E">
        <w:t xml:space="preserve">, </w:t>
      </w:r>
      <w:r w:rsidR="002A5BD2" w:rsidRPr="00660C5E">
        <w:t>C</w:t>
      </w:r>
      <w:r w:rsidR="002A5BD2">
        <w:t xml:space="preserve">ommercial </w:t>
      </w:r>
      <w:r w:rsidRPr="00660C5E">
        <w:t>M</w:t>
      </w:r>
      <w:r w:rsidR="002A5BD2">
        <w:t xml:space="preserve">edicines </w:t>
      </w:r>
      <w:r w:rsidRPr="00660C5E">
        <w:t>U</w:t>
      </w:r>
      <w:r w:rsidR="002A5BD2">
        <w:t>nit</w:t>
      </w:r>
      <w:r w:rsidR="003E7682">
        <w:t xml:space="preserve"> </w:t>
      </w:r>
      <w:r w:rsidR="002A5BD2">
        <w:t>(CMU)</w:t>
      </w:r>
      <w:r w:rsidRPr="00660C5E">
        <w:t xml:space="preserve">, the Participating Authority, </w:t>
      </w:r>
      <w:r w:rsidR="002A5BD2">
        <w:t>Integrated Care Boards</w:t>
      </w:r>
      <w:r w:rsidR="003E7682">
        <w:t xml:space="preserve"> </w:t>
      </w:r>
      <w:r w:rsidR="002A5BD2">
        <w:t>(ICB)</w:t>
      </w:r>
      <w:r w:rsidRPr="00660C5E">
        <w:t xml:space="preserve"> and NHS England (or any future organisations they become part of) for Management Information to be provided in respect of the products and services supplied under this Framework. This information is to be provided within 10 </w:t>
      </w:r>
      <w:r w:rsidR="00A31050">
        <w:t>business days</w:t>
      </w:r>
      <w:r w:rsidRPr="00660C5E">
        <w:t xml:space="preserve"> for ad hoc requests or at a time agreed between the parties. This information should be anonymised unless approval is gained from the Participating Authorities to confirm otherwise.</w:t>
      </w:r>
    </w:p>
    <w:p w14:paraId="1EF80E25" w14:textId="03C09FB9" w:rsidR="00B41383" w:rsidRPr="00660C5E" w:rsidRDefault="00B41383" w:rsidP="003D1D4D">
      <w:pPr>
        <w:pStyle w:val="Heading3"/>
        <w:ind w:hanging="567"/>
      </w:pPr>
      <w:r w:rsidRPr="00660C5E">
        <w:t xml:space="preserve">Supplier Review meetings will be held by the </w:t>
      </w:r>
      <w:r w:rsidR="00CB2E23">
        <w:t>Participating</w:t>
      </w:r>
      <w:r w:rsidRPr="00660C5E">
        <w:t xml:space="preserve"> Authority with the Supplier at agreed intervals.</w:t>
      </w:r>
    </w:p>
    <w:p w14:paraId="2D4354EB" w14:textId="4FB143D6" w:rsidR="00B41383" w:rsidRPr="00660C5E" w:rsidRDefault="00B41383" w:rsidP="003D1D4D">
      <w:pPr>
        <w:pStyle w:val="Heading3"/>
        <w:ind w:hanging="567"/>
      </w:pPr>
      <w:r w:rsidRPr="00660C5E">
        <w:t xml:space="preserve">Contract monitoring meetings/regional service review meetings will be held in addition to local service review meetings between the awarded Suppliers </w:t>
      </w:r>
      <w:r w:rsidR="007851DA">
        <w:t>and</w:t>
      </w:r>
      <w:r w:rsidRPr="00660C5E">
        <w:t xml:space="preserve"> the Authority.</w:t>
      </w:r>
    </w:p>
    <w:p w14:paraId="1ACF31FC" w14:textId="5E844B45" w:rsidR="00FD746D" w:rsidRPr="00660C5E" w:rsidRDefault="00F20C57" w:rsidP="003D1D4D">
      <w:pPr>
        <w:pStyle w:val="Heading3"/>
        <w:ind w:hanging="567"/>
      </w:pPr>
      <w:r w:rsidRPr="00660C5E">
        <w:rPr>
          <w:color w:val="00B050"/>
        </w:rPr>
        <w:t xml:space="preserve"> </w:t>
      </w:r>
      <w:r w:rsidR="00FD746D" w:rsidRPr="00660C5E">
        <w:t xml:space="preserve">The Supplier will have an annual routine patient satisfaction survey cycle </w:t>
      </w:r>
      <w:proofErr w:type="gramStart"/>
      <w:r w:rsidR="00FD746D" w:rsidRPr="00660C5E">
        <w:t>in order to</w:t>
      </w:r>
      <w:proofErr w:type="gramEnd"/>
      <w:r w:rsidR="00FD746D" w:rsidRPr="00660C5E">
        <w:t xml:space="preserve"> ascertain the quality of the level of service and review the patient experience.  Suppliers must request and receive confirmation from Participating Authorities to issue this survey to their patients. The Supplier will ensure the patient satisfaction survey is provided to each active patient on the homecare service free of charge, including providing </w:t>
      </w:r>
      <w:proofErr w:type="spellStart"/>
      <w:r w:rsidR="00FD746D" w:rsidRPr="00660C5E">
        <w:t>pre paid</w:t>
      </w:r>
      <w:proofErr w:type="spellEnd"/>
      <w:r w:rsidR="00FD746D" w:rsidRPr="00660C5E">
        <w:t xml:space="preserve"> envelopes for responses if required.  </w:t>
      </w:r>
    </w:p>
    <w:p w14:paraId="0996619C" w14:textId="19BD5DF3" w:rsidR="00FD746D" w:rsidRPr="00660C5E" w:rsidRDefault="00FD746D" w:rsidP="003D1D4D">
      <w:pPr>
        <w:pStyle w:val="Heading3"/>
        <w:ind w:hanging="567"/>
      </w:pPr>
      <w:r w:rsidRPr="00660C5E">
        <w:t xml:space="preserve">The published RPS guidance will be used including any service specific questions </w:t>
      </w:r>
      <w:proofErr w:type="gramStart"/>
      <w:r w:rsidRPr="00660C5E">
        <w:t>in order to</w:t>
      </w:r>
      <w:proofErr w:type="gramEnd"/>
      <w:r w:rsidRPr="00660C5E">
        <w:t xml:space="preserve"> facilitate contract management, benchmarking and sharing of best practice.  This process can be found on the RPS Website Homecare Handbook Appendices.</w:t>
      </w:r>
    </w:p>
    <w:p w14:paraId="50F17D10" w14:textId="5F67B2B8" w:rsidR="00921FC2" w:rsidRPr="002568C5" w:rsidRDefault="000E02AA" w:rsidP="003D1D4D">
      <w:pPr>
        <w:pStyle w:val="Heading2"/>
        <w:ind w:hanging="567"/>
      </w:pPr>
      <w:bookmarkStart w:id="85" w:name="_Toc77259105"/>
      <w:r w:rsidRPr="002568C5">
        <w:t>Change Management</w:t>
      </w:r>
      <w:bookmarkEnd w:id="85"/>
    </w:p>
    <w:p w14:paraId="5C6BD433" w14:textId="067CB754" w:rsidR="00096E9D" w:rsidRPr="00660C5E" w:rsidRDefault="00096E9D" w:rsidP="003D1D4D">
      <w:pPr>
        <w:pStyle w:val="Heading3"/>
        <w:ind w:hanging="567"/>
      </w:pPr>
      <w:r w:rsidRPr="00660C5E">
        <w:t>Any changes</w:t>
      </w:r>
      <w:r w:rsidR="00814C96" w:rsidRPr="00660C5E">
        <w:t xml:space="preserve"> to Agreement documents, pricing / commercial arrangements or other changes which may reasonably be expected to impact the service or compliance with this specification must be raised with and approved by </w:t>
      </w:r>
      <w:r w:rsidR="00602A08">
        <w:t xml:space="preserve">all </w:t>
      </w:r>
      <w:r w:rsidR="00814C96" w:rsidRPr="00660C5E">
        <w:t xml:space="preserve"> part</w:t>
      </w:r>
      <w:r w:rsidR="00602A08">
        <w:t>ies</w:t>
      </w:r>
      <w:r w:rsidR="00814C96" w:rsidRPr="00660C5E">
        <w:t xml:space="preserve"> as far in advance as reasonably possible and in any case at least 28 calendar days prior to the change occurring.</w:t>
      </w:r>
      <w:r w:rsidRPr="00660C5E">
        <w:t xml:space="preserve"> </w:t>
      </w:r>
    </w:p>
    <w:p w14:paraId="0687B3D1" w14:textId="61309166" w:rsidR="00096E9D" w:rsidRPr="00660C5E" w:rsidRDefault="00096E9D" w:rsidP="003D1D4D">
      <w:pPr>
        <w:pStyle w:val="Heading3"/>
        <w:ind w:hanging="567"/>
      </w:pPr>
      <w:r w:rsidRPr="00660C5E">
        <w:t>Where either Party requests approval for any change, approval is not to be unreasonably withheld or delayed by the other party.</w:t>
      </w:r>
    </w:p>
    <w:p w14:paraId="0D29FD9D" w14:textId="3F1F9989" w:rsidR="0071449E" w:rsidRPr="00660C5E" w:rsidRDefault="00096E9D" w:rsidP="003D1D4D">
      <w:pPr>
        <w:pStyle w:val="Heading3"/>
        <w:ind w:hanging="567"/>
      </w:pPr>
      <w:r w:rsidRPr="00660C5E">
        <w:t xml:space="preserve">Documents, </w:t>
      </w:r>
      <w:r w:rsidR="0071449E" w:rsidRPr="00660C5E">
        <w:t>including but not limited to those listed below, will be subject to formal approval by the Supplier</w:t>
      </w:r>
      <w:r w:rsidR="002A5BD2">
        <w:t>, Authority</w:t>
      </w:r>
      <w:r w:rsidR="0071449E" w:rsidRPr="00660C5E">
        <w:t xml:space="preserve"> and </w:t>
      </w:r>
      <w:r w:rsidR="00CB2E23">
        <w:t>Participating</w:t>
      </w:r>
      <w:r w:rsidR="0071449E" w:rsidRPr="00660C5E">
        <w:t xml:space="preserve"> Authority and are subject to the change control provisions of this specification unless agreed otherwise by both parties:</w:t>
      </w:r>
    </w:p>
    <w:p w14:paraId="6F083CE2" w14:textId="38BE946B" w:rsidR="0071449E" w:rsidRPr="00660C5E" w:rsidRDefault="0071449E" w:rsidP="00DC4DE8">
      <w:pPr>
        <w:pStyle w:val="ListParagraph"/>
        <w:ind w:hanging="567"/>
      </w:pPr>
      <w:r w:rsidRPr="00660C5E">
        <w:t>Service specification</w:t>
      </w:r>
    </w:p>
    <w:p w14:paraId="72B72808" w14:textId="67C58C11" w:rsidR="0071449E" w:rsidRPr="00660C5E" w:rsidRDefault="0071449E" w:rsidP="00DC4DE8">
      <w:pPr>
        <w:pStyle w:val="ListParagraph"/>
        <w:ind w:hanging="567"/>
      </w:pPr>
      <w:r w:rsidRPr="00660C5E">
        <w:t>Commercial Schedule</w:t>
      </w:r>
    </w:p>
    <w:p w14:paraId="7629F676" w14:textId="4A5B93A0" w:rsidR="0071449E" w:rsidRPr="00660C5E" w:rsidRDefault="0071449E" w:rsidP="00DC4DE8">
      <w:pPr>
        <w:pStyle w:val="ListParagraph"/>
        <w:ind w:hanging="567"/>
      </w:pPr>
      <w:r w:rsidRPr="00660C5E">
        <w:t>Registration Form</w:t>
      </w:r>
    </w:p>
    <w:p w14:paraId="4E8B7F9D" w14:textId="0E6996E0" w:rsidR="0071449E" w:rsidRDefault="0071449E" w:rsidP="00DC4DE8">
      <w:pPr>
        <w:pStyle w:val="ListParagraph"/>
        <w:ind w:hanging="567"/>
      </w:pPr>
      <w:r w:rsidRPr="00660C5E">
        <w:t>Prescription Form</w:t>
      </w:r>
    </w:p>
    <w:p w14:paraId="03CDCDA5" w14:textId="1F35EF5C" w:rsidR="004B0BC5" w:rsidRPr="00660C5E" w:rsidRDefault="004B0BC5" w:rsidP="00DC4DE8">
      <w:pPr>
        <w:pStyle w:val="ListParagraph"/>
        <w:ind w:hanging="567"/>
      </w:pPr>
      <w:r>
        <w:t>Nurse Training Manuals</w:t>
      </w:r>
    </w:p>
    <w:p w14:paraId="47875331" w14:textId="0E8BCE3E" w:rsidR="0071449E" w:rsidRPr="00660C5E" w:rsidRDefault="0071449E" w:rsidP="00DC4DE8">
      <w:pPr>
        <w:pStyle w:val="ListParagraph"/>
        <w:ind w:hanging="567"/>
      </w:pPr>
      <w:r w:rsidRPr="00660C5E">
        <w:t>Clinical service protocols</w:t>
      </w:r>
    </w:p>
    <w:p w14:paraId="70FA69B8" w14:textId="0CDA9BAE" w:rsidR="0071449E" w:rsidRPr="00660C5E" w:rsidRDefault="0071449E" w:rsidP="00DC4DE8">
      <w:pPr>
        <w:pStyle w:val="ListParagraph"/>
        <w:ind w:hanging="567"/>
      </w:pPr>
      <w:r w:rsidRPr="00660C5E">
        <w:t>Home visit protocols</w:t>
      </w:r>
    </w:p>
    <w:p w14:paraId="6869656B" w14:textId="5CFB585B" w:rsidR="0071449E" w:rsidRPr="00660C5E" w:rsidRDefault="0071449E" w:rsidP="00DC4DE8">
      <w:pPr>
        <w:pStyle w:val="ListParagraph"/>
        <w:ind w:hanging="567"/>
      </w:pPr>
      <w:r w:rsidRPr="00660C5E">
        <w:t>Patient Information / communications</w:t>
      </w:r>
    </w:p>
    <w:p w14:paraId="67F2EBB4" w14:textId="1C91C134" w:rsidR="0071449E" w:rsidRPr="00660C5E" w:rsidRDefault="0071449E" w:rsidP="00DC4DE8">
      <w:pPr>
        <w:pStyle w:val="ListParagraph"/>
        <w:ind w:hanging="567"/>
      </w:pPr>
      <w:r w:rsidRPr="00660C5E">
        <w:lastRenderedPageBreak/>
        <w:t>Proof of product / service delivery</w:t>
      </w:r>
    </w:p>
    <w:p w14:paraId="2F4C0E40" w14:textId="052B56F4" w:rsidR="0071449E" w:rsidRPr="00660C5E" w:rsidRDefault="0071449E" w:rsidP="00DC4DE8">
      <w:pPr>
        <w:pStyle w:val="ListParagraph"/>
        <w:ind w:hanging="567"/>
      </w:pPr>
      <w:r w:rsidRPr="00660C5E">
        <w:t>Invoice</w:t>
      </w:r>
    </w:p>
    <w:p w14:paraId="7E727868" w14:textId="2BF001E9" w:rsidR="0071449E" w:rsidRPr="00660C5E" w:rsidRDefault="0071449E" w:rsidP="00DC4DE8">
      <w:pPr>
        <w:pStyle w:val="ListParagraph"/>
        <w:ind w:hanging="567"/>
      </w:pPr>
      <w:r w:rsidRPr="00660C5E">
        <w:t xml:space="preserve">Patient suitability assessment form </w:t>
      </w:r>
    </w:p>
    <w:p w14:paraId="0741963E" w14:textId="71AB901E" w:rsidR="0071449E" w:rsidRPr="00660C5E" w:rsidRDefault="0071449E" w:rsidP="00DC4DE8">
      <w:pPr>
        <w:pStyle w:val="ListParagraph"/>
        <w:ind w:hanging="567"/>
      </w:pPr>
      <w:r w:rsidRPr="00660C5E">
        <w:t>Patient support programme materials (where applicable)</w:t>
      </w:r>
    </w:p>
    <w:p w14:paraId="3F11B121" w14:textId="63104131" w:rsidR="0071449E" w:rsidRPr="00660C5E" w:rsidRDefault="0071449E" w:rsidP="00DC4DE8">
      <w:pPr>
        <w:pStyle w:val="ListParagraph"/>
        <w:ind w:hanging="567"/>
      </w:pPr>
      <w:r w:rsidRPr="00660C5E">
        <w:t>Equipment List</w:t>
      </w:r>
    </w:p>
    <w:p w14:paraId="35DDEB24" w14:textId="3AD13519" w:rsidR="0071449E" w:rsidRPr="00660C5E" w:rsidRDefault="0071449E" w:rsidP="00DC4DE8">
      <w:pPr>
        <w:pStyle w:val="ListParagraph"/>
        <w:ind w:hanging="567"/>
      </w:pPr>
      <w:r w:rsidRPr="00660C5E">
        <w:t>Ancillary List</w:t>
      </w:r>
    </w:p>
    <w:p w14:paraId="027B71DE" w14:textId="75500EC4" w:rsidR="0071449E" w:rsidRDefault="001613B7" w:rsidP="00DC4DE8">
      <w:pPr>
        <w:pStyle w:val="ListParagraph"/>
        <w:ind w:hanging="567"/>
      </w:pPr>
      <w:r>
        <w:t xml:space="preserve">Approved </w:t>
      </w:r>
      <w:r w:rsidR="0071449E" w:rsidRPr="00660C5E">
        <w:t>Sub Contractor</w:t>
      </w:r>
      <w:r>
        <w:t xml:space="preserve"> List</w:t>
      </w:r>
    </w:p>
    <w:p w14:paraId="1B53799B" w14:textId="604D87C1" w:rsidR="001613B7" w:rsidRDefault="001613B7" w:rsidP="00DC4DE8">
      <w:pPr>
        <w:pStyle w:val="ListParagraph"/>
        <w:ind w:hanging="567"/>
      </w:pPr>
      <w:r>
        <w:t>Order Form</w:t>
      </w:r>
      <w:r w:rsidR="004B0BC5">
        <w:t xml:space="preserve"> Template</w:t>
      </w:r>
    </w:p>
    <w:p w14:paraId="09C7D0C7" w14:textId="5D9E913A" w:rsidR="004B0BC5" w:rsidRPr="00660C5E" w:rsidRDefault="004B0BC5" w:rsidP="00DC4DE8">
      <w:pPr>
        <w:pStyle w:val="ListParagraph"/>
        <w:ind w:hanging="567"/>
      </w:pPr>
      <w:r>
        <w:t>Monthly Management Templates</w:t>
      </w:r>
    </w:p>
    <w:p w14:paraId="4290C3FD" w14:textId="535A5745" w:rsidR="00EE4EFD" w:rsidRPr="00660C5E" w:rsidRDefault="00EE4EFD" w:rsidP="003D1D4D">
      <w:pPr>
        <w:pStyle w:val="Heading3"/>
        <w:ind w:hanging="567"/>
      </w:pPr>
      <w:r w:rsidRPr="00660C5E">
        <w:t xml:space="preserve">Where a patient's homecare services </w:t>
      </w:r>
      <w:proofErr w:type="gramStart"/>
      <w:r w:rsidRPr="00660C5E">
        <w:t>is</w:t>
      </w:r>
      <w:proofErr w:type="gramEnd"/>
      <w:r w:rsidRPr="00660C5E">
        <w:t xml:space="preserve"> transferred between different </w:t>
      </w:r>
      <w:r w:rsidR="0071449E" w:rsidRPr="00660C5E">
        <w:t>Suppliers, the Supplier should follow the RPS guidance procedure for change management.</w:t>
      </w:r>
    </w:p>
    <w:p w14:paraId="088944EE" w14:textId="7371C73B" w:rsidR="00ED4D3A" w:rsidRPr="00660C5E" w:rsidRDefault="00EE4EFD" w:rsidP="003D1D4D">
      <w:pPr>
        <w:pStyle w:val="Heading3"/>
        <w:ind w:hanging="567"/>
      </w:pPr>
      <w:r w:rsidRPr="00660C5E">
        <w:t xml:space="preserve">The Supplier and the </w:t>
      </w:r>
      <w:r w:rsidR="00CB2E23">
        <w:t>Participating</w:t>
      </w:r>
      <w:r w:rsidRPr="00660C5E">
        <w:t xml:space="preserve"> Authority are jointly responsible for ensuring a smooth transition onto the service for new patients or from one Supplier to another.</w:t>
      </w:r>
    </w:p>
    <w:p w14:paraId="722EA5E5" w14:textId="272C5F1C" w:rsidR="00921FC2" w:rsidRPr="00586649" w:rsidRDefault="00492148" w:rsidP="003D1D4D">
      <w:pPr>
        <w:pStyle w:val="Heading2"/>
        <w:ind w:hanging="567"/>
      </w:pPr>
      <w:bookmarkStart w:id="86" w:name="_Toc77259106"/>
      <w:r w:rsidRPr="00586649">
        <w:t>Provision of Services Outside this Specification</w:t>
      </w:r>
      <w:bookmarkEnd w:id="86"/>
    </w:p>
    <w:p w14:paraId="2BDDEEA9" w14:textId="4D4178C2" w:rsidR="00E666C4" w:rsidRPr="00660C5E" w:rsidRDefault="00E666C4" w:rsidP="003D1D4D">
      <w:pPr>
        <w:pStyle w:val="Heading3"/>
        <w:ind w:hanging="567"/>
      </w:pPr>
      <w:bookmarkStart w:id="87" w:name="_Hlk73702313"/>
      <w:r w:rsidRPr="00660C5E">
        <w:t xml:space="preserve">The Supplier and </w:t>
      </w:r>
      <w:r w:rsidR="00CB2E23">
        <w:t>Participating</w:t>
      </w:r>
      <w:r w:rsidRPr="00660C5E">
        <w:t xml:space="preserve"> Authority </w:t>
      </w:r>
      <w:r w:rsidR="0071449E" w:rsidRPr="00660C5E">
        <w:t>recognise that there may be a need for additional or specialised services for individual patients, such services will be agreed between the parties and the responsibilities of each of the parties documented in the Individual Patient Care Plan.</w:t>
      </w:r>
    </w:p>
    <w:p w14:paraId="123807D6" w14:textId="49C8D6E6" w:rsidR="00FC4674" w:rsidRPr="00660C5E" w:rsidRDefault="00E666C4" w:rsidP="003D1D4D">
      <w:pPr>
        <w:pStyle w:val="Heading3"/>
        <w:ind w:hanging="567"/>
      </w:pPr>
      <w:r w:rsidRPr="00660C5E">
        <w:t xml:space="preserve">The Parties will work together in partnership </w:t>
      </w:r>
      <w:bookmarkEnd w:id="87"/>
      <w:r w:rsidR="0071449E" w:rsidRPr="00660C5E">
        <w:t xml:space="preserve">to ensure patient safety, patient satisfaction and best possible clinical outcomes and to minimise any additional costs to the </w:t>
      </w:r>
      <w:r w:rsidR="00CB2E23">
        <w:t>Participating</w:t>
      </w:r>
      <w:r w:rsidR="0071449E" w:rsidRPr="00660C5E">
        <w:t xml:space="preserve"> Authority. </w:t>
      </w:r>
      <w:r w:rsidR="004E6C5E">
        <w:t xml:space="preserve"> </w:t>
      </w:r>
      <w:r w:rsidR="0071449E" w:rsidRPr="00660C5E">
        <w:t xml:space="preserve">Where urgent or emergency services that are outside the terms </w:t>
      </w:r>
      <w:r w:rsidR="004E6C5E">
        <w:t xml:space="preserve">of </w:t>
      </w:r>
      <w:r w:rsidR="0071449E" w:rsidRPr="00660C5E">
        <w:t xml:space="preserve">this specification are provided by the Supplier to meet the above requirement the Supplier will make its best efforts to contact and agree its actions in advance with the </w:t>
      </w:r>
      <w:r w:rsidR="00CB2E23">
        <w:t>Participating</w:t>
      </w:r>
      <w:r w:rsidR="0071449E" w:rsidRPr="00660C5E">
        <w:t xml:space="preserve"> Authority.</w:t>
      </w:r>
    </w:p>
    <w:p w14:paraId="292AE43A" w14:textId="073CEFD7" w:rsidR="00BE6F8E" w:rsidRDefault="00BE6F8E" w:rsidP="003D1D4D">
      <w:pPr>
        <w:ind w:hanging="567"/>
        <w:rPr>
          <w:rFonts w:eastAsiaTheme="majorEastAsia"/>
          <w:color w:val="0070C0"/>
          <w:sz w:val="32"/>
          <w:szCs w:val="32"/>
          <w:u w:val="single"/>
        </w:rPr>
      </w:pPr>
      <w:bookmarkStart w:id="88" w:name="_Toc77259107"/>
      <w:bookmarkStart w:id="89" w:name="_Hlk73709625"/>
    </w:p>
    <w:p w14:paraId="63CDE793" w14:textId="6DCE94AF" w:rsidR="00B42736" w:rsidRPr="00586649" w:rsidRDefault="00B42736" w:rsidP="003D1D4D">
      <w:pPr>
        <w:pStyle w:val="Heading1"/>
        <w:ind w:hanging="567"/>
      </w:pPr>
      <w:r w:rsidRPr="00586649">
        <w:t>Prescribing and Dispensing</w:t>
      </w:r>
      <w:bookmarkEnd w:id="88"/>
    </w:p>
    <w:p w14:paraId="39E0A1B2" w14:textId="16708EA9" w:rsidR="00584252" w:rsidRPr="00586649" w:rsidRDefault="00584252" w:rsidP="003D1D4D">
      <w:pPr>
        <w:pStyle w:val="Heading2"/>
        <w:ind w:hanging="567"/>
      </w:pPr>
      <w:bookmarkStart w:id="90" w:name="_Toc77259108"/>
      <w:bookmarkStart w:id="91" w:name="_Hlk73707279"/>
      <w:bookmarkEnd w:id="89"/>
      <w:r w:rsidRPr="00586649">
        <w:t>The Prescribing Process</w:t>
      </w:r>
      <w:bookmarkEnd w:id="90"/>
    </w:p>
    <w:bookmarkEnd w:id="91"/>
    <w:p w14:paraId="755878BC" w14:textId="321396B1" w:rsidR="006F6E63" w:rsidRDefault="006F6E63" w:rsidP="003D1D4D">
      <w:pPr>
        <w:pStyle w:val="Heading3"/>
        <w:ind w:hanging="567"/>
      </w:pPr>
      <w:r w:rsidRPr="009914EB">
        <w:t xml:space="preserve">The </w:t>
      </w:r>
      <w:r w:rsidR="00CB2E23">
        <w:t>Participating</w:t>
      </w:r>
      <w:r w:rsidRPr="009914EB">
        <w:t xml:space="preserve"> Authority </w:t>
      </w:r>
      <w:r w:rsidR="0071449E" w:rsidRPr="009914EB">
        <w:t xml:space="preserve">will provide, via any method approved by the Parties, a valid, legal and unambiguous prescription to the </w:t>
      </w:r>
      <w:r w:rsidR="00301E6F" w:rsidRPr="009914EB">
        <w:t>Supplier,</w:t>
      </w:r>
      <w:r w:rsidR="0071449E" w:rsidRPr="009914EB">
        <w:t xml:space="preserve"> which is signed by an authorised prescriber, clinically validated, and appropriately annotated with specific brand</w:t>
      </w:r>
      <w:r w:rsidR="00F30CAC">
        <w:t xml:space="preserve"> </w:t>
      </w:r>
      <w:r w:rsidR="00660C5E">
        <w:t xml:space="preserve">(as </w:t>
      </w:r>
      <w:r w:rsidR="0071449E" w:rsidRPr="009914EB">
        <w:t>require</w:t>
      </w:r>
      <w:r w:rsidR="00660C5E">
        <w:t>d)</w:t>
      </w:r>
      <w:r w:rsidR="0071449E" w:rsidRPr="009914EB">
        <w:t>, purchase order number and unlicensed/off-label flags.</w:t>
      </w:r>
    </w:p>
    <w:p w14:paraId="6ECE137D" w14:textId="38E90CB2" w:rsidR="006F6E63" w:rsidRPr="00660C5E" w:rsidRDefault="006F6E63" w:rsidP="003D1D4D">
      <w:pPr>
        <w:pStyle w:val="Heading3"/>
        <w:ind w:hanging="567"/>
      </w:pPr>
      <w:r w:rsidRPr="00660C5E">
        <w:t xml:space="preserve">Further to </w:t>
      </w:r>
      <w:r w:rsidR="0071449E" w:rsidRPr="00660C5E">
        <w:t xml:space="preserve">"General - Amendment, interruption and termination of a patient's homecare service", The </w:t>
      </w:r>
      <w:r w:rsidR="00CB2E23">
        <w:t>Participating</w:t>
      </w:r>
      <w:r w:rsidR="0071449E" w:rsidRPr="00660C5E">
        <w:t xml:space="preserve"> Authority will notify the Supplier of changes in prescribed medications and/or dosages for existing patients. </w:t>
      </w:r>
      <w:r w:rsidR="004E6C5E">
        <w:t xml:space="preserve"> </w:t>
      </w:r>
      <w:r w:rsidR="0071449E" w:rsidRPr="00660C5E">
        <w:t>The Supplier will act on these notifications without undue delay.</w:t>
      </w:r>
    </w:p>
    <w:p w14:paraId="7682404B" w14:textId="5C0C3F3E" w:rsidR="00DD30FA" w:rsidRPr="00660C5E" w:rsidRDefault="006F6E63" w:rsidP="003D1D4D">
      <w:pPr>
        <w:pStyle w:val="Heading3"/>
        <w:ind w:hanging="567"/>
      </w:pPr>
      <w:r w:rsidRPr="00660C5E">
        <w:t xml:space="preserve">The Supplier </w:t>
      </w:r>
      <w:r w:rsidR="0071449E" w:rsidRPr="00660C5E">
        <w:t xml:space="preserve">will provide a proactive prescription management service where repeat prescriptions will be requested from the </w:t>
      </w:r>
      <w:r w:rsidR="00CB2E23">
        <w:t>Participating</w:t>
      </w:r>
      <w:r w:rsidR="0071449E" w:rsidRPr="00660C5E">
        <w:t xml:space="preserve"> Authority at least 4 weeks prior to the next scheduled delivery date.</w:t>
      </w:r>
    </w:p>
    <w:p w14:paraId="10AB1B82" w14:textId="36EF4E34" w:rsidR="00974FF6" w:rsidRDefault="00FC2BEA" w:rsidP="003D1D4D">
      <w:pPr>
        <w:pStyle w:val="Heading3"/>
        <w:ind w:hanging="567"/>
      </w:pPr>
      <w:r w:rsidRPr="00660C5E">
        <w:t xml:space="preserve">The prescription template will be agreed by the Supplier and Participating Authority and will be </w:t>
      </w:r>
      <w:r w:rsidR="00660C5E" w:rsidRPr="00660C5E">
        <w:t>based on the current</w:t>
      </w:r>
      <w:r w:rsidRPr="00660C5E">
        <w:t xml:space="preserve"> National Template.</w:t>
      </w:r>
    </w:p>
    <w:p w14:paraId="1597FBA2" w14:textId="77777777" w:rsidR="00974FF6" w:rsidRDefault="00974FF6">
      <w:pPr>
        <w:spacing w:before="0" w:after="120"/>
        <w:ind w:left="0"/>
      </w:pPr>
      <w:r>
        <w:br w:type="page"/>
      </w:r>
    </w:p>
    <w:p w14:paraId="7124CD4A" w14:textId="39BF4290" w:rsidR="00DD30FA" w:rsidRPr="00586649" w:rsidRDefault="00DD30FA" w:rsidP="003D1D4D">
      <w:pPr>
        <w:pStyle w:val="Heading2"/>
        <w:ind w:hanging="567"/>
      </w:pPr>
      <w:bookmarkStart w:id="92" w:name="_Toc77259109"/>
      <w:bookmarkStart w:id="93" w:name="_Hlk73709671"/>
      <w:r w:rsidRPr="00660C5E">
        <w:lastRenderedPageBreak/>
        <w:t>The D</w:t>
      </w:r>
      <w:r w:rsidR="00ED4E09" w:rsidRPr="00660C5E">
        <w:t>ispensing</w:t>
      </w:r>
      <w:r w:rsidRPr="00586649">
        <w:t xml:space="preserve"> Process</w:t>
      </w:r>
      <w:bookmarkEnd w:id="92"/>
    </w:p>
    <w:bookmarkEnd w:id="93"/>
    <w:p w14:paraId="71060C57" w14:textId="61FADA32" w:rsidR="000648C1" w:rsidRDefault="000648C1" w:rsidP="003D1D4D">
      <w:pPr>
        <w:pStyle w:val="Heading3"/>
        <w:ind w:hanging="567"/>
      </w:pPr>
      <w:r w:rsidRPr="009914EB">
        <w:t>The Supplier must:</w:t>
      </w:r>
    </w:p>
    <w:p w14:paraId="630B64D6" w14:textId="77777777" w:rsidR="007D724B" w:rsidRPr="00E01DC2" w:rsidRDefault="007D724B" w:rsidP="00DC4DE8">
      <w:pPr>
        <w:pStyle w:val="ListParagraph"/>
        <w:ind w:hanging="567"/>
      </w:pPr>
      <w:r w:rsidRPr="00E01DC2">
        <w:t>only dispense legally valid prescriptions that have been clinically validated by the Participating Authority</w:t>
      </w:r>
    </w:p>
    <w:p w14:paraId="34C0EE3A" w14:textId="33365C8F" w:rsidR="000648C1" w:rsidRPr="007D724B" w:rsidRDefault="000648C1" w:rsidP="00DC4DE8">
      <w:pPr>
        <w:pStyle w:val="ListParagraph"/>
        <w:ind w:hanging="567"/>
      </w:pPr>
      <w:r w:rsidRPr="009914EB">
        <w:t xml:space="preserve">have </w:t>
      </w:r>
      <w:r w:rsidRPr="00BE6F8E">
        <w:t xml:space="preserve">measures in place to identify any unexpected deviations from the above prescribing process </w:t>
      </w:r>
      <w:r w:rsidRPr="007D724B">
        <w:t>and interrupt the dispensing process for affected prescriptions until resolved.</w:t>
      </w:r>
    </w:p>
    <w:p w14:paraId="1BDB2216" w14:textId="0FD8B751" w:rsidR="00927F79" w:rsidRPr="007D724B" w:rsidRDefault="00927F79" w:rsidP="00DC4DE8">
      <w:pPr>
        <w:pStyle w:val="ListParagraph"/>
        <w:ind w:hanging="567"/>
      </w:pPr>
      <w:r w:rsidRPr="007D724B">
        <w:t xml:space="preserve">not dispense unlicensed medicines unless prescribed or otherwise authorised by the </w:t>
      </w:r>
      <w:r w:rsidR="00CB2E23">
        <w:t>Participating</w:t>
      </w:r>
      <w:r w:rsidRPr="007D724B">
        <w:t xml:space="preserve"> Authority.</w:t>
      </w:r>
    </w:p>
    <w:p w14:paraId="40B76B60" w14:textId="693F0F2F" w:rsidR="00927F79" w:rsidRPr="007D724B" w:rsidRDefault="00927F79" w:rsidP="00DC4DE8">
      <w:pPr>
        <w:pStyle w:val="ListParagraph"/>
        <w:ind w:hanging="567"/>
      </w:pPr>
      <w:r w:rsidRPr="007D724B">
        <w:t>supply all Products with a shelf life appropriate to the duration of treatment supply being made</w:t>
      </w:r>
    </w:p>
    <w:p w14:paraId="579F235B" w14:textId="254129D2" w:rsidR="00927F79" w:rsidRPr="007D724B" w:rsidRDefault="00927F79" w:rsidP="00DC4DE8">
      <w:pPr>
        <w:pStyle w:val="ListParagraph"/>
        <w:ind w:hanging="567"/>
      </w:pPr>
      <w:r w:rsidRPr="007D724B">
        <w:t xml:space="preserve">dispense and label Products in accordance with the </w:t>
      </w:r>
      <w:r w:rsidR="00A42F10" w:rsidRPr="007D724B">
        <w:t>prescription</w:t>
      </w:r>
      <w:r w:rsidRPr="007D724B">
        <w:t>, current legislation and best practice standards.</w:t>
      </w:r>
    </w:p>
    <w:p w14:paraId="194DD400" w14:textId="5200E1BB" w:rsidR="00927F79" w:rsidRPr="007D724B" w:rsidRDefault="00927F79" w:rsidP="00DC4DE8">
      <w:pPr>
        <w:pStyle w:val="ListParagraph"/>
        <w:ind w:hanging="567"/>
      </w:pPr>
      <w:r w:rsidRPr="007D724B">
        <w:t>include full patient specific administration instructions on the dispensing label.</w:t>
      </w:r>
    </w:p>
    <w:p w14:paraId="06E0AEAF" w14:textId="39C908A5" w:rsidR="007D724B" w:rsidRPr="007D724B" w:rsidRDefault="007D724B" w:rsidP="00DC4DE8">
      <w:pPr>
        <w:pStyle w:val="ListParagraph"/>
        <w:ind w:hanging="567"/>
      </w:pPr>
      <w:r w:rsidRPr="007D724B">
        <w:t xml:space="preserve">supply medicines with their Patient Information Leaflets (PILs) in English </w:t>
      </w:r>
      <w:proofErr w:type="gramStart"/>
      <w:r w:rsidRPr="007D724B">
        <w:t>with the exception of</w:t>
      </w:r>
      <w:proofErr w:type="gramEnd"/>
      <w:r w:rsidRPr="007D724B">
        <w:t xml:space="preserve"> Unlicensed Compounded/Extemporaneous Prepared Medicines.</w:t>
      </w:r>
    </w:p>
    <w:p w14:paraId="345F2E4D" w14:textId="6D3EF3AA" w:rsidR="00E01DC2" w:rsidRPr="00E01DC2" w:rsidRDefault="00E01DC2" w:rsidP="003D1D4D">
      <w:pPr>
        <w:pStyle w:val="Heading3"/>
        <w:ind w:hanging="567"/>
      </w:pPr>
      <w:r w:rsidRPr="00E01DC2">
        <w:t>The Supplier must have procedures in place to ensure a clinical check/validation is done by a pharmacist on the prescription on receipt in accordance with current legislation and GPhC standards (usually classified as Level 1</w:t>
      </w:r>
      <w:r w:rsidR="00240B33">
        <w:t xml:space="preserve"> due to the information available at the dispensing pharmacy</w:t>
      </w:r>
      <w:r w:rsidRPr="00E01DC2">
        <w:t>).</w:t>
      </w:r>
    </w:p>
    <w:p w14:paraId="03AA1D33" w14:textId="1D5B4FA9" w:rsidR="000648C1" w:rsidRDefault="00927F79" w:rsidP="003D1D4D">
      <w:pPr>
        <w:pStyle w:val="Heading3"/>
        <w:ind w:hanging="567"/>
      </w:pPr>
      <w:r w:rsidRPr="007D724B">
        <w:t>In the event of a manufacturing or supply problem beyond the control of the Supplier,</w:t>
      </w:r>
      <w:r w:rsidR="007D724B" w:rsidRPr="007D724B">
        <w:t xml:space="preserve"> the Supplier will notify the Participating Authority as soon as reasonably practical and vice versa,</w:t>
      </w:r>
      <w:r w:rsidRPr="007D724B">
        <w:t xml:space="preserve"> the Parties will work together,</w:t>
      </w:r>
      <w:r w:rsidR="00E01DC2" w:rsidRPr="007D724B">
        <w:t xml:space="preserve"> </w:t>
      </w:r>
      <w:r w:rsidRPr="007D724B">
        <w:t xml:space="preserve">in accordance with relevant national guidance, to minimise disruption and additional costs to the </w:t>
      </w:r>
      <w:r w:rsidR="00CB2E23">
        <w:t>Participating</w:t>
      </w:r>
      <w:r w:rsidRPr="007D724B">
        <w:t xml:space="preserve"> Authority whilst maintaining patient safety.</w:t>
      </w:r>
    </w:p>
    <w:p w14:paraId="640F678A" w14:textId="04A1FE9D" w:rsidR="00DC5811" w:rsidRDefault="007D724B" w:rsidP="003D1D4D">
      <w:pPr>
        <w:pStyle w:val="Heading3"/>
        <w:ind w:hanging="567"/>
      </w:pPr>
      <w:r>
        <w:t xml:space="preserve">In the event of a supply problem </w:t>
      </w:r>
      <w:r w:rsidR="007F175D">
        <w:t>within the Suppliers control (</w:t>
      </w:r>
      <w:r w:rsidR="00D64D2B">
        <w:t>e.g.</w:t>
      </w:r>
      <w:r w:rsidR="007F175D">
        <w:t xml:space="preserve"> stock control), </w:t>
      </w:r>
      <w:r w:rsidR="00DC5811" w:rsidRPr="007D724B">
        <w:t>the Supplier will notify the Participating Authority as soon as reasonably practical</w:t>
      </w:r>
      <w:r w:rsidR="00DC5811">
        <w:t>.  Parties will work together</w:t>
      </w:r>
      <w:r w:rsidR="00DC5811" w:rsidRPr="007D724B">
        <w:t xml:space="preserve"> to minimise disruption and additional costs to the </w:t>
      </w:r>
      <w:r w:rsidR="00CB2E23">
        <w:t>Participating</w:t>
      </w:r>
      <w:r w:rsidR="00DC5811" w:rsidRPr="007D724B">
        <w:t xml:space="preserve"> Authority whilst maintaining patient safety.</w:t>
      </w:r>
      <w:r w:rsidR="00DC5811">
        <w:t xml:space="preserve">  Additional costs (e.g. additional delivery fees) must be reviewed and agreed by both parties as to the responsibility of the costs.</w:t>
      </w:r>
    </w:p>
    <w:p w14:paraId="0EA62688" w14:textId="546F9FD1" w:rsidR="00927F79" w:rsidRPr="009914EB" w:rsidRDefault="00927F79" w:rsidP="003D1D4D">
      <w:pPr>
        <w:pStyle w:val="Heading3"/>
        <w:ind w:hanging="567"/>
      </w:pPr>
      <w:proofErr w:type="gramStart"/>
      <w:r w:rsidRPr="00DC5811">
        <w:t xml:space="preserve">In the event </w:t>
      </w:r>
      <w:r w:rsidR="00CC59E6" w:rsidRPr="00DC5811">
        <w:t>that</w:t>
      </w:r>
      <w:proofErr w:type="gramEnd"/>
      <w:r w:rsidR="00CC59E6" w:rsidRPr="00DC5811">
        <w:t xml:space="preserve"> the Supplier cannot supply in full or in part the patient’s requirements, which will impact patient treatment/care, the Supplier should notify the </w:t>
      </w:r>
      <w:r w:rsidR="00CB2E23">
        <w:t>Participating</w:t>
      </w:r>
      <w:r w:rsidR="00CC59E6" w:rsidRPr="00DC5811">
        <w:t xml:space="preserve"> Authority. Where the Supplier considers patient treatment/care will not be adversely impacted by a part delivery (i.e. the Supplier can fulfil the remainder of the delivery</w:t>
      </w:r>
      <w:r w:rsidR="00C42506">
        <w:t>/service</w:t>
      </w:r>
      <w:r w:rsidR="00CC59E6" w:rsidRPr="00DC5811">
        <w:t xml:space="preserve"> very quickly) the </w:t>
      </w:r>
      <w:r w:rsidR="00CB2E23">
        <w:t>Participating</w:t>
      </w:r>
      <w:r w:rsidR="00CC59E6" w:rsidRPr="00DC5811">
        <w:t xml:space="preserve"> Authority need not be contacted</w:t>
      </w:r>
      <w:r w:rsidR="00CC59E6" w:rsidRPr="009914EB">
        <w:t>.</w:t>
      </w:r>
    </w:p>
    <w:p w14:paraId="5B6B93D7" w14:textId="4891833A" w:rsidR="009D5FE0" w:rsidRDefault="00927F79" w:rsidP="003D1D4D">
      <w:pPr>
        <w:pStyle w:val="Heading3"/>
        <w:ind w:hanging="567"/>
      </w:pPr>
      <w:r w:rsidRPr="009914EB">
        <w:t xml:space="preserve">Where requested, the Suppler </w:t>
      </w:r>
      <w:r w:rsidR="00CC59E6" w:rsidRPr="009914EB">
        <w:t>must</w:t>
      </w:r>
      <w:r w:rsidRPr="009914EB">
        <w:t xml:space="preserve"> supply medication in an agreed monitored dosage system or compliance aid if requested to do so by the </w:t>
      </w:r>
      <w:r w:rsidR="00CB2E23">
        <w:t>Participating</w:t>
      </w:r>
      <w:r w:rsidRPr="009914EB">
        <w:t xml:space="preserve"> Authority.</w:t>
      </w:r>
    </w:p>
    <w:p w14:paraId="29B88D0F" w14:textId="53B1572C" w:rsidR="00E01DC2" w:rsidRPr="00E01DC2" w:rsidRDefault="00E01DC2" w:rsidP="003D1D4D">
      <w:pPr>
        <w:pStyle w:val="Heading3"/>
        <w:ind w:hanging="567"/>
      </w:pPr>
      <w:r w:rsidRPr="00E01DC2">
        <w:t>The Supplier should dispense Commercial Medicines Unit, Yorkshire</w:t>
      </w:r>
      <w:r w:rsidR="00F30CAC">
        <w:t xml:space="preserve"> </w:t>
      </w:r>
      <w:r w:rsidRPr="00E01DC2">
        <w:t>&amp;</w:t>
      </w:r>
      <w:r w:rsidR="00F30CAC">
        <w:t xml:space="preserve"> </w:t>
      </w:r>
      <w:r w:rsidRPr="00E01DC2">
        <w:t xml:space="preserve">Humber Regional, or other Authority contract lines wherever </w:t>
      </w:r>
      <w:r w:rsidR="00703B0C">
        <w:t>access is sought, see Section 46</w:t>
      </w:r>
      <w:r w:rsidRPr="00E01DC2">
        <w:t>.</w:t>
      </w:r>
    </w:p>
    <w:p w14:paraId="4BF8E15D" w14:textId="5FD14EF0" w:rsidR="009D5FE0" w:rsidRPr="00586649" w:rsidRDefault="009D5FE0" w:rsidP="003D1D4D">
      <w:pPr>
        <w:pStyle w:val="Heading2"/>
        <w:ind w:hanging="567"/>
      </w:pPr>
      <w:bookmarkStart w:id="94" w:name="_Toc77259110"/>
      <w:r w:rsidRPr="00586649">
        <w:t>Outer Packaging</w:t>
      </w:r>
      <w:bookmarkEnd w:id="94"/>
    </w:p>
    <w:p w14:paraId="5BA90E94" w14:textId="4D973B96" w:rsidR="00182781" w:rsidRPr="00D97464" w:rsidRDefault="00182781" w:rsidP="003D1D4D">
      <w:pPr>
        <w:pStyle w:val="Heading3"/>
        <w:ind w:hanging="567"/>
      </w:pPr>
      <w:r w:rsidRPr="00D97464">
        <w:t xml:space="preserve">Outer packaging </w:t>
      </w:r>
      <w:r w:rsidR="00CC59E6" w:rsidRPr="00D97464">
        <w:t xml:space="preserve">of homecare deliveries will comply with the General Pharmaceutical Council (GPhC) Standards for home delivery of medicines and medical devices including special storage and health and safety requirements for special handling.  Outer packaging should not have any unnecessary markings likely to indicate the nature of the delivery </w:t>
      </w:r>
      <w:proofErr w:type="gramStart"/>
      <w:r w:rsidR="00CC59E6" w:rsidRPr="00D97464">
        <w:t>in order to</w:t>
      </w:r>
      <w:proofErr w:type="gramEnd"/>
      <w:r w:rsidR="00CC59E6" w:rsidRPr="00D97464">
        <w:t xml:space="preserve"> maintain patient confidentiality.</w:t>
      </w:r>
    </w:p>
    <w:p w14:paraId="2D60F0FC" w14:textId="7657BE10" w:rsidR="00182781" w:rsidRPr="00D97464" w:rsidRDefault="00182781" w:rsidP="003D1D4D">
      <w:pPr>
        <w:pStyle w:val="Heading3"/>
        <w:ind w:hanging="567"/>
      </w:pPr>
      <w:r w:rsidRPr="00D97464">
        <w:lastRenderedPageBreak/>
        <w:t>Outer</w:t>
      </w:r>
      <w:r w:rsidR="00CC59E6" w:rsidRPr="00D97464">
        <w:t xml:space="preserve"> packaging will ensure the integrity of the products are maintained throughout the delivery process.  This will include, but is not limited to maintaining appropriate temperatures, protection from light and </w:t>
      </w:r>
      <w:r w:rsidR="00D97464" w:rsidRPr="00D97464">
        <w:t>contamination,</w:t>
      </w:r>
      <w:r w:rsidR="00CC59E6" w:rsidRPr="00D97464">
        <w:t xml:space="preserve"> reasonable protection from mechanical damage.</w:t>
      </w:r>
    </w:p>
    <w:p w14:paraId="7B6F06FB" w14:textId="599303F8" w:rsidR="001418FA" w:rsidRPr="00D97464" w:rsidRDefault="001418FA" w:rsidP="003D1D4D">
      <w:pPr>
        <w:pStyle w:val="Heading3"/>
        <w:ind w:hanging="567"/>
      </w:pPr>
      <w:r w:rsidRPr="00D97464">
        <w:t xml:space="preserve">The </w:t>
      </w:r>
      <w:r w:rsidR="00904166" w:rsidRPr="00D97464">
        <w:t>Supplier</w:t>
      </w:r>
      <w:r w:rsidRPr="00D97464">
        <w:t xml:space="preserve"> </w:t>
      </w:r>
      <w:r w:rsidR="00CC59E6" w:rsidRPr="00D97464">
        <w:t>will ensure that Medicines are packed in a way that does not put the person delivering or unpacking products at risk from exposure to hazardous products if the delivery is subject to mechanical damage.</w:t>
      </w:r>
    </w:p>
    <w:p w14:paraId="23DD4502" w14:textId="1178DA9B" w:rsidR="00CC59E6" w:rsidRPr="00D97464" w:rsidRDefault="001418FA" w:rsidP="003D1D4D">
      <w:pPr>
        <w:pStyle w:val="Heading3"/>
        <w:ind w:hanging="567"/>
      </w:pPr>
      <w:r w:rsidRPr="00D97464">
        <w:t xml:space="preserve">Under sections 3 </w:t>
      </w:r>
      <w:r w:rsidR="00CC59E6" w:rsidRPr="00D97464">
        <w:t xml:space="preserve">and 6 of the Health and Safety at Work Act 1974 there is a duty to protect people not in a company's employment who may be affected by handling loads they have supplied. </w:t>
      </w:r>
      <w:r w:rsidR="00BE5F1C">
        <w:t xml:space="preserve">  </w:t>
      </w:r>
      <w:r w:rsidR="00CC59E6" w:rsidRPr="00D97464">
        <w:t xml:space="preserve">Therefore, it is good practice for manufacturers and suppliers to mark weights (and, if relevant, information about the heaviest side) on loads if this can be done easily.  Please see: </w:t>
      </w:r>
      <w:r w:rsidR="00CC59E6" w:rsidRPr="00B143A7">
        <w:rPr>
          <w:color w:val="002060"/>
        </w:rPr>
        <w:t xml:space="preserve">http://www.hse.gov.uk/msd/labellingloads.htm </w:t>
      </w:r>
    </w:p>
    <w:p w14:paraId="1300AA9F" w14:textId="2D3D9EEC" w:rsidR="00FC4674" w:rsidRPr="00D97464" w:rsidRDefault="00CC59E6" w:rsidP="003D1D4D">
      <w:pPr>
        <w:pStyle w:val="Heading3"/>
        <w:ind w:hanging="567"/>
      </w:pPr>
      <w:r w:rsidRPr="00D97464">
        <w:t>The Supplier must comply with all relevant packaging and labelling regulations and outer packaging must be sealed.</w:t>
      </w:r>
    </w:p>
    <w:p w14:paraId="276BCE1A" w14:textId="029D280F" w:rsidR="00BE6F8E" w:rsidRDefault="00BE6F8E" w:rsidP="003D1D4D">
      <w:pPr>
        <w:ind w:hanging="567"/>
        <w:rPr>
          <w:rFonts w:eastAsiaTheme="majorEastAsia"/>
          <w:color w:val="0070C0"/>
          <w:sz w:val="32"/>
          <w:szCs w:val="32"/>
          <w:u w:val="single"/>
        </w:rPr>
      </w:pPr>
      <w:bookmarkStart w:id="95" w:name="_Toc77259111"/>
      <w:bookmarkStart w:id="96" w:name="_Hlk75847318"/>
      <w:bookmarkStart w:id="97" w:name="_Hlk73714967"/>
    </w:p>
    <w:p w14:paraId="47380808" w14:textId="7402B878" w:rsidR="00157664" w:rsidRPr="00586649" w:rsidRDefault="00157664" w:rsidP="003D1D4D">
      <w:pPr>
        <w:pStyle w:val="Heading1"/>
        <w:ind w:hanging="567"/>
      </w:pPr>
      <w:r w:rsidRPr="00586649">
        <w:t>Delivery</w:t>
      </w:r>
      <w:bookmarkEnd w:id="95"/>
    </w:p>
    <w:p w14:paraId="3A054C8F" w14:textId="67925A01" w:rsidR="00157664" w:rsidRPr="00586649" w:rsidRDefault="00157664" w:rsidP="003D1D4D">
      <w:pPr>
        <w:pStyle w:val="Heading2"/>
        <w:ind w:hanging="567"/>
      </w:pPr>
      <w:bookmarkStart w:id="98" w:name="_Toc77259112"/>
      <w:bookmarkStart w:id="99" w:name="_Hlk73710031"/>
      <w:bookmarkEnd w:id="96"/>
      <w:r w:rsidRPr="00586649">
        <w:t>Routine Delivery Scheduling</w:t>
      </w:r>
      <w:bookmarkEnd w:id="98"/>
    </w:p>
    <w:bookmarkEnd w:id="97"/>
    <w:bookmarkEnd w:id="99"/>
    <w:p w14:paraId="2B25D254" w14:textId="58DF85FB" w:rsidR="00363ABA" w:rsidRPr="00D97464" w:rsidRDefault="00363ABA" w:rsidP="003D1D4D">
      <w:pPr>
        <w:pStyle w:val="Heading3"/>
        <w:ind w:hanging="567"/>
      </w:pPr>
      <w:r w:rsidRPr="00D97464">
        <w:t xml:space="preserve">Deliveries </w:t>
      </w:r>
      <w:r w:rsidR="00CC59E6" w:rsidRPr="00D97464">
        <w:t>must be at the clinically appropriate frequency as specified in the Medicines Homecare Pathway, Individual Care Plan or on the prescription.</w:t>
      </w:r>
    </w:p>
    <w:p w14:paraId="7702C69A" w14:textId="5E1D5E40" w:rsidR="00363ABA" w:rsidRPr="00D97464" w:rsidRDefault="00363ABA" w:rsidP="003D1D4D">
      <w:pPr>
        <w:pStyle w:val="Heading3"/>
        <w:ind w:hanging="567"/>
      </w:pPr>
      <w:r w:rsidRPr="00D97464">
        <w:t xml:space="preserve">The Products and Services </w:t>
      </w:r>
      <w:r w:rsidR="00CC59E6" w:rsidRPr="00D97464">
        <w:t>are to be delivered at a place convenient to, and agreed with, the patient.  This may be their home or other suitable setting (e.g. workplace, friend or relative's address, day care centre) and patient must have confirmed that appropriate storage is available.</w:t>
      </w:r>
    </w:p>
    <w:p w14:paraId="2909F0C6" w14:textId="169044D6" w:rsidR="00363ABA" w:rsidRPr="00D97464" w:rsidRDefault="00363ABA" w:rsidP="003D1D4D">
      <w:pPr>
        <w:pStyle w:val="Heading3"/>
        <w:ind w:hanging="567"/>
      </w:pPr>
      <w:r w:rsidRPr="00D97464">
        <w:t xml:space="preserve">Deliveries </w:t>
      </w:r>
      <w:r w:rsidR="00CC59E6" w:rsidRPr="00D97464">
        <w:t>will be scheduled to take place between no less than 08:00hrs and 18:00hrs Monday to Friday and 08:00 - 12:00hrs on Saturday. Wherever possible the scheduled delivery should be convenient to the patient</w:t>
      </w:r>
      <w:r w:rsidR="001F3A3B">
        <w:t xml:space="preserve"> at acceptable times and with minimum disruption to the patient work/life balance</w:t>
      </w:r>
      <w:r w:rsidR="00CC59E6" w:rsidRPr="00D97464">
        <w:t>.</w:t>
      </w:r>
      <w:r w:rsidR="00B143A7">
        <w:t xml:space="preserve"> </w:t>
      </w:r>
      <w:r w:rsidR="00CC59E6" w:rsidRPr="00D97464">
        <w:t xml:space="preserve"> The Supplier will agree</w:t>
      </w:r>
      <w:r w:rsidR="00F334A6" w:rsidRPr="00D97464">
        <w:t>, via positive confirmation,</w:t>
      </w:r>
      <w:r w:rsidR="00CC59E6" w:rsidRPr="00D97464">
        <w:t xml:space="preserve"> the delivery date and time window with the Patient.  If the patient's routine delivery would be due on a Bank Holiday the delivery date should be scheduled to take place prior to the Bank Holiday to maintain buffer stock.</w:t>
      </w:r>
    </w:p>
    <w:p w14:paraId="1DBB2D70" w14:textId="14105687" w:rsidR="00363ABA" w:rsidRPr="00D97464" w:rsidRDefault="00363ABA" w:rsidP="003D1D4D">
      <w:pPr>
        <w:pStyle w:val="Heading3"/>
        <w:ind w:hanging="567"/>
      </w:pPr>
      <w:r w:rsidRPr="00D97464">
        <w:t>The Supplier</w:t>
      </w:r>
      <w:r w:rsidR="00CC59E6" w:rsidRPr="00D97464">
        <w:t xml:space="preserve"> will remind the Patient of the agreed delivery date / time (including a </w:t>
      </w:r>
      <w:r w:rsidR="00D97464" w:rsidRPr="00D97464">
        <w:t>2</w:t>
      </w:r>
      <w:r w:rsidR="00CC59E6" w:rsidRPr="00D97464">
        <w:t>-hour delivery window) the day before the scheduled delivery unless otherwise agreed with the patient. Additional reminders in the days preceding the scheduled delivery</w:t>
      </w:r>
      <w:r w:rsidR="007337EE">
        <w:t xml:space="preserve"> including early notification of </w:t>
      </w:r>
      <w:r w:rsidR="00B143A7">
        <w:t>2-hour</w:t>
      </w:r>
      <w:r w:rsidR="007337EE">
        <w:t xml:space="preserve"> delivery </w:t>
      </w:r>
      <w:r w:rsidR="00DB1992">
        <w:t>windows</w:t>
      </w:r>
      <w:r w:rsidR="00A7589D">
        <w:t xml:space="preserve"> </w:t>
      </w:r>
      <w:r w:rsidR="00CC59E6" w:rsidRPr="00D97464">
        <w:t>may be beneficial.</w:t>
      </w:r>
    </w:p>
    <w:p w14:paraId="7EBCEC14" w14:textId="4B1FBCD1" w:rsidR="005373DD" w:rsidRPr="00D97464" w:rsidRDefault="005373DD" w:rsidP="003D1D4D">
      <w:pPr>
        <w:pStyle w:val="Heading3"/>
        <w:ind w:hanging="567"/>
      </w:pPr>
      <w:r w:rsidRPr="00D97464">
        <w:t xml:space="preserve">When </w:t>
      </w:r>
      <w:r w:rsidR="00CC59E6" w:rsidRPr="00D97464">
        <w:t>the Supplier becomes aware that the confirmed delivery date and time will not be met, they must contact the patient at the earliest opportunity to advise them of the new anticipated time of arrival and/or arrange an alternative delivery date and time.</w:t>
      </w:r>
    </w:p>
    <w:p w14:paraId="1B9B8A46" w14:textId="42C9E0EF" w:rsidR="00F334A6" w:rsidRPr="00D97464" w:rsidRDefault="00F334A6" w:rsidP="003D1D4D">
      <w:pPr>
        <w:pStyle w:val="Heading3"/>
        <w:ind w:hanging="567"/>
      </w:pPr>
      <w:r w:rsidRPr="00D97464">
        <w:t>Patient choice of innovative communication methods</w:t>
      </w:r>
      <w:r w:rsidR="00A7589D">
        <w:t xml:space="preserve"> above standard phone call</w:t>
      </w:r>
      <w:r w:rsidRPr="00D97464">
        <w:t xml:space="preserve"> </w:t>
      </w:r>
      <w:r w:rsidR="00A7589D">
        <w:t>(</w:t>
      </w:r>
      <w:r w:rsidRPr="00D97464">
        <w:t>such as text reminders and online tracking</w:t>
      </w:r>
      <w:r w:rsidR="00A7589D">
        <w:t>)</w:t>
      </w:r>
      <w:r w:rsidRPr="00D97464">
        <w:t xml:space="preserve"> are considered acceptable however </w:t>
      </w:r>
      <w:r w:rsidR="00A7589D">
        <w:t xml:space="preserve">if changes to already agreed delivery schedules are being notified via these routes </w:t>
      </w:r>
      <w:r w:rsidRPr="00D97464">
        <w:t>positive confirmation required from Patients.</w:t>
      </w:r>
    </w:p>
    <w:p w14:paraId="35AEC205" w14:textId="5A84E21F" w:rsidR="009078E0" w:rsidRPr="00D97464" w:rsidRDefault="005373DD" w:rsidP="003D1D4D">
      <w:pPr>
        <w:pStyle w:val="Heading3"/>
        <w:ind w:hanging="567"/>
      </w:pPr>
      <w:r w:rsidRPr="00D97464">
        <w:t xml:space="preserve">Where </w:t>
      </w:r>
      <w:r w:rsidR="00CC59E6" w:rsidRPr="00D97464">
        <w:t xml:space="preserve">required, the Parties shall agree compressed timescales for the provision of the Service. </w:t>
      </w:r>
    </w:p>
    <w:p w14:paraId="32E406C9" w14:textId="379C753D" w:rsidR="00F334A6" w:rsidRDefault="00F334A6" w:rsidP="003D1D4D">
      <w:pPr>
        <w:pStyle w:val="Heading3"/>
        <w:ind w:hanging="567"/>
      </w:pPr>
      <w:r w:rsidRPr="00D97464">
        <w:lastRenderedPageBreak/>
        <w:t xml:space="preserve">The Supplier will implement procedures to ensure the patient receives deliveries containing quantities of medicines and ancillaries for the expected treatment duration in accordance with the </w:t>
      </w:r>
      <w:proofErr w:type="gramStart"/>
      <w:r w:rsidRPr="00D97464">
        <w:t>medicines</w:t>
      </w:r>
      <w:proofErr w:type="gramEnd"/>
      <w:r w:rsidRPr="00D97464">
        <w:t xml:space="preserve"> pathway and/or administration instructions detailed on the patient's prescription.  </w:t>
      </w:r>
    </w:p>
    <w:p w14:paraId="084A67ED" w14:textId="0B2DB85D" w:rsidR="005F5F06" w:rsidRPr="005F5F06" w:rsidRDefault="005F5F06" w:rsidP="00FB4CEB">
      <w:pPr>
        <w:pStyle w:val="Heading3"/>
        <w:ind w:left="1276" w:hanging="567"/>
      </w:pPr>
      <w:r>
        <w:t>The Participating Authority will not be responsible for any additional service costs if medicines, ancillaries or equipment that could not be provided in line with the patient’s delivery cycles due to Supplier inadequate stock control.</w:t>
      </w:r>
    </w:p>
    <w:p w14:paraId="16B44DF8" w14:textId="217DDB1E" w:rsidR="009078E0" w:rsidRPr="00586649" w:rsidRDefault="009078E0" w:rsidP="003D1D4D">
      <w:pPr>
        <w:pStyle w:val="Heading2"/>
        <w:ind w:hanging="567"/>
      </w:pPr>
      <w:bookmarkStart w:id="100" w:name="_Toc77259113"/>
      <w:bookmarkStart w:id="101" w:name="_Hlk73710179"/>
      <w:r w:rsidRPr="00586649">
        <w:t>Preparing for the Delivery</w:t>
      </w:r>
      <w:bookmarkEnd w:id="100"/>
    </w:p>
    <w:bookmarkEnd w:id="101"/>
    <w:p w14:paraId="6A5E7637" w14:textId="6CE2E98D" w:rsidR="0004362D" w:rsidRPr="00D97464" w:rsidRDefault="0004362D" w:rsidP="003D1D4D">
      <w:pPr>
        <w:pStyle w:val="Heading3"/>
        <w:ind w:hanging="567"/>
      </w:pPr>
      <w:r w:rsidRPr="00D97464">
        <w:t>The delivery vehicle must not bear any markings which would indicate the nature of the delivery.</w:t>
      </w:r>
    </w:p>
    <w:p w14:paraId="72A55258" w14:textId="17CA7F92" w:rsidR="0004362D" w:rsidRPr="00D97464" w:rsidRDefault="0004362D" w:rsidP="003D1D4D">
      <w:pPr>
        <w:pStyle w:val="Heading3"/>
        <w:ind w:hanging="567"/>
      </w:pPr>
      <w:r w:rsidRPr="00D97464">
        <w:t>The Supplier must ensure that all product and/or medicine are stored, transported and delivered in a clean condition.</w:t>
      </w:r>
    </w:p>
    <w:p w14:paraId="4C20F3C8" w14:textId="0BD07FEA" w:rsidR="001E1AFA" w:rsidRPr="00BE6F8E" w:rsidRDefault="001E1AFA" w:rsidP="003D1D4D">
      <w:pPr>
        <w:pStyle w:val="Heading3"/>
        <w:ind w:hanging="567"/>
      </w:pPr>
      <w:r w:rsidRPr="00D97464">
        <w:t xml:space="preserve">All deliveries </w:t>
      </w:r>
      <w:r w:rsidR="00CC59E6" w:rsidRPr="00D97464">
        <w:t>must</w:t>
      </w:r>
      <w:r w:rsidRPr="00D97464">
        <w:t xml:space="preserve"> be made under appropriately controlled conditions to suit the nature of the Products being delivered.</w:t>
      </w:r>
      <w:r w:rsidR="00D97464">
        <w:t xml:space="preserve">  </w:t>
      </w:r>
      <w:r w:rsidRPr="00BE6F8E">
        <w:t>Suitable delivery methods include</w:t>
      </w:r>
    </w:p>
    <w:p w14:paraId="4CC6231B" w14:textId="553CF9AA" w:rsidR="001E1AFA" w:rsidRPr="00BE6F8E" w:rsidRDefault="001E1AFA" w:rsidP="00DC4DE8">
      <w:pPr>
        <w:pStyle w:val="ListParagraph"/>
        <w:ind w:hanging="567"/>
      </w:pPr>
      <w:r w:rsidRPr="00BE6F8E">
        <w:t>via suitably trained and competent homecare delivery drivers (Note: this is essential if the driver enters the patient's home as a standard element of the homecare service)</w:t>
      </w:r>
    </w:p>
    <w:p w14:paraId="683D8E8F" w14:textId="5AAF90C9" w:rsidR="001E1AFA" w:rsidRPr="00BE6F8E" w:rsidRDefault="001E1AFA" w:rsidP="00DC4DE8">
      <w:pPr>
        <w:pStyle w:val="ListParagraph"/>
        <w:ind w:hanging="567"/>
      </w:pPr>
      <w:r w:rsidRPr="00BE6F8E">
        <w:t>specialist pharmaceutical delivery network holding an MHRA Wholesale Dealer's Licence</w:t>
      </w:r>
    </w:p>
    <w:p w14:paraId="1C92F64B" w14:textId="6F7BAE01" w:rsidR="001E1AFA" w:rsidRPr="00BE6F8E" w:rsidRDefault="001E1AFA" w:rsidP="00DC4DE8">
      <w:pPr>
        <w:pStyle w:val="ListParagraph"/>
        <w:ind w:hanging="567"/>
      </w:pPr>
      <w:r w:rsidRPr="00BE6F8E">
        <w:t>vehicles with validated temperature</w:t>
      </w:r>
      <w:r w:rsidR="00A42F10" w:rsidRPr="00BE6F8E">
        <w:t>-</w:t>
      </w:r>
      <w:r w:rsidRPr="00BE6F8E">
        <w:t>controlled chamber(s) or validated cold chain packaging (for more information see Cold Chain tab)</w:t>
      </w:r>
    </w:p>
    <w:p w14:paraId="474BB263" w14:textId="0138CE72" w:rsidR="001E1AFA" w:rsidRPr="00BE6F8E" w:rsidRDefault="001E1AFA" w:rsidP="00DC4DE8">
      <w:pPr>
        <w:pStyle w:val="ListParagraph"/>
        <w:ind w:hanging="567"/>
      </w:pPr>
      <w:r w:rsidRPr="00BE6F8E">
        <w:t>via a healthcare professional as part of the clinical service.</w:t>
      </w:r>
    </w:p>
    <w:p w14:paraId="54312F00" w14:textId="7C94B3CB" w:rsidR="00FD0B1F" w:rsidRPr="00BE6F8E" w:rsidRDefault="00FD0B1F" w:rsidP="00DC4DE8">
      <w:pPr>
        <w:pStyle w:val="ListParagraph"/>
        <w:ind w:hanging="567"/>
      </w:pPr>
      <w:r w:rsidRPr="00BE6F8E">
        <w:t xml:space="preserve">via </w:t>
      </w:r>
      <w:r w:rsidR="001A171A" w:rsidRPr="00BE6F8E">
        <w:t>h</w:t>
      </w:r>
      <w:r w:rsidRPr="00BE6F8E">
        <w:t>ub and spoke controlled pick-up model</w:t>
      </w:r>
      <w:r w:rsidR="00D97464">
        <w:t xml:space="preserve"> (prior approval from Participating Authority required)</w:t>
      </w:r>
    </w:p>
    <w:p w14:paraId="65C285E0" w14:textId="00FCD5F4" w:rsidR="001E1AFA" w:rsidRPr="00BE6F8E" w:rsidRDefault="001E1AFA" w:rsidP="00FB4CEB">
      <w:pPr>
        <w:pStyle w:val="Heading3"/>
        <w:numPr>
          <w:ilvl w:val="0"/>
          <w:numId w:val="0"/>
        </w:numPr>
        <w:ind w:left="1276"/>
      </w:pPr>
      <w:r w:rsidRPr="00BE6F8E">
        <w:t>Delivery networks which minimise the risk of product loss and provide audit trail of pharmaceutical storage conditions being maintained throughout are preferred.</w:t>
      </w:r>
    </w:p>
    <w:p w14:paraId="7146BC8F" w14:textId="22099EFE" w:rsidR="001862B5" w:rsidRDefault="001E1AFA" w:rsidP="00FB4CEB">
      <w:pPr>
        <w:pStyle w:val="Heading3"/>
        <w:numPr>
          <w:ilvl w:val="0"/>
          <w:numId w:val="0"/>
        </w:numPr>
        <w:ind w:left="1276"/>
      </w:pPr>
      <w:r w:rsidRPr="00BE6F8E">
        <w:t xml:space="preserve">Alternative delivery methods may be agreed in advance with the </w:t>
      </w:r>
      <w:r w:rsidR="00CB2E23">
        <w:t>Participating</w:t>
      </w:r>
      <w:r w:rsidRPr="00BE6F8E">
        <w:t xml:space="preserve"> Authority</w:t>
      </w:r>
      <w:r w:rsidR="001862B5">
        <w:t xml:space="preserve"> and Procedures should be available on request</w:t>
      </w:r>
      <w:r w:rsidRPr="00BE6F8E">
        <w:t xml:space="preserve"> - See "General - Change Management"</w:t>
      </w:r>
    </w:p>
    <w:p w14:paraId="226FBF34" w14:textId="4496EE62" w:rsidR="009078E0" w:rsidRPr="006B187A" w:rsidRDefault="009078E0" w:rsidP="003D1D4D">
      <w:pPr>
        <w:pStyle w:val="Heading2"/>
        <w:ind w:hanging="567"/>
      </w:pPr>
      <w:bookmarkStart w:id="102" w:name="_Toc77259114"/>
      <w:bookmarkStart w:id="103" w:name="_Hlk73710459"/>
      <w:r w:rsidRPr="006B187A">
        <w:t>Making the Delivery</w:t>
      </w:r>
      <w:bookmarkEnd w:id="102"/>
    </w:p>
    <w:bookmarkEnd w:id="103"/>
    <w:p w14:paraId="47EA1ADE" w14:textId="541BE1AC" w:rsidR="006B187A" w:rsidRDefault="00984BA0" w:rsidP="003D1D4D">
      <w:pPr>
        <w:pStyle w:val="Heading3"/>
        <w:ind w:hanging="567"/>
      </w:pPr>
      <w:r w:rsidRPr="006B187A">
        <w:t xml:space="preserve">The delivery service is to be </w:t>
      </w:r>
      <w:r w:rsidR="00CC59E6" w:rsidRPr="006B187A">
        <w:t xml:space="preserve">is to be provided in a courteous, helpful and confidential manner. </w:t>
      </w:r>
      <w:r w:rsidR="00216F1F">
        <w:t xml:space="preserve"> </w:t>
      </w:r>
      <w:r w:rsidR="00CC59E6" w:rsidRPr="006B187A">
        <w:t xml:space="preserve">The delivery personnel will carry photographic identification, to be </w:t>
      </w:r>
      <w:proofErr w:type="gramStart"/>
      <w:r w:rsidR="00CC59E6" w:rsidRPr="006B187A">
        <w:t>shown and/or visible at all times</w:t>
      </w:r>
      <w:proofErr w:type="gramEnd"/>
      <w:r w:rsidR="00CC59E6" w:rsidRPr="006B187A">
        <w:t>, be of smart appearance, fully conversant with the delivery system</w:t>
      </w:r>
      <w:r w:rsidR="00042AFC">
        <w:t>, their job role</w:t>
      </w:r>
      <w:r w:rsidR="00CC59E6" w:rsidRPr="006B187A">
        <w:t xml:space="preserve"> and respectful of patients' needs.</w:t>
      </w:r>
    </w:p>
    <w:p w14:paraId="15271CBF" w14:textId="4CAD6BDC" w:rsidR="00984BA0" w:rsidRPr="006B187A" w:rsidRDefault="00A42F10" w:rsidP="003D1D4D">
      <w:pPr>
        <w:pStyle w:val="Heading3"/>
        <w:ind w:hanging="567"/>
      </w:pPr>
      <w:r w:rsidRPr="006B187A">
        <w:t>Consignments</w:t>
      </w:r>
      <w:r w:rsidR="00984BA0" w:rsidRPr="006B187A">
        <w:t xml:space="preserve"> must only be delivered to the agreed address and receipted by a designated person approved by the Patient. </w:t>
      </w:r>
      <w:r w:rsidR="00216F1F">
        <w:t xml:space="preserve"> </w:t>
      </w:r>
      <w:r w:rsidR="00984BA0" w:rsidRPr="006B187A">
        <w:t>Consignments must not be left unattended.</w:t>
      </w:r>
    </w:p>
    <w:p w14:paraId="4DCFD28D" w14:textId="77777777" w:rsidR="00E37C26" w:rsidRDefault="00984BA0" w:rsidP="00E37C26">
      <w:pPr>
        <w:pStyle w:val="Heading3"/>
        <w:ind w:hanging="567"/>
      </w:pPr>
      <w:r w:rsidRPr="009914EB">
        <w:t xml:space="preserve">No member of the Supplier’s delivery personnel is required nor expected to </w:t>
      </w:r>
      <w:proofErr w:type="gramStart"/>
      <w:r w:rsidRPr="009914EB">
        <w:t>enter into</w:t>
      </w:r>
      <w:proofErr w:type="gramEnd"/>
      <w:r w:rsidRPr="009914EB">
        <w:t xml:space="preserve"> the patient's home to provide the homecare service.</w:t>
      </w:r>
    </w:p>
    <w:p w14:paraId="1E205380" w14:textId="703F5FF1" w:rsidR="00F334A6" w:rsidRPr="00BA2E0B" w:rsidRDefault="00F334A6" w:rsidP="00E37C26">
      <w:pPr>
        <w:pStyle w:val="Heading3"/>
        <w:ind w:hanging="567"/>
      </w:pPr>
      <w:r w:rsidRPr="00DB757B">
        <w:t xml:space="preserve">No member of the Supplier's delivery staff may </w:t>
      </w:r>
      <w:proofErr w:type="gramStart"/>
      <w:r w:rsidRPr="00DB757B">
        <w:t>enter into</w:t>
      </w:r>
      <w:proofErr w:type="gramEnd"/>
      <w:r w:rsidRPr="00DB757B">
        <w:t xml:space="preserve"> the patient's home to provide the homecare service without asking the patient or carer if they are happy for the service to continue on this occasion.  Delivery staff must deliver the consignment to the agreed location within the patient’s home as directed by the patient and/or carer.  If requested delivery staff will unpack the delivery, rotate any existing stock ensuring a first in, first out basis, check storage conditions are appropriate and record the details of storage conditions.  The Supplier must provide appropriate support and guidance for delivery staff who are unable to complete the service in accordance with their instructions.  Any issues must be recorded by the Supplier and reported to the Participating Authority in accordance with this specification.   </w:t>
      </w:r>
    </w:p>
    <w:p w14:paraId="1F20B65B" w14:textId="36902282" w:rsidR="00984BA0" w:rsidRPr="006B187A" w:rsidRDefault="00984BA0" w:rsidP="003D1D4D">
      <w:pPr>
        <w:pStyle w:val="Heading3"/>
        <w:ind w:hanging="567"/>
      </w:pPr>
      <w:r w:rsidRPr="006B187A">
        <w:lastRenderedPageBreak/>
        <w:t xml:space="preserve">The Patient reserves the right to refuse to accept Consignments which are found, on receipt, to be damaged, faulty and/or otherwise incorrect.  Such events will be recorded by the Supplier and reported to the </w:t>
      </w:r>
      <w:r w:rsidR="00CB2E23">
        <w:t>Participating</w:t>
      </w:r>
      <w:r w:rsidRPr="006B187A">
        <w:t xml:space="preserve"> Authority</w:t>
      </w:r>
      <w:r w:rsidR="004C6A6C">
        <w:t>.</w:t>
      </w:r>
    </w:p>
    <w:p w14:paraId="382BD707" w14:textId="54B67973" w:rsidR="009078E0" w:rsidRPr="006B187A" w:rsidRDefault="00984BA0" w:rsidP="003D1D4D">
      <w:pPr>
        <w:pStyle w:val="Heading3"/>
        <w:ind w:hanging="567"/>
      </w:pPr>
      <w:r w:rsidRPr="006B187A">
        <w:t>The delivery personnel must remove all outer delivery packaging if requested to do so by the patient or carer.</w:t>
      </w:r>
    </w:p>
    <w:p w14:paraId="4A2DECB0" w14:textId="2A6C3586" w:rsidR="00545691" w:rsidRPr="00586649" w:rsidRDefault="00545691" w:rsidP="003D1D4D">
      <w:pPr>
        <w:pStyle w:val="Heading2"/>
        <w:ind w:hanging="567"/>
      </w:pPr>
      <w:bookmarkStart w:id="104" w:name="_Toc77259115"/>
      <w:bookmarkStart w:id="105" w:name="_Hlk73710645"/>
      <w:r w:rsidRPr="00586649">
        <w:t>Failed Deliveries, Collections and Returns</w:t>
      </w:r>
      <w:bookmarkEnd w:id="104"/>
    </w:p>
    <w:bookmarkEnd w:id="105"/>
    <w:p w14:paraId="3D7FD79C" w14:textId="5288ADF1" w:rsidR="00B93264" w:rsidRPr="006B187A" w:rsidRDefault="00B93264" w:rsidP="003D1D4D">
      <w:pPr>
        <w:pStyle w:val="Heading3"/>
        <w:ind w:hanging="567"/>
      </w:pPr>
      <w:r w:rsidRPr="006B187A">
        <w:t xml:space="preserve">The Supplier </w:t>
      </w:r>
      <w:r w:rsidR="00FC4674" w:rsidRPr="006B187A">
        <w:t xml:space="preserve">must arrange with the patient to re-deliver or return failed deliveries and ensure the patient receives </w:t>
      </w:r>
      <w:r w:rsidR="00FC4674" w:rsidRPr="009E779C">
        <w:t xml:space="preserve">replacement Product </w:t>
      </w:r>
      <w:r w:rsidR="005109BF" w:rsidRPr="009E779C">
        <w:t xml:space="preserve">in a timely manner, </w:t>
      </w:r>
      <w:r w:rsidR="00FC4674" w:rsidRPr="009E779C">
        <w:t xml:space="preserve">where </w:t>
      </w:r>
      <w:r w:rsidR="00FC4674" w:rsidRPr="006B187A">
        <w:t xml:space="preserve">appropriate. </w:t>
      </w:r>
      <w:r w:rsidR="004C6A6C">
        <w:t xml:space="preserve"> </w:t>
      </w:r>
      <w:r w:rsidR="00FC4674" w:rsidRPr="006B187A">
        <w:t xml:space="preserve">The Supplier will notify the </w:t>
      </w:r>
      <w:r w:rsidR="00CB2E23">
        <w:t>Participating</w:t>
      </w:r>
      <w:r w:rsidR="00FC4674" w:rsidRPr="006B187A">
        <w:t xml:space="preserve"> Authority in the event of multiple delivery failures by an individual patient.</w:t>
      </w:r>
    </w:p>
    <w:p w14:paraId="6A4BB46C" w14:textId="4DBDAD01" w:rsidR="007E0DF1" w:rsidRDefault="007E0DF1" w:rsidP="003D1D4D">
      <w:pPr>
        <w:pStyle w:val="Heading3"/>
        <w:ind w:hanging="567"/>
      </w:pPr>
      <w:r>
        <w:t>C</w:t>
      </w:r>
      <w:r w:rsidR="00FC4674" w:rsidRPr="006B187A">
        <w:t xml:space="preserve">ollections of returned items </w:t>
      </w:r>
      <w:r>
        <w:t xml:space="preserve">should be </w:t>
      </w:r>
      <w:r w:rsidR="00FC4674" w:rsidRPr="006B187A">
        <w:t xml:space="preserve">made at the same time as a scheduled product delivery. </w:t>
      </w:r>
    </w:p>
    <w:p w14:paraId="030C1385" w14:textId="2FBFC094" w:rsidR="00FC4674" w:rsidRDefault="00FC4674" w:rsidP="003D1D4D">
      <w:pPr>
        <w:pStyle w:val="Heading3"/>
        <w:ind w:hanging="567"/>
      </w:pPr>
      <w:r w:rsidRPr="006B187A">
        <w:t xml:space="preserve"> If the collection is not taking place at the same time as the delivery, the Supplier must agree a convenient collection time with the Patient mirroring the specified delivery service level.  </w:t>
      </w:r>
    </w:p>
    <w:p w14:paraId="1394CE6D" w14:textId="77777777" w:rsidR="00136DE3" w:rsidRPr="00136DE3" w:rsidRDefault="00136DE3" w:rsidP="00DB757B"/>
    <w:p w14:paraId="3D6829C7" w14:textId="1E26999C" w:rsidR="00545691" w:rsidRPr="00586649" w:rsidRDefault="00545691" w:rsidP="003D1D4D">
      <w:pPr>
        <w:pStyle w:val="Heading2"/>
        <w:ind w:hanging="567"/>
      </w:pPr>
      <w:bookmarkStart w:id="106" w:name="_Toc77259116"/>
      <w:bookmarkStart w:id="107" w:name="_Hlk75847423"/>
      <w:bookmarkStart w:id="108" w:name="_Hlk75847803"/>
      <w:r w:rsidRPr="00586649">
        <w:t>Urgent and Out-of-Hours Deliveries</w:t>
      </w:r>
      <w:bookmarkEnd w:id="106"/>
    </w:p>
    <w:p w14:paraId="47772166" w14:textId="7BECDE91" w:rsidR="00A278D1" w:rsidRPr="006B187A" w:rsidRDefault="00A278D1" w:rsidP="003D1D4D">
      <w:pPr>
        <w:pStyle w:val="Heading3"/>
        <w:ind w:hanging="567"/>
        <w:rPr>
          <w:color w:val="00B050"/>
        </w:rPr>
      </w:pPr>
      <w:bookmarkStart w:id="109" w:name="_Hlk75847704"/>
      <w:bookmarkEnd w:id="107"/>
      <w:r w:rsidRPr="006B187A">
        <w:t xml:space="preserve">The </w:t>
      </w:r>
      <w:r w:rsidR="002D51DE" w:rsidRPr="006B187A">
        <w:t>Supplier</w:t>
      </w:r>
      <w:r w:rsidRPr="006B187A">
        <w:t xml:space="preserve"> </w:t>
      </w:r>
      <w:bookmarkEnd w:id="109"/>
      <w:r w:rsidR="00FC4674" w:rsidRPr="006B187A">
        <w:t xml:space="preserve">will operate an out of hours service and an urgent delivery service whereby delivery will be made within 24 hours of the request being made by the </w:t>
      </w:r>
      <w:r w:rsidR="00CB2E23">
        <w:t>Participating</w:t>
      </w:r>
      <w:r w:rsidR="00FC4674" w:rsidRPr="006B187A">
        <w:t xml:space="preserve"> Authority</w:t>
      </w:r>
      <w:r w:rsidR="00FC4674" w:rsidRPr="006B187A">
        <w:rPr>
          <w:color w:val="00B050"/>
        </w:rPr>
        <w:t>.</w:t>
      </w:r>
    </w:p>
    <w:p w14:paraId="1C624BCD" w14:textId="5B5E6DCB" w:rsidR="00BE6F8E" w:rsidRDefault="00BE6F8E" w:rsidP="003D1D4D">
      <w:pPr>
        <w:spacing w:before="0" w:after="120"/>
        <w:ind w:left="0" w:hanging="567"/>
        <w:rPr>
          <w:rFonts w:eastAsiaTheme="majorEastAsia"/>
          <w:b/>
          <w:color w:val="0070C0"/>
          <w:sz w:val="32"/>
          <w:szCs w:val="32"/>
          <w:u w:val="single"/>
        </w:rPr>
      </w:pPr>
      <w:bookmarkStart w:id="110" w:name="_Toc77259117"/>
      <w:bookmarkStart w:id="111" w:name="_Hlk75860529"/>
      <w:bookmarkStart w:id="112" w:name="_Hlk75861049"/>
      <w:bookmarkEnd w:id="108"/>
    </w:p>
    <w:p w14:paraId="351DB66F" w14:textId="4A28DAE4" w:rsidR="007C607F" w:rsidRPr="00586649" w:rsidRDefault="007C607F" w:rsidP="003D1D4D">
      <w:pPr>
        <w:pStyle w:val="Heading1"/>
        <w:ind w:hanging="567"/>
      </w:pPr>
      <w:r w:rsidRPr="00586649">
        <w:t>Co</w:t>
      </w:r>
      <w:bookmarkEnd w:id="110"/>
      <w:r w:rsidR="00FC4674" w:rsidRPr="00586649">
        <w:t>ntrolled Collection Model</w:t>
      </w:r>
    </w:p>
    <w:p w14:paraId="424AB5C9" w14:textId="6BF08D0A" w:rsidR="007C607F" w:rsidRPr="00586649" w:rsidRDefault="007C607F" w:rsidP="003D1D4D">
      <w:pPr>
        <w:pStyle w:val="Heading2"/>
        <w:ind w:hanging="567"/>
      </w:pPr>
      <w:bookmarkStart w:id="113" w:name="_Toc77259118"/>
      <w:bookmarkStart w:id="114" w:name="_Hlk73716077"/>
      <w:bookmarkStart w:id="115" w:name="_Hlk75868791"/>
      <w:bookmarkEnd w:id="111"/>
      <w:bookmarkEnd w:id="112"/>
      <w:r w:rsidRPr="00586649">
        <w:t>General</w:t>
      </w:r>
      <w:bookmarkEnd w:id="113"/>
    </w:p>
    <w:bookmarkEnd w:id="114"/>
    <w:bookmarkEnd w:id="115"/>
    <w:p w14:paraId="5A3C8BCF" w14:textId="22D8515E" w:rsidR="005222F7" w:rsidRPr="009914EB" w:rsidRDefault="00FC4674" w:rsidP="003D1D4D">
      <w:pPr>
        <w:pStyle w:val="Heading3"/>
        <w:ind w:hanging="567"/>
      </w:pPr>
      <w:r w:rsidRPr="009914EB">
        <w:t xml:space="preserve">Supply via Controlled Collection Model will be permitted subject to agreement from the </w:t>
      </w:r>
      <w:r w:rsidR="00CB2E23">
        <w:t>Participating</w:t>
      </w:r>
      <w:r w:rsidRPr="009914EB">
        <w:t xml:space="preserve"> Authority in accordance the terms of the Agreement.</w:t>
      </w:r>
    </w:p>
    <w:p w14:paraId="37B0E19D" w14:textId="6B3F1AAA" w:rsidR="005222F7" w:rsidRPr="009914EB" w:rsidRDefault="00FC4674" w:rsidP="003D1D4D">
      <w:pPr>
        <w:pStyle w:val="Heading3"/>
        <w:ind w:hanging="567"/>
      </w:pPr>
      <w:r w:rsidRPr="009914EB">
        <w:t>To the extent applicable, all provisions of this Specification will apply to supplies made via the Controlled Collection model.</w:t>
      </w:r>
    </w:p>
    <w:p w14:paraId="439A1AB2" w14:textId="57962BE5" w:rsidR="005222F7" w:rsidRPr="009914EB" w:rsidRDefault="00FC4674" w:rsidP="003D1D4D">
      <w:pPr>
        <w:pStyle w:val="Heading3"/>
        <w:ind w:hanging="567"/>
      </w:pPr>
      <w:r w:rsidRPr="009914EB">
        <w:t xml:space="preserve">The Supplier will maintain </w:t>
      </w:r>
      <w:r w:rsidR="00042AFC">
        <w:t xml:space="preserve">an </w:t>
      </w:r>
      <w:r w:rsidRPr="009914EB">
        <w:t>up to date list of available collection points</w:t>
      </w:r>
      <w:r w:rsidR="00042AFC">
        <w:t xml:space="preserve"> and </w:t>
      </w:r>
      <w:r w:rsidR="00042AFC" w:rsidRPr="009914EB">
        <w:t xml:space="preserve">provide to the Authority </w:t>
      </w:r>
      <w:r w:rsidR="00042AFC">
        <w:t>and Participating Authority</w:t>
      </w:r>
      <w:r w:rsidRPr="009914EB">
        <w:t>.</w:t>
      </w:r>
    </w:p>
    <w:p w14:paraId="78646B32" w14:textId="3F8EDA53" w:rsidR="000A0FB8" w:rsidRPr="00AE3375" w:rsidRDefault="00FC4674" w:rsidP="003D1D4D">
      <w:pPr>
        <w:pStyle w:val="Heading3"/>
        <w:ind w:hanging="567"/>
      </w:pPr>
      <w:r w:rsidRPr="009914EB">
        <w:t>The Supplier must remain responsible for Products until collected by the Patient.</w:t>
      </w:r>
    </w:p>
    <w:p w14:paraId="52C0F01A" w14:textId="58228806" w:rsidR="000A0FB8" w:rsidRPr="00586649" w:rsidRDefault="000A0FB8" w:rsidP="003D1D4D">
      <w:pPr>
        <w:pStyle w:val="Heading2"/>
        <w:ind w:hanging="567"/>
      </w:pPr>
      <w:bookmarkStart w:id="116" w:name="_Toc77259119"/>
      <w:bookmarkStart w:id="117" w:name="_Hlk75859041"/>
      <w:r w:rsidRPr="00586649">
        <w:t>Co</w:t>
      </w:r>
      <w:bookmarkEnd w:id="116"/>
      <w:r w:rsidR="00FC4674" w:rsidRPr="00586649">
        <w:t>mmunicating with the patient</w:t>
      </w:r>
    </w:p>
    <w:p w14:paraId="2F211FA6" w14:textId="12FDAD43" w:rsidR="00187D46" w:rsidRPr="009914EB" w:rsidRDefault="00FC4674" w:rsidP="004C6A6C">
      <w:pPr>
        <w:pStyle w:val="Heading3"/>
        <w:numPr>
          <w:ilvl w:val="0"/>
          <w:numId w:val="0"/>
        </w:numPr>
        <w:ind w:firstLine="360"/>
      </w:pPr>
      <w:r w:rsidRPr="009914EB">
        <w:t xml:space="preserve">In addition to the provisions set out in "General </w:t>
      </w:r>
      <w:r w:rsidR="006C5DA9">
        <w:t>Section</w:t>
      </w:r>
      <w:r w:rsidRPr="009914EB">
        <w:t xml:space="preserve"> - Communicating with the Patient"</w:t>
      </w:r>
      <w:r w:rsidR="004C6A6C">
        <w:t>.</w:t>
      </w:r>
    </w:p>
    <w:bookmarkEnd w:id="117"/>
    <w:p w14:paraId="4C9D4B82" w14:textId="6F693E78" w:rsidR="002824B8" w:rsidRPr="009914EB" w:rsidRDefault="00FC4674" w:rsidP="003D1D4D">
      <w:pPr>
        <w:pStyle w:val="Heading3"/>
        <w:ind w:hanging="567"/>
        <w:rPr>
          <w:color w:val="00B050"/>
        </w:rPr>
      </w:pPr>
      <w:r w:rsidRPr="009914EB">
        <w:t>The Supplier must direct the patient to their inbound patient queries and complaints service in the event of any queries relating to the Products or Service</w:t>
      </w:r>
      <w:r w:rsidR="004C6A6C">
        <w:rPr>
          <w:color w:val="00B050"/>
        </w:rPr>
        <w:t>.</w:t>
      </w:r>
    </w:p>
    <w:p w14:paraId="1470A6E6" w14:textId="485EE64E" w:rsidR="005453E6" w:rsidRPr="00586649" w:rsidRDefault="00FC4674" w:rsidP="003D1D4D">
      <w:pPr>
        <w:pStyle w:val="Heading2"/>
        <w:ind w:hanging="567"/>
      </w:pPr>
      <w:bookmarkStart w:id="118" w:name="_Hlk75859607"/>
      <w:r w:rsidRPr="00586649">
        <w:t>Scheduling a delivery</w:t>
      </w:r>
    </w:p>
    <w:p w14:paraId="40BF7EBA" w14:textId="7D0501A1" w:rsidR="005453E6" w:rsidRPr="009914EB" w:rsidRDefault="00FC4674" w:rsidP="004C6A6C">
      <w:pPr>
        <w:pStyle w:val="Heading3"/>
        <w:numPr>
          <w:ilvl w:val="0"/>
          <w:numId w:val="0"/>
        </w:numPr>
        <w:ind w:firstLine="360"/>
      </w:pPr>
      <w:r w:rsidRPr="009914EB">
        <w:t xml:space="preserve">In addition to the provisions set out in "Delivery </w:t>
      </w:r>
      <w:r w:rsidR="00042AFC">
        <w:t>Section</w:t>
      </w:r>
      <w:r w:rsidRPr="009914EB">
        <w:t xml:space="preserve"> - Routine Delivery Scheduling"</w:t>
      </w:r>
      <w:r w:rsidR="004C6A6C">
        <w:t>.</w:t>
      </w:r>
    </w:p>
    <w:bookmarkEnd w:id="118"/>
    <w:p w14:paraId="25803843" w14:textId="63193725" w:rsidR="005453E6" w:rsidRPr="009914EB" w:rsidRDefault="005453E6" w:rsidP="003D1D4D">
      <w:pPr>
        <w:pStyle w:val="Heading3"/>
        <w:ind w:hanging="567"/>
      </w:pPr>
      <w:r w:rsidRPr="009914EB">
        <w:t xml:space="preserve">The </w:t>
      </w:r>
      <w:r w:rsidR="00904166" w:rsidRPr="009914EB">
        <w:t>Supplier</w:t>
      </w:r>
      <w:r w:rsidR="00FC4674" w:rsidRPr="009914EB">
        <w:t xml:space="preserve"> must confirm the agreed pick up location and date/time pick up will be available from for each consignment</w:t>
      </w:r>
      <w:r w:rsidR="004C6A6C">
        <w:t>.</w:t>
      </w:r>
    </w:p>
    <w:p w14:paraId="550E3EAC" w14:textId="784DB0EE" w:rsidR="005453E6" w:rsidRPr="009914EB" w:rsidRDefault="00FC4674" w:rsidP="003D1D4D">
      <w:pPr>
        <w:pStyle w:val="Heading3"/>
        <w:ind w:hanging="567"/>
      </w:pPr>
      <w:r w:rsidRPr="009914EB">
        <w:lastRenderedPageBreak/>
        <w:t>The Supplier must take reasonable efforts to contact the Patient 3 business days after the agreed delivery date to remind them to pick up from the agreed location.</w:t>
      </w:r>
    </w:p>
    <w:p w14:paraId="60421A56" w14:textId="33C6403E" w:rsidR="005453E6" w:rsidRPr="009914EB" w:rsidRDefault="00FC4674" w:rsidP="003D1D4D">
      <w:pPr>
        <w:pStyle w:val="Heading3"/>
        <w:ind w:hanging="567"/>
      </w:pPr>
      <w:r w:rsidRPr="009914EB">
        <w:t xml:space="preserve">The </w:t>
      </w:r>
      <w:r w:rsidR="00877CCB" w:rsidRPr="009914EB">
        <w:t>Supplier must retain Products available for pick up by the Patient at the agreed pick up point for no less than 10 business days.</w:t>
      </w:r>
    </w:p>
    <w:p w14:paraId="09E8BCA7" w14:textId="4E689188" w:rsidR="00626B1E" w:rsidRPr="00586649" w:rsidRDefault="00877CCB" w:rsidP="003D1D4D">
      <w:pPr>
        <w:pStyle w:val="Heading2"/>
        <w:ind w:hanging="567"/>
      </w:pPr>
      <w:bookmarkStart w:id="119" w:name="_Hlk75861083"/>
      <w:bookmarkStart w:id="120" w:name="_Hlk111215494"/>
      <w:r w:rsidRPr="00586649">
        <w:t>Enabling pick up</w:t>
      </w:r>
    </w:p>
    <w:p w14:paraId="409A1787" w14:textId="187F34CC" w:rsidR="00626B1E" w:rsidRPr="009914EB" w:rsidRDefault="00877CCB" w:rsidP="004C6A6C">
      <w:pPr>
        <w:pStyle w:val="Heading3"/>
        <w:numPr>
          <w:ilvl w:val="0"/>
          <w:numId w:val="0"/>
        </w:numPr>
        <w:ind w:firstLine="360"/>
      </w:pPr>
      <w:r w:rsidRPr="009914EB">
        <w:t xml:space="preserve">In addition to the provisions set out in "Delivery </w:t>
      </w:r>
      <w:r w:rsidR="006C5DA9">
        <w:t>Section</w:t>
      </w:r>
      <w:r w:rsidRPr="009914EB">
        <w:t xml:space="preserve"> - Making the Delivery"</w:t>
      </w:r>
      <w:r w:rsidR="004C6A6C">
        <w:t>.</w:t>
      </w:r>
    </w:p>
    <w:bookmarkEnd w:id="119"/>
    <w:p w14:paraId="5CD001A6" w14:textId="36670FF8" w:rsidR="00626B1E" w:rsidRPr="009914EB" w:rsidRDefault="00626B1E" w:rsidP="003D1D4D">
      <w:pPr>
        <w:pStyle w:val="Heading3"/>
        <w:ind w:hanging="567"/>
      </w:pPr>
      <w:r w:rsidRPr="009914EB">
        <w:t xml:space="preserve">The </w:t>
      </w:r>
      <w:r w:rsidR="00904166" w:rsidRPr="009914EB">
        <w:t>Supplier</w:t>
      </w:r>
      <w:r w:rsidRPr="009914EB">
        <w:t xml:space="preserve"> </w:t>
      </w:r>
      <w:r w:rsidR="00877CCB" w:rsidRPr="009914EB">
        <w:t>must ensure that Products are only delivered to the agreed pick up point and picked up by a designated person approved by the Patient.</w:t>
      </w:r>
    </w:p>
    <w:bookmarkEnd w:id="120"/>
    <w:p w14:paraId="1C3F1A49" w14:textId="06F5A03D" w:rsidR="00877CCB" w:rsidRPr="00586649" w:rsidRDefault="00877CCB" w:rsidP="003D1D4D">
      <w:pPr>
        <w:pStyle w:val="Heading2"/>
        <w:ind w:hanging="567"/>
      </w:pPr>
      <w:r w:rsidRPr="00586649">
        <w:t>Failed deliveries, collections and returns</w:t>
      </w:r>
    </w:p>
    <w:p w14:paraId="08F459DD" w14:textId="1F8E740B" w:rsidR="004C6A6C" w:rsidRDefault="00877CCB" w:rsidP="004C6A6C">
      <w:pPr>
        <w:pStyle w:val="Heading3"/>
        <w:numPr>
          <w:ilvl w:val="0"/>
          <w:numId w:val="0"/>
        </w:numPr>
        <w:ind w:firstLine="360"/>
      </w:pPr>
      <w:r w:rsidRPr="009914EB">
        <w:t xml:space="preserve">In addition to "Delivery </w:t>
      </w:r>
      <w:r w:rsidR="006C5DA9">
        <w:t>Section</w:t>
      </w:r>
      <w:r w:rsidRPr="009914EB">
        <w:t xml:space="preserve"> - Failed deliveries, collections and returns"</w:t>
      </w:r>
    </w:p>
    <w:p w14:paraId="21D2059E" w14:textId="0C4C15A0" w:rsidR="00877CCB" w:rsidRDefault="00877CCB" w:rsidP="003D1D4D">
      <w:pPr>
        <w:pStyle w:val="Heading3"/>
        <w:ind w:hanging="567"/>
      </w:pPr>
      <w:r w:rsidRPr="009914EB">
        <w:t xml:space="preserve">In the event of non-pick up by the Patient, the Supplier will recover the Products from the </w:t>
      </w:r>
      <w:r w:rsidR="00301E6F" w:rsidRPr="009914EB">
        <w:t>pick-up</w:t>
      </w:r>
      <w:r w:rsidRPr="009914EB">
        <w:t xml:space="preserve"> point and notify the Patient </w:t>
      </w:r>
      <w:r w:rsidR="00CB5281">
        <w:t xml:space="preserve">and Participating Authority </w:t>
      </w:r>
      <w:r w:rsidRPr="009914EB">
        <w:t>accordingly.</w:t>
      </w:r>
    </w:p>
    <w:p w14:paraId="681D1335" w14:textId="16962A52" w:rsidR="00994A3B" w:rsidRPr="00922577" w:rsidRDefault="00994A3B" w:rsidP="00994A3B">
      <w:pPr>
        <w:pStyle w:val="Heading3"/>
        <w:ind w:hanging="567"/>
      </w:pPr>
      <w:r w:rsidRPr="008E2187">
        <w:t xml:space="preserve">The Supplier will be responsible for the safe disposal of the patient’s clinical waste generated through the provision of the Service </w:t>
      </w:r>
      <w:r w:rsidR="007760B8">
        <w:t>returned to the collection point</w:t>
      </w:r>
      <w:r w:rsidRPr="008E2187">
        <w:t xml:space="preserve">.  </w:t>
      </w:r>
      <w:r>
        <w:t xml:space="preserve"> </w:t>
      </w:r>
      <w:r w:rsidRPr="008E2187">
        <w:t>All current UK law and regulations on clinical waste must be adhered to by the Supplier including the collection, transportation and disposal of clinical waste.</w:t>
      </w:r>
      <w:r>
        <w:t xml:space="preserve"> </w:t>
      </w:r>
      <w:r w:rsidRPr="0016657C">
        <w:t xml:space="preserve"> </w:t>
      </w:r>
      <w:r w:rsidRPr="00922577">
        <w:t xml:space="preserve">Suppliers or their approved sub-contractor </w:t>
      </w:r>
      <w:r>
        <w:t xml:space="preserve">must </w:t>
      </w:r>
      <w:r w:rsidRPr="00922577">
        <w:t>have a waste collection license which covers the relevant waste collection activity and must make this available on request.</w:t>
      </w:r>
    </w:p>
    <w:p w14:paraId="73B1B778" w14:textId="7D4F3892" w:rsidR="00877CCB" w:rsidRPr="002668C0" w:rsidRDefault="00877CCB" w:rsidP="003D1D4D">
      <w:pPr>
        <w:pStyle w:val="Heading2"/>
        <w:ind w:hanging="567"/>
      </w:pPr>
      <w:r w:rsidRPr="002668C0">
        <w:t>Finance</w:t>
      </w:r>
    </w:p>
    <w:p w14:paraId="557C5322" w14:textId="77777777" w:rsidR="004C6A6C" w:rsidRDefault="004C6A6C" w:rsidP="004C6A6C">
      <w:pPr>
        <w:pStyle w:val="Heading3"/>
        <w:numPr>
          <w:ilvl w:val="0"/>
          <w:numId w:val="0"/>
        </w:numPr>
        <w:ind w:firstLine="426"/>
      </w:pPr>
      <w:r w:rsidRPr="002668C0">
        <w:t xml:space="preserve">In addition to the provisions set out in "Finance </w:t>
      </w:r>
      <w:r>
        <w:t>Section</w:t>
      </w:r>
      <w:r w:rsidRPr="002668C0">
        <w:t>"</w:t>
      </w:r>
      <w:r>
        <w:t>.</w:t>
      </w:r>
      <w:r w:rsidRPr="002668C0">
        <w:t xml:space="preserve"> </w:t>
      </w:r>
    </w:p>
    <w:p w14:paraId="6C60409F" w14:textId="54C21E2B" w:rsidR="00CB5281" w:rsidRDefault="00CB5281" w:rsidP="003D1D4D">
      <w:pPr>
        <w:pStyle w:val="Heading3"/>
        <w:ind w:hanging="567"/>
      </w:pPr>
      <w:r>
        <w:t xml:space="preserve">The Participating Authority will not be responsible for cost of </w:t>
      </w:r>
      <w:r w:rsidR="002C0B8D">
        <w:t xml:space="preserve">Medicines, Ancillaries or Equipment from </w:t>
      </w:r>
      <w:r>
        <w:t>uncollected deliveries.</w:t>
      </w:r>
    </w:p>
    <w:p w14:paraId="6A436784" w14:textId="2467ECD9" w:rsidR="00BC4784" w:rsidRPr="001862B5" w:rsidRDefault="004C6A6C" w:rsidP="001862B5">
      <w:pPr>
        <w:pStyle w:val="Heading3"/>
        <w:ind w:hanging="567"/>
      </w:pPr>
      <w:r>
        <w:t>T</w:t>
      </w:r>
      <w:r w:rsidR="002668C0" w:rsidRPr="002668C0">
        <w:t>he appropriate evidence of service delivery will pertain to Products being duly received by the Patient following pick up.</w:t>
      </w:r>
      <w:bookmarkStart w:id="121" w:name="_Hlk75868752"/>
      <w:bookmarkStart w:id="122" w:name="_Hlk111215827"/>
    </w:p>
    <w:bookmarkEnd w:id="121"/>
    <w:bookmarkEnd w:id="122"/>
    <w:p w14:paraId="191ADDB9" w14:textId="047E2764" w:rsidR="00DF6909" w:rsidRPr="00586649" w:rsidRDefault="00E40266" w:rsidP="003D1D4D">
      <w:pPr>
        <w:pStyle w:val="Heading1"/>
        <w:ind w:hanging="567"/>
      </w:pPr>
      <w:r w:rsidRPr="00586649">
        <w:t>Cold Chain</w:t>
      </w:r>
      <w:r w:rsidR="002C0B8D">
        <w:t xml:space="preserve">, </w:t>
      </w:r>
      <w:r w:rsidRPr="00586649">
        <w:t>Controlled Drugs</w:t>
      </w:r>
      <w:r w:rsidR="00042AFC">
        <w:t xml:space="preserve"> </w:t>
      </w:r>
      <w:r w:rsidR="002C0B8D">
        <w:t xml:space="preserve">and </w:t>
      </w:r>
      <w:r w:rsidRPr="00586649">
        <w:t>Hazardous Medicines</w:t>
      </w:r>
    </w:p>
    <w:p w14:paraId="4A0FBC59" w14:textId="69ADBDE9" w:rsidR="00DF6909" w:rsidRPr="00586649" w:rsidRDefault="00C41468" w:rsidP="003D1D4D">
      <w:pPr>
        <w:pStyle w:val="Heading2"/>
        <w:ind w:hanging="567"/>
      </w:pPr>
      <w:r w:rsidRPr="00586649">
        <w:t>Special Handling</w:t>
      </w:r>
    </w:p>
    <w:p w14:paraId="759D1986" w14:textId="6FC1629C" w:rsidR="00C41468" w:rsidRPr="009914EB" w:rsidRDefault="00DF6909" w:rsidP="003D1D4D">
      <w:pPr>
        <w:pStyle w:val="Heading3"/>
        <w:ind w:hanging="567"/>
      </w:pPr>
      <w:r w:rsidRPr="009914EB">
        <w:t>The</w:t>
      </w:r>
      <w:r w:rsidR="00C41468" w:rsidRPr="009914EB">
        <w:t xml:space="preserve"> </w:t>
      </w:r>
      <w:r w:rsidR="00CB2E23">
        <w:t>Participating</w:t>
      </w:r>
      <w:r w:rsidR="00C41468" w:rsidRPr="009914EB">
        <w:t xml:space="preserve"> Authority is responsible for assessing the risks associated with the storage, handling, delivery and administration of medicines products in accordance with their SmPC or Specials manufacturer's instructions.  </w:t>
      </w:r>
    </w:p>
    <w:p w14:paraId="77DC40DB" w14:textId="5B7AD30F" w:rsidR="00C41468" w:rsidRPr="009914EB" w:rsidRDefault="00C41468" w:rsidP="003D1D4D">
      <w:pPr>
        <w:pStyle w:val="Heading3"/>
        <w:ind w:hanging="567"/>
      </w:pPr>
      <w:r w:rsidRPr="009914EB">
        <w:t>Equipment and/or ancillaries identified as necessary to manage risks are specified in the Equipment and Ancillaries List</w:t>
      </w:r>
      <w:r w:rsidR="00AA21EA">
        <w:t xml:space="preserve"> within the Order Form</w:t>
      </w:r>
      <w:r w:rsidRPr="009914EB">
        <w:t xml:space="preserve"> along with any restrictions to be applied when supplying equipment to an individual patient. </w:t>
      </w:r>
      <w:r w:rsidR="00AA21EA">
        <w:t xml:space="preserve"> </w:t>
      </w:r>
      <w:r w:rsidRPr="009914EB">
        <w:t xml:space="preserve">The Supplier must be able to implement the risk control measures specified by the </w:t>
      </w:r>
      <w:r w:rsidR="00CB2E23">
        <w:t>Participating</w:t>
      </w:r>
      <w:r w:rsidRPr="009914EB">
        <w:t xml:space="preserve"> Authority. </w:t>
      </w:r>
    </w:p>
    <w:p w14:paraId="3FAFAFD4" w14:textId="77777777" w:rsidR="00C41468" w:rsidRPr="009914EB" w:rsidRDefault="00C41468" w:rsidP="003D1D4D">
      <w:pPr>
        <w:pStyle w:val="Heading3"/>
        <w:ind w:hanging="567"/>
      </w:pPr>
      <w:r w:rsidRPr="009914EB">
        <w:t>Risk control measures to be implemented for specified categories of products are in the sections below.</w:t>
      </w:r>
    </w:p>
    <w:p w14:paraId="5E652277" w14:textId="570A1986" w:rsidR="00C41468" w:rsidRPr="00704079" w:rsidRDefault="00C41468" w:rsidP="00DC4DE8">
      <w:pPr>
        <w:pStyle w:val="ListParagraph"/>
        <w:ind w:hanging="567"/>
      </w:pPr>
      <w:r w:rsidRPr="00704079">
        <w:t xml:space="preserve">cold chain </w:t>
      </w:r>
    </w:p>
    <w:p w14:paraId="2977204A" w14:textId="4AEDAC8A" w:rsidR="00C41468" w:rsidRPr="00704079" w:rsidRDefault="00C41468" w:rsidP="00DC4DE8">
      <w:pPr>
        <w:pStyle w:val="ListParagraph"/>
        <w:ind w:hanging="567"/>
      </w:pPr>
      <w:r w:rsidRPr="00704079">
        <w:t xml:space="preserve">controlled drugs  </w:t>
      </w:r>
    </w:p>
    <w:p w14:paraId="58B98B61" w14:textId="11EB0EA8" w:rsidR="00DF6909" w:rsidRPr="00704079" w:rsidRDefault="00C41468" w:rsidP="00DC4DE8">
      <w:pPr>
        <w:pStyle w:val="ListParagraph"/>
        <w:ind w:hanging="567"/>
      </w:pPr>
      <w:r w:rsidRPr="00704079">
        <w:lastRenderedPageBreak/>
        <w:t>hazardous medicines</w:t>
      </w:r>
    </w:p>
    <w:p w14:paraId="6CC6272D" w14:textId="391AD8E2" w:rsidR="00FE54C0" w:rsidRPr="009914EB" w:rsidRDefault="00C41468" w:rsidP="003D1D4D">
      <w:pPr>
        <w:pStyle w:val="Heading3"/>
        <w:ind w:hanging="567"/>
      </w:pPr>
      <w:r w:rsidRPr="009914EB">
        <w:t xml:space="preserve">Any medicinal product requiring special handling to meet the requirements of their </w:t>
      </w:r>
      <w:proofErr w:type="gramStart"/>
      <w:r w:rsidRPr="009914EB">
        <w:t>SmPC</w:t>
      </w:r>
      <w:proofErr w:type="gramEnd"/>
      <w:r w:rsidRPr="009914EB">
        <w:t xml:space="preserve"> or Specials manufacturer's instructions is identified in the relevant product list and where applicable in the individual product dossier.</w:t>
      </w:r>
    </w:p>
    <w:p w14:paraId="2BD28C7E" w14:textId="4D80BA07" w:rsidR="00C41468" w:rsidRPr="00586649" w:rsidRDefault="00C41468" w:rsidP="003D1D4D">
      <w:pPr>
        <w:pStyle w:val="Heading2"/>
        <w:ind w:hanging="567"/>
      </w:pPr>
      <w:r w:rsidRPr="00586649">
        <w:t>Cold chain medicines requiring storage between</w:t>
      </w:r>
      <w:r w:rsidR="00042AFC">
        <w:t xml:space="preserve"> </w:t>
      </w:r>
      <w:r w:rsidRPr="00586649">
        <w:t>2-8</w:t>
      </w:r>
      <w:r w:rsidRPr="00042AFC">
        <w:rPr>
          <w:vertAlign w:val="superscript"/>
        </w:rPr>
        <w:t>o</w:t>
      </w:r>
      <w:r w:rsidRPr="00586649">
        <w:t>C</w:t>
      </w:r>
      <w:r w:rsidR="00A978D9">
        <w:t xml:space="preserve"> </w:t>
      </w:r>
    </w:p>
    <w:p w14:paraId="47648C26" w14:textId="6F13F0BA" w:rsidR="00C41468" w:rsidRPr="009914EB" w:rsidRDefault="00C41468" w:rsidP="003D1D4D">
      <w:pPr>
        <w:pStyle w:val="Heading3"/>
        <w:ind w:hanging="567"/>
      </w:pPr>
      <w:r w:rsidRPr="009914EB">
        <w:t xml:space="preserve">Where the </w:t>
      </w:r>
      <w:r w:rsidR="00CB2E23">
        <w:t>Participating</w:t>
      </w:r>
      <w:r w:rsidRPr="009914EB">
        <w:t xml:space="preserve"> Authority requests supply of temperature controlled medicines, appropriate risk control measures must be established and agreed by both parties and detailed in the </w:t>
      </w:r>
      <w:r w:rsidR="00042AFC">
        <w:t>Order Form</w:t>
      </w:r>
      <w:r w:rsidRPr="009914EB">
        <w:t xml:space="preserve"> in accordance with the Homecare Guidance for Storage and Handling of temperature controlled medicines in the patient's home</w:t>
      </w:r>
      <w:r w:rsidR="006B187A">
        <w:t xml:space="preserve">, copy provided in Appendix </w:t>
      </w:r>
      <w:r w:rsidR="00DC4DE8">
        <w:t>B</w:t>
      </w:r>
      <w:r w:rsidRPr="009914EB">
        <w:t xml:space="preserve">.  </w:t>
      </w:r>
    </w:p>
    <w:p w14:paraId="2DDF652B" w14:textId="5903B9D3" w:rsidR="00C41468" w:rsidRDefault="00C41468" w:rsidP="003D1D4D">
      <w:pPr>
        <w:pStyle w:val="Heading3"/>
        <w:ind w:hanging="567"/>
      </w:pPr>
      <w:r w:rsidRPr="009914EB">
        <w:t>Unless risk control measures have been specified, storage of homecare medicines in the patient’s own domestic refrigerator will be sufficient to give assurance that the medicine will be fit for purpose at the point of administration. Where risk control measures have been specified</w:t>
      </w:r>
      <w:r w:rsidR="00042AFC">
        <w:t>,</w:t>
      </w:r>
      <w:r w:rsidRPr="009914EB">
        <w:t xml:space="preserve"> the requirements have been specified in the Equipment and/or Product List.</w:t>
      </w:r>
    </w:p>
    <w:p w14:paraId="7EFCB3EF" w14:textId="0645EF84" w:rsidR="00D95B46" w:rsidRDefault="00D95B46" w:rsidP="00A74B8B">
      <w:pPr>
        <w:pStyle w:val="Heading3"/>
        <w:tabs>
          <w:tab w:val="left" w:pos="993"/>
        </w:tabs>
        <w:ind w:left="1276" w:hanging="567"/>
      </w:pPr>
      <w:r>
        <w:rPr>
          <w:bCs/>
        </w:rPr>
        <w:t xml:space="preserve">Cold Chain in the Patient's Home; </w:t>
      </w:r>
      <w:r>
        <w:t xml:space="preserve">Each Participating Authority will determine the storage requirements for their patient population, this may </w:t>
      </w:r>
      <w:proofErr w:type="gramStart"/>
      <w:r>
        <w:t>include;</w:t>
      </w:r>
      <w:proofErr w:type="gramEnd"/>
      <w:r>
        <w:t xml:space="preserve"> use of patient own fridges with no additional monitoring, use of patient fridges with additional monitoring or the request for the Supplier to provide a pharmaceutical grade refrigerator.  Pharmaceutical grade refrigerator specification is contained within Appendix </w:t>
      </w:r>
      <w:r w:rsidR="00DC4DE8">
        <w:t>B</w:t>
      </w:r>
    </w:p>
    <w:p w14:paraId="4AEE1DCF" w14:textId="10C40BBA" w:rsidR="008D5AE4" w:rsidRDefault="008D5AE4" w:rsidP="00A74B8B">
      <w:pPr>
        <w:pStyle w:val="Heading3"/>
        <w:ind w:hanging="573"/>
        <w:rPr>
          <w:lang w:eastAsia="en-GB"/>
        </w:rPr>
      </w:pPr>
      <w:r w:rsidRPr="00DB757B">
        <w:rPr>
          <w:lang w:eastAsia="en-GB"/>
        </w:rPr>
        <w:t>The Supplier will be responsible for training the patient or carer to undertake daily monitoring of the temperature of the refrigerator, knowledge of the minimum and maximum temperatures, and the action to take if found out of range.</w:t>
      </w:r>
    </w:p>
    <w:p w14:paraId="4C028A67" w14:textId="0E27ACCB" w:rsidR="008D5AE4" w:rsidRDefault="008D5AE4" w:rsidP="00A74B8B">
      <w:pPr>
        <w:pStyle w:val="Heading3"/>
        <w:ind w:hanging="573"/>
        <w:rPr>
          <w:lang w:eastAsia="en-GB"/>
        </w:rPr>
      </w:pPr>
      <w:r w:rsidRPr="00DB757B">
        <w:rPr>
          <w:lang w:eastAsia="en-GB"/>
        </w:rPr>
        <w:t>Maintenance, PAT testing and calibration of all refrigeration and temperature monitoring equipment will be the responsibility of the Supplier (refer to Equipment and Ancillaries section)</w:t>
      </w:r>
      <w:r w:rsidR="005F25A1">
        <w:rPr>
          <w:lang w:eastAsia="en-GB"/>
        </w:rPr>
        <w:t>.</w:t>
      </w:r>
    </w:p>
    <w:p w14:paraId="166751BC" w14:textId="48CD4A03" w:rsidR="008D5AE4" w:rsidRPr="008D5AE4" w:rsidRDefault="008D5AE4" w:rsidP="00A74B8B">
      <w:pPr>
        <w:pStyle w:val="Heading3"/>
        <w:ind w:hanging="573"/>
      </w:pPr>
      <w:r w:rsidRPr="00DB757B">
        <w:rPr>
          <w:lang w:eastAsia="en-GB"/>
        </w:rPr>
        <w:t xml:space="preserve">Repairs and or replacement of faulty fridges </w:t>
      </w:r>
      <w:r w:rsidR="005F25A1">
        <w:rPr>
          <w:lang w:eastAsia="en-GB"/>
        </w:rPr>
        <w:t>must</w:t>
      </w:r>
      <w:r w:rsidRPr="00DB757B">
        <w:rPr>
          <w:lang w:eastAsia="en-GB"/>
        </w:rPr>
        <w:t xml:space="preserve"> be carried out within 6 working hours of the fault being reported at no charge to the </w:t>
      </w:r>
      <w:r>
        <w:rPr>
          <w:lang w:eastAsia="en-GB"/>
        </w:rPr>
        <w:t>Participating</w:t>
      </w:r>
      <w:r w:rsidRPr="00DB757B">
        <w:rPr>
          <w:lang w:eastAsia="en-GB"/>
        </w:rPr>
        <w:t xml:space="preserve"> Authority. </w:t>
      </w:r>
      <w:r>
        <w:rPr>
          <w:lang w:eastAsia="en-GB"/>
        </w:rPr>
        <w:t xml:space="preserve"> </w:t>
      </w:r>
      <w:r w:rsidRPr="00DB757B">
        <w:rPr>
          <w:lang w:eastAsia="en-GB"/>
        </w:rPr>
        <w:t xml:space="preserve">Records of equipment failure, the actions taken and </w:t>
      </w:r>
      <w:proofErr w:type="gramStart"/>
      <w:r w:rsidRPr="00DB757B">
        <w:rPr>
          <w:lang w:eastAsia="en-GB"/>
        </w:rPr>
        <w:t>time period</w:t>
      </w:r>
      <w:proofErr w:type="gramEnd"/>
      <w:r w:rsidRPr="00DB757B">
        <w:rPr>
          <w:lang w:eastAsia="en-GB"/>
        </w:rPr>
        <w:t xml:space="preserve"> for resolution </w:t>
      </w:r>
      <w:r w:rsidR="005F25A1">
        <w:rPr>
          <w:lang w:eastAsia="en-GB"/>
        </w:rPr>
        <w:t>must</w:t>
      </w:r>
      <w:r w:rsidRPr="00DB757B">
        <w:rPr>
          <w:lang w:eastAsia="en-GB"/>
        </w:rPr>
        <w:t xml:space="preserve"> be kept by the Supplier and supplied to the </w:t>
      </w:r>
      <w:r>
        <w:rPr>
          <w:lang w:eastAsia="en-GB"/>
        </w:rPr>
        <w:t>Participating</w:t>
      </w:r>
      <w:r w:rsidRPr="00DB757B">
        <w:rPr>
          <w:lang w:eastAsia="en-GB"/>
        </w:rPr>
        <w:t xml:space="preserve"> Authority on a yearly basis or more frequently on request.</w:t>
      </w:r>
    </w:p>
    <w:p w14:paraId="2D78C163" w14:textId="0BDF6FEC" w:rsidR="004B0BC5" w:rsidRPr="008D5AE4" w:rsidRDefault="00D95B46" w:rsidP="00A74B8B">
      <w:pPr>
        <w:pStyle w:val="Heading3"/>
        <w:ind w:hanging="573"/>
        <w:rPr>
          <w:rFonts w:eastAsia="Times New Roman"/>
          <w:lang w:eastAsia="en-GB"/>
        </w:rPr>
      </w:pPr>
      <w:r w:rsidRPr="008D5AE4">
        <w:rPr>
          <w:rFonts w:eastAsia="Times New Roman"/>
          <w:lang w:eastAsia="en-GB"/>
        </w:rPr>
        <w:t>The Supplier operates a validated cold chain from receipt of deliveries or manufacture through to delivery to the patient.</w:t>
      </w:r>
    </w:p>
    <w:p w14:paraId="3B540B0F" w14:textId="77777777" w:rsidR="00D95B46" w:rsidRDefault="00D95B46" w:rsidP="00A74B8B">
      <w:pPr>
        <w:pStyle w:val="Heading3"/>
        <w:ind w:hanging="573"/>
        <w:rPr>
          <w:lang w:eastAsia="en-GB"/>
        </w:rPr>
      </w:pPr>
      <w:r w:rsidRPr="00DB757B">
        <w:rPr>
          <w:lang w:eastAsia="en-GB"/>
        </w:rPr>
        <w:t xml:space="preserve">Where a temperature deviation occurs a decision about suitability of the affected product for use will be made </w:t>
      </w:r>
      <w:r>
        <w:rPr>
          <w:lang w:eastAsia="en-GB"/>
        </w:rPr>
        <w:t xml:space="preserve">in conjunction with the Participating Authority </w:t>
      </w:r>
      <w:r w:rsidRPr="00DB757B">
        <w:rPr>
          <w:lang w:eastAsia="en-GB"/>
        </w:rPr>
        <w:t>and documented by the Supplier</w:t>
      </w:r>
      <w:r>
        <w:rPr>
          <w:lang w:eastAsia="en-GB"/>
        </w:rPr>
        <w:t>.</w:t>
      </w:r>
    </w:p>
    <w:p w14:paraId="15D56B68" w14:textId="6F80CD62" w:rsidR="00D95B46" w:rsidRPr="00D95B46" w:rsidRDefault="00D95B46" w:rsidP="00A74B8B">
      <w:pPr>
        <w:pStyle w:val="Heading3"/>
        <w:ind w:hanging="573"/>
        <w:rPr>
          <w:lang w:eastAsia="en-GB"/>
        </w:rPr>
      </w:pPr>
      <w:r w:rsidRPr="00DB757B">
        <w:rPr>
          <w:lang w:eastAsia="en-GB"/>
        </w:rPr>
        <w:t xml:space="preserve">Where a temperature deviation </w:t>
      </w:r>
      <w:r>
        <w:rPr>
          <w:lang w:eastAsia="en-GB"/>
        </w:rPr>
        <w:t xml:space="preserve">may </w:t>
      </w:r>
      <w:r w:rsidRPr="00DB757B">
        <w:rPr>
          <w:lang w:eastAsia="en-GB"/>
        </w:rPr>
        <w:t xml:space="preserve">result in product being wasted and/or any interruption of treatment the </w:t>
      </w:r>
      <w:r>
        <w:rPr>
          <w:lang w:eastAsia="en-GB"/>
        </w:rPr>
        <w:t>Participating</w:t>
      </w:r>
      <w:r w:rsidRPr="00DB757B">
        <w:rPr>
          <w:lang w:eastAsia="en-GB"/>
        </w:rPr>
        <w:t xml:space="preserve"> Authority will be notified without delay.</w:t>
      </w:r>
    </w:p>
    <w:p w14:paraId="5A146A62" w14:textId="795D45B5" w:rsidR="00C41468" w:rsidRPr="00586649" w:rsidRDefault="00C41468" w:rsidP="003D1D4D">
      <w:pPr>
        <w:pStyle w:val="Heading2"/>
        <w:ind w:hanging="567"/>
      </w:pPr>
      <w:r w:rsidRPr="00586649">
        <w:t>Cytotoxic and other hazardous medicines</w:t>
      </w:r>
    </w:p>
    <w:p w14:paraId="74B1EE97" w14:textId="07A2FC79" w:rsidR="00DF6909" w:rsidRPr="009914EB" w:rsidRDefault="00C41468" w:rsidP="003D1D4D">
      <w:pPr>
        <w:pStyle w:val="Heading3"/>
        <w:ind w:hanging="567"/>
      </w:pPr>
      <w:r w:rsidRPr="009914EB">
        <w:t xml:space="preserve">Where the </w:t>
      </w:r>
      <w:r w:rsidR="00CB2E23">
        <w:t>Participating</w:t>
      </w:r>
      <w:r w:rsidRPr="009914EB">
        <w:t xml:space="preserve"> Authority requests supply of cytotoxic or other hazardous medicines/materials, appropriate risk control measures must be established and agreed by both parties and detailed in the </w:t>
      </w:r>
      <w:r w:rsidR="00042AFC">
        <w:t>Order Form.</w:t>
      </w:r>
    </w:p>
    <w:p w14:paraId="14B3CEE1" w14:textId="4A88DC10" w:rsidR="00C41468" w:rsidRPr="00586649" w:rsidRDefault="00C41468" w:rsidP="003D1D4D">
      <w:pPr>
        <w:pStyle w:val="Heading2"/>
        <w:ind w:hanging="567"/>
      </w:pPr>
      <w:r w:rsidRPr="00586649">
        <w:t>Controlled drugs</w:t>
      </w:r>
    </w:p>
    <w:p w14:paraId="38116BC9" w14:textId="62347700" w:rsidR="00DF6909" w:rsidRPr="009914EB" w:rsidRDefault="00C41468" w:rsidP="003D1D4D">
      <w:pPr>
        <w:pStyle w:val="Heading3"/>
        <w:ind w:hanging="567"/>
      </w:pPr>
      <w:r w:rsidRPr="009914EB">
        <w:t xml:space="preserve">Where the </w:t>
      </w:r>
      <w:r w:rsidR="00CB2E23">
        <w:t>Participating</w:t>
      </w:r>
      <w:r w:rsidRPr="009914EB">
        <w:t xml:space="preserve"> Authority requests supply of controlled medicines, appropriate risk control measures must be established and agreed by both parties and detailed in the </w:t>
      </w:r>
      <w:r w:rsidR="00042AFC">
        <w:t>Order Form.</w:t>
      </w:r>
    </w:p>
    <w:p w14:paraId="11CDC43A" w14:textId="115FA55C" w:rsidR="00704079" w:rsidRDefault="00704079" w:rsidP="003D1D4D">
      <w:pPr>
        <w:spacing w:before="0" w:after="120"/>
        <w:ind w:left="0" w:hanging="567"/>
        <w:rPr>
          <w:rFonts w:eastAsiaTheme="majorEastAsia"/>
          <w:b/>
          <w:color w:val="0070C0"/>
          <w:sz w:val="32"/>
          <w:szCs w:val="32"/>
          <w:u w:val="single"/>
        </w:rPr>
      </w:pPr>
      <w:bookmarkStart w:id="123" w:name="_Hlk73957412"/>
    </w:p>
    <w:p w14:paraId="4A118B42" w14:textId="70D0B572" w:rsidR="000610F9" w:rsidRPr="00586649" w:rsidRDefault="00C41468" w:rsidP="003D1D4D">
      <w:pPr>
        <w:pStyle w:val="Heading1"/>
        <w:ind w:hanging="567"/>
      </w:pPr>
      <w:r w:rsidRPr="00586649">
        <w:t>Equipment and Ancillaries</w:t>
      </w:r>
    </w:p>
    <w:p w14:paraId="7F625459" w14:textId="2E4409C9" w:rsidR="007C7BBC" w:rsidRPr="00586649" w:rsidRDefault="00B32B05" w:rsidP="003D1D4D">
      <w:pPr>
        <w:pStyle w:val="Heading2"/>
        <w:ind w:hanging="567"/>
      </w:pPr>
      <w:bookmarkStart w:id="124" w:name="_Hlk73947352"/>
      <w:bookmarkStart w:id="125" w:name="_Hlk73947438"/>
      <w:bookmarkEnd w:id="123"/>
      <w:r w:rsidRPr="00586649">
        <w:t>Equipment</w:t>
      </w:r>
    </w:p>
    <w:bookmarkEnd w:id="124"/>
    <w:bookmarkEnd w:id="125"/>
    <w:p w14:paraId="27A1F171" w14:textId="3D8A68F4" w:rsidR="008C6A1F" w:rsidRDefault="00B32B05" w:rsidP="003D1D4D">
      <w:pPr>
        <w:pStyle w:val="Heading3"/>
        <w:ind w:hanging="567"/>
      </w:pPr>
      <w:r w:rsidRPr="009914EB">
        <w:t>The equipment t</w:t>
      </w:r>
      <w:r w:rsidR="005F25A1">
        <w:t>hat can</w:t>
      </w:r>
      <w:r w:rsidRPr="009914EB">
        <w:t xml:space="preserve"> be provided as part of the service</w:t>
      </w:r>
      <w:r w:rsidR="005F25A1">
        <w:t>(s)</w:t>
      </w:r>
      <w:r w:rsidRPr="009914EB">
        <w:t xml:space="preserve"> is listed in </w:t>
      </w:r>
      <w:r w:rsidR="008D5AE4">
        <w:t>Document 8c - Commercial Schedule</w:t>
      </w:r>
      <w:r w:rsidR="00027A25">
        <w:t>.</w:t>
      </w:r>
      <w:r w:rsidR="005F25A1">
        <w:t xml:space="preserve"> </w:t>
      </w:r>
      <w:r w:rsidR="008D5AE4">
        <w:t xml:space="preserve">  </w:t>
      </w:r>
      <w:r w:rsidRPr="009914EB">
        <w:t>A generic specification</w:t>
      </w:r>
      <w:r w:rsidR="00A74B8B">
        <w:t xml:space="preserve"> </w:t>
      </w:r>
      <w:r w:rsidR="008D5AE4">
        <w:t>(where required)</w:t>
      </w:r>
      <w:r w:rsidRPr="009914EB">
        <w:t xml:space="preserve"> for each different type of equipment is provided in </w:t>
      </w:r>
      <w:r w:rsidR="008D5AE4">
        <w:t>the Call Off Contract</w:t>
      </w:r>
      <w:r w:rsidR="00A74B8B">
        <w:t xml:space="preserve"> </w:t>
      </w:r>
      <w:r w:rsidR="008D5AE4">
        <w:t>(Order Forms)</w:t>
      </w:r>
      <w:r w:rsidRPr="009914EB">
        <w:t xml:space="preserve"> which includes quantity to be supplied plus any backup equipment, maintenance and response times.</w:t>
      </w:r>
    </w:p>
    <w:p w14:paraId="746E54E0" w14:textId="79837E5B" w:rsidR="009649BA" w:rsidRPr="009649BA" w:rsidRDefault="009649BA" w:rsidP="003D1D4D">
      <w:pPr>
        <w:pStyle w:val="Heading3"/>
        <w:ind w:hanging="567"/>
      </w:pPr>
      <w:r w:rsidRPr="009649BA">
        <w:t>All fridges will be supplied with a fridge monitoring chart or equivalent monitoring ability.</w:t>
      </w:r>
    </w:p>
    <w:p w14:paraId="2B79335B" w14:textId="7961D385" w:rsidR="008C6A1F" w:rsidRDefault="008C6A1F" w:rsidP="003D1D4D">
      <w:pPr>
        <w:pStyle w:val="Heading3"/>
        <w:ind w:hanging="567"/>
      </w:pPr>
      <w:r w:rsidRPr="009914EB">
        <w:t xml:space="preserve">Where </w:t>
      </w:r>
      <w:r w:rsidR="00B32B05" w:rsidRPr="009914EB">
        <w:t xml:space="preserve">there is choice of equipment as detailed in the Equipment List, processes must be in place to ensure patients understand the choices open to them; the benefits and constraints associated with each type of equipment and the patient's preference is implemented wherever reasonably practical.  Any case where the patient's preference cannot be accommodated or is subject to an adverse risk assessment by the Supplier, the equipment to be supplied will be agreed with the </w:t>
      </w:r>
      <w:r w:rsidR="00CB2E23">
        <w:t>Participating</w:t>
      </w:r>
      <w:r w:rsidR="00B32B05" w:rsidRPr="009914EB">
        <w:t xml:space="preserve"> Authority.   </w:t>
      </w:r>
    </w:p>
    <w:p w14:paraId="666A59BB" w14:textId="4A78CD37" w:rsidR="009649BA" w:rsidRPr="009649BA" w:rsidRDefault="009649BA" w:rsidP="003D1D4D">
      <w:pPr>
        <w:pStyle w:val="Heading3"/>
        <w:ind w:hanging="567"/>
      </w:pPr>
      <w:r w:rsidRPr="009649BA">
        <w:t>The Supplier should maintain safety stocks of critical equipment to ensure continuity of patient treatment and/or allow new patient to be referred to the service in accordance with the timescales in the specification.</w:t>
      </w:r>
    </w:p>
    <w:p w14:paraId="576DE281" w14:textId="2DB5709E" w:rsidR="007C7BBC" w:rsidRDefault="00027A25" w:rsidP="003D1D4D">
      <w:pPr>
        <w:pStyle w:val="Heading3"/>
        <w:ind w:hanging="567"/>
      </w:pPr>
      <w:r>
        <w:t>T</w:t>
      </w:r>
      <w:r w:rsidR="00B32B05" w:rsidRPr="009914EB">
        <w:t>he Supplier will provide an installation visit for equipment.</w:t>
      </w:r>
    </w:p>
    <w:p w14:paraId="44AE51AF" w14:textId="2DD6AD86" w:rsidR="009649BA" w:rsidRPr="009649BA" w:rsidRDefault="009649BA" w:rsidP="003D1D4D">
      <w:pPr>
        <w:pStyle w:val="Heading3"/>
        <w:ind w:hanging="567"/>
      </w:pPr>
      <w:r w:rsidRPr="009649BA">
        <w:t xml:space="preserve">An installation visit report must be provided to the Participating Authority for any installation of equipment.  This visit report must highlight any issues that were encountered.  </w:t>
      </w:r>
    </w:p>
    <w:p w14:paraId="48266E19" w14:textId="34B03EDB" w:rsidR="00B32B05" w:rsidRDefault="00B32B05" w:rsidP="003D1D4D">
      <w:pPr>
        <w:pStyle w:val="Heading3"/>
        <w:ind w:hanging="567"/>
      </w:pPr>
      <w:r w:rsidRPr="009914EB">
        <w:t>The Supplier must provide the patient with appropriate information and training regarding the use and maintenance of equipment.</w:t>
      </w:r>
    </w:p>
    <w:p w14:paraId="68681F43" w14:textId="158E9961" w:rsidR="009649BA" w:rsidRPr="009649BA" w:rsidRDefault="009649BA" w:rsidP="003D1D4D">
      <w:pPr>
        <w:pStyle w:val="Heading3"/>
        <w:ind w:hanging="567"/>
      </w:pPr>
      <w:r w:rsidRPr="009649BA">
        <w:t xml:space="preserve">Patients have responsibility to use equipment in accordance with the instructions provided.  The Supplier should provide patient information in an accessible format that includes step by step instructions on how to use the equipment. </w:t>
      </w:r>
      <w:r w:rsidR="005F25A1">
        <w:t xml:space="preserve"> </w:t>
      </w:r>
      <w:r w:rsidRPr="009649BA">
        <w:t>A telephone helpline number should be provided.  We would welcome the use of innovative formats, to suit the requirements of the individual patient and carers.</w:t>
      </w:r>
    </w:p>
    <w:p w14:paraId="34D8F610" w14:textId="1A9EEA98" w:rsidR="00B32B05" w:rsidRPr="00027A25" w:rsidRDefault="00B32B05" w:rsidP="003D1D4D">
      <w:pPr>
        <w:pStyle w:val="Heading3"/>
        <w:ind w:hanging="567"/>
      </w:pPr>
      <w:r w:rsidRPr="00027A25">
        <w:t xml:space="preserve">The Supplier must maintain an asset register and maintenance records for all equipment. </w:t>
      </w:r>
      <w:r w:rsidR="005F25A1">
        <w:t xml:space="preserve"> </w:t>
      </w:r>
      <w:r w:rsidRPr="00027A25">
        <w:t xml:space="preserve">Equipment records for individual patients are to be made available to the </w:t>
      </w:r>
      <w:r w:rsidR="00CB2E23">
        <w:t>Participating</w:t>
      </w:r>
      <w:r w:rsidRPr="00027A25">
        <w:t xml:space="preserve"> Authority on request.</w:t>
      </w:r>
    </w:p>
    <w:p w14:paraId="049C10D8" w14:textId="7344320D" w:rsidR="00B32B05" w:rsidRPr="00027A25" w:rsidRDefault="00B32B05" w:rsidP="003D1D4D">
      <w:pPr>
        <w:pStyle w:val="Heading3"/>
        <w:ind w:hanging="567"/>
      </w:pPr>
      <w:r w:rsidRPr="00027A25">
        <w:t xml:space="preserve">The Supplier will inform the </w:t>
      </w:r>
      <w:r w:rsidR="00CB2E23">
        <w:t>Participating</w:t>
      </w:r>
      <w:r w:rsidRPr="00027A25">
        <w:t xml:space="preserve"> Authority where latex is present in equipment.</w:t>
      </w:r>
    </w:p>
    <w:p w14:paraId="3FD72EB0" w14:textId="5D9A8037" w:rsidR="00B32B05" w:rsidRDefault="00B32B05" w:rsidP="003D1D4D">
      <w:pPr>
        <w:pStyle w:val="Heading3"/>
        <w:ind w:hanging="567"/>
      </w:pPr>
      <w:r w:rsidRPr="009914EB">
        <w:t>Patients will be responsible for keeping refrigerators socially clean, but maintenance will be the responsibility of the Supplier (refer to Equipment and Ancillaries section)</w:t>
      </w:r>
      <w:r w:rsidR="005F25A1">
        <w:t>.</w:t>
      </w:r>
    </w:p>
    <w:p w14:paraId="74FBF58B" w14:textId="2C8CF4A0" w:rsidR="009649BA" w:rsidRPr="009649BA" w:rsidRDefault="009649BA" w:rsidP="003D1D4D">
      <w:pPr>
        <w:pStyle w:val="Heading3"/>
        <w:ind w:hanging="567"/>
      </w:pPr>
      <w:r w:rsidRPr="009649BA">
        <w:t>The Supplier must have robust processes to manage requests from the Participating Authority and/or Patient for equipment not on the specified Equipment lists.  Direct Patient requests for exceptional supply of equipment must be referred to the Participating Authority.</w:t>
      </w:r>
    </w:p>
    <w:p w14:paraId="5F00FDD7" w14:textId="12430DC8" w:rsidR="0038171E" w:rsidRPr="00586649" w:rsidRDefault="00B32B05" w:rsidP="003D1D4D">
      <w:pPr>
        <w:pStyle w:val="Heading2"/>
        <w:ind w:hanging="567"/>
      </w:pPr>
      <w:bookmarkStart w:id="126" w:name="_Hlk73948506"/>
      <w:bookmarkStart w:id="127" w:name="_Hlk75873071"/>
      <w:r w:rsidRPr="00586649">
        <w:t>Maintenance and Servicing</w:t>
      </w:r>
    </w:p>
    <w:bookmarkEnd w:id="126"/>
    <w:p w14:paraId="49F24FFF" w14:textId="369162CC" w:rsidR="008C6A1F" w:rsidRPr="00027A25" w:rsidRDefault="00736F0E" w:rsidP="003D1D4D">
      <w:pPr>
        <w:pStyle w:val="Heading3"/>
        <w:ind w:hanging="567"/>
      </w:pPr>
      <w:r w:rsidRPr="00027A25">
        <w:t xml:space="preserve">The </w:t>
      </w:r>
      <w:r w:rsidR="00B32B05" w:rsidRPr="00027A25">
        <w:t>Supplier must service and maintain all equipment supplied within the Homecare Service in accordance with the recommendations of the manufacturer of the equipment.</w:t>
      </w:r>
    </w:p>
    <w:p w14:paraId="0662B498" w14:textId="77777777" w:rsidR="009649BA" w:rsidRPr="009649BA" w:rsidRDefault="009649BA" w:rsidP="003D1D4D">
      <w:pPr>
        <w:pStyle w:val="Heading3"/>
        <w:ind w:hanging="567"/>
        <w:rPr>
          <w:lang w:eastAsia="en-GB"/>
        </w:rPr>
      </w:pPr>
      <w:r w:rsidRPr="009649BA">
        <w:rPr>
          <w:lang w:eastAsia="en-GB"/>
        </w:rPr>
        <w:lastRenderedPageBreak/>
        <w:t xml:space="preserve">A visit report must be provided to the Participating Authority for any service, maintenance or calibration of equipment which takes place in the patient's home.  This visit report must highlight any issues that were encountered.  </w:t>
      </w:r>
    </w:p>
    <w:bookmarkEnd w:id="127"/>
    <w:p w14:paraId="02203D67" w14:textId="4F8C5B6F" w:rsidR="00736F0E" w:rsidRPr="00027A25" w:rsidRDefault="00736F0E" w:rsidP="003D1D4D">
      <w:pPr>
        <w:pStyle w:val="Heading3"/>
        <w:ind w:hanging="567"/>
      </w:pPr>
      <w:r w:rsidRPr="00027A25">
        <w:t xml:space="preserve">The </w:t>
      </w:r>
      <w:r w:rsidR="00B32B05" w:rsidRPr="00027A25">
        <w:t xml:space="preserve">Supplier must keep records of equipment failure, the actions taken and </w:t>
      </w:r>
      <w:proofErr w:type="gramStart"/>
      <w:r w:rsidR="00B32B05" w:rsidRPr="00027A25">
        <w:t>time period</w:t>
      </w:r>
      <w:proofErr w:type="gramEnd"/>
      <w:r w:rsidR="00B32B05" w:rsidRPr="00027A25">
        <w:t xml:space="preserve"> for resolution and a summary supplied to the </w:t>
      </w:r>
      <w:r w:rsidR="00CB2E23">
        <w:t>Participating</w:t>
      </w:r>
      <w:r w:rsidR="00B32B05" w:rsidRPr="00027A25">
        <w:t xml:space="preserve"> Authority on request.</w:t>
      </w:r>
    </w:p>
    <w:p w14:paraId="748AAAF2" w14:textId="4C17107B" w:rsidR="00B32B05" w:rsidRPr="00586649" w:rsidRDefault="00B32B05" w:rsidP="003D1D4D">
      <w:pPr>
        <w:pStyle w:val="Heading2"/>
        <w:ind w:hanging="567"/>
      </w:pPr>
      <w:r w:rsidRPr="00586649">
        <w:t>Ancillaries</w:t>
      </w:r>
    </w:p>
    <w:p w14:paraId="06CCF64F" w14:textId="375C72E9" w:rsidR="00B32B05" w:rsidRPr="009914EB" w:rsidRDefault="00B32B05" w:rsidP="00B50E82">
      <w:pPr>
        <w:pStyle w:val="Heading3"/>
        <w:ind w:hanging="567"/>
      </w:pPr>
      <w:r w:rsidRPr="009914EB">
        <w:t xml:space="preserve">The ancillaries to be provided as part of the service </w:t>
      </w:r>
      <w:r w:rsidR="008D5AE4">
        <w:t>are</w:t>
      </w:r>
      <w:r w:rsidRPr="009914EB">
        <w:t xml:space="preserve"> listed </w:t>
      </w:r>
      <w:r w:rsidR="008D5AE4">
        <w:t>in Document 8</w:t>
      </w:r>
      <w:r w:rsidR="00B50E82">
        <w:t>b</w:t>
      </w:r>
      <w:r w:rsidR="008D5AE4">
        <w:t xml:space="preserve"> - Commercial Schedule and are to be agreed by Parties an</w:t>
      </w:r>
      <w:r w:rsidR="00600547">
        <w:t>d</w:t>
      </w:r>
      <w:r w:rsidR="008D5AE4">
        <w:t xml:space="preserve"> documented on the Order Form.</w:t>
      </w:r>
    </w:p>
    <w:p w14:paraId="19D631EB" w14:textId="16335357" w:rsidR="007C607F" w:rsidRPr="00377137" w:rsidRDefault="00B32B05" w:rsidP="003D1D4D">
      <w:pPr>
        <w:pStyle w:val="Heading3"/>
        <w:ind w:hanging="567"/>
      </w:pPr>
      <w:r w:rsidRPr="009914EB">
        <w:t>The Supplier may offer alternative ancillaries as a 'counter offer' for items documented on the Ancillary List.</w:t>
      </w:r>
      <w:r w:rsidR="00B50E82">
        <w:t xml:space="preserve"> </w:t>
      </w:r>
      <w:r w:rsidRPr="009914EB">
        <w:t xml:space="preserve"> Such alternatives t</w:t>
      </w:r>
      <w:r w:rsidR="00DA6462">
        <w:t xml:space="preserve">o be detailed in the Commercial Schedule,  </w:t>
      </w:r>
      <w:r w:rsidRPr="009914EB">
        <w:t xml:space="preserve">agreed by the </w:t>
      </w:r>
      <w:r w:rsidR="00CB2E23">
        <w:t>Participating</w:t>
      </w:r>
      <w:r w:rsidRPr="00377137">
        <w:t xml:space="preserve"> Authority</w:t>
      </w:r>
      <w:r w:rsidR="00DA6462" w:rsidRPr="00377137">
        <w:t xml:space="preserve"> and documented on the Order Form</w:t>
      </w:r>
      <w:r w:rsidRPr="00377137">
        <w:t>.</w:t>
      </w:r>
    </w:p>
    <w:p w14:paraId="68DDAC18" w14:textId="358DD8E9" w:rsidR="009649BA" w:rsidRPr="00377137" w:rsidRDefault="009649BA" w:rsidP="003D1D4D">
      <w:pPr>
        <w:pStyle w:val="Heading3"/>
        <w:ind w:hanging="567"/>
      </w:pPr>
      <w:r w:rsidRPr="00377137">
        <w:t>The Supplier should maintain safety stocks of critical ancillaries to ensure continuity of patient treatment and/or allow new patient to be referred to the service in accordance with the timescales in this specification.</w:t>
      </w:r>
    </w:p>
    <w:p w14:paraId="45B2D630" w14:textId="29CB8674" w:rsidR="00B32B05" w:rsidRPr="00377137" w:rsidRDefault="00B32B05" w:rsidP="003D1D4D">
      <w:pPr>
        <w:pStyle w:val="Heading3"/>
        <w:ind w:hanging="567"/>
      </w:pPr>
      <w:r w:rsidRPr="00377137">
        <w:t xml:space="preserve">The Supplier will deliver ancillaries at the same time as product wherever possible.  No additional delivery cost will be paid for separate ancillary deliveries, unless there are exceptional </w:t>
      </w:r>
      <w:r w:rsidR="00B50E82" w:rsidRPr="00377137">
        <w:t>circumstances,</w:t>
      </w:r>
      <w:r w:rsidRPr="00377137">
        <w:t xml:space="preserve"> and it has been agreed by the </w:t>
      </w:r>
      <w:r w:rsidR="00CB2E23">
        <w:t>Participating</w:t>
      </w:r>
      <w:r w:rsidRPr="00377137">
        <w:t xml:space="preserve"> Authority.</w:t>
      </w:r>
    </w:p>
    <w:p w14:paraId="439FAFF5" w14:textId="7FF1E901" w:rsidR="00027A25" w:rsidRPr="00377137" w:rsidRDefault="00B32B05" w:rsidP="003D1D4D">
      <w:pPr>
        <w:pStyle w:val="Heading3"/>
        <w:ind w:hanging="567"/>
      </w:pPr>
      <w:r w:rsidRPr="00377137">
        <w:t xml:space="preserve">The Supplier will check </w:t>
      </w:r>
      <w:r w:rsidR="00377137" w:rsidRPr="00377137">
        <w:t xml:space="preserve">Patient </w:t>
      </w:r>
      <w:r w:rsidRPr="00377137">
        <w:t>stock levels</w:t>
      </w:r>
      <w:r w:rsidR="00E312A4">
        <w:t>, as a minimum prior to every routine delivery,</w:t>
      </w:r>
      <w:r w:rsidRPr="00377137">
        <w:t xml:space="preserve"> either physically or remotely and replenish ancillaries on a regular basis</w:t>
      </w:r>
      <w:r w:rsidR="00027A25" w:rsidRPr="00377137">
        <w:t>.</w:t>
      </w:r>
      <w:r w:rsidR="00F24618" w:rsidRPr="00377137">
        <w:t xml:space="preserve">  </w:t>
      </w:r>
      <w:r w:rsidR="00377137" w:rsidRPr="00377137">
        <w:t>Suppliers should have Procedures in place detailing the processes followed to ensure stock levels are checked and can be provided on request, and that all appropriate staff are trained and competent in these Procedures</w:t>
      </w:r>
      <w:r w:rsidR="00B50E82">
        <w:t>.</w:t>
      </w:r>
    </w:p>
    <w:p w14:paraId="0690F6F3" w14:textId="62B4C914" w:rsidR="00A15C5C" w:rsidRPr="00377137" w:rsidRDefault="00A15C5C" w:rsidP="00A15C5C">
      <w:pPr>
        <w:pStyle w:val="Heading3"/>
        <w:ind w:hanging="567"/>
      </w:pPr>
      <w:r w:rsidRPr="00377137">
        <w:t xml:space="preserve">The Supplier will inform the </w:t>
      </w:r>
      <w:r w:rsidR="00CB2E23">
        <w:t>Participating</w:t>
      </w:r>
      <w:r w:rsidRPr="00377137">
        <w:t xml:space="preserve"> Authority if a patient's ancillary usage deviates from the expected usage level.</w:t>
      </w:r>
    </w:p>
    <w:p w14:paraId="12AD416D" w14:textId="5F6D9926" w:rsidR="00B32B05" w:rsidRPr="00377137" w:rsidRDefault="00B32B05" w:rsidP="003D1D4D">
      <w:pPr>
        <w:pStyle w:val="Heading3"/>
        <w:ind w:hanging="567"/>
      </w:pPr>
      <w:r w:rsidRPr="00377137">
        <w:t xml:space="preserve">The Supplier will have robust processes </w:t>
      </w:r>
      <w:r w:rsidR="009E2932">
        <w:t xml:space="preserve">in place </w:t>
      </w:r>
      <w:r w:rsidRPr="00377137">
        <w:t xml:space="preserve">to manage requests from the </w:t>
      </w:r>
      <w:r w:rsidR="00CB2E23">
        <w:t>Participating</w:t>
      </w:r>
      <w:r w:rsidRPr="00377137">
        <w:t xml:space="preserve"> Authority and/or Patient for ancillaries not on the specified Ancillary List</w:t>
      </w:r>
      <w:r w:rsidR="009E2932">
        <w:t xml:space="preserve"> </w:t>
      </w:r>
      <w:r w:rsidR="009E2932" w:rsidRPr="009E2932">
        <w:t>or for additional requests to the anticipated quantity required</w:t>
      </w:r>
      <w:r w:rsidRPr="00377137">
        <w:t xml:space="preserve">. </w:t>
      </w:r>
      <w:r w:rsidR="0022572F">
        <w:t xml:space="preserve"> </w:t>
      </w:r>
      <w:r w:rsidR="009E2932">
        <w:t xml:space="preserve">In these circumstances Patient requests will be referred to the </w:t>
      </w:r>
      <w:r w:rsidR="00CB2E23">
        <w:t>Participating</w:t>
      </w:r>
      <w:r w:rsidR="009E2932">
        <w:t xml:space="preserve"> Authority for approval.</w:t>
      </w:r>
    </w:p>
    <w:p w14:paraId="5C108088" w14:textId="77777777" w:rsidR="00DB757B" w:rsidRDefault="00F24618" w:rsidP="00D803A8">
      <w:pPr>
        <w:pStyle w:val="Heading3"/>
        <w:ind w:hanging="567"/>
      </w:pPr>
      <w:r w:rsidRPr="00377137">
        <w:t xml:space="preserve">The Participating Authority will regularly review the ancillaries used for each patient to ensure they are </w:t>
      </w:r>
      <w:proofErr w:type="gramStart"/>
      <w:r w:rsidRPr="00377137">
        <w:t>appropriate</w:t>
      </w:r>
      <w:proofErr w:type="gramEnd"/>
      <w:r w:rsidRPr="00377137">
        <w:t xml:space="preserve"> and usage is within an acceptable range.</w:t>
      </w:r>
    </w:p>
    <w:p w14:paraId="55F86D37" w14:textId="32E764B0" w:rsidR="00377137" w:rsidRPr="00377137" w:rsidRDefault="00377137" w:rsidP="00D803A8">
      <w:pPr>
        <w:pStyle w:val="Heading3"/>
        <w:ind w:hanging="567"/>
      </w:pPr>
      <w:r w:rsidRPr="00377137">
        <w:t xml:space="preserve">The Supplier will inform the </w:t>
      </w:r>
      <w:r w:rsidR="00CB2E23">
        <w:t>Participating</w:t>
      </w:r>
      <w:r w:rsidRPr="00377137">
        <w:t xml:space="preserve"> Authority where latex is present in an ancillary.</w:t>
      </w:r>
    </w:p>
    <w:p w14:paraId="1A7D7EA6" w14:textId="3682BA43" w:rsidR="00F24618" w:rsidRPr="00377137" w:rsidRDefault="00F24618" w:rsidP="00DB757B">
      <w:pPr>
        <w:pStyle w:val="Heading3"/>
        <w:numPr>
          <w:ilvl w:val="0"/>
          <w:numId w:val="0"/>
        </w:numPr>
        <w:ind w:left="1282" w:hanging="432"/>
      </w:pPr>
    </w:p>
    <w:p w14:paraId="6AF527A2" w14:textId="3EFC44CA" w:rsidR="001D14D5" w:rsidRPr="00586649" w:rsidRDefault="00B32B05" w:rsidP="003D1D4D">
      <w:pPr>
        <w:pStyle w:val="Heading1"/>
        <w:ind w:hanging="567"/>
      </w:pPr>
      <w:r w:rsidRPr="00586649">
        <w:t>Home visits</w:t>
      </w:r>
    </w:p>
    <w:p w14:paraId="4ED6F990" w14:textId="41A0360C" w:rsidR="00397E78" w:rsidRPr="00586649" w:rsidRDefault="00B32B05" w:rsidP="003D1D4D">
      <w:pPr>
        <w:pStyle w:val="Heading2"/>
        <w:ind w:hanging="567"/>
      </w:pPr>
      <w:r w:rsidRPr="00586649">
        <w:t>Non-Clinical Home Visits for installation, maintenance and servicing of equipment</w:t>
      </w:r>
    </w:p>
    <w:p w14:paraId="374C6059" w14:textId="43C83622" w:rsidR="0040691D" w:rsidRPr="009914EB" w:rsidRDefault="0040691D" w:rsidP="003D1D4D">
      <w:pPr>
        <w:pStyle w:val="Heading3"/>
        <w:ind w:hanging="567"/>
      </w:pPr>
      <w:r w:rsidRPr="009914EB">
        <w:t>The</w:t>
      </w:r>
      <w:r w:rsidR="00B32B05" w:rsidRPr="009914EB">
        <w:t xml:space="preserve"> Supplier will only undertake non-clinical Home visits where necessary to meet the terms of this specification.</w:t>
      </w:r>
    </w:p>
    <w:p w14:paraId="4ABF712A" w14:textId="49562A4F" w:rsidR="00397E78" w:rsidRPr="009914EB" w:rsidRDefault="00B32B05" w:rsidP="003D1D4D">
      <w:pPr>
        <w:pStyle w:val="Heading3"/>
        <w:ind w:hanging="567"/>
      </w:pPr>
      <w:bookmarkStart w:id="128" w:name="_Hlk75933047"/>
      <w:r w:rsidRPr="009914EB">
        <w:t xml:space="preserve">The Supplier will provide non-clinical home visits Monday to Friday 8am to 6pm and 8am - 12pm on a Saturday and ensure escalation contacts are available during these times.   If the patient's </w:t>
      </w:r>
      <w:r w:rsidRPr="009914EB">
        <w:lastRenderedPageBreak/>
        <w:t>routine delivery would be due on a Bank Holiday the delivery date must be scheduled to take place prior to the Bank Holiday to maintain buffer stock.</w:t>
      </w:r>
    </w:p>
    <w:p w14:paraId="09A1F65D" w14:textId="0BC3428B" w:rsidR="00B32B05" w:rsidRPr="009914EB" w:rsidRDefault="00B32B05" w:rsidP="003D1D4D">
      <w:pPr>
        <w:pStyle w:val="Heading3"/>
        <w:ind w:hanging="567"/>
      </w:pPr>
      <w:r w:rsidRPr="009914EB">
        <w:t xml:space="preserve">All staff visiting a patient's home will carry photographic identification which will be shown on arrival. </w:t>
      </w:r>
    </w:p>
    <w:p w14:paraId="0B5A7F5D" w14:textId="250427E3" w:rsidR="00B32B05" w:rsidRPr="009914EB" w:rsidRDefault="00B32B05" w:rsidP="003D1D4D">
      <w:pPr>
        <w:pStyle w:val="Heading3"/>
        <w:ind w:hanging="567"/>
      </w:pPr>
      <w:r w:rsidRPr="009914EB">
        <w:t xml:space="preserve">All staff visiting the patient at home will be courteous, helpful and maintain patient confidentiality. Visiting staff are to respect patients' and carers' needs and will comply with any reasonable conditions of entry laid down by the patient. </w:t>
      </w:r>
      <w:r w:rsidR="00621623">
        <w:t xml:space="preserve"> </w:t>
      </w:r>
      <w:r w:rsidRPr="009914EB">
        <w:t>Visiting staff will be dressed appropriately.</w:t>
      </w:r>
    </w:p>
    <w:p w14:paraId="716EE304" w14:textId="56270D16" w:rsidR="00B32B05" w:rsidRPr="009914EB" w:rsidRDefault="00B32B05" w:rsidP="003D1D4D">
      <w:pPr>
        <w:pStyle w:val="Heading3"/>
        <w:ind w:hanging="567"/>
      </w:pPr>
      <w:r w:rsidRPr="009914EB">
        <w:t xml:space="preserve">Supplier's staff must check the patient continues to consent to the visit and actions to be taken by the staff on each occasion they enter the patient's home.  Staff must respect any patient's wishes if they withdraw consent they have previously given.  </w:t>
      </w:r>
    </w:p>
    <w:p w14:paraId="332DF503" w14:textId="2B7AFFF0" w:rsidR="00B32B05" w:rsidRPr="009914EB" w:rsidRDefault="00B32B05" w:rsidP="003D1D4D">
      <w:pPr>
        <w:pStyle w:val="Heading3"/>
        <w:ind w:hanging="567"/>
      </w:pPr>
      <w:r w:rsidRPr="009914EB">
        <w:t>The Supplier is responsible for scheduling non-clinical visits at a time convenient for the patient.</w:t>
      </w:r>
      <w:r w:rsidR="00621623">
        <w:t xml:space="preserve"> </w:t>
      </w:r>
      <w:r w:rsidRPr="009914EB">
        <w:t xml:space="preserve"> The Supplier will give as much notice as reasonably practicable if for any reason they are unable to meet the agreed visit.</w:t>
      </w:r>
    </w:p>
    <w:p w14:paraId="6134D768" w14:textId="316513DB" w:rsidR="00B32B05" w:rsidRDefault="00B32B05" w:rsidP="003D1D4D">
      <w:pPr>
        <w:pStyle w:val="Heading3"/>
        <w:ind w:hanging="567"/>
      </w:pPr>
      <w:r w:rsidRPr="009914EB">
        <w:t xml:space="preserve">The Supplier will inform the </w:t>
      </w:r>
      <w:r w:rsidR="00CB2E23">
        <w:t>Participating</w:t>
      </w:r>
      <w:r w:rsidRPr="009914EB">
        <w:t xml:space="preserve"> Authority within 2 business days of the non-clinical visit if it could not be undertaken as agreed with the patient.</w:t>
      </w:r>
      <w:bookmarkEnd w:id="128"/>
    </w:p>
    <w:p w14:paraId="0CB23F56" w14:textId="77777777" w:rsidR="00922577" w:rsidRPr="00922577" w:rsidRDefault="00922577" w:rsidP="003D1D4D">
      <w:pPr>
        <w:pStyle w:val="Heading3"/>
        <w:ind w:hanging="567"/>
      </w:pPr>
      <w:r w:rsidRPr="00922577">
        <w:t>Any new or changed risks identified during a home visit will be recorded and the Individual Patient Care Plan updated with new or changed risk control measures.</w:t>
      </w:r>
    </w:p>
    <w:p w14:paraId="09DD9AC4" w14:textId="2F1FCFD5" w:rsidR="00922577" w:rsidRPr="00922577" w:rsidRDefault="00922577" w:rsidP="003D1D4D">
      <w:pPr>
        <w:pStyle w:val="Heading3"/>
        <w:ind w:hanging="567"/>
      </w:pPr>
      <w:r w:rsidRPr="00922577">
        <w:t xml:space="preserve">A summary report or log </w:t>
      </w:r>
      <w:r w:rsidR="00A15C5C">
        <w:t>for</w:t>
      </w:r>
      <w:r w:rsidR="00A15C5C" w:rsidRPr="00922577">
        <w:t xml:space="preserve"> </w:t>
      </w:r>
      <w:r w:rsidRPr="00922577">
        <w:t>non-clinical home visits must be available for each individual patient on request of the Participating Authority.</w:t>
      </w:r>
    </w:p>
    <w:p w14:paraId="11EC7E69" w14:textId="42CF3592" w:rsidR="00704079" w:rsidRDefault="00704079" w:rsidP="003D1D4D">
      <w:pPr>
        <w:spacing w:before="0" w:after="120"/>
        <w:ind w:left="0" w:hanging="567"/>
        <w:rPr>
          <w:rFonts w:eastAsiaTheme="majorEastAsia"/>
          <w:b/>
          <w:color w:val="0070C0"/>
          <w:sz w:val="32"/>
          <w:szCs w:val="32"/>
          <w:u w:val="single"/>
        </w:rPr>
      </w:pPr>
      <w:bookmarkStart w:id="129" w:name="_Toc75953754"/>
      <w:bookmarkStart w:id="130" w:name="_Toc75953755"/>
      <w:bookmarkStart w:id="131" w:name="_Toc75953756"/>
      <w:bookmarkStart w:id="132" w:name="_Toc75953757"/>
      <w:bookmarkStart w:id="133" w:name="_Toc75953758"/>
      <w:bookmarkStart w:id="134" w:name="_Toc75953759"/>
      <w:bookmarkStart w:id="135" w:name="_Toc75953761"/>
      <w:bookmarkEnd w:id="129"/>
      <w:bookmarkEnd w:id="130"/>
      <w:bookmarkEnd w:id="131"/>
      <w:bookmarkEnd w:id="132"/>
      <w:bookmarkEnd w:id="133"/>
      <w:bookmarkEnd w:id="134"/>
      <w:bookmarkEnd w:id="135"/>
    </w:p>
    <w:p w14:paraId="379F6B67" w14:textId="2AE8E2A5" w:rsidR="00B91122" w:rsidRDefault="00581490" w:rsidP="003D1D4D">
      <w:pPr>
        <w:pStyle w:val="Heading1"/>
        <w:ind w:hanging="567"/>
      </w:pPr>
      <w:r w:rsidRPr="00586649">
        <w:t>Clinical Services</w:t>
      </w:r>
    </w:p>
    <w:p w14:paraId="7643D6CB" w14:textId="5A67BDF3" w:rsidR="00B91122" w:rsidRPr="00586649" w:rsidRDefault="00581490" w:rsidP="003D1D4D">
      <w:pPr>
        <w:pStyle w:val="Heading2"/>
        <w:ind w:hanging="567"/>
      </w:pPr>
      <w:r w:rsidRPr="00586649">
        <w:t>Clinical Services</w:t>
      </w:r>
    </w:p>
    <w:p w14:paraId="2DAC6BFD" w14:textId="084CFD18" w:rsidR="006F563B" w:rsidRDefault="006F563B" w:rsidP="003D1D4D">
      <w:pPr>
        <w:pStyle w:val="Heading3"/>
        <w:ind w:hanging="567"/>
      </w:pPr>
      <w:r w:rsidRPr="006F563B">
        <w:t xml:space="preserve">The clinical services to be provided are </w:t>
      </w:r>
      <w:r w:rsidR="006C5DA9">
        <w:t>as</w:t>
      </w:r>
      <w:r w:rsidRPr="006F563B">
        <w:t xml:space="preserve"> specified in the Clinical Service Pathway</w:t>
      </w:r>
      <w:r w:rsidR="006C5DA9">
        <w:t>, Individual Patient Care Plan</w:t>
      </w:r>
      <w:r w:rsidR="00027A25">
        <w:t xml:space="preserve"> and/or Registration Form</w:t>
      </w:r>
      <w:r w:rsidRPr="006F563B">
        <w:t xml:space="preserve">.   </w:t>
      </w:r>
    </w:p>
    <w:p w14:paraId="10B6F76C" w14:textId="563EB563" w:rsidR="009E779C" w:rsidRPr="009E779C" w:rsidRDefault="009E779C" w:rsidP="003D1D4D">
      <w:pPr>
        <w:pStyle w:val="Heading3"/>
        <w:ind w:hanging="567"/>
      </w:pPr>
      <w:r w:rsidRPr="0073608F">
        <w:rPr>
          <w:lang w:eastAsia="en-GB"/>
        </w:rPr>
        <w:t xml:space="preserve">Suppliers will work in partnership with the Participating Authority to ensure that prescribed treatments are delivered in accordance with their Clinical Service Pathway and written instructions from the clinician responsible for the patient's </w:t>
      </w:r>
      <w:proofErr w:type="gramStart"/>
      <w:r w:rsidRPr="0073608F">
        <w:rPr>
          <w:lang w:eastAsia="en-GB"/>
        </w:rPr>
        <w:t>treatment, if</w:t>
      </w:r>
      <w:proofErr w:type="gramEnd"/>
      <w:r w:rsidRPr="0073608F">
        <w:rPr>
          <w:lang w:eastAsia="en-GB"/>
        </w:rPr>
        <w:t xml:space="preserve"> special needs have been identified.</w:t>
      </w:r>
    </w:p>
    <w:p w14:paraId="1C1FC956" w14:textId="76DD9462" w:rsidR="00B91122" w:rsidRDefault="00581490" w:rsidP="003D1D4D">
      <w:pPr>
        <w:pStyle w:val="Heading3"/>
        <w:ind w:hanging="567"/>
      </w:pPr>
      <w:r w:rsidRPr="009914EB">
        <w:t xml:space="preserve">The </w:t>
      </w:r>
      <w:r w:rsidR="00CB2E23">
        <w:t>Participating</w:t>
      </w:r>
      <w:r w:rsidRPr="009914EB">
        <w:t xml:space="preserve"> Authority is responsible for assessing the risks associated with clinical services. Also see Risk Management section on the Governance </w:t>
      </w:r>
      <w:r w:rsidR="006C5DA9">
        <w:t>Section</w:t>
      </w:r>
      <w:r w:rsidRPr="009914EB">
        <w:t>.</w:t>
      </w:r>
    </w:p>
    <w:p w14:paraId="49A9F09F" w14:textId="4AD4493A" w:rsidR="00E43050" w:rsidRDefault="00581490" w:rsidP="003D1D4D">
      <w:pPr>
        <w:pStyle w:val="Heading3"/>
        <w:ind w:hanging="567"/>
      </w:pPr>
      <w:r w:rsidRPr="00E43050">
        <w:t xml:space="preserve">The Supplier and </w:t>
      </w:r>
      <w:r w:rsidR="00CB2E23">
        <w:t>Participating</w:t>
      </w:r>
      <w:r w:rsidRPr="00E43050">
        <w:t xml:space="preserve"> Authority will agree the Clinical Service Protocols as well as the internal escalation procedure for deviations from the clinical service protocols during the service implementation period. </w:t>
      </w:r>
      <w:r w:rsidR="00621623">
        <w:t xml:space="preserve"> </w:t>
      </w:r>
      <w:r w:rsidRPr="00E43050">
        <w:t xml:space="preserve">To include </w:t>
      </w:r>
      <w:r w:rsidR="00091784">
        <w:t xml:space="preserve">but not inclusive of </w:t>
      </w:r>
      <w:r w:rsidR="00621623">
        <w:t xml:space="preserve">competencies listed below and </w:t>
      </w:r>
      <w:r w:rsidRPr="00E43050">
        <w:t xml:space="preserve">specialist training requirements e.g. Nurses providing paediatric services must hold either RN: Children’s Level 1 or RNC: Children’s Nurse Level 1, Sub part 1. </w:t>
      </w:r>
    </w:p>
    <w:p w14:paraId="718D78E1" w14:textId="77777777" w:rsidR="00621623" w:rsidRDefault="00621623" w:rsidP="00621623">
      <w:pPr>
        <w:pStyle w:val="CommentText"/>
        <w:numPr>
          <w:ilvl w:val="0"/>
          <w:numId w:val="12"/>
        </w:numPr>
      </w:pPr>
      <w:r>
        <w:t xml:space="preserve">Phlebotomy </w:t>
      </w:r>
    </w:p>
    <w:p w14:paraId="7812FA60" w14:textId="77777777" w:rsidR="00621623" w:rsidRDefault="00621623" w:rsidP="00621623">
      <w:pPr>
        <w:pStyle w:val="CommentText"/>
        <w:numPr>
          <w:ilvl w:val="0"/>
          <w:numId w:val="12"/>
        </w:numPr>
      </w:pPr>
      <w:r>
        <w:t xml:space="preserve">Cannulation </w:t>
      </w:r>
    </w:p>
    <w:p w14:paraId="5DF3BF2B" w14:textId="36398834" w:rsidR="00621623" w:rsidRDefault="00621623" w:rsidP="00621623">
      <w:pPr>
        <w:pStyle w:val="CommentText"/>
        <w:numPr>
          <w:ilvl w:val="0"/>
          <w:numId w:val="12"/>
        </w:numPr>
      </w:pPr>
      <w:r>
        <w:t xml:space="preserve">Intravenous therapy in line with RCN and NMC guidelines including management of intravenous indwelling device </w:t>
      </w:r>
    </w:p>
    <w:p w14:paraId="05DF1BC2" w14:textId="77777777" w:rsidR="00621623" w:rsidRDefault="00621623" w:rsidP="00621623">
      <w:pPr>
        <w:pStyle w:val="CommentText"/>
        <w:numPr>
          <w:ilvl w:val="0"/>
          <w:numId w:val="12"/>
        </w:numPr>
      </w:pPr>
      <w:r>
        <w:lastRenderedPageBreak/>
        <w:t>Management and awareness of venous access difficulties</w:t>
      </w:r>
    </w:p>
    <w:p w14:paraId="2139313F" w14:textId="77777777" w:rsidR="00621623" w:rsidRDefault="00621623" w:rsidP="00621623">
      <w:pPr>
        <w:pStyle w:val="CommentText"/>
        <w:numPr>
          <w:ilvl w:val="0"/>
          <w:numId w:val="12"/>
        </w:numPr>
      </w:pPr>
      <w:r>
        <w:t>Anaphylaxis management/ basic life-support relevant to area of clinical practice</w:t>
      </w:r>
    </w:p>
    <w:p w14:paraId="5B49B453" w14:textId="77777777" w:rsidR="00621623" w:rsidRDefault="00621623" w:rsidP="00621623">
      <w:pPr>
        <w:pStyle w:val="CommentText"/>
        <w:numPr>
          <w:ilvl w:val="0"/>
          <w:numId w:val="12"/>
        </w:numPr>
      </w:pPr>
      <w:r>
        <w:t>Practical use of relevant equipment management maintenance and troubleshooting issues</w:t>
      </w:r>
    </w:p>
    <w:p w14:paraId="05CDF062" w14:textId="4C7395C1" w:rsidR="00621623" w:rsidRDefault="00621623" w:rsidP="00621623">
      <w:pPr>
        <w:pStyle w:val="CommentText"/>
        <w:numPr>
          <w:ilvl w:val="0"/>
          <w:numId w:val="12"/>
        </w:numPr>
      </w:pPr>
      <w:r>
        <w:t>Aseptic No Touch Technique (ANTT)</w:t>
      </w:r>
    </w:p>
    <w:p w14:paraId="0944DF63" w14:textId="3CDD90D4" w:rsidR="00091784" w:rsidRDefault="00091784" w:rsidP="00621623">
      <w:pPr>
        <w:pStyle w:val="CommentText"/>
        <w:numPr>
          <w:ilvl w:val="0"/>
          <w:numId w:val="12"/>
        </w:numPr>
      </w:pPr>
      <w:r>
        <w:t>Infection Control</w:t>
      </w:r>
    </w:p>
    <w:p w14:paraId="4D679BD8" w14:textId="77777777" w:rsidR="00621623" w:rsidRDefault="00621623" w:rsidP="00621623">
      <w:pPr>
        <w:pStyle w:val="CommentText"/>
        <w:numPr>
          <w:ilvl w:val="0"/>
          <w:numId w:val="12"/>
        </w:numPr>
      </w:pPr>
      <w:r>
        <w:t>Side effect management, including the management of all types of infusion related  reactions</w:t>
      </w:r>
    </w:p>
    <w:p w14:paraId="7C35509E" w14:textId="232E2B55" w:rsidR="006F563B" w:rsidRPr="00E43050" w:rsidRDefault="006F563B" w:rsidP="003D1D4D">
      <w:pPr>
        <w:pStyle w:val="Heading3"/>
        <w:ind w:hanging="567"/>
      </w:pPr>
      <w:r w:rsidRPr="00E43050">
        <w:t xml:space="preserve">Where appropriate and relevant, the Clinical Service Pathway should include reference to remote consultations and interactions whether planned or unplanned. </w:t>
      </w:r>
      <w:r w:rsidR="00621623">
        <w:t xml:space="preserve"> </w:t>
      </w:r>
      <w:r w:rsidRPr="00E43050">
        <w:t xml:space="preserve">Remote consultation protocols must comply with NHS recommendations and legislative requirements. </w:t>
      </w:r>
      <w:r w:rsidR="00621623">
        <w:t xml:space="preserve"> </w:t>
      </w:r>
      <w:r w:rsidRPr="00E43050">
        <w:t xml:space="preserve">Suppliers should not offer </w:t>
      </w:r>
      <w:r w:rsidR="006C5DA9">
        <w:t xml:space="preserve">patients </w:t>
      </w:r>
      <w:r w:rsidRPr="00E43050">
        <w:t>remote consultations without the prior agreement of the Participating Authority.</w:t>
      </w:r>
    </w:p>
    <w:p w14:paraId="250B3AF6" w14:textId="2E93AF70" w:rsidR="006F563B" w:rsidRPr="006F563B" w:rsidRDefault="006F563B" w:rsidP="003D1D4D">
      <w:pPr>
        <w:pStyle w:val="Heading3"/>
        <w:ind w:hanging="567"/>
      </w:pPr>
      <w:r w:rsidRPr="006F563B">
        <w:t xml:space="preserve">The Participating Authority will specify the clinical services to be provided for each patient </w:t>
      </w:r>
      <w:r w:rsidR="00E43050">
        <w:t>at point of registration</w:t>
      </w:r>
      <w:r w:rsidRPr="006F563B">
        <w:t xml:space="preserve">.  </w:t>
      </w:r>
    </w:p>
    <w:p w14:paraId="08792635" w14:textId="09326B78" w:rsidR="00B91122" w:rsidRPr="00E43050" w:rsidRDefault="00581490" w:rsidP="003D1D4D">
      <w:pPr>
        <w:pStyle w:val="Heading3"/>
        <w:ind w:hanging="567"/>
      </w:pPr>
      <w:r w:rsidRPr="00E43050">
        <w:t>Clinical Services will be available Monday to Friday 8am to 6pm excluding Bank Holidays.</w:t>
      </w:r>
      <w:r w:rsidR="00621623">
        <w:t xml:space="preserve"> </w:t>
      </w:r>
      <w:r w:rsidRPr="00E43050">
        <w:t xml:space="preserve"> The </w:t>
      </w:r>
      <w:r w:rsidR="00CB2E23">
        <w:t>Participating</w:t>
      </w:r>
      <w:r w:rsidRPr="00E43050">
        <w:t xml:space="preserve"> Authority will ensure clinical escalation contacts </w:t>
      </w:r>
      <w:proofErr w:type="gramStart"/>
      <w:r w:rsidRPr="00E43050">
        <w:t>are available at all times</w:t>
      </w:r>
      <w:proofErr w:type="gramEnd"/>
      <w:r w:rsidRPr="00E43050">
        <w:t xml:space="preserve"> clinical services are being provided.</w:t>
      </w:r>
    </w:p>
    <w:p w14:paraId="3AB4276B" w14:textId="374B87CC" w:rsidR="00B91122" w:rsidRPr="00E43050" w:rsidRDefault="00B91122" w:rsidP="003D1D4D">
      <w:pPr>
        <w:pStyle w:val="Heading3"/>
        <w:ind w:hanging="567"/>
      </w:pPr>
      <w:r w:rsidRPr="00E43050">
        <w:t xml:space="preserve">The </w:t>
      </w:r>
      <w:r w:rsidR="00581490" w:rsidRPr="00E43050">
        <w:t xml:space="preserve">Supplier will provide </w:t>
      </w:r>
      <w:r w:rsidR="00301E6F" w:rsidRPr="00E43050">
        <w:t>24 hour/365 days</w:t>
      </w:r>
      <w:r w:rsidR="00581490" w:rsidRPr="00E43050">
        <w:t xml:space="preserve"> a year manned telephone or call-back helpline service to support patients receiving the Clinical Services.   </w:t>
      </w:r>
    </w:p>
    <w:p w14:paraId="0EE2662F" w14:textId="35C479DE" w:rsidR="00C65E9F" w:rsidRPr="00E43050" w:rsidRDefault="00581490" w:rsidP="003D1D4D">
      <w:pPr>
        <w:pStyle w:val="Heading3"/>
        <w:ind w:hanging="567"/>
      </w:pPr>
      <w:r w:rsidRPr="00E43050">
        <w:t>The Supplier must ensure that the Healthcare Professional providing the clinical service has visibility of the appropriate prescription at the point of product administration.</w:t>
      </w:r>
    </w:p>
    <w:p w14:paraId="4D840267" w14:textId="6D9FA346" w:rsidR="00581490" w:rsidRDefault="00581490" w:rsidP="003D1D4D">
      <w:pPr>
        <w:pStyle w:val="Heading3"/>
        <w:ind w:hanging="567"/>
      </w:pPr>
      <w:r w:rsidRPr="00E43050">
        <w:t xml:space="preserve">The Supplier is responsible for scheduling clinical services in accordance with the prescription and clinical service protocol.  The Supplier will give as much notice as reasonably practicable if for any reason they are unable to meet the agreed service level. </w:t>
      </w:r>
      <w:r w:rsidR="00405DA4">
        <w:t xml:space="preserve"> </w:t>
      </w:r>
      <w:r w:rsidRPr="00E43050">
        <w:t>Wherever possible the Supplier will maintain continuity of staffing for an individual patient.</w:t>
      </w:r>
    </w:p>
    <w:p w14:paraId="2047965D" w14:textId="3350DB45" w:rsidR="0045147B" w:rsidRDefault="0045147B" w:rsidP="0045147B">
      <w:pPr>
        <w:pStyle w:val="Heading3"/>
        <w:ind w:hanging="573"/>
      </w:pPr>
      <w:r w:rsidRPr="0045147B">
        <w:t xml:space="preserve">When the Supplier becomes aware that the confirmed </w:t>
      </w:r>
      <w:r>
        <w:t>clinical service</w:t>
      </w:r>
      <w:r w:rsidRPr="0045147B">
        <w:t xml:space="preserve"> date and time will not be met, they must contact the patient at the earliest opportunity to advise them of the new anticipated </w:t>
      </w:r>
      <w:r>
        <w:t xml:space="preserve">date and </w:t>
      </w:r>
      <w:r w:rsidRPr="0045147B">
        <w:t>time and/or arrange an alternative date and time.</w:t>
      </w:r>
    </w:p>
    <w:p w14:paraId="3FF8B5F1" w14:textId="1A2A182A" w:rsidR="0045147B" w:rsidRPr="0045147B" w:rsidRDefault="0045147B" w:rsidP="0045147B">
      <w:pPr>
        <w:pStyle w:val="Heading3"/>
        <w:ind w:hanging="573"/>
      </w:pPr>
      <w:r>
        <w:t>Where specification point 35.11 could lead to a patients delayed treatment the Participating Authority must be informed in an appropriate timeframe based on the nature of the clinical risk.</w:t>
      </w:r>
    </w:p>
    <w:p w14:paraId="57BFFB7A" w14:textId="0019273C" w:rsidR="00581490" w:rsidRPr="00E43050" w:rsidRDefault="00581490" w:rsidP="003D1D4D">
      <w:pPr>
        <w:pStyle w:val="Heading3"/>
        <w:ind w:hanging="567"/>
      </w:pPr>
      <w:r w:rsidRPr="009914EB">
        <w:t xml:space="preserve">The Supplier must have a process for accepting patients for the clinical service, assigning the </w:t>
      </w:r>
      <w:r w:rsidRPr="00E43050">
        <w:t>appropriate healthcare professional and assurance of continuity and consistency of patient care.</w:t>
      </w:r>
    </w:p>
    <w:p w14:paraId="2D242502" w14:textId="641635D0" w:rsidR="00581490" w:rsidRPr="00E43050" w:rsidRDefault="00581490" w:rsidP="003D1D4D">
      <w:pPr>
        <w:pStyle w:val="Heading3"/>
        <w:ind w:hanging="567"/>
      </w:pPr>
      <w:r w:rsidRPr="00E43050">
        <w:t xml:space="preserve">The Supplier must be able to provide a report to the </w:t>
      </w:r>
      <w:r w:rsidR="00CB2E23">
        <w:t>Participating</w:t>
      </w:r>
      <w:r w:rsidRPr="00E43050">
        <w:t xml:space="preserve"> Authority within 2 business days of any episode of clinical service.</w:t>
      </w:r>
    </w:p>
    <w:p w14:paraId="5DB960B8" w14:textId="0C9638CB" w:rsidR="00922577" w:rsidRPr="00E43050" w:rsidRDefault="00922577" w:rsidP="003D1D4D">
      <w:pPr>
        <w:pStyle w:val="Heading3"/>
        <w:ind w:hanging="567"/>
      </w:pPr>
      <w:r w:rsidRPr="00E43050">
        <w:t xml:space="preserve">A summary report or log </w:t>
      </w:r>
      <w:r w:rsidR="006C5DA9">
        <w:t>for</w:t>
      </w:r>
      <w:r w:rsidRPr="00E43050">
        <w:t xml:space="preserve"> clinical services and clinical interventions must be available for each individual patient at the request of the Participating Authority.  </w:t>
      </w:r>
    </w:p>
    <w:p w14:paraId="7EE19414" w14:textId="35A92E62" w:rsidR="00581490" w:rsidRPr="00E43050" w:rsidRDefault="00581490" w:rsidP="003D1D4D">
      <w:pPr>
        <w:pStyle w:val="Heading2"/>
        <w:ind w:hanging="567"/>
      </w:pPr>
      <w:r w:rsidRPr="00E43050">
        <w:t>Training and Education of Patients</w:t>
      </w:r>
    </w:p>
    <w:p w14:paraId="657EE453" w14:textId="0AEC9220" w:rsidR="00581490" w:rsidRPr="00E43050" w:rsidRDefault="00581490" w:rsidP="003D1D4D">
      <w:pPr>
        <w:pStyle w:val="Heading3"/>
        <w:ind w:hanging="567"/>
      </w:pPr>
      <w:r w:rsidRPr="00E43050">
        <w:t xml:space="preserve">Training of Patients to self-administer medicines will be the responsibility of the </w:t>
      </w:r>
      <w:r w:rsidR="00CB2E23">
        <w:t>Participating</w:t>
      </w:r>
      <w:r w:rsidRPr="00E43050">
        <w:t xml:space="preserve"> Authority unless specified as a Clinical Service to be provided by the Supplier </w:t>
      </w:r>
      <w:r w:rsidR="006C5DA9">
        <w:t>o</w:t>
      </w:r>
      <w:r w:rsidRPr="00E43050">
        <w:t xml:space="preserve">r as detailed in the agreed Individual Patient Care Plan. </w:t>
      </w:r>
    </w:p>
    <w:p w14:paraId="2EFABC6D" w14:textId="0598BD70" w:rsidR="00581490" w:rsidRPr="00E43050" w:rsidRDefault="00581490" w:rsidP="003D1D4D">
      <w:pPr>
        <w:pStyle w:val="Heading3"/>
        <w:ind w:hanging="567"/>
      </w:pPr>
      <w:r w:rsidRPr="00E43050">
        <w:lastRenderedPageBreak/>
        <w:t xml:space="preserve">Competency documentation for a </w:t>
      </w:r>
      <w:proofErr w:type="gramStart"/>
      <w:r w:rsidRPr="00E43050">
        <w:t>Patient self-administering medicines</w:t>
      </w:r>
      <w:proofErr w:type="gramEnd"/>
      <w:r w:rsidRPr="00E43050">
        <w:t xml:space="preserve"> will be held in the patient record and shared</w:t>
      </w:r>
      <w:r w:rsidR="006C5DA9">
        <w:t xml:space="preserve"> by the Supplier with the Participating Authority</w:t>
      </w:r>
      <w:r w:rsidRPr="00E43050">
        <w:t xml:space="preserve"> within 2 Business Days completion.</w:t>
      </w:r>
    </w:p>
    <w:p w14:paraId="4A95EF65" w14:textId="32614108" w:rsidR="00581490" w:rsidRPr="00E43050" w:rsidRDefault="00581490" w:rsidP="003D1D4D">
      <w:pPr>
        <w:pStyle w:val="Heading3"/>
        <w:ind w:hanging="567"/>
      </w:pPr>
      <w:r w:rsidRPr="00E43050">
        <w:t xml:space="preserve">Patients who are self-administering medicines at home must be assessed as competent to self-administer on initiation of the service and at 12 month intervals thereafter.  Competency assessments of the </w:t>
      </w:r>
      <w:proofErr w:type="gramStart"/>
      <w:r w:rsidRPr="00E43050">
        <w:t>patients</w:t>
      </w:r>
      <w:proofErr w:type="gramEnd"/>
      <w:r w:rsidRPr="00E43050">
        <w:t xml:space="preserve"> following training is the responsibility of the </w:t>
      </w:r>
      <w:r w:rsidR="00CB2E23">
        <w:t>Participating</w:t>
      </w:r>
      <w:r w:rsidRPr="00E43050">
        <w:t xml:space="preserve"> Authority unless specified as a Clinical Service to be provided by the Supplier or as detailed in the agreed Individual Patient Care Plan.  </w:t>
      </w:r>
    </w:p>
    <w:p w14:paraId="7622E795" w14:textId="164E0802" w:rsidR="00581490" w:rsidRPr="00E43050" w:rsidRDefault="00581490" w:rsidP="003D1D4D">
      <w:pPr>
        <w:pStyle w:val="Heading3"/>
        <w:ind w:hanging="567"/>
      </w:pPr>
      <w:r w:rsidRPr="00E43050">
        <w:t>Competency documentation for a patient or carer self-administering medicines will be held in the patient record and shared with the other party on request.</w:t>
      </w:r>
    </w:p>
    <w:p w14:paraId="53A6381A" w14:textId="5FCC5167" w:rsidR="00581490" w:rsidRPr="00E43050" w:rsidRDefault="00581490" w:rsidP="003D1D4D">
      <w:pPr>
        <w:pStyle w:val="Heading3"/>
        <w:ind w:hanging="567"/>
      </w:pPr>
      <w:r w:rsidRPr="00E43050">
        <w:t xml:space="preserve">Where the Supplier provides the training, the Supplier will assess the patient's competency to self-manage and provide written evidence to the </w:t>
      </w:r>
      <w:r w:rsidR="00CB2E23">
        <w:t>Participating</w:t>
      </w:r>
      <w:r w:rsidRPr="00E43050">
        <w:t xml:space="preserve"> Authority via a competency </w:t>
      </w:r>
      <w:proofErr w:type="gramStart"/>
      <w:r w:rsidRPr="00E43050">
        <w:t>check-list</w:t>
      </w:r>
      <w:proofErr w:type="gramEnd"/>
      <w:r w:rsidRPr="00E43050">
        <w:t xml:space="preserve"> or equivalent.</w:t>
      </w:r>
    </w:p>
    <w:p w14:paraId="2F29F735" w14:textId="261E0BA2" w:rsidR="00581490" w:rsidRPr="00E43050" w:rsidRDefault="00581490" w:rsidP="003D1D4D">
      <w:pPr>
        <w:pStyle w:val="Heading3"/>
        <w:ind w:hanging="567"/>
      </w:pPr>
      <w:r w:rsidRPr="00E43050">
        <w:t xml:space="preserve">The Supplier and </w:t>
      </w:r>
      <w:r w:rsidR="00CB2E23">
        <w:t>Participating</w:t>
      </w:r>
      <w:r w:rsidRPr="00E43050">
        <w:t xml:space="preserve"> Authority will agree appropriate patient training materials prior to service commencement.</w:t>
      </w:r>
    </w:p>
    <w:p w14:paraId="210E76E5" w14:textId="017EAB04" w:rsidR="00E43050" w:rsidRPr="00E43050" w:rsidRDefault="00581490" w:rsidP="003D1D4D">
      <w:pPr>
        <w:pStyle w:val="Heading3"/>
        <w:ind w:hanging="567"/>
      </w:pPr>
      <w:r w:rsidRPr="00E43050">
        <w:t>Further to the initial patient suitability and needs assessment, the Supplier is responsible for confirming the patient's suitability for the clinical services and reporting any exceptions</w:t>
      </w:r>
      <w:r w:rsidR="00E43050" w:rsidRPr="00E43050">
        <w:t xml:space="preserve"> within 1 </w:t>
      </w:r>
      <w:r w:rsidR="009621C0">
        <w:t>business</w:t>
      </w:r>
      <w:r w:rsidR="00E43050" w:rsidRPr="00E43050">
        <w:t xml:space="preserve"> day</w:t>
      </w:r>
      <w:r w:rsidRPr="00E43050">
        <w:t xml:space="preserve">.  A copy of the completed detailed patient suitability and needs assessment must be  provided to the </w:t>
      </w:r>
      <w:r w:rsidR="00CB2E23">
        <w:t>Participating</w:t>
      </w:r>
      <w:r w:rsidRPr="00E43050">
        <w:t xml:space="preserve"> Authority on </w:t>
      </w:r>
      <w:r w:rsidR="006C5DA9">
        <w:t>request.</w:t>
      </w:r>
    </w:p>
    <w:p w14:paraId="42FA2B73" w14:textId="62166F62" w:rsidR="00704079" w:rsidRDefault="00704079" w:rsidP="003D1D4D">
      <w:pPr>
        <w:spacing w:before="0" w:after="120"/>
        <w:ind w:left="0" w:hanging="567"/>
        <w:rPr>
          <w:rFonts w:eastAsiaTheme="majorEastAsia"/>
          <w:b/>
          <w:color w:val="0070C0"/>
          <w:sz w:val="32"/>
          <w:szCs w:val="32"/>
          <w:u w:val="single"/>
        </w:rPr>
      </w:pPr>
    </w:p>
    <w:p w14:paraId="0EA70869" w14:textId="5B180163" w:rsidR="008E0F04" w:rsidRPr="00586649" w:rsidRDefault="00581490" w:rsidP="003D1D4D">
      <w:pPr>
        <w:pStyle w:val="Heading1"/>
        <w:ind w:hanging="567"/>
      </w:pPr>
      <w:r w:rsidRPr="00586649">
        <w:t>Governance</w:t>
      </w:r>
    </w:p>
    <w:p w14:paraId="78C38C20" w14:textId="149818A8" w:rsidR="008E0F04" w:rsidRPr="00BE4EA1" w:rsidRDefault="00F611B7" w:rsidP="003D1D4D">
      <w:pPr>
        <w:pStyle w:val="Heading2"/>
        <w:ind w:hanging="567"/>
      </w:pPr>
      <w:r w:rsidRPr="00BE4EA1">
        <w:t>Governance Framework and Quality Systems</w:t>
      </w:r>
    </w:p>
    <w:p w14:paraId="0A635047" w14:textId="6884D8CE" w:rsidR="009E779C" w:rsidRDefault="009E779C" w:rsidP="003D1D4D">
      <w:pPr>
        <w:pStyle w:val="Heading3"/>
        <w:ind w:hanging="567"/>
      </w:pPr>
      <w:r w:rsidRPr="0073608F">
        <w:rPr>
          <w:lang w:eastAsia="en-GB"/>
        </w:rPr>
        <w:t xml:space="preserve">The Participating Authority and Supplier will comply with the current Royal Pharmaceutical Society (RPS) Professional Standards for Homecare Services in England.  To the extent applicable, the Supplier and Participating Authority will comply with all requirements of relevant regulatory bodies, examples include but are not inclusive </w:t>
      </w:r>
      <w:proofErr w:type="gramStart"/>
      <w:r w:rsidRPr="0073608F">
        <w:rPr>
          <w:lang w:eastAsia="en-GB"/>
        </w:rPr>
        <w:t>to;</w:t>
      </w:r>
      <w:proofErr w:type="gramEnd"/>
      <w:r w:rsidRPr="0073608F">
        <w:rPr>
          <w:lang w:eastAsia="en-GB"/>
        </w:rPr>
        <w:t xml:space="preserve"> General Pharmaceutical Council, Medicines and Health Regulatory Agency, Care Quality Commission and Nurse and Midwifery Council.</w:t>
      </w:r>
    </w:p>
    <w:p w14:paraId="3FF2FC5B" w14:textId="43BC5C4E" w:rsidR="00F611B7" w:rsidRPr="00E43050" w:rsidRDefault="00F611B7" w:rsidP="003D1D4D">
      <w:pPr>
        <w:pStyle w:val="Heading3"/>
        <w:ind w:hanging="567"/>
      </w:pPr>
      <w:r w:rsidRPr="00E43050">
        <w:t xml:space="preserve">Suppliers must have a robust quality system in place which includes policies on the following and must ensure that all staff comply with them. </w:t>
      </w:r>
      <w:r w:rsidR="00E43050">
        <w:t xml:space="preserve"> </w:t>
      </w:r>
      <w:r w:rsidR="00E43050" w:rsidRPr="00E43050">
        <w:t xml:space="preserve">Where relevant national guidelines are in place it is mandatory that these are adopted. </w:t>
      </w:r>
      <w:r w:rsidR="00E43050">
        <w:t xml:space="preserve"> </w:t>
      </w:r>
      <w:r w:rsidR="00E43050" w:rsidRPr="00E43050">
        <w:t xml:space="preserve">Where national guidelines are not in place or if the Supplier is unsure, then the Supplier will liaise with the </w:t>
      </w:r>
      <w:r w:rsidR="00CB2E23">
        <w:t>Participating</w:t>
      </w:r>
      <w:r w:rsidR="00E43050" w:rsidRPr="00E43050">
        <w:t xml:space="preserve"> Authority to confirm mutually acceptable guidelines.</w:t>
      </w:r>
    </w:p>
    <w:p w14:paraId="7FDC334B" w14:textId="61C87FE9" w:rsidR="00F611B7" w:rsidRPr="00E43050" w:rsidRDefault="00F611B7" w:rsidP="00DC4DE8">
      <w:pPr>
        <w:pStyle w:val="ListParagraph"/>
        <w:ind w:hanging="567"/>
      </w:pPr>
      <w:r w:rsidRPr="00E43050">
        <w:t>Health and safety Policy</w:t>
      </w:r>
    </w:p>
    <w:p w14:paraId="0CD614ED" w14:textId="2121E1D0" w:rsidR="00F611B7" w:rsidRPr="00E43050" w:rsidRDefault="00F611B7" w:rsidP="00DC4DE8">
      <w:pPr>
        <w:pStyle w:val="ListParagraph"/>
        <w:ind w:hanging="567"/>
      </w:pPr>
      <w:r w:rsidRPr="00E43050">
        <w:t>Environmental Policy</w:t>
      </w:r>
    </w:p>
    <w:p w14:paraId="324B5553" w14:textId="3D0AA952" w:rsidR="00F611B7" w:rsidRPr="00E43050" w:rsidRDefault="00F611B7" w:rsidP="00DC4DE8">
      <w:pPr>
        <w:pStyle w:val="ListParagraph"/>
        <w:ind w:hanging="567"/>
      </w:pPr>
      <w:r w:rsidRPr="00E43050">
        <w:t>Bribery Policy</w:t>
      </w:r>
    </w:p>
    <w:p w14:paraId="36BDEAE0" w14:textId="4E45841E" w:rsidR="00F611B7" w:rsidRPr="00E43050" w:rsidRDefault="00F611B7" w:rsidP="00DC4DE8">
      <w:pPr>
        <w:pStyle w:val="ListParagraph"/>
        <w:ind w:hanging="567"/>
      </w:pPr>
      <w:r w:rsidRPr="00E43050">
        <w:t>Complaints and Incidents Policy</w:t>
      </w:r>
    </w:p>
    <w:p w14:paraId="21CD3588" w14:textId="49D33AB3" w:rsidR="00F611B7" w:rsidRPr="00E43050" w:rsidRDefault="00F611B7" w:rsidP="00DC4DE8">
      <w:pPr>
        <w:pStyle w:val="ListParagraph"/>
        <w:ind w:hanging="567"/>
      </w:pPr>
      <w:r w:rsidRPr="00E43050">
        <w:t>Safeguarding Policy</w:t>
      </w:r>
    </w:p>
    <w:p w14:paraId="75EE9F50" w14:textId="093A8E4D" w:rsidR="00F611B7" w:rsidRPr="00E43050" w:rsidRDefault="00F611B7" w:rsidP="00DC4DE8">
      <w:pPr>
        <w:pStyle w:val="ListParagraph"/>
        <w:ind w:hanging="567"/>
      </w:pPr>
      <w:r w:rsidRPr="00E43050">
        <w:t>Equality &amp; Diversity Policy</w:t>
      </w:r>
    </w:p>
    <w:p w14:paraId="0A82C464" w14:textId="7753D9C0" w:rsidR="00F611B7" w:rsidRPr="00E43050" w:rsidRDefault="00F611B7" w:rsidP="00DC4DE8">
      <w:pPr>
        <w:pStyle w:val="ListParagraph"/>
        <w:ind w:hanging="567"/>
      </w:pPr>
      <w:r w:rsidRPr="00E43050">
        <w:t xml:space="preserve">Lone Worker Policy </w:t>
      </w:r>
    </w:p>
    <w:p w14:paraId="18F5B79A" w14:textId="28285C89" w:rsidR="00F611B7" w:rsidRPr="00E43050" w:rsidRDefault="00F611B7" w:rsidP="00DC4DE8">
      <w:pPr>
        <w:pStyle w:val="ListParagraph"/>
        <w:ind w:hanging="567"/>
      </w:pPr>
      <w:r w:rsidRPr="00E43050">
        <w:t>Medicines Policy</w:t>
      </w:r>
    </w:p>
    <w:p w14:paraId="55232790" w14:textId="5ECE734E" w:rsidR="00F611B7" w:rsidRPr="00E43050" w:rsidRDefault="00F611B7" w:rsidP="00DC4DE8">
      <w:pPr>
        <w:pStyle w:val="ListParagraph"/>
        <w:ind w:hanging="567"/>
      </w:pPr>
      <w:r w:rsidRPr="00E43050">
        <w:t>Privacy Policy</w:t>
      </w:r>
    </w:p>
    <w:p w14:paraId="7A444834" w14:textId="408450FE" w:rsidR="00F611B7" w:rsidRPr="00E43050" w:rsidRDefault="00F611B7" w:rsidP="00DC4DE8">
      <w:pPr>
        <w:pStyle w:val="ListParagraph"/>
        <w:ind w:hanging="567"/>
      </w:pPr>
      <w:r w:rsidRPr="00E43050">
        <w:t>Records Management Policy</w:t>
      </w:r>
    </w:p>
    <w:p w14:paraId="4E44421D" w14:textId="123C1C57" w:rsidR="00F611B7" w:rsidRPr="00E43050" w:rsidRDefault="00F611B7" w:rsidP="00DC4DE8">
      <w:pPr>
        <w:pStyle w:val="ListParagraph"/>
        <w:ind w:hanging="567"/>
      </w:pPr>
      <w:r w:rsidRPr="00E43050">
        <w:t>Social Value Policy</w:t>
      </w:r>
    </w:p>
    <w:p w14:paraId="120D0816" w14:textId="5BE275F6" w:rsidR="00F611B7" w:rsidRPr="00E43050" w:rsidRDefault="00F611B7" w:rsidP="00DC4DE8">
      <w:pPr>
        <w:pStyle w:val="ListParagraph"/>
        <w:ind w:hanging="567"/>
      </w:pPr>
      <w:r w:rsidRPr="00E43050">
        <w:lastRenderedPageBreak/>
        <w:t>Transition Policy (Paediatric to adult care)</w:t>
      </w:r>
    </w:p>
    <w:p w14:paraId="16051493" w14:textId="01A78AF3" w:rsidR="00F611B7" w:rsidRPr="00E43050" w:rsidRDefault="00F611B7" w:rsidP="00DC4DE8">
      <w:pPr>
        <w:pStyle w:val="ListParagraph"/>
        <w:ind w:hanging="567"/>
      </w:pPr>
      <w:r w:rsidRPr="00E43050">
        <w:t>Zero Tolerance and Policy for the Withdrawal of Care</w:t>
      </w:r>
    </w:p>
    <w:p w14:paraId="71D8F3FD" w14:textId="77777777" w:rsidR="001A65E9" w:rsidRPr="00E43050" w:rsidRDefault="00F611B7" w:rsidP="00DC4DE8">
      <w:pPr>
        <w:pStyle w:val="ListParagraph"/>
        <w:ind w:hanging="567"/>
      </w:pPr>
      <w:r w:rsidRPr="00E43050">
        <w:t xml:space="preserve">Risk Management Policy. </w:t>
      </w:r>
    </w:p>
    <w:p w14:paraId="73438096" w14:textId="77777777" w:rsidR="00F611B7" w:rsidRPr="00E43050" w:rsidRDefault="00F611B7" w:rsidP="003D1D4D">
      <w:pPr>
        <w:pStyle w:val="Heading3"/>
        <w:ind w:hanging="567"/>
        <w:rPr>
          <w:rFonts w:eastAsia="Times New Roman"/>
          <w:color w:val="000000" w:themeColor="text1"/>
          <w:lang w:eastAsia="en-GB"/>
        </w:rPr>
      </w:pPr>
      <w:r w:rsidRPr="00E43050">
        <w:t xml:space="preserve">Where Services include clinical home visits, Suppliers must have policies on the following and must ensure that all clinical staff providing clinical services involving medication administration are trained and monitored for compliance. </w:t>
      </w:r>
    </w:p>
    <w:p w14:paraId="0D12C9A4" w14:textId="3B3FFDA2" w:rsidR="00F611B7" w:rsidRPr="00E43050" w:rsidRDefault="00F611B7" w:rsidP="00DC4DE8">
      <w:pPr>
        <w:pStyle w:val="ListParagraph"/>
        <w:ind w:hanging="567"/>
      </w:pPr>
      <w:r w:rsidRPr="00E43050">
        <w:t xml:space="preserve">Anaphylaxis Management Guidelines </w:t>
      </w:r>
    </w:p>
    <w:p w14:paraId="1C05E734" w14:textId="7EBB705E" w:rsidR="00F611B7" w:rsidRPr="00E43050" w:rsidRDefault="00F611B7" w:rsidP="00DC4DE8">
      <w:pPr>
        <w:pStyle w:val="ListParagraph"/>
        <w:ind w:hanging="567"/>
      </w:pPr>
      <w:r w:rsidRPr="00E43050">
        <w:t>Infection Control Manual</w:t>
      </w:r>
    </w:p>
    <w:p w14:paraId="47B5F684" w14:textId="6D4CD6EB" w:rsidR="00F611B7" w:rsidRPr="00E43050" w:rsidRDefault="00F611B7" w:rsidP="00DC4DE8">
      <w:pPr>
        <w:pStyle w:val="ListParagraph"/>
        <w:ind w:hanging="567"/>
      </w:pPr>
      <w:r w:rsidRPr="00E43050">
        <w:t>Resuscitation Policy and Guidelines</w:t>
      </w:r>
    </w:p>
    <w:p w14:paraId="3236EE68" w14:textId="3DAE5F83" w:rsidR="003F425D" w:rsidRPr="003F425D" w:rsidRDefault="00F611B7" w:rsidP="003F425D">
      <w:pPr>
        <w:pStyle w:val="Heading3"/>
        <w:ind w:hanging="567"/>
        <w:rPr>
          <w:lang w:eastAsia="en-GB"/>
        </w:rPr>
      </w:pPr>
      <w:r w:rsidRPr="00E43050">
        <w:rPr>
          <w:lang w:eastAsia="en-GB"/>
        </w:rPr>
        <w:t>The Supplier will carry out self-inspections of their quality system at regular intervals and record the results and raise corrective and preventative actions for any non-conformances found.</w:t>
      </w:r>
      <w:r w:rsidR="003F425D">
        <w:rPr>
          <w:lang w:eastAsia="en-GB"/>
        </w:rPr>
        <w:t xml:space="preserve">  This record and improvement plan may be reviewed at supplier review meetings</w:t>
      </w:r>
      <w:r w:rsidR="00405DA4">
        <w:rPr>
          <w:lang w:eastAsia="en-GB"/>
        </w:rPr>
        <w:t>.</w:t>
      </w:r>
    </w:p>
    <w:p w14:paraId="2E677438" w14:textId="6C373681" w:rsidR="009E779C" w:rsidRDefault="009E779C" w:rsidP="003D1D4D">
      <w:pPr>
        <w:pStyle w:val="Heading3"/>
        <w:ind w:hanging="567"/>
        <w:rPr>
          <w:lang w:eastAsia="en-GB"/>
        </w:rPr>
      </w:pPr>
      <w:r w:rsidRPr="0073608F">
        <w:rPr>
          <w:lang w:eastAsia="en-GB"/>
        </w:rPr>
        <w:t xml:space="preserve">The Authority and/or Participating Authority reserve the right to audit the Supplier in accordance with schedule 2 clause 24 NHS Framework Agreement for the Supply of Goods and the Provision or Services (Homecare Medicines). </w:t>
      </w:r>
      <w:r w:rsidR="00405DA4">
        <w:rPr>
          <w:lang w:eastAsia="en-GB"/>
        </w:rPr>
        <w:t xml:space="preserve"> </w:t>
      </w:r>
      <w:r w:rsidRPr="0073608F">
        <w:rPr>
          <w:lang w:eastAsia="en-GB"/>
        </w:rPr>
        <w:t>The Supplier will be given an opportunity to respond to any issues raised by an NHS Audit.  A Summary of results of NHS Audit including the Supplier's responses</w:t>
      </w:r>
      <w:r w:rsidR="0012274D">
        <w:rPr>
          <w:lang w:eastAsia="en-GB"/>
        </w:rPr>
        <w:t>,</w:t>
      </w:r>
      <w:r w:rsidR="001862B5">
        <w:rPr>
          <w:lang w:eastAsia="en-GB"/>
        </w:rPr>
        <w:t xml:space="preserve"> </w:t>
      </w:r>
      <w:r w:rsidR="0012274D" w:rsidRPr="0073608F">
        <w:rPr>
          <w:lang w:eastAsia="en-GB"/>
        </w:rPr>
        <w:t xml:space="preserve">resolution to any actions raised within the audit report produced </w:t>
      </w:r>
      <w:r w:rsidRPr="0073608F">
        <w:rPr>
          <w:lang w:eastAsia="en-GB"/>
        </w:rPr>
        <w:t xml:space="preserve">may be shared with other relevant NHS Participating Authorities. </w:t>
      </w:r>
      <w:r w:rsidR="00405DA4">
        <w:rPr>
          <w:lang w:eastAsia="en-GB"/>
        </w:rPr>
        <w:t xml:space="preserve"> </w:t>
      </w:r>
      <w:r w:rsidRPr="0073608F">
        <w:rPr>
          <w:lang w:eastAsia="en-GB"/>
        </w:rPr>
        <w:t xml:space="preserve">Suppliers will be given a minimum of 28 </w:t>
      </w:r>
      <w:r w:rsidR="009621C0">
        <w:rPr>
          <w:lang w:eastAsia="en-GB"/>
        </w:rPr>
        <w:t xml:space="preserve">calendar </w:t>
      </w:r>
      <w:r w:rsidRPr="0073608F">
        <w:rPr>
          <w:lang w:eastAsia="en-GB"/>
        </w:rPr>
        <w:t>days notice of an audit unless deemed urgent due to potential patient safety risk.</w:t>
      </w:r>
    </w:p>
    <w:p w14:paraId="7A19CDE7" w14:textId="77777777" w:rsidR="0005032A" w:rsidRDefault="009E779C" w:rsidP="003D1D4D">
      <w:pPr>
        <w:pStyle w:val="Heading3"/>
        <w:ind w:hanging="567"/>
        <w:rPr>
          <w:lang w:eastAsia="en-GB"/>
        </w:rPr>
      </w:pPr>
      <w:r w:rsidRPr="0073608F">
        <w:rPr>
          <w:lang w:eastAsia="en-GB"/>
        </w:rPr>
        <w:t xml:space="preserve">As specified in the Agreement where sub-contractors are used either routinely or for contingencies for the provision of products and service, all requirements within this specification will be extended to the sub-contractor's organisation and staff.  It is the responsibility of the Supplier to provide evidence that all sub-contractors meet these requirements and to inform the Participating Authority of </w:t>
      </w:r>
      <w:proofErr w:type="gramStart"/>
      <w:r w:rsidRPr="0073608F">
        <w:rPr>
          <w:lang w:eastAsia="en-GB"/>
        </w:rPr>
        <w:t>any and all</w:t>
      </w:r>
      <w:proofErr w:type="gramEnd"/>
      <w:r w:rsidRPr="0073608F">
        <w:rPr>
          <w:lang w:eastAsia="en-GB"/>
        </w:rPr>
        <w:t xml:space="preserve"> intended subcontracted parts of the service.  </w:t>
      </w:r>
    </w:p>
    <w:p w14:paraId="4A984FE6" w14:textId="12DBA5F7" w:rsidR="009E779C" w:rsidRPr="009E779C" w:rsidRDefault="009E779C" w:rsidP="003D1D4D">
      <w:pPr>
        <w:pStyle w:val="Heading3"/>
        <w:ind w:hanging="567"/>
        <w:rPr>
          <w:lang w:eastAsia="en-GB"/>
        </w:rPr>
      </w:pPr>
      <w:r w:rsidRPr="0073608F">
        <w:rPr>
          <w:lang w:eastAsia="en-GB"/>
        </w:rPr>
        <w:t>Suppliers shall maintain the list of applicable sub-contractors</w:t>
      </w:r>
      <w:r w:rsidR="0005032A">
        <w:rPr>
          <w:lang w:eastAsia="en-GB"/>
        </w:rPr>
        <w:t xml:space="preserve">.  </w:t>
      </w:r>
      <w:r w:rsidRPr="0073608F">
        <w:rPr>
          <w:lang w:eastAsia="en-GB"/>
        </w:rPr>
        <w:t>The list of sub-contractors is subject to change control provisions of this specification including gaining approval from the Authority and Participating Authority for any changes.</w:t>
      </w:r>
      <w:r w:rsidR="001862B5">
        <w:rPr>
          <w:lang w:eastAsia="en-GB"/>
        </w:rPr>
        <w:t xml:space="preserve"> </w:t>
      </w:r>
    </w:p>
    <w:p w14:paraId="76345764" w14:textId="143F9592" w:rsidR="004D4797" w:rsidRPr="00BE4EA1" w:rsidRDefault="00F611B7" w:rsidP="003D1D4D">
      <w:pPr>
        <w:pStyle w:val="Heading2"/>
        <w:ind w:hanging="567"/>
      </w:pPr>
      <w:r w:rsidRPr="00BE4EA1">
        <w:t>Clinical Governance</w:t>
      </w:r>
    </w:p>
    <w:p w14:paraId="510994D5" w14:textId="5166EC0E" w:rsidR="004D4797" w:rsidRPr="009E779C" w:rsidRDefault="004D4797" w:rsidP="003D1D4D">
      <w:pPr>
        <w:pStyle w:val="Heading3"/>
        <w:ind w:hanging="567"/>
      </w:pPr>
      <w:r w:rsidRPr="009E779C">
        <w:t xml:space="preserve">The </w:t>
      </w:r>
      <w:r w:rsidR="00CB2E23">
        <w:t>Participating</w:t>
      </w:r>
      <w:r w:rsidRPr="009E779C">
        <w:t xml:space="preserve"> Authority </w:t>
      </w:r>
      <w:r w:rsidR="00F611B7" w:rsidRPr="009E779C">
        <w:t xml:space="preserve">retains clinical responsibility for the patient's care and their treatment. </w:t>
      </w:r>
      <w:r w:rsidR="00A26976">
        <w:t xml:space="preserve"> </w:t>
      </w:r>
      <w:r w:rsidR="00F611B7" w:rsidRPr="009E779C">
        <w:t>The Supplier must carry an appropriate duty of care to patients receiving the Services.</w:t>
      </w:r>
    </w:p>
    <w:p w14:paraId="3FCFEA76" w14:textId="412004D0" w:rsidR="004D4797" w:rsidRPr="009E779C" w:rsidRDefault="004D4797" w:rsidP="003D1D4D">
      <w:pPr>
        <w:pStyle w:val="Heading3"/>
        <w:ind w:hanging="567"/>
      </w:pPr>
      <w:r w:rsidRPr="009E779C">
        <w:t xml:space="preserve">The </w:t>
      </w:r>
      <w:r w:rsidR="00CB2E23">
        <w:t>Participating</w:t>
      </w:r>
      <w:r w:rsidR="00F611B7" w:rsidRPr="009E779C">
        <w:t xml:space="preserve"> Authority is responsible for ensuring all relevant and appropriate diagnostic tests and other interventions including those specified in the Medicines Homecare Pathway are performed and for monitoring of patient outcomes with respect to efficacy and toxicity.</w:t>
      </w:r>
    </w:p>
    <w:p w14:paraId="2ED48364" w14:textId="38ACA536" w:rsidR="004D4797" w:rsidRPr="009E779C" w:rsidRDefault="00F611B7" w:rsidP="003D1D4D">
      <w:pPr>
        <w:pStyle w:val="Heading3"/>
        <w:ind w:hanging="567"/>
      </w:pPr>
      <w:r w:rsidRPr="009E779C">
        <w:t xml:space="preserve">The Supplier will communicate with the </w:t>
      </w:r>
      <w:r w:rsidR="00CB2E23">
        <w:t>Participating</w:t>
      </w:r>
      <w:r w:rsidRPr="009E779C">
        <w:t xml:space="preserve"> Authority in the event of any clinically relevant issues that could be reasonably expected to impact on patient safety or continuity of patient </w:t>
      </w:r>
      <w:r w:rsidR="00301E6F" w:rsidRPr="009E779C">
        <w:t>treatment and</w:t>
      </w:r>
      <w:r w:rsidRPr="009E779C">
        <w:t xml:space="preserve"> will work in partnership to minimise additional costs to the </w:t>
      </w:r>
      <w:r w:rsidR="00CB2E23">
        <w:t>Participating</w:t>
      </w:r>
      <w:r w:rsidRPr="009E779C">
        <w:t xml:space="preserve"> Authority whilst maintaining patient safety.</w:t>
      </w:r>
      <w:r w:rsidR="00CD6A84" w:rsidRPr="009E779C">
        <w:t xml:space="preserve"> Notification to the Participating Authority should be as soon as the Supplier is made aware of the issue.</w:t>
      </w:r>
    </w:p>
    <w:p w14:paraId="7A9D3246" w14:textId="1D8B17EE" w:rsidR="004D4797" w:rsidRPr="009E779C" w:rsidRDefault="004D4797" w:rsidP="003D1D4D">
      <w:pPr>
        <w:pStyle w:val="Heading3"/>
        <w:ind w:hanging="567"/>
      </w:pPr>
      <w:r w:rsidRPr="009E779C">
        <w:t xml:space="preserve">The </w:t>
      </w:r>
      <w:r w:rsidR="00CD6A84" w:rsidRPr="009E779C">
        <w:t xml:space="preserve">Supplier and </w:t>
      </w:r>
      <w:r w:rsidR="00CB2E23">
        <w:t>Participating</w:t>
      </w:r>
      <w:r w:rsidR="00F611B7" w:rsidRPr="009E779C">
        <w:t xml:space="preserve"> Authority must ensure all their staff involved in the provision of the homecare service have knowledge of clinical governance and be committed to clinical supervision, customer care and resolution of complaints and concerns.</w:t>
      </w:r>
    </w:p>
    <w:p w14:paraId="1201B30C" w14:textId="3558FA02" w:rsidR="004D4797" w:rsidRPr="009E779C" w:rsidRDefault="004D4797" w:rsidP="003D1D4D">
      <w:pPr>
        <w:pStyle w:val="Heading3"/>
        <w:ind w:hanging="567"/>
      </w:pPr>
      <w:r w:rsidRPr="009E779C">
        <w:t xml:space="preserve">The </w:t>
      </w:r>
      <w:r w:rsidR="00CB2E23">
        <w:t>Participating</w:t>
      </w:r>
      <w:r w:rsidR="00F611B7" w:rsidRPr="009E779C">
        <w:t xml:space="preserve"> Authority will provide appropriate clinical escalation contacts and ensure that an appropriate and suitably qualified clinician be available for the Supplier's staff to </w:t>
      </w:r>
      <w:proofErr w:type="gramStart"/>
      <w:r w:rsidR="00F611B7" w:rsidRPr="009E779C">
        <w:t>contact at all times</w:t>
      </w:r>
      <w:proofErr w:type="gramEnd"/>
      <w:r w:rsidR="00F611B7" w:rsidRPr="009E779C">
        <w:t xml:space="preserve"> whilst they are involved in delivery of a clinical intervention.</w:t>
      </w:r>
    </w:p>
    <w:p w14:paraId="0A34757C" w14:textId="77F0D2E7" w:rsidR="004D4797" w:rsidRPr="009E779C" w:rsidRDefault="00F611B7" w:rsidP="003D1D4D">
      <w:pPr>
        <w:pStyle w:val="Heading3"/>
        <w:ind w:hanging="567"/>
      </w:pPr>
      <w:r w:rsidRPr="009E779C">
        <w:lastRenderedPageBreak/>
        <w:t xml:space="preserve">The Supplier must ensure that their staff know how to escalate clinical concerns and how to </w:t>
      </w:r>
      <w:proofErr w:type="gramStart"/>
      <w:r w:rsidRPr="009E779C">
        <w:t xml:space="preserve">contact the clinical escalation contacts for each </w:t>
      </w:r>
      <w:r w:rsidR="00CB2E23">
        <w:t>Participating</w:t>
      </w:r>
      <w:r w:rsidRPr="009E779C">
        <w:t xml:space="preserve"> Authority at all times</w:t>
      </w:r>
      <w:proofErr w:type="gramEnd"/>
      <w:r w:rsidRPr="009E779C">
        <w:t>.</w:t>
      </w:r>
    </w:p>
    <w:p w14:paraId="2182B994" w14:textId="19B4C2B0" w:rsidR="004D4797" w:rsidRPr="009E779C" w:rsidRDefault="00F611B7" w:rsidP="003D1D4D">
      <w:pPr>
        <w:pStyle w:val="Heading3"/>
        <w:ind w:hanging="567"/>
      </w:pPr>
      <w:r w:rsidRPr="009E779C">
        <w:t xml:space="preserve">Transition from paediatric to adult care will take place at a mutually agreed time between the ages of 16-18 and be initiated by the </w:t>
      </w:r>
      <w:r w:rsidR="00CB2E23">
        <w:t>Participating</w:t>
      </w:r>
      <w:r w:rsidRPr="009E779C">
        <w:t xml:space="preserve"> Authority, following consultation with the patient and family. Where provided, the Supplier must adhere to the relevant Transition Policy employed by the </w:t>
      </w:r>
      <w:r w:rsidR="00CB2E23">
        <w:t>Participating</w:t>
      </w:r>
      <w:r w:rsidRPr="009E779C">
        <w:t xml:space="preserve"> Authority.</w:t>
      </w:r>
    </w:p>
    <w:p w14:paraId="6989B648" w14:textId="590A5039" w:rsidR="00CD6A84" w:rsidRPr="00CD6A84" w:rsidRDefault="00CD6A84" w:rsidP="003D1D4D">
      <w:pPr>
        <w:pStyle w:val="Heading3"/>
        <w:ind w:hanging="567"/>
      </w:pPr>
      <w:r w:rsidRPr="00CD6A84">
        <w:t>A separate instruction manual and training programme for children should be available from Suppliers</w:t>
      </w:r>
      <w:r w:rsidR="00DE20D0">
        <w:t xml:space="preserve"> if requested by Participating Authorities</w:t>
      </w:r>
      <w:r w:rsidRPr="00CD6A84">
        <w:t>.</w:t>
      </w:r>
    </w:p>
    <w:p w14:paraId="2ABE81E3" w14:textId="77777777" w:rsidR="00CD6A84" w:rsidRPr="00CD6A84" w:rsidRDefault="00CD6A84" w:rsidP="003D1D4D">
      <w:pPr>
        <w:ind w:hanging="567"/>
      </w:pPr>
    </w:p>
    <w:p w14:paraId="020064EB" w14:textId="4A5F4BE9" w:rsidR="004D4797" w:rsidRPr="00AE3375" w:rsidRDefault="00F611B7" w:rsidP="003D1D4D">
      <w:pPr>
        <w:pStyle w:val="Heading2"/>
        <w:ind w:hanging="567"/>
      </w:pPr>
      <w:r w:rsidRPr="00BE4EA1">
        <w:t>Complaints and Concerns</w:t>
      </w:r>
      <w:r w:rsidR="00CD6A84">
        <w:t xml:space="preserve"> - to include defects, recalls, patient safety incidents, A</w:t>
      </w:r>
      <w:r w:rsidR="006822A6">
        <w:t xml:space="preserve">dverse </w:t>
      </w:r>
      <w:r w:rsidR="00CD6A84">
        <w:t>D</w:t>
      </w:r>
      <w:r w:rsidR="006822A6">
        <w:t xml:space="preserve">rug </w:t>
      </w:r>
      <w:r w:rsidR="00CD6A84">
        <w:t>E</w:t>
      </w:r>
      <w:r w:rsidR="006822A6">
        <w:t>vents</w:t>
      </w:r>
      <w:r w:rsidR="007A3552">
        <w:t xml:space="preserve"> </w:t>
      </w:r>
      <w:r w:rsidR="006822A6">
        <w:t>(ADE)</w:t>
      </w:r>
      <w:r w:rsidR="00CD6A84">
        <w:t>, A</w:t>
      </w:r>
      <w:r w:rsidR="006822A6">
        <w:t xml:space="preserve">dverse </w:t>
      </w:r>
      <w:r w:rsidR="00CD6A84">
        <w:t>D</w:t>
      </w:r>
      <w:r w:rsidR="006822A6">
        <w:t xml:space="preserve">rug </w:t>
      </w:r>
      <w:r w:rsidR="00CD6A84">
        <w:t>R</w:t>
      </w:r>
      <w:r w:rsidR="006822A6">
        <w:t>eactions</w:t>
      </w:r>
      <w:r w:rsidR="007A3552">
        <w:t xml:space="preserve"> </w:t>
      </w:r>
      <w:r w:rsidR="006822A6">
        <w:t>(ADR)</w:t>
      </w:r>
    </w:p>
    <w:p w14:paraId="3F3E36AA" w14:textId="05E42511" w:rsidR="009E779C" w:rsidRPr="00DE20D0" w:rsidRDefault="009E779C" w:rsidP="003D1D4D">
      <w:pPr>
        <w:pStyle w:val="Heading3"/>
        <w:ind w:hanging="567"/>
      </w:pPr>
      <w:r w:rsidRPr="00DE20D0">
        <w:rPr>
          <w:lang w:eastAsia="en-GB"/>
        </w:rPr>
        <w:t>Suppliers will work in partnership with the Participating Authority to ensure; patient safety, patient satisfaction, best possible clinical outcomes and to minimise any additional costs to the Participating Authority.</w:t>
      </w:r>
    </w:p>
    <w:p w14:paraId="642C3481" w14:textId="71720BDE" w:rsidR="004D4797" w:rsidRPr="00DE20D0" w:rsidRDefault="00F611B7" w:rsidP="003D1D4D">
      <w:pPr>
        <w:pStyle w:val="Heading3"/>
        <w:ind w:hanging="567"/>
      </w:pPr>
      <w:r w:rsidRPr="00DE20D0">
        <w:t xml:space="preserve">In accordance with the professional standards - RPS Handbook for Homecare Services - Appendix 19 - Further Guidance for Managing Complaints and Incidents in Homecare Services the Authority and Supplier must have a complaints and incidents policy and procedures that differentiates patient safety incidents from other types of complaints, incidents or concerns.  </w:t>
      </w:r>
    </w:p>
    <w:p w14:paraId="67109798" w14:textId="5C013150" w:rsidR="00F611B7" w:rsidRDefault="004D4797" w:rsidP="003D1D4D">
      <w:pPr>
        <w:pStyle w:val="Heading3"/>
        <w:ind w:hanging="567"/>
      </w:pPr>
      <w:r w:rsidRPr="00DE20D0">
        <w:t xml:space="preserve">The </w:t>
      </w:r>
      <w:r w:rsidR="00F611B7" w:rsidRPr="00DE20D0">
        <w:t xml:space="preserve">details of any complaints regarding the delivery or service, received from Patients will be forwarded in writing to secondary investigators, or primary investigator status formally transferred within 2 </w:t>
      </w:r>
      <w:r w:rsidR="00A31050">
        <w:t>business days</w:t>
      </w:r>
      <w:r w:rsidR="00F611B7" w:rsidRPr="00DE20D0">
        <w:t>.</w:t>
      </w:r>
    </w:p>
    <w:p w14:paraId="37330610" w14:textId="33BA2C24" w:rsidR="00DE20D0" w:rsidRDefault="00DE20D0" w:rsidP="003D1D4D">
      <w:pPr>
        <w:pStyle w:val="Heading3"/>
        <w:ind w:hanging="567"/>
        <w:rPr>
          <w:lang w:eastAsia="en-GB"/>
        </w:rPr>
      </w:pPr>
      <w:r w:rsidRPr="00CD6A84">
        <w:rPr>
          <w:lang w:eastAsia="en-GB"/>
        </w:rPr>
        <w:t xml:space="preserve">Any defective medicine or device that is reported by a patient to the Supplier must be replaced free of charge in a timely manner to ensure that the patient does not experience an unavoidable delay in receiving treatment, </w:t>
      </w:r>
      <w:r>
        <w:rPr>
          <w:lang w:eastAsia="en-GB"/>
        </w:rPr>
        <w:t xml:space="preserve">preferably </w:t>
      </w:r>
      <w:r w:rsidRPr="00CD6A84">
        <w:rPr>
          <w:lang w:eastAsia="en-GB"/>
        </w:rPr>
        <w:t>without the need for the Participating Authority to supply a new prescription.</w:t>
      </w:r>
    </w:p>
    <w:p w14:paraId="083C25F1" w14:textId="3029663C" w:rsidR="00DE20D0" w:rsidRDefault="00DE20D0" w:rsidP="003D1D4D">
      <w:pPr>
        <w:pStyle w:val="Heading3"/>
        <w:ind w:hanging="567"/>
        <w:rPr>
          <w:lang w:eastAsia="en-GB"/>
        </w:rPr>
      </w:pPr>
      <w:r w:rsidRPr="00CD6A84">
        <w:rPr>
          <w:lang w:eastAsia="en-GB"/>
        </w:rPr>
        <w:t>The Supplier must operate a system of product and batch traceability to facilitate recall of medicines, sterile ancillaries and critical equipment to patient level</w:t>
      </w:r>
    </w:p>
    <w:p w14:paraId="3F43E6C3" w14:textId="28324B8F" w:rsidR="00DE20D0" w:rsidRPr="00DE20D0" w:rsidRDefault="002E1DA1" w:rsidP="003D1D4D">
      <w:pPr>
        <w:pStyle w:val="Heading3"/>
        <w:ind w:hanging="567"/>
        <w:rPr>
          <w:lang w:eastAsia="en-GB"/>
        </w:rPr>
      </w:pPr>
      <w:r>
        <w:rPr>
          <w:lang w:eastAsia="en-GB"/>
        </w:rPr>
        <w:t xml:space="preserve">The Supplier shall not charge the </w:t>
      </w:r>
      <w:r w:rsidR="00CB2E23">
        <w:rPr>
          <w:lang w:eastAsia="en-GB"/>
        </w:rPr>
        <w:t>Participating</w:t>
      </w:r>
      <w:r>
        <w:rPr>
          <w:lang w:eastAsia="en-GB"/>
        </w:rPr>
        <w:t xml:space="preserve"> Authority with any costs associated with MHRA led product recalls and it</w:t>
      </w:r>
      <w:r w:rsidR="00DE20D0" w:rsidRPr="00CD6A84">
        <w:rPr>
          <w:lang w:eastAsia="en-GB"/>
        </w:rPr>
        <w:t xml:space="preserve"> is the responsibility of the Supplier to recover expenses associated with MHRA led product recalls from the manufacturer or marketing authorisation holder.</w:t>
      </w:r>
    </w:p>
    <w:p w14:paraId="783A7B29" w14:textId="7A0F37CC" w:rsidR="00F611B7" w:rsidRPr="00AE3375" w:rsidRDefault="00F611B7" w:rsidP="003D1D4D">
      <w:pPr>
        <w:pStyle w:val="Heading2"/>
        <w:ind w:hanging="567"/>
      </w:pPr>
      <w:r w:rsidRPr="00BE4EA1">
        <w:t>Information Governance</w:t>
      </w:r>
    </w:p>
    <w:p w14:paraId="7693C3FC" w14:textId="747AC134" w:rsidR="00F611B7" w:rsidRDefault="00F611B7" w:rsidP="003D1D4D">
      <w:pPr>
        <w:pStyle w:val="Heading3"/>
        <w:ind w:hanging="567"/>
      </w:pPr>
      <w:r w:rsidRPr="00BE4EA1">
        <w:t xml:space="preserve">The </w:t>
      </w:r>
      <w:r w:rsidR="00CB2E23">
        <w:t>Participating</w:t>
      </w:r>
      <w:r w:rsidRPr="00BE4EA1">
        <w:t xml:space="preserve"> Authority will ensure all patients are informed that their personal information will be shared with the Supplier and other healthcare professionals and may be used to support clinical audit for the purpose of assuring and monitoring the quality of their treatment. </w:t>
      </w:r>
      <w:r w:rsidR="00A26976">
        <w:t xml:space="preserve"> </w:t>
      </w:r>
      <w:r w:rsidRPr="00BE4EA1">
        <w:t>In line with the RPS Professional Standards for Homecare Services.</w:t>
      </w:r>
    </w:p>
    <w:p w14:paraId="01A32C82" w14:textId="617DC459" w:rsidR="00DE20D0" w:rsidRDefault="00DE20D0" w:rsidP="003D1D4D">
      <w:pPr>
        <w:pStyle w:val="Heading3"/>
        <w:ind w:hanging="567"/>
        <w:rPr>
          <w:lang w:eastAsia="en-GB"/>
        </w:rPr>
      </w:pPr>
      <w:r w:rsidRPr="00CD6A84">
        <w:rPr>
          <w:lang w:eastAsia="en-GB"/>
        </w:rPr>
        <w:t xml:space="preserve">As detailed in Schedule 3 of the Agreement all requirements of the Data Protection Act 2018, UK General Data Protection Regulation (GDPR) and any subsequent regulations must be met in full.  </w:t>
      </w:r>
    </w:p>
    <w:p w14:paraId="30E287D7" w14:textId="3E6B0CD4" w:rsidR="00DE20D0" w:rsidRDefault="00DE20D0" w:rsidP="003D1D4D">
      <w:pPr>
        <w:pStyle w:val="Heading3"/>
        <w:ind w:hanging="567"/>
        <w:rPr>
          <w:lang w:eastAsia="en-GB"/>
        </w:rPr>
      </w:pPr>
      <w:r w:rsidRPr="00CD6A84">
        <w:rPr>
          <w:lang w:eastAsia="en-GB"/>
        </w:rPr>
        <w:t>Data Protection Protocols will need to be agreed and signed between Supplier and Participating Authority at service set up.  It is expected that the template Document 5a - Example DPP Homecare Medicines Services is utilised.</w:t>
      </w:r>
    </w:p>
    <w:p w14:paraId="133CFFE9" w14:textId="2452EC37" w:rsidR="00DE20D0" w:rsidRPr="00DE20D0" w:rsidRDefault="00DE20D0" w:rsidP="003D1D4D">
      <w:pPr>
        <w:pStyle w:val="Heading3"/>
        <w:ind w:hanging="567"/>
      </w:pPr>
      <w:r w:rsidRPr="00CD6A84">
        <w:rPr>
          <w:lang w:eastAsia="en-GB"/>
        </w:rPr>
        <w:lastRenderedPageBreak/>
        <w:t xml:space="preserve">To aid Data Protection compliance, Suppliers should confirm they are able to provide at no additional cost a method of secure transfer of documents from Participating Authorities to Supplier. </w:t>
      </w:r>
      <w:r w:rsidR="00A26976">
        <w:rPr>
          <w:lang w:eastAsia="en-GB"/>
        </w:rPr>
        <w:t xml:space="preserve"> </w:t>
      </w:r>
      <w:r w:rsidRPr="00CD6A84">
        <w:rPr>
          <w:lang w:eastAsia="en-GB"/>
        </w:rPr>
        <w:t>Options may include prepaid envelopes, secure guaranteed 1pm next day delivery envelope and/or an agreed collection service.</w:t>
      </w:r>
    </w:p>
    <w:p w14:paraId="1E0571A9" w14:textId="30939595" w:rsidR="00F611B7" w:rsidRPr="00AE3375" w:rsidRDefault="00F611B7" w:rsidP="003D1D4D">
      <w:pPr>
        <w:pStyle w:val="Heading2"/>
        <w:ind w:hanging="567"/>
      </w:pPr>
      <w:r w:rsidRPr="00BE4EA1">
        <w:t>Risk Management</w:t>
      </w:r>
    </w:p>
    <w:p w14:paraId="51E63477" w14:textId="00F9ABD1" w:rsidR="00F611B7" w:rsidRPr="00DE20D0" w:rsidRDefault="00F611B7" w:rsidP="003D1D4D">
      <w:pPr>
        <w:pStyle w:val="Heading3"/>
        <w:ind w:hanging="567"/>
      </w:pPr>
      <w:r w:rsidRPr="00DE20D0">
        <w:t xml:space="preserve">The </w:t>
      </w:r>
      <w:r w:rsidR="00CB2E23">
        <w:t>Participating</w:t>
      </w:r>
      <w:r w:rsidRPr="00DE20D0">
        <w:t xml:space="preserve"> Authority and the Supplier must have a Risk Management Policy. Risks must be deemed to be of an acceptable risk score. If the Parties disagree with a risk assessment, both Parties will work together to reach a consensus view.  </w:t>
      </w:r>
    </w:p>
    <w:p w14:paraId="6403A228" w14:textId="2E6C1D1C" w:rsidR="00F611B7" w:rsidRPr="00DE20D0" w:rsidRDefault="00F611B7" w:rsidP="003D1D4D">
      <w:pPr>
        <w:pStyle w:val="Heading3"/>
        <w:ind w:hanging="567"/>
      </w:pPr>
      <w:r w:rsidRPr="00DE20D0">
        <w:t xml:space="preserve">The Supplier may refuse to provide services which it deems to be </w:t>
      </w:r>
      <w:proofErr w:type="gramStart"/>
      <w:r w:rsidRPr="00DE20D0">
        <w:t>unsafe</w:t>
      </w:r>
      <w:proofErr w:type="gramEnd"/>
      <w:r w:rsidRPr="00DE20D0">
        <w:t xml:space="preserve"> or which represent unacceptable risk to patient safety under its Risk Management Policy.  Where appropriate, the Supplier will work with the </w:t>
      </w:r>
      <w:r w:rsidR="00CB2E23">
        <w:t>Participating</w:t>
      </w:r>
      <w:r w:rsidRPr="00DE20D0">
        <w:t xml:space="preserve"> Authority to find an acceptable alternative to facilitate the patient's care.  </w:t>
      </w:r>
    </w:p>
    <w:p w14:paraId="662E2BAF" w14:textId="5BD19CBA" w:rsidR="00F611B7" w:rsidRPr="00DE20D0" w:rsidRDefault="00F611B7" w:rsidP="003D1D4D">
      <w:pPr>
        <w:pStyle w:val="Heading2"/>
        <w:ind w:hanging="567"/>
      </w:pPr>
      <w:r w:rsidRPr="00DE20D0">
        <w:t>Business Continuity and Contingency Planning</w:t>
      </w:r>
    </w:p>
    <w:p w14:paraId="144ED0EA" w14:textId="4BA00B83" w:rsidR="00F611B7" w:rsidRDefault="00F611B7" w:rsidP="003D1D4D">
      <w:pPr>
        <w:pStyle w:val="Heading3"/>
        <w:ind w:hanging="567"/>
      </w:pPr>
      <w:r w:rsidRPr="00DE20D0">
        <w:t>The Supplier must hold and maintain an appropriate Business Continuity Plan</w:t>
      </w:r>
      <w:r w:rsidR="007A3552">
        <w:t xml:space="preserve"> (BPC) </w:t>
      </w:r>
      <w:r w:rsidRPr="00DE20D0">
        <w:t xml:space="preserve"> in accordance with </w:t>
      </w:r>
      <w:r w:rsidR="002568C5">
        <w:t>S</w:t>
      </w:r>
      <w:r w:rsidRPr="00DE20D0">
        <w:t>chedule 2 of the Agreement including major incident and emergency planning.</w:t>
      </w:r>
      <w:r w:rsidR="00183BF3" w:rsidRPr="00DE20D0">
        <w:t xml:space="preserve"> Suppliers should test its BCP at reasonable intervals, and in any event no less than once every 12 months.  </w:t>
      </w:r>
    </w:p>
    <w:p w14:paraId="726E8C0A" w14:textId="01A40200" w:rsidR="00DE20D0" w:rsidRPr="00DE20D0" w:rsidRDefault="00DE20D0" w:rsidP="003D1D4D">
      <w:pPr>
        <w:pStyle w:val="Heading3"/>
        <w:ind w:hanging="567"/>
      </w:pPr>
      <w:r>
        <w:t>Suppliers BCP should be available on request throughout the life of the Agreement.</w:t>
      </w:r>
    </w:p>
    <w:p w14:paraId="743C0439" w14:textId="4E9CC9AE" w:rsidR="00F611B7" w:rsidRDefault="00F611B7" w:rsidP="003D1D4D">
      <w:pPr>
        <w:pStyle w:val="Heading3"/>
        <w:ind w:hanging="567"/>
      </w:pPr>
      <w:r w:rsidRPr="00BE4EA1">
        <w:t xml:space="preserve">The Supplier will have contingency plans in place for credible threats including but not limited to vehicle breakdown, adverse weather, pandemic, </w:t>
      </w:r>
      <w:r w:rsidR="00301E6F" w:rsidRPr="00BE4EA1">
        <w:t>Cyber-attacks</w:t>
      </w:r>
      <w:r w:rsidRPr="00BE4EA1">
        <w:t>, IT system failures and shortfall in the supply of medicines, ancillaries or equipment. The Authority and the Supplier will work in good faith to manage any stock shortages or other unexpected event in accordance with applicable national guidance and procedures.</w:t>
      </w:r>
    </w:p>
    <w:p w14:paraId="6FF1EC0E" w14:textId="2EF9B8BE" w:rsidR="00DE20D0" w:rsidRPr="00DE20D0" w:rsidRDefault="00DE20D0" w:rsidP="003D1D4D">
      <w:pPr>
        <w:pStyle w:val="Heading3"/>
        <w:ind w:hanging="567"/>
      </w:pPr>
      <w:r w:rsidRPr="00183BF3">
        <w:rPr>
          <w:lang w:eastAsia="en-GB"/>
        </w:rPr>
        <w:t>The Supplier will provide adequate facilities and resources to provide the services to the level described within the specification.</w:t>
      </w:r>
    </w:p>
    <w:p w14:paraId="004488DC" w14:textId="53CF7EA7" w:rsidR="00DE20D0" w:rsidRDefault="00DE20D0" w:rsidP="003D1D4D">
      <w:pPr>
        <w:pStyle w:val="Heading3"/>
        <w:ind w:hanging="567"/>
        <w:rPr>
          <w:lang w:eastAsia="en-GB"/>
        </w:rPr>
      </w:pPr>
      <w:r w:rsidRPr="00183BF3">
        <w:rPr>
          <w:lang w:eastAsia="en-GB"/>
        </w:rPr>
        <w:t xml:space="preserve">The Supplier will represent accurately and honestly their capability to </w:t>
      </w:r>
      <w:proofErr w:type="gramStart"/>
      <w:r w:rsidRPr="00183BF3">
        <w:rPr>
          <w:lang w:eastAsia="en-GB"/>
        </w:rPr>
        <w:t>deliver a homecare service at all times</w:t>
      </w:r>
      <w:proofErr w:type="gramEnd"/>
      <w:r w:rsidRPr="00183BF3">
        <w:rPr>
          <w:lang w:eastAsia="en-GB"/>
        </w:rPr>
        <w:t xml:space="preserve"> during the tendering process and throughout the life of the </w:t>
      </w:r>
      <w:r>
        <w:rPr>
          <w:lang w:eastAsia="en-GB"/>
        </w:rPr>
        <w:t>Agreement.</w:t>
      </w:r>
    </w:p>
    <w:p w14:paraId="571F3103" w14:textId="37638726" w:rsidR="00DE20D0" w:rsidRDefault="00DE20D0" w:rsidP="003D1D4D">
      <w:pPr>
        <w:pStyle w:val="Heading3"/>
        <w:ind w:hanging="567"/>
        <w:rPr>
          <w:lang w:eastAsia="en-GB"/>
        </w:rPr>
      </w:pPr>
      <w:r w:rsidRPr="00183BF3">
        <w:rPr>
          <w:lang w:eastAsia="en-GB"/>
        </w:rPr>
        <w:t>The Supplier will communicate with the Participating Authority and Authority if it is unable to fulfil any contracted or otherwise agreed duties in a timely manner to reduce risk to the contracted service.</w:t>
      </w:r>
    </w:p>
    <w:p w14:paraId="1AFD592C" w14:textId="347A691C" w:rsidR="00183BF3" w:rsidRPr="00183BF3" w:rsidRDefault="00DE20D0" w:rsidP="003D1D4D">
      <w:pPr>
        <w:pStyle w:val="Heading3"/>
        <w:ind w:hanging="567"/>
      </w:pPr>
      <w:r w:rsidRPr="00183BF3">
        <w:rPr>
          <w:lang w:eastAsia="en-GB"/>
        </w:rPr>
        <w:t>Suppliers are required to advise the Participating Authority and Authority as soon as they become aware of any circumstances which have the potential to have a detrimental effect on the homecare service or compliance with this specification.</w:t>
      </w:r>
    </w:p>
    <w:p w14:paraId="6C4AD0D8" w14:textId="3626D6CA" w:rsidR="00F611B7" w:rsidRPr="00BE4EA1" w:rsidRDefault="00F611B7" w:rsidP="003D1D4D">
      <w:pPr>
        <w:pStyle w:val="Heading2"/>
        <w:ind w:hanging="567"/>
      </w:pPr>
      <w:r w:rsidRPr="00BE4EA1">
        <w:t xml:space="preserve">Safe Guarding </w:t>
      </w:r>
    </w:p>
    <w:p w14:paraId="0D3AE11D" w14:textId="6721B01B" w:rsidR="00F611B7" w:rsidRPr="00DE20D0" w:rsidRDefault="00F611B7" w:rsidP="003D1D4D">
      <w:pPr>
        <w:pStyle w:val="Heading3"/>
        <w:ind w:hanging="567"/>
      </w:pPr>
      <w:r w:rsidRPr="00DE20D0">
        <w:t xml:space="preserve">The Supplier </w:t>
      </w:r>
      <w:r w:rsidR="00AF4300" w:rsidRPr="00DE20D0">
        <w:t>must ensure that all relevant staff, including all sub-contractors have undergone England and Wales Disclosure and Barring Service (DBS) for Scotland Protecting Vulnerable Groups Scheme (PVG) for Northern Ireland Access NI clearance in accordance with the prevailing regulations. Suppliers will bear the cost of carrying out these checks.</w:t>
      </w:r>
    </w:p>
    <w:p w14:paraId="17DD8578" w14:textId="21E7D825" w:rsidR="00AF4300" w:rsidRPr="00DE20D0" w:rsidRDefault="00AF4300" w:rsidP="003D1D4D">
      <w:pPr>
        <w:pStyle w:val="Heading3"/>
        <w:ind w:hanging="567"/>
      </w:pPr>
      <w:r w:rsidRPr="00DE20D0">
        <w:t xml:space="preserve">Where relevant, the </w:t>
      </w:r>
      <w:r w:rsidR="00CB2E23">
        <w:t>Participating</w:t>
      </w:r>
      <w:r w:rsidRPr="00DE20D0">
        <w:t xml:space="preserve"> Authority requires that all Supplier's Staff who have direct contact with vulnerable patients have undertaken mandatory safeguarding training, relevant to their role and undertake regular refresher training.  The Supplier will provide the </w:t>
      </w:r>
      <w:r w:rsidR="00CB2E23">
        <w:t>Participating</w:t>
      </w:r>
      <w:r w:rsidRPr="00DE20D0">
        <w:t xml:space="preserve"> Authority with details including the name of the organisation that delivers the training and a </w:t>
      </w:r>
      <w:r w:rsidRPr="00DE20D0">
        <w:lastRenderedPageBreak/>
        <w:t xml:space="preserve">description of the training programme and the frequency of refresher training on request.  The </w:t>
      </w:r>
      <w:r w:rsidR="00CB2E23">
        <w:t>Participating</w:t>
      </w:r>
      <w:r w:rsidRPr="00DE20D0">
        <w:t xml:space="preserve"> Authority may audit training records to ensure compliance with this provision.</w:t>
      </w:r>
    </w:p>
    <w:p w14:paraId="76C7B428" w14:textId="36E20A7F" w:rsidR="00AF4300" w:rsidRPr="00E0564F" w:rsidRDefault="00AF4300" w:rsidP="003D1D4D">
      <w:pPr>
        <w:pStyle w:val="Heading2"/>
        <w:ind w:hanging="567"/>
      </w:pPr>
      <w:r w:rsidRPr="00E0564F">
        <w:t>Training and Competence of all Supplier's staff including non-clinical staff</w:t>
      </w:r>
    </w:p>
    <w:p w14:paraId="6B79CE9B" w14:textId="557624E4" w:rsidR="00AF4300" w:rsidRPr="00DE20D0" w:rsidRDefault="00AF4300" w:rsidP="003D1D4D">
      <w:pPr>
        <w:pStyle w:val="Heading3"/>
        <w:ind w:hanging="567"/>
      </w:pPr>
      <w:r w:rsidRPr="00DE20D0">
        <w:t xml:space="preserve">The Supplier must ensure all staff are trained and competent to perform the activities requested of them. All staff must have  </w:t>
      </w:r>
    </w:p>
    <w:p w14:paraId="583F931D" w14:textId="55B6EC36" w:rsidR="00AF4300" w:rsidRPr="00DE20D0" w:rsidRDefault="00AF4300" w:rsidP="00DC4DE8">
      <w:pPr>
        <w:pStyle w:val="ListParagraph"/>
        <w:ind w:hanging="567"/>
      </w:pPr>
      <w:r w:rsidRPr="00DE20D0">
        <w:t>job specifications</w:t>
      </w:r>
    </w:p>
    <w:p w14:paraId="65CD174F" w14:textId="7BEDA111" w:rsidR="00AF4300" w:rsidRPr="00DE20D0" w:rsidRDefault="00AF4300" w:rsidP="00DC4DE8">
      <w:pPr>
        <w:pStyle w:val="ListParagraph"/>
        <w:ind w:hanging="567"/>
      </w:pPr>
      <w:r w:rsidRPr="00DE20D0">
        <w:t>orientation and induction</w:t>
      </w:r>
    </w:p>
    <w:p w14:paraId="23126711" w14:textId="422EB659" w:rsidR="00AF4300" w:rsidRPr="00DE20D0" w:rsidRDefault="00FB3EA2" w:rsidP="00DC4DE8">
      <w:pPr>
        <w:pStyle w:val="ListParagraph"/>
        <w:ind w:hanging="567"/>
      </w:pPr>
      <w:r w:rsidRPr="00DE20D0">
        <w:t>k</w:t>
      </w:r>
      <w:r w:rsidR="00AF4300" w:rsidRPr="00DE20D0">
        <w:t>nowledge of relevant organisation policies</w:t>
      </w:r>
    </w:p>
    <w:p w14:paraId="2F7E4CB0" w14:textId="65C6935A" w:rsidR="00AF4300" w:rsidRPr="00DE20D0" w:rsidRDefault="00AF4300" w:rsidP="00DC4DE8">
      <w:pPr>
        <w:pStyle w:val="ListParagraph"/>
        <w:ind w:hanging="567"/>
      </w:pPr>
      <w:r w:rsidRPr="00DE20D0">
        <w:t>evidence of training to perform the activities in their job specification</w:t>
      </w:r>
    </w:p>
    <w:p w14:paraId="66575744" w14:textId="0D73DC1C" w:rsidR="00AF4300" w:rsidRPr="00DE20D0" w:rsidRDefault="00AF4300" w:rsidP="00DC4DE8">
      <w:pPr>
        <w:pStyle w:val="ListParagraph"/>
        <w:ind w:hanging="567"/>
      </w:pPr>
      <w:r w:rsidRPr="00DE20D0">
        <w:t>training in their individual responsibility towards health &amp; safety, safeguarding and information governance.</w:t>
      </w:r>
    </w:p>
    <w:p w14:paraId="79BA76D9" w14:textId="3B2F0277" w:rsidR="00AF4300" w:rsidRPr="00DE20D0" w:rsidRDefault="00AF4300" w:rsidP="003D1D4D">
      <w:pPr>
        <w:pStyle w:val="Heading3"/>
        <w:ind w:hanging="567"/>
      </w:pPr>
      <w:r w:rsidRPr="00DE20D0">
        <w:t>The training plans and training programmes will be reviewed and updated on a regular basis to ensure they are based on current good practice.</w:t>
      </w:r>
    </w:p>
    <w:p w14:paraId="303900AD" w14:textId="64556098" w:rsidR="00BE4EA1" w:rsidRDefault="00AF4300" w:rsidP="003D1D4D">
      <w:pPr>
        <w:pStyle w:val="Heading3"/>
        <w:ind w:hanging="567"/>
      </w:pPr>
      <w:r w:rsidRPr="00BE4EA1">
        <w:t>Suppliers must ensure that all relevant staff have an appropriate level of knowledge and expertise on the medicines, ancillaries and equipment used in the clinical specialities relevant to the Service.</w:t>
      </w:r>
      <w:r w:rsidR="00BE5F1C">
        <w:t xml:space="preserve">  </w:t>
      </w:r>
      <w:r w:rsidRPr="00BE4EA1">
        <w:t>For example</w:t>
      </w:r>
    </w:p>
    <w:p w14:paraId="2C31164D" w14:textId="7DDBA871" w:rsidR="00BE4EA1" w:rsidRDefault="00FB3EA2" w:rsidP="00DC4DE8">
      <w:pPr>
        <w:pStyle w:val="ListParagraph"/>
        <w:ind w:hanging="567"/>
      </w:pPr>
      <w:r>
        <w:t>r</w:t>
      </w:r>
      <w:r w:rsidR="00AF4300" w:rsidRPr="00BE4EA1">
        <w:t>elevant equipment management</w:t>
      </w:r>
    </w:p>
    <w:p w14:paraId="67382BA2" w14:textId="6C0E56AE" w:rsidR="00BE4EA1" w:rsidRDefault="00DE20D0" w:rsidP="00DC4DE8">
      <w:pPr>
        <w:pStyle w:val="ListParagraph"/>
        <w:ind w:hanging="567"/>
      </w:pPr>
      <w:r>
        <w:t>e</w:t>
      </w:r>
      <w:r w:rsidRPr="00BE4EA1">
        <w:t>vidence</w:t>
      </w:r>
      <w:r w:rsidR="00AF4300" w:rsidRPr="00BE4EA1">
        <w:t xml:space="preserve"> based clinical decision making</w:t>
      </w:r>
    </w:p>
    <w:p w14:paraId="181EF735" w14:textId="08FF68C2" w:rsidR="00BE4EA1" w:rsidRDefault="00FB3EA2" w:rsidP="00DC4DE8">
      <w:pPr>
        <w:pStyle w:val="ListParagraph"/>
        <w:ind w:hanging="567"/>
      </w:pPr>
      <w:r>
        <w:t>s</w:t>
      </w:r>
      <w:r w:rsidR="00AF4300" w:rsidRPr="00BE4EA1">
        <w:t>ide effect management</w:t>
      </w:r>
    </w:p>
    <w:p w14:paraId="1BB62C0D" w14:textId="65FDAF06" w:rsidR="00BE4EA1" w:rsidRDefault="00FB3EA2" w:rsidP="00DC4DE8">
      <w:pPr>
        <w:pStyle w:val="ListParagraph"/>
        <w:ind w:hanging="567"/>
      </w:pPr>
      <w:r>
        <w:t>d</w:t>
      </w:r>
      <w:r w:rsidR="00AF4300" w:rsidRPr="00BE4EA1">
        <w:t>isease awareness</w:t>
      </w:r>
    </w:p>
    <w:p w14:paraId="3266BAFE" w14:textId="6D6E64A0" w:rsidR="00BE4EA1" w:rsidRDefault="00FB3EA2" w:rsidP="00DC4DE8">
      <w:pPr>
        <w:pStyle w:val="ListParagraph"/>
        <w:ind w:hanging="567"/>
      </w:pPr>
      <w:r>
        <w:t>s</w:t>
      </w:r>
      <w:r w:rsidR="00AF4300" w:rsidRPr="00BE4EA1">
        <w:t>pecific therapies, as prescribed.</w:t>
      </w:r>
    </w:p>
    <w:p w14:paraId="37A89FDA" w14:textId="7BA36427" w:rsidR="00BE4EA1" w:rsidRDefault="00FB3EA2" w:rsidP="00DC4DE8">
      <w:pPr>
        <w:pStyle w:val="ListParagraph"/>
        <w:ind w:hanging="567"/>
      </w:pPr>
      <w:r>
        <w:t>d</w:t>
      </w:r>
      <w:r w:rsidR="00AF4300" w:rsidRPr="00BE4EA1">
        <w:t>rug cost awareness</w:t>
      </w:r>
    </w:p>
    <w:p w14:paraId="0BB06EE1" w14:textId="0B956203" w:rsidR="00BE4EA1" w:rsidRDefault="00FB3EA2" w:rsidP="00DC4DE8">
      <w:pPr>
        <w:pStyle w:val="ListParagraph"/>
        <w:ind w:hanging="567"/>
      </w:pPr>
      <w:r>
        <w:t>r</w:t>
      </w:r>
      <w:r w:rsidR="00AF4300" w:rsidRPr="00BE4EA1">
        <w:t>econstitution of drug awareness e.g. Myozyme –protein strands are produced if not reconstituted according to guidelines/policy</w:t>
      </w:r>
    </w:p>
    <w:p w14:paraId="078AA071" w14:textId="21199FE7" w:rsidR="00AF4300" w:rsidRDefault="00AF4300" w:rsidP="00DC4DE8">
      <w:pPr>
        <w:pStyle w:val="ListParagraph"/>
        <w:ind w:hanging="567"/>
      </w:pPr>
      <w:r w:rsidRPr="00BE4EA1">
        <w:t>ICH/cGCP</w:t>
      </w:r>
    </w:p>
    <w:p w14:paraId="73C6870C" w14:textId="77777777" w:rsidR="00A507B7" w:rsidRDefault="00A507B7" w:rsidP="00A507B7">
      <w:pPr>
        <w:pStyle w:val="Heading3"/>
        <w:ind w:hanging="567"/>
      </w:pPr>
      <w:r w:rsidRPr="001A65E9">
        <w:rPr>
          <w:lang w:eastAsia="en-GB"/>
        </w:rPr>
        <w:t>The Supplier must ensure the clinical staff providing Intravenous infusion services have achieved the following additional competencies. Where staff are in training, it is anticipated that they will be supervised until they have been formally assessed as competent.</w:t>
      </w:r>
    </w:p>
    <w:p w14:paraId="2237D47E" w14:textId="77777777" w:rsidR="00A507B7" w:rsidRDefault="00A507B7" w:rsidP="00DC4DE8">
      <w:pPr>
        <w:pStyle w:val="ListParagraph"/>
        <w:ind w:hanging="567"/>
      </w:pPr>
      <w:r w:rsidRPr="001A65E9">
        <w:rPr>
          <w:lang w:eastAsia="en-GB"/>
        </w:rPr>
        <w:t xml:space="preserve">Phlebotomy </w:t>
      </w:r>
    </w:p>
    <w:p w14:paraId="52DFA670" w14:textId="77777777" w:rsidR="00A507B7" w:rsidRDefault="00A507B7" w:rsidP="00DC4DE8">
      <w:pPr>
        <w:pStyle w:val="ListParagraph"/>
        <w:ind w:hanging="567"/>
      </w:pPr>
      <w:r w:rsidRPr="001A65E9">
        <w:rPr>
          <w:lang w:eastAsia="en-GB"/>
        </w:rPr>
        <w:t>Cannulation</w:t>
      </w:r>
      <w:r>
        <w:rPr>
          <w:lang w:eastAsia="en-GB"/>
        </w:rPr>
        <w:t>s</w:t>
      </w:r>
    </w:p>
    <w:p w14:paraId="6900E729" w14:textId="77777777" w:rsidR="00A507B7" w:rsidRDefault="00A507B7" w:rsidP="00DC4DE8">
      <w:pPr>
        <w:pStyle w:val="ListParagraph"/>
        <w:ind w:hanging="567"/>
      </w:pPr>
      <w:r w:rsidRPr="001A65E9">
        <w:rPr>
          <w:lang w:eastAsia="en-GB"/>
        </w:rPr>
        <w:t xml:space="preserve">Intravenous therapy in line with RCN and NMC guidelines including management of intravenous indwelling device </w:t>
      </w:r>
    </w:p>
    <w:p w14:paraId="62B0ECE1" w14:textId="77777777" w:rsidR="00A507B7" w:rsidRDefault="00A507B7" w:rsidP="00DC4DE8">
      <w:pPr>
        <w:pStyle w:val="ListParagraph"/>
        <w:ind w:hanging="567"/>
      </w:pPr>
      <w:r w:rsidRPr="001A65E9">
        <w:rPr>
          <w:lang w:eastAsia="en-GB"/>
        </w:rPr>
        <w:t>Anaphylaxis management/ basic life-support relevant to area of clinical practice</w:t>
      </w:r>
    </w:p>
    <w:p w14:paraId="387C5D8A" w14:textId="77777777" w:rsidR="00A507B7" w:rsidRDefault="00A507B7" w:rsidP="00DC4DE8">
      <w:pPr>
        <w:pStyle w:val="ListParagraph"/>
        <w:ind w:hanging="567"/>
      </w:pPr>
      <w:r w:rsidRPr="001A65E9">
        <w:rPr>
          <w:lang w:eastAsia="en-GB"/>
        </w:rPr>
        <w:t>Practical use of relevant equipment management maintenance and troubleshooting issues</w:t>
      </w:r>
    </w:p>
    <w:p w14:paraId="161D3CE5" w14:textId="77777777" w:rsidR="00A507B7" w:rsidRDefault="00A507B7" w:rsidP="00DC4DE8">
      <w:pPr>
        <w:pStyle w:val="ListParagraph"/>
        <w:ind w:hanging="567"/>
      </w:pPr>
      <w:r w:rsidRPr="001A65E9">
        <w:rPr>
          <w:lang w:eastAsia="en-GB"/>
        </w:rPr>
        <w:t>Aseptic No Touch Technique (ANTT)</w:t>
      </w:r>
    </w:p>
    <w:p w14:paraId="7AB5D4C9" w14:textId="77777777" w:rsidR="00A507B7" w:rsidRDefault="00A507B7" w:rsidP="00DC4DE8">
      <w:pPr>
        <w:pStyle w:val="ListParagraph"/>
        <w:ind w:hanging="567"/>
      </w:pPr>
      <w:r w:rsidRPr="001A65E9">
        <w:rPr>
          <w:lang w:eastAsia="en-GB"/>
        </w:rPr>
        <w:t>Side effect management, including the management of all types of infusion related  reactions</w:t>
      </w:r>
    </w:p>
    <w:p w14:paraId="2CB11AAE" w14:textId="77777777" w:rsidR="00A507B7" w:rsidRDefault="00A507B7" w:rsidP="00DC4DE8">
      <w:pPr>
        <w:pStyle w:val="ListParagraph"/>
        <w:ind w:hanging="567"/>
      </w:pPr>
      <w:r w:rsidRPr="001A65E9">
        <w:rPr>
          <w:lang w:eastAsia="en-GB"/>
        </w:rPr>
        <w:t xml:space="preserve">Detailed knowledge of prescribed therapies including special instructions for use and learning from patient safety </w:t>
      </w:r>
      <w:r>
        <w:rPr>
          <w:lang w:eastAsia="en-GB"/>
        </w:rPr>
        <w:t>in</w:t>
      </w:r>
      <w:r w:rsidRPr="001A65E9">
        <w:rPr>
          <w:lang w:eastAsia="en-GB"/>
        </w:rPr>
        <w:t>cidents and near misses.</w:t>
      </w:r>
    </w:p>
    <w:p w14:paraId="21596233" w14:textId="77777777" w:rsidR="00A507B7" w:rsidRDefault="00A507B7" w:rsidP="00DC4DE8">
      <w:pPr>
        <w:pStyle w:val="ListParagraph"/>
        <w:ind w:hanging="567"/>
      </w:pPr>
      <w:r>
        <w:rPr>
          <w:lang w:eastAsia="en-GB"/>
        </w:rPr>
        <w:t>Ex</w:t>
      </w:r>
      <w:r w:rsidRPr="001A65E9">
        <w:rPr>
          <w:lang w:eastAsia="en-GB"/>
        </w:rPr>
        <w:t>travasation</w:t>
      </w:r>
    </w:p>
    <w:p w14:paraId="7D1901F6" w14:textId="77777777" w:rsidR="00A507B7" w:rsidRDefault="00A507B7" w:rsidP="00DC4DE8">
      <w:pPr>
        <w:pStyle w:val="ListParagraph"/>
        <w:ind w:hanging="567"/>
      </w:pPr>
      <w:r w:rsidRPr="001A65E9">
        <w:rPr>
          <w:lang w:eastAsia="en-GB"/>
        </w:rPr>
        <w:t>Totally Implantable Vascular Access Device (TIVAD) blockage and how to deal with them</w:t>
      </w:r>
    </w:p>
    <w:p w14:paraId="436D267D" w14:textId="77777777" w:rsidR="00A507B7" w:rsidRPr="00526037" w:rsidRDefault="00A507B7" w:rsidP="00DC4DE8">
      <w:pPr>
        <w:pStyle w:val="ListParagraph"/>
        <w:ind w:hanging="567"/>
      </w:pPr>
      <w:r w:rsidRPr="001A65E9">
        <w:rPr>
          <w:lang w:eastAsia="en-GB"/>
        </w:rPr>
        <w:t>Management and awareness of venous access difficulties</w:t>
      </w:r>
    </w:p>
    <w:p w14:paraId="6F182613" w14:textId="77777777" w:rsidR="00A507B7" w:rsidRDefault="00A507B7" w:rsidP="00DB757B"/>
    <w:p w14:paraId="4AF9E936" w14:textId="2323715F" w:rsidR="001A65E9" w:rsidRPr="00912A71" w:rsidRDefault="00DE20D0" w:rsidP="003D1D4D">
      <w:pPr>
        <w:pStyle w:val="Heading3"/>
        <w:ind w:hanging="567"/>
      </w:pPr>
      <w:r w:rsidRPr="00912A71">
        <w:rPr>
          <w:lang w:eastAsia="en-GB"/>
        </w:rPr>
        <w:t>Suppliers should be able to provide</w:t>
      </w:r>
      <w:r w:rsidR="006B57F3" w:rsidRPr="00912A71">
        <w:rPr>
          <w:lang w:eastAsia="en-GB"/>
        </w:rPr>
        <w:t xml:space="preserve"> copies of any Procedure, training plans, training programmes and competency assessments if requested by Participating Authorities throughout the Agreement.</w:t>
      </w:r>
    </w:p>
    <w:p w14:paraId="6C62A223" w14:textId="0CF9A734" w:rsidR="00174B38" w:rsidRDefault="00174B38" w:rsidP="003D1D4D">
      <w:pPr>
        <w:pStyle w:val="Heading3"/>
        <w:ind w:hanging="567"/>
      </w:pPr>
      <w:r>
        <w:lastRenderedPageBreak/>
        <w:t xml:space="preserve">Where regional or national training is available this should be utilised unless </w:t>
      </w:r>
      <w:r w:rsidR="00FB1BE5">
        <w:t>otherwise</w:t>
      </w:r>
      <w:r>
        <w:t xml:space="preserve"> agreed by Parties.</w:t>
      </w:r>
    </w:p>
    <w:p w14:paraId="12CD7F33" w14:textId="246FB43F" w:rsidR="00BE4EA1" w:rsidRDefault="00AF4300" w:rsidP="003D1D4D">
      <w:pPr>
        <w:pStyle w:val="Heading3"/>
        <w:ind w:hanging="567"/>
      </w:pPr>
      <w:r w:rsidRPr="00BE4EA1">
        <w:t xml:space="preserve">Suppliers must ensure any new staff or staff moving between roles are trained accordingly prior to taking responsibility for delivery of the Service. </w:t>
      </w:r>
      <w:r w:rsidR="00174B38">
        <w:t xml:space="preserve"> </w:t>
      </w:r>
      <w:r w:rsidRPr="00BE4EA1">
        <w:t>Where staff are in training, it is anticipated that they will be supervised until they have been formally assessed and deemed competent.</w:t>
      </w:r>
    </w:p>
    <w:p w14:paraId="034241AB" w14:textId="77777777" w:rsidR="00CD6A84" w:rsidRDefault="00AF4300" w:rsidP="003D1D4D">
      <w:pPr>
        <w:pStyle w:val="Heading3"/>
        <w:ind w:hanging="567"/>
      </w:pPr>
      <w:r w:rsidRPr="00BE4EA1">
        <w:t>The Supplier must facilitate Continual Professional Development (CPD) for all professional staff as required by their respective professional body.  The Supplier must have a robust mechanism to ensure that relevant professional registrations are maintained.</w:t>
      </w:r>
    </w:p>
    <w:p w14:paraId="228BD66E" w14:textId="7CB86AEF" w:rsidR="00CD6A84" w:rsidRDefault="00CD6A84" w:rsidP="003D1D4D">
      <w:pPr>
        <w:pStyle w:val="Heading3"/>
        <w:ind w:hanging="567"/>
      </w:pPr>
      <w:r w:rsidRPr="00CD6A84">
        <w:t>All Suppliers Nurse employees must be registered with the NMC.</w:t>
      </w:r>
    </w:p>
    <w:p w14:paraId="338F07FC" w14:textId="7196F745" w:rsidR="007C0E51" w:rsidRDefault="007C0E51" w:rsidP="00FB1BE5">
      <w:pPr>
        <w:pStyle w:val="Heading3"/>
        <w:numPr>
          <w:ilvl w:val="0"/>
          <w:numId w:val="0"/>
        </w:numPr>
      </w:pPr>
    </w:p>
    <w:p w14:paraId="1A4D4087" w14:textId="58D6ECB9" w:rsidR="00AF4300" w:rsidRPr="00586649" w:rsidRDefault="00AF4300" w:rsidP="003D1D4D">
      <w:pPr>
        <w:pStyle w:val="Heading1"/>
        <w:ind w:hanging="567"/>
      </w:pPr>
      <w:r w:rsidRPr="00586649">
        <w:t>Finance</w:t>
      </w:r>
    </w:p>
    <w:p w14:paraId="48F36EBF" w14:textId="10E77BDF" w:rsidR="00AF4300" w:rsidRPr="00586649" w:rsidRDefault="00AF4300" w:rsidP="003D1D4D">
      <w:pPr>
        <w:pStyle w:val="Heading2"/>
        <w:ind w:hanging="567"/>
      </w:pPr>
      <w:r w:rsidRPr="00586649">
        <w:t>Purchase Orders</w:t>
      </w:r>
    </w:p>
    <w:p w14:paraId="3DEC6E2D" w14:textId="1B6D7A0A" w:rsidR="00AF4300" w:rsidRPr="001613B7" w:rsidRDefault="00AF4300" w:rsidP="003D1D4D">
      <w:pPr>
        <w:pStyle w:val="Heading3"/>
        <w:ind w:hanging="567"/>
      </w:pPr>
      <w:r w:rsidRPr="001613B7">
        <w:t xml:space="preserve">The </w:t>
      </w:r>
      <w:r w:rsidR="00CB2E23">
        <w:t>Participating</w:t>
      </w:r>
      <w:r w:rsidRPr="001613B7">
        <w:t xml:space="preserve"> Authority will generate a unique Purchase Order Number linked to each prescription and provide it to the Supplier.</w:t>
      </w:r>
    </w:p>
    <w:p w14:paraId="43D43DFF" w14:textId="416A7CA9" w:rsidR="00F611B7" w:rsidRPr="00AE3375" w:rsidRDefault="00AF4300" w:rsidP="003D1D4D">
      <w:pPr>
        <w:pStyle w:val="Heading3"/>
        <w:ind w:hanging="567"/>
      </w:pPr>
      <w:r w:rsidRPr="009914EB">
        <w:t>Suppliers should be able to receive orders transmitted electronically in accordance with nationally approved standards.</w:t>
      </w:r>
    </w:p>
    <w:p w14:paraId="07999BFE" w14:textId="78E8D752" w:rsidR="00AF4300" w:rsidRPr="00586649" w:rsidRDefault="00CB2E23" w:rsidP="003D1D4D">
      <w:pPr>
        <w:pStyle w:val="Heading2"/>
        <w:ind w:hanging="567"/>
      </w:pPr>
      <w:r>
        <w:t>P</w:t>
      </w:r>
      <w:r w:rsidR="001862B5">
        <w:t>urchasing</w:t>
      </w:r>
      <w:r w:rsidR="00AF4300" w:rsidRPr="00586649">
        <w:t xml:space="preserve"> of medicines by the supplier</w:t>
      </w:r>
    </w:p>
    <w:p w14:paraId="2B021077" w14:textId="3A526716" w:rsidR="00AF4300" w:rsidRPr="009914EB" w:rsidRDefault="00AF4300" w:rsidP="003D1D4D">
      <w:pPr>
        <w:pStyle w:val="Heading3"/>
        <w:ind w:hanging="567"/>
      </w:pPr>
      <w:r w:rsidRPr="009914EB">
        <w:t xml:space="preserve">Products (including medicines, ancillaries and equipment) to be supplied with the Service and associated pricing must be set out in a Product List </w:t>
      </w:r>
      <w:r w:rsidR="001862B5">
        <w:t xml:space="preserve">within the Order Form </w:t>
      </w:r>
      <w:r w:rsidRPr="009914EB">
        <w:t xml:space="preserve">and agreed by both parties prior to service commencement.   The Supplier will make reasonable efforts to secure products and prices as set out in the Product List and the </w:t>
      </w:r>
      <w:r w:rsidR="00CB2E23">
        <w:t>Participating</w:t>
      </w:r>
      <w:r w:rsidRPr="009914EB">
        <w:t xml:space="preserve"> Authority will provide every assistance possible to ensure the Supplier is successful in gaining that agreement.</w:t>
      </w:r>
    </w:p>
    <w:p w14:paraId="3FD0E067" w14:textId="311B92CB" w:rsidR="00F611B7" w:rsidRPr="009914EB" w:rsidRDefault="00AF4300" w:rsidP="003D1D4D">
      <w:pPr>
        <w:pStyle w:val="Heading3"/>
        <w:ind w:hanging="567"/>
      </w:pPr>
      <w:r w:rsidRPr="009914EB">
        <w:t>Changes to the Product List must be in accordance with the Change Management provisions set out in this specification. In the event of short notice of change to product / price, the Supplier will undertake all reasonable endeavours to action the change in the compressed timeframe.</w:t>
      </w:r>
    </w:p>
    <w:p w14:paraId="09DB3E5B" w14:textId="5A859FB2" w:rsidR="00AF4300" w:rsidRPr="001613B7" w:rsidRDefault="00AF4300" w:rsidP="003D1D4D">
      <w:pPr>
        <w:pStyle w:val="Heading3"/>
        <w:ind w:hanging="567"/>
      </w:pPr>
      <w:r w:rsidRPr="001613B7">
        <w:t>The Supplier will use all reasonable endeavours to source all unspecified medicines, ancillaries and equipment at cost effective prices and any mark-up applied by the Supplier must be proportional to the additional costs incurred by the Supplier in sourcing those products.</w:t>
      </w:r>
    </w:p>
    <w:p w14:paraId="29578723" w14:textId="4CFE2ED0" w:rsidR="00AF4300" w:rsidRPr="001613B7" w:rsidRDefault="00AF4300" w:rsidP="003D1D4D">
      <w:pPr>
        <w:pStyle w:val="Heading3"/>
        <w:ind w:hanging="567"/>
      </w:pPr>
      <w:r w:rsidRPr="001613B7">
        <w:t xml:space="preserve">Product and/or medicine provided by manufacturers or wholesalers to the Supplier for the use by patients of the </w:t>
      </w:r>
      <w:r w:rsidR="00CB2E23">
        <w:t>Participating</w:t>
      </w:r>
      <w:r w:rsidRPr="001613B7">
        <w:t xml:space="preserve"> Authority under this Agreement are not for resale by the Supplier to any third party.</w:t>
      </w:r>
    </w:p>
    <w:p w14:paraId="7D63A32F" w14:textId="4798FE30" w:rsidR="00AF4300" w:rsidRPr="00855F42" w:rsidRDefault="00AF4300" w:rsidP="003D1D4D">
      <w:pPr>
        <w:pStyle w:val="Heading3"/>
        <w:ind w:hanging="567"/>
      </w:pPr>
      <w:r w:rsidRPr="009914EB">
        <w:t xml:space="preserve">In addition to the Section on confidentiality in the Agreement, where the Supplier is given access to NHS contract price information from the </w:t>
      </w:r>
      <w:r w:rsidR="00CB2E23">
        <w:t>Participating</w:t>
      </w:r>
      <w:r w:rsidRPr="009914EB">
        <w:t xml:space="preserve"> Authority </w:t>
      </w:r>
      <w:proofErr w:type="gramStart"/>
      <w:r w:rsidRPr="009914EB">
        <w:t>in order to</w:t>
      </w:r>
      <w:proofErr w:type="gramEnd"/>
      <w:r w:rsidRPr="009914EB">
        <w:t xml:space="preserve"> procure medicines on behalf of the NHS, this information is commercially confidential. Suppliers will not pass prices on to any third party including other companies within their group without the express permission of the </w:t>
      </w:r>
      <w:r w:rsidR="00CB2E23">
        <w:t>Participating</w:t>
      </w:r>
      <w:r w:rsidRPr="009914EB">
        <w:t xml:space="preserve"> Authority</w:t>
      </w:r>
      <w:r w:rsidRPr="009914EB">
        <w:rPr>
          <w:color w:val="00B050"/>
        </w:rPr>
        <w:t>.</w:t>
      </w:r>
      <w:r w:rsidR="00855F42">
        <w:rPr>
          <w:color w:val="00B050"/>
        </w:rPr>
        <w:t xml:space="preserve">  </w:t>
      </w:r>
      <w:r w:rsidR="00855F42" w:rsidRPr="00855F42">
        <w:t xml:space="preserve">Under no circumstances will the </w:t>
      </w:r>
      <w:r w:rsidR="00855F42">
        <w:t>Supplier</w:t>
      </w:r>
      <w:r w:rsidR="00855F42" w:rsidRPr="00855F42">
        <w:t xml:space="preserve"> purchase for the purpose of onward selling or use by a</w:t>
      </w:r>
      <w:r w:rsidR="00FB1BE5">
        <w:t>n</w:t>
      </w:r>
      <w:r w:rsidR="00855F42" w:rsidRPr="00855F42">
        <w:t xml:space="preserve"> NHS Trust outside of the region(s) awarded the </w:t>
      </w:r>
      <w:r w:rsidR="00855F42" w:rsidRPr="009914EB">
        <w:t>NHS contract price</w:t>
      </w:r>
      <w:r w:rsidR="00855F42">
        <w:t>.</w:t>
      </w:r>
    </w:p>
    <w:p w14:paraId="04CBCC54" w14:textId="782E6689" w:rsidR="001613B7" w:rsidRDefault="001613B7" w:rsidP="003D1D4D">
      <w:pPr>
        <w:pStyle w:val="Heading3"/>
        <w:ind w:hanging="567"/>
        <w:rPr>
          <w:lang w:eastAsia="en-GB"/>
        </w:rPr>
      </w:pPr>
      <w:r w:rsidRPr="001A65E9">
        <w:rPr>
          <w:lang w:eastAsia="en-GB"/>
        </w:rPr>
        <w:lastRenderedPageBreak/>
        <w:t>The Participating Authority will aim to give 28</w:t>
      </w:r>
      <w:r w:rsidR="009621C0">
        <w:rPr>
          <w:lang w:eastAsia="en-GB"/>
        </w:rPr>
        <w:t xml:space="preserve"> calendar</w:t>
      </w:r>
      <w:r w:rsidRPr="001A65E9">
        <w:rPr>
          <w:lang w:eastAsia="en-GB"/>
        </w:rPr>
        <w:t xml:space="preserve"> </w:t>
      </w:r>
      <w:proofErr w:type="spellStart"/>
      <w:r w:rsidRPr="001A65E9">
        <w:rPr>
          <w:lang w:eastAsia="en-GB"/>
        </w:rPr>
        <w:t>days notice</w:t>
      </w:r>
      <w:proofErr w:type="spellEnd"/>
      <w:r w:rsidRPr="001A65E9">
        <w:rPr>
          <w:lang w:eastAsia="en-GB"/>
        </w:rPr>
        <w:t xml:space="preserve"> to the Supplier of any new or changed contract or framework pricing that they may have been granted access to use on behalf of the NHS to deliver the service.</w:t>
      </w:r>
    </w:p>
    <w:p w14:paraId="06026F53" w14:textId="6936F864" w:rsidR="001613B7" w:rsidRDefault="001613B7" w:rsidP="003D1D4D">
      <w:pPr>
        <w:pStyle w:val="Heading3"/>
        <w:ind w:hanging="567"/>
        <w:rPr>
          <w:lang w:eastAsia="en-GB"/>
        </w:rPr>
      </w:pPr>
      <w:r w:rsidRPr="001A65E9">
        <w:rPr>
          <w:lang w:eastAsia="en-GB"/>
        </w:rPr>
        <w:t>In the event of short notice of change to product / price, the Supplier shall undertake all reasonable endeavours to action the change in the compressed timeframe.</w:t>
      </w:r>
    </w:p>
    <w:p w14:paraId="7CE413C7" w14:textId="54D7B85F" w:rsidR="001613B7" w:rsidRPr="001613B7" w:rsidRDefault="001613B7" w:rsidP="003D1D4D">
      <w:pPr>
        <w:pStyle w:val="Heading3"/>
        <w:ind w:hanging="567"/>
      </w:pPr>
      <w:r w:rsidRPr="001A65E9">
        <w:rPr>
          <w:lang w:eastAsia="en-GB"/>
        </w:rPr>
        <w:t>The Supplier will be responsible for the ordering, receipt, control and payment for all medicinal products and ancillaries and will be responsible for the maintenance of adequate stock levels to satisfactorily meet the requirements of this Framework.</w:t>
      </w:r>
    </w:p>
    <w:p w14:paraId="30D5E3D2" w14:textId="4B44E0BF" w:rsidR="00AF4300" w:rsidRPr="00586649" w:rsidRDefault="00AF4300" w:rsidP="003D1D4D">
      <w:pPr>
        <w:pStyle w:val="Heading2"/>
        <w:ind w:hanging="567"/>
      </w:pPr>
      <w:r w:rsidRPr="00586649">
        <w:t>Invoicing</w:t>
      </w:r>
    </w:p>
    <w:p w14:paraId="1891B86C" w14:textId="384C08CD" w:rsidR="00AF4300" w:rsidRDefault="00AF4300" w:rsidP="003D1D4D">
      <w:pPr>
        <w:pStyle w:val="Heading3"/>
        <w:ind w:hanging="567"/>
      </w:pPr>
      <w:r w:rsidRPr="001613B7">
        <w:t xml:space="preserve">The Supplier will generate an accurate and valid invoice linked to each Purchase Order Number </w:t>
      </w:r>
      <w:r w:rsidR="00095C6C">
        <w:t>and where required contain patient unique identifier.  The Supplier</w:t>
      </w:r>
      <w:r w:rsidRPr="001613B7">
        <w:t xml:space="preserve"> </w:t>
      </w:r>
      <w:r w:rsidR="00095C6C">
        <w:t xml:space="preserve">will </w:t>
      </w:r>
      <w:r w:rsidRPr="001613B7">
        <w:t>use best endeavours to provide it to the Authority within 4 weeks of service delivery</w:t>
      </w:r>
      <w:r w:rsidR="001A65E9" w:rsidRPr="001613B7">
        <w:t xml:space="preserve"> in line with the invoice terms in the NHS Framework Agreement for the Supply of Goods and the Provision of Services - Framework (Homecare Medicines Version)</w:t>
      </w:r>
      <w:r w:rsidRPr="001613B7">
        <w:t>. The Authority and Supplier will use best endeavours to receive or transmit invoices electronically in accordance with nationally approved standards.</w:t>
      </w:r>
    </w:p>
    <w:p w14:paraId="6A0BF9E5" w14:textId="79549F88" w:rsidR="00095C6C" w:rsidRDefault="00095C6C" w:rsidP="00FB1BE5">
      <w:pPr>
        <w:pStyle w:val="Heading3"/>
        <w:ind w:hanging="573"/>
      </w:pPr>
      <w:r>
        <w:t>The content of the invoice and transmission process of those invoices will be agreed with both parties and documented in the Order Form.</w:t>
      </w:r>
      <w:r w:rsidR="00787335">
        <w:t xml:space="preserve">  Some Participating </w:t>
      </w:r>
      <w:r w:rsidR="00855F42">
        <w:t>Authorities</w:t>
      </w:r>
      <w:r w:rsidR="00787335">
        <w:t xml:space="preserve"> may require patient details; if this is the case then this must be compliant with the Data Security and Protection Toolkit Standards</w:t>
      </w:r>
      <w:r w:rsidR="00855F42">
        <w:t xml:space="preserve"> </w:t>
      </w:r>
      <w:r w:rsidR="00787335">
        <w:t>(DSPT) or documented</w:t>
      </w:r>
      <w:r w:rsidR="00855F42">
        <w:t xml:space="preserve"> and controlled </w:t>
      </w:r>
      <w:r w:rsidR="00174B38">
        <w:t>via</w:t>
      </w:r>
      <w:r w:rsidR="00855F42">
        <w:t xml:space="preserve"> data processing or data sharing agreement between parties.</w:t>
      </w:r>
      <w:r w:rsidR="00855F42" w:rsidRPr="00855F42">
        <w:rPr>
          <w:noProof/>
        </w:rPr>
        <w:t xml:space="preserve"> </w:t>
      </w:r>
      <w:r w:rsidR="00855F42">
        <w:rPr>
          <w:rFonts w:asciiTheme="minorHAnsi" w:hAnsi="Calibri" w:cstheme="minorBidi"/>
          <w:color w:val="0000FF"/>
          <w:sz w:val="22"/>
          <w:szCs w:val="22"/>
          <w:u w:val="single"/>
        </w:rPr>
        <w:t>https://www.dsptoolkit.nhs.uk/</w:t>
      </w:r>
    </w:p>
    <w:p w14:paraId="309B31B0" w14:textId="77777777" w:rsidR="00855F42" w:rsidRDefault="00AF4300" w:rsidP="003D1D4D">
      <w:pPr>
        <w:pStyle w:val="Heading3"/>
        <w:ind w:hanging="567"/>
        <w:rPr>
          <w:lang w:eastAsia="en-GB"/>
        </w:rPr>
      </w:pPr>
      <w:r w:rsidRPr="009914EB">
        <w:t>All</w:t>
      </w:r>
      <w:r w:rsidR="004F3C0C" w:rsidRPr="009914EB">
        <w:t xml:space="preserve"> invoices must be supported by appropriate evidence</w:t>
      </w:r>
      <w:r w:rsidR="00855F42">
        <w:t xml:space="preserve"> showing</w:t>
      </w:r>
      <w:r w:rsidR="004F3C0C" w:rsidRPr="009914EB">
        <w:t xml:space="preserve"> that:- </w:t>
      </w:r>
    </w:p>
    <w:p w14:paraId="6BE35819" w14:textId="71B61B3C" w:rsidR="00855F42" w:rsidRDefault="004F3C0C" w:rsidP="00DC4DE8">
      <w:pPr>
        <w:pStyle w:val="ListParagraph"/>
        <w:numPr>
          <w:ilvl w:val="0"/>
          <w:numId w:val="4"/>
        </w:numPr>
      </w:pPr>
      <w:r w:rsidRPr="009914EB">
        <w:t xml:space="preserve">Goods have been duly received, are in accordance with specification and the prices are correct </w:t>
      </w:r>
    </w:p>
    <w:p w14:paraId="20D16AEC" w14:textId="77777777" w:rsidR="00855F42" w:rsidRPr="00855F42" w:rsidRDefault="004F3C0C" w:rsidP="00DC4DE8">
      <w:pPr>
        <w:pStyle w:val="ListParagraph"/>
        <w:numPr>
          <w:ilvl w:val="0"/>
          <w:numId w:val="4"/>
        </w:numPr>
      </w:pPr>
      <w:r w:rsidRPr="009914EB">
        <w:t>Services rendered have been satisfactorily carried out in accordance with the order and the charges are correct.</w:t>
      </w:r>
      <w:r w:rsidR="002668C0" w:rsidRPr="00855F42">
        <w:t xml:space="preserve"> </w:t>
      </w:r>
    </w:p>
    <w:p w14:paraId="7216E956" w14:textId="77777777" w:rsidR="00855F42" w:rsidRDefault="002668C0" w:rsidP="00855F42">
      <w:pPr>
        <w:pStyle w:val="Heading3"/>
        <w:numPr>
          <w:ilvl w:val="0"/>
          <w:numId w:val="0"/>
        </w:numPr>
        <w:ind w:left="1282" w:hanging="6"/>
        <w:rPr>
          <w:lang w:eastAsia="en-GB"/>
        </w:rPr>
      </w:pPr>
      <w:r w:rsidRPr="002668C0">
        <w:rPr>
          <w:lang w:eastAsia="en-GB"/>
        </w:rPr>
        <w:t>Such evidence of service delivery will be made available for audit purposes and by exception only if there is reasonable doubt that the service has not been received.</w:t>
      </w:r>
    </w:p>
    <w:p w14:paraId="2C66B427" w14:textId="4BBEFA5D" w:rsidR="00787335" w:rsidRDefault="00787335" w:rsidP="00855F42">
      <w:pPr>
        <w:pStyle w:val="Heading3"/>
        <w:numPr>
          <w:ilvl w:val="0"/>
          <w:numId w:val="0"/>
        </w:numPr>
        <w:ind w:left="1282" w:hanging="6"/>
        <w:rPr>
          <w:lang w:eastAsia="en-GB"/>
        </w:rPr>
      </w:pPr>
      <w:r>
        <w:rPr>
          <w:lang w:eastAsia="en-GB"/>
        </w:rPr>
        <w:t>Evidence of service delivery and when it should be provided (e.g. with the invoice) will be agreed between parties and document on the Order Form.</w:t>
      </w:r>
    </w:p>
    <w:p w14:paraId="7897AE6E" w14:textId="18858F46" w:rsidR="00505B4C" w:rsidRPr="00505B4C" w:rsidRDefault="00505B4C" w:rsidP="00505B4C">
      <w:pPr>
        <w:pStyle w:val="Heading3"/>
        <w:ind w:hanging="573"/>
        <w:rPr>
          <w:lang w:eastAsia="en-GB"/>
        </w:rPr>
      </w:pPr>
      <w:r>
        <w:rPr>
          <w:lang w:eastAsia="en-GB"/>
        </w:rPr>
        <w:t>Where nursing services are used, the Supplier should ensure that proof of nursing visits are provided to the Participating Authority.  These can be in either paper format or digital device.  The length of the time spent with the patient should be recorded.</w:t>
      </w:r>
    </w:p>
    <w:p w14:paraId="2CCB93D1" w14:textId="14EBF884" w:rsidR="004F3C0C" w:rsidRPr="001613B7" w:rsidRDefault="004F3C0C" w:rsidP="003D1D4D">
      <w:pPr>
        <w:pStyle w:val="Heading3"/>
        <w:ind w:hanging="567"/>
      </w:pPr>
      <w:r w:rsidRPr="009914EB">
        <w:t>In exceptional cases where the original evidence is lost, damaged or unavailable for some other substantive reason the Supplier may provide appropriate alternative evidence including the following information</w:t>
      </w:r>
      <w:r w:rsidR="001613B7" w:rsidRPr="001613B7">
        <w:t>.  The Suppliers declaration must be made by an authorised person and such declarations found to be false will be considered as a breach of this agreement.</w:t>
      </w:r>
    </w:p>
    <w:p w14:paraId="28A86369" w14:textId="58455752" w:rsidR="004F3C0C" w:rsidRPr="00FB3EA2" w:rsidRDefault="00FB3EA2" w:rsidP="00DC4DE8">
      <w:pPr>
        <w:pStyle w:val="ListParagraph"/>
        <w:numPr>
          <w:ilvl w:val="0"/>
          <w:numId w:val="4"/>
        </w:numPr>
      </w:pPr>
      <w:r>
        <w:t>d</w:t>
      </w:r>
      <w:r w:rsidR="004F3C0C" w:rsidRPr="009914EB">
        <w:t xml:space="preserve">ispensing &amp; </w:t>
      </w:r>
      <w:r>
        <w:t>d</w:t>
      </w:r>
      <w:r w:rsidR="004F3C0C" w:rsidRPr="009914EB">
        <w:t xml:space="preserve">espatch date </w:t>
      </w:r>
    </w:p>
    <w:p w14:paraId="40D1F193" w14:textId="563F71BC" w:rsidR="004F3C0C" w:rsidRPr="00FB3EA2" w:rsidRDefault="00FB3EA2" w:rsidP="00DC4DE8">
      <w:pPr>
        <w:pStyle w:val="ListParagraph"/>
        <w:numPr>
          <w:ilvl w:val="0"/>
          <w:numId w:val="4"/>
        </w:numPr>
      </w:pPr>
      <w:r>
        <w:t>d</w:t>
      </w:r>
      <w:r w:rsidR="004F3C0C" w:rsidRPr="00FB3EA2">
        <w:t xml:space="preserve">elivery </w:t>
      </w:r>
      <w:r>
        <w:t>d</w:t>
      </w:r>
      <w:r w:rsidR="004F3C0C" w:rsidRPr="00FB3EA2">
        <w:t xml:space="preserve">ate and </w:t>
      </w:r>
      <w:r>
        <w:t>r</w:t>
      </w:r>
      <w:r w:rsidR="004F3C0C" w:rsidRPr="00FB3EA2">
        <w:t xml:space="preserve">oute or </w:t>
      </w:r>
      <w:r>
        <w:t>c</w:t>
      </w:r>
      <w:r w:rsidR="004F3C0C" w:rsidRPr="00FB3EA2">
        <w:t>arrier information and evidence</w:t>
      </w:r>
    </w:p>
    <w:p w14:paraId="548F6D5A" w14:textId="38661BE0" w:rsidR="004F3C0C" w:rsidRPr="00FB3EA2" w:rsidRDefault="00FB3EA2" w:rsidP="00DC4DE8">
      <w:pPr>
        <w:pStyle w:val="ListParagraph"/>
        <w:numPr>
          <w:ilvl w:val="0"/>
          <w:numId w:val="4"/>
        </w:numPr>
      </w:pPr>
      <w:r>
        <w:t>h</w:t>
      </w:r>
      <w:r w:rsidR="004F3C0C" w:rsidRPr="00FB3EA2">
        <w:t xml:space="preserve">ow the delivery was confirmed, by who, and when. </w:t>
      </w:r>
    </w:p>
    <w:p w14:paraId="044EC7E4" w14:textId="445821D5" w:rsidR="004F3C0C" w:rsidRDefault="004F3C0C" w:rsidP="003D1D4D">
      <w:pPr>
        <w:pStyle w:val="Heading3"/>
        <w:ind w:hanging="567"/>
      </w:pPr>
      <w:r w:rsidRPr="009914EB">
        <w:t xml:space="preserve">In accordance with the provisions set out in General </w:t>
      </w:r>
      <w:r w:rsidR="006C5DA9">
        <w:t>Section</w:t>
      </w:r>
      <w:r w:rsidRPr="009914EB">
        <w:t xml:space="preserve"> - Provision of services outside this specification the </w:t>
      </w:r>
      <w:r w:rsidR="00CB2E23">
        <w:t>Participating</w:t>
      </w:r>
      <w:r w:rsidRPr="009914EB">
        <w:t xml:space="preserve"> Authority will reimburse reasonable additional costs incurred by the Supplier.</w:t>
      </w:r>
    </w:p>
    <w:p w14:paraId="78905B8C" w14:textId="61CCF84F" w:rsidR="004F3C0C" w:rsidRPr="00586649" w:rsidRDefault="004F3C0C" w:rsidP="003D1D4D">
      <w:pPr>
        <w:pStyle w:val="Heading2"/>
        <w:ind w:hanging="567"/>
      </w:pPr>
      <w:bookmarkStart w:id="136" w:name="_Hlk111220031"/>
      <w:r w:rsidRPr="00586649">
        <w:lastRenderedPageBreak/>
        <w:t>Statement of Accounts and Payments</w:t>
      </w:r>
      <w:r w:rsidR="00B80FD5">
        <w:t xml:space="preserve"> </w:t>
      </w:r>
    </w:p>
    <w:p w14:paraId="5514F335" w14:textId="723FB10C" w:rsidR="004F3C0C" w:rsidRPr="001613B7" w:rsidRDefault="004F3C0C" w:rsidP="003D1D4D">
      <w:pPr>
        <w:pStyle w:val="Heading3"/>
        <w:ind w:hanging="567"/>
      </w:pPr>
      <w:r w:rsidRPr="001613B7">
        <w:t xml:space="preserve">The Supplier will provide </w:t>
      </w:r>
      <w:r w:rsidR="006B57F3">
        <w:t>the</w:t>
      </w:r>
      <w:r w:rsidR="00505B4C">
        <w:t xml:space="preserve"> </w:t>
      </w:r>
      <w:r w:rsidRPr="001613B7">
        <w:t xml:space="preserve">statement of accounts to the </w:t>
      </w:r>
      <w:r w:rsidR="00CB2E23">
        <w:t>Participating</w:t>
      </w:r>
      <w:r w:rsidRPr="001613B7">
        <w:t xml:space="preserve"> Authority </w:t>
      </w:r>
      <w:proofErr w:type="gramStart"/>
      <w:r w:rsidRPr="001613B7">
        <w:t>on a monthly basis</w:t>
      </w:r>
      <w:proofErr w:type="gramEnd"/>
      <w:r w:rsidRPr="001613B7">
        <w:t>.</w:t>
      </w:r>
    </w:p>
    <w:bookmarkEnd w:id="136"/>
    <w:p w14:paraId="3F4DF8A3" w14:textId="3F4975B8" w:rsidR="00B71904" w:rsidRPr="00B71904" w:rsidRDefault="00B71904" w:rsidP="003D1D4D">
      <w:pPr>
        <w:pStyle w:val="Heading3"/>
        <w:ind w:hanging="567"/>
        <w:rPr>
          <w:lang w:eastAsia="en-GB"/>
        </w:rPr>
      </w:pPr>
      <w:r w:rsidRPr="00B71904">
        <w:rPr>
          <w:lang w:eastAsia="en-GB"/>
        </w:rPr>
        <w:t xml:space="preserve">The Participating Authority will pay undisputed invoices 30 </w:t>
      </w:r>
      <w:r w:rsidR="009621C0">
        <w:rPr>
          <w:lang w:eastAsia="en-GB"/>
        </w:rPr>
        <w:t xml:space="preserve">calendar </w:t>
      </w:r>
      <w:r w:rsidRPr="00B71904">
        <w:rPr>
          <w:lang w:eastAsia="en-GB"/>
        </w:rPr>
        <w:t>days from the date of receipt in line with the payment terms in the NHS Framework Agreement  for the Supply of Goods and the Provision of Services - Framework</w:t>
      </w:r>
      <w:r w:rsidR="00174B38">
        <w:rPr>
          <w:lang w:eastAsia="en-GB"/>
        </w:rPr>
        <w:t xml:space="preserve"> Version</w:t>
      </w:r>
      <w:r w:rsidRPr="00B71904">
        <w:rPr>
          <w:lang w:eastAsia="en-GB"/>
        </w:rPr>
        <w:t xml:space="preserve"> (Homecare Medicines</w:t>
      </w:r>
      <w:r w:rsidR="00174B38">
        <w:rPr>
          <w:lang w:eastAsia="en-GB"/>
        </w:rPr>
        <w:t>-YHPPC</w:t>
      </w:r>
      <w:r w:rsidRPr="00B71904">
        <w:rPr>
          <w:lang w:eastAsia="en-GB"/>
        </w:rPr>
        <w:t>).</w:t>
      </w:r>
    </w:p>
    <w:p w14:paraId="2588AC08" w14:textId="6C80F28C" w:rsidR="004F3C0C" w:rsidRPr="00586649" w:rsidRDefault="004F3C0C" w:rsidP="003D1D4D">
      <w:pPr>
        <w:pStyle w:val="Heading2"/>
        <w:ind w:hanging="567"/>
      </w:pPr>
      <w:r w:rsidRPr="00586649">
        <w:t>Risk, Liability and Insurance</w:t>
      </w:r>
    </w:p>
    <w:p w14:paraId="31AFC540" w14:textId="03821A29" w:rsidR="00F611B7" w:rsidRDefault="004F3C0C" w:rsidP="003D1D4D">
      <w:pPr>
        <w:pStyle w:val="Heading3"/>
        <w:ind w:hanging="567"/>
      </w:pPr>
      <w:r w:rsidRPr="009914EB">
        <w:t xml:space="preserve">Where medicines or ancillaries or equipment are unusable due to action or inaction of the Supplier,  the unusable items will be collected and replaced at no expense to the </w:t>
      </w:r>
      <w:r w:rsidR="00CB2E23">
        <w:t>Participating</w:t>
      </w:r>
      <w:r w:rsidRPr="009914EB">
        <w:t xml:space="preserve"> Authority or, if resupply is not clinically appropriate a credit note will be raised against the invoice for those unusable items. Where medicines or ancillaries or equipment are unusable due to the Patient’s negligence, </w:t>
      </w:r>
      <w:r w:rsidR="00FB1BE5" w:rsidRPr="009914EB">
        <w:t>misuse,</w:t>
      </w:r>
      <w:r w:rsidRPr="009914EB">
        <w:t xml:space="preserve"> or failure to observe any instructions or training concerning the use of the equipment, the Supplier will have the right to recover the cost of replacement (or where applicable repair) from the </w:t>
      </w:r>
      <w:r w:rsidR="00CB2E23">
        <w:t>Participating</w:t>
      </w:r>
      <w:r w:rsidRPr="009914EB">
        <w:t xml:space="preserve"> Authority, provided that such negligence, misuse or failure was not caused or contributed to by any action of or failure to </w:t>
      </w:r>
      <w:proofErr w:type="gramStart"/>
      <w:r w:rsidRPr="009914EB">
        <w:t>take action</w:t>
      </w:r>
      <w:proofErr w:type="gramEnd"/>
      <w:r w:rsidRPr="009914EB">
        <w:t xml:space="preserve"> by the Supplier. Unusable items may only be resupplied (or where applicable) repaired at the cost of the </w:t>
      </w:r>
      <w:r w:rsidR="00CB2E23">
        <w:t>Participating</w:t>
      </w:r>
      <w:r w:rsidRPr="009914EB">
        <w:t xml:space="preserve"> Authority when prior approval has been given by the </w:t>
      </w:r>
      <w:r w:rsidR="00CB2E23">
        <w:t>Participating</w:t>
      </w:r>
      <w:r w:rsidRPr="009914EB">
        <w:t xml:space="preserve"> Authority.</w:t>
      </w:r>
    </w:p>
    <w:p w14:paraId="313255C3" w14:textId="77777777" w:rsidR="00FB1BE5" w:rsidRPr="00FB1BE5" w:rsidRDefault="00FB1BE5" w:rsidP="00FB1BE5"/>
    <w:p w14:paraId="6CAC1CB4" w14:textId="17C72D5B" w:rsidR="004F3C0C" w:rsidRPr="00586649" w:rsidRDefault="004F3C0C" w:rsidP="003D1D4D">
      <w:pPr>
        <w:pStyle w:val="Heading1"/>
        <w:ind w:hanging="567"/>
      </w:pPr>
      <w:bookmarkStart w:id="137" w:name="_Hlk122350079"/>
      <w:r w:rsidRPr="00586649">
        <w:t>Digital</w:t>
      </w:r>
    </w:p>
    <w:p w14:paraId="2DCF1C97" w14:textId="5F72129D" w:rsidR="004F3C0C" w:rsidRPr="00586649" w:rsidRDefault="004F3C0C" w:rsidP="003D1D4D">
      <w:pPr>
        <w:pStyle w:val="Heading2"/>
        <w:ind w:hanging="567"/>
      </w:pPr>
      <w:r w:rsidRPr="00586649">
        <w:t>Digital Solution Requirement</w:t>
      </w:r>
    </w:p>
    <w:p w14:paraId="6436F5AF" w14:textId="77777777" w:rsidR="001F0FE3" w:rsidRPr="00B71904" w:rsidRDefault="001F0FE3" w:rsidP="001F0FE3">
      <w:pPr>
        <w:pStyle w:val="Heading3"/>
        <w:ind w:hanging="567"/>
        <w:rPr>
          <w:lang w:eastAsia="en-GB"/>
        </w:rPr>
      </w:pPr>
      <w:r w:rsidRPr="00B71904">
        <w:rPr>
          <w:lang w:eastAsia="en-GB"/>
        </w:rPr>
        <w:t>Digital Solutions must not be offered to patients without prior approval from the Participating Authority for its use within their Patient cohort.</w:t>
      </w:r>
    </w:p>
    <w:p w14:paraId="7D8898D4" w14:textId="64AF8DAF" w:rsidR="004F3C0C" w:rsidRPr="00910A06" w:rsidRDefault="004F3C0C" w:rsidP="003D1D4D">
      <w:pPr>
        <w:pStyle w:val="Heading3"/>
        <w:ind w:hanging="567"/>
      </w:pPr>
      <w:r w:rsidRPr="00910A06">
        <w:t>Any Digital Solutions developed must meet the RPS output-based specifications (OBS), as updated from time to time, for system-wide delivery of medicines in homecare as a minimum.</w:t>
      </w:r>
    </w:p>
    <w:p w14:paraId="7C5C0442" w14:textId="39C9ACB6" w:rsidR="004F3C0C" w:rsidRPr="00910A06" w:rsidRDefault="004F3C0C" w:rsidP="003D1D4D">
      <w:pPr>
        <w:pStyle w:val="Heading3"/>
        <w:ind w:hanging="567"/>
      </w:pPr>
      <w:r w:rsidRPr="00910A06">
        <w:t>Mobile Apps or other applicable Digital Solutions for patient</w:t>
      </w:r>
      <w:r w:rsidR="0073237F" w:rsidRPr="00910A06">
        <w:t>’</w:t>
      </w:r>
      <w:r w:rsidRPr="00910A06">
        <w:t>s access must be free of charge, without any in-app purchase.</w:t>
      </w:r>
    </w:p>
    <w:p w14:paraId="7EC1BD31" w14:textId="10781B10" w:rsidR="004F3C0C" w:rsidRPr="00910A06" w:rsidRDefault="004F3C0C" w:rsidP="003D1D4D">
      <w:pPr>
        <w:pStyle w:val="Heading3"/>
        <w:ind w:hanging="567"/>
      </w:pPr>
      <w:r w:rsidRPr="00910A06">
        <w:t>Any patient facing Apps or other applicable Digital Solutions must undergo baseline assessment by NHSE Transformation Directorate</w:t>
      </w:r>
      <w:r w:rsidR="00505B4C">
        <w:t xml:space="preserve"> </w:t>
      </w:r>
      <w:r w:rsidRPr="00910A06">
        <w:t>as a minimum.</w:t>
      </w:r>
    </w:p>
    <w:p w14:paraId="08EDD9B0" w14:textId="77777777" w:rsidR="004F3C0C" w:rsidRPr="00910A06" w:rsidRDefault="004F3C0C" w:rsidP="003D1D4D">
      <w:pPr>
        <w:pStyle w:val="Heading3"/>
        <w:ind w:hanging="567"/>
      </w:pPr>
      <w:r w:rsidRPr="00910A06">
        <w:t xml:space="preserve">For any digital solutions, </w:t>
      </w:r>
    </w:p>
    <w:p w14:paraId="4845D9FB" w14:textId="66731C07" w:rsidR="004F3C0C" w:rsidRPr="00910A06" w:rsidRDefault="004F3C0C" w:rsidP="00DC4DE8">
      <w:pPr>
        <w:numPr>
          <w:ilvl w:val="0"/>
          <w:numId w:val="3"/>
        </w:numPr>
        <w:ind w:hanging="567"/>
      </w:pPr>
      <w:r w:rsidRPr="00910A06">
        <w:t>if the solution (or part of) is not classified as a medical device then the developer/</w:t>
      </w:r>
      <w:r w:rsidR="002C497A" w:rsidRPr="00910A06">
        <w:t>Supplier</w:t>
      </w:r>
      <w:r w:rsidRPr="00910A06">
        <w:t xml:space="preserve"> of the digital solution has applied clinical risk management as required under "DCB0129: Clinical Risk Management: its Application in the Manufacture of Health IT Systems" during the development of the product. The Supplier should also be able to </w:t>
      </w:r>
      <w:proofErr w:type="gramStart"/>
      <w:r w:rsidRPr="00910A06">
        <w:t>provide assistance to</w:t>
      </w:r>
      <w:proofErr w:type="gramEnd"/>
      <w:r w:rsidRPr="00910A06">
        <w:t xml:space="preserve"> the </w:t>
      </w:r>
      <w:r w:rsidR="00CB2E23">
        <w:t>Participating</w:t>
      </w:r>
      <w:r w:rsidRPr="00910A06">
        <w:t xml:space="preserve"> Authority in the application of clinical risk management as required under "DCB0160: Clinical Risk Management: its Application in the Deployment and Use of Health IT Systems" during the deployment of the digital solution.</w:t>
      </w:r>
    </w:p>
    <w:p w14:paraId="3994C0F7" w14:textId="26F59C16" w:rsidR="004F3C0C" w:rsidRPr="00910A06" w:rsidRDefault="004F3C0C" w:rsidP="00DC4DE8">
      <w:pPr>
        <w:numPr>
          <w:ilvl w:val="0"/>
          <w:numId w:val="3"/>
        </w:numPr>
        <w:ind w:hanging="567"/>
      </w:pPr>
      <w:r w:rsidRPr="00910A06">
        <w:t>if the solution (or part of) is classified as a medical device the solution must comply with the medical device directives.</w:t>
      </w:r>
    </w:p>
    <w:p w14:paraId="660622D8" w14:textId="77777777" w:rsidR="004F3C0C" w:rsidRPr="00910A06" w:rsidRDefault="004F3C0C" w:rsidP="003D1D4D">
      <w:pPr>
        <w:pStyle w:val="Heading3"/>
        <w:ind w:hanging="567"/>
      </w:pPr>
      <w:r w:rsidRPr="00910A06">
        <w:t>The Supplier's proposed solution must be compatible with relevant national standards and interoperable with systems commonly used by the NHS.</w:t>
      </w:r>
    </w:p>
    <w:p w14:paraId="456FA231" w14:textId="29428517" w:rsidR="004F3C0C" w:rsidRDefault="00FB3EA2" w:rsidP="003D1D4D">
      <w:pPr>
        <w:pStyle w:val="Heading3"/>
        <w:ind w:hanging="567"/>
      </w:pPr>
      <w:r w:rsidRPr="00910A06">
        <w:lastRenderedPageBreak/>
        <w:t>T</w:t>
      </w:r>
      <w:r w:rsidR="004F3C0C" w:rsidRPr="00910A06">
        <w:t xml:space="preserve">he Supplier should commit to migrating to </w:t>
      </w:r>
      <w:r w:rsidR="00072521">
        <w:t>Fast Healthcare Interoperability Resources 1(</w:t>
      </w:r>
      <w:r w:rsidR="004F3C0C" w:rsidRPr="00910A06">
        <w:t>FHIR</w:t>
      </w:r>
      <w:r w:rsidR="00072521">
        <w:t>)</w:t>
      </w:r>
      <w:r w:rsidR="004F3C0C" w:rsidRPr="00910A06">
        <w:t xml:space="preserve"> standard and other technical standards if that becomes mandated in the future.</w:t>
      </w:r>
    </w:p>
    <w:bookmarkEnd w:id="137"/>
    <w:p w14:paraId="55C69795" w14:textId="3EB214CF" w:rsidR="007647EE" w:rsidRDefault="007647EE" w:rsidP="003D1D4D">
      <w:pPr>
        <w:ind w:hanging="567"/>
      </w:pPr>
    </w:p>
    <w:p w14:paraId="761D362B" w14:textId="77777777" w:rsidR="007647EE" w:rsidRPr="00586649" w:rsidRDefault="007647EE" w:rsidP="003D1D4D">
      <w:pPr>
        <w:pStyle w:val="Heading1"/>
        <w:ind w:hanging="567"/>
      </w:pPr>
      <w:r>
        <w:t>Net Zero and Social Value</w:t>
      </w:r>
    </w:p>
    <w:p w14:paraId="59B406C1" w14:textId="23F4F052" w:rsidR="007647EE" w:rsidRDefault="007647EE" w:rsidP="003D1D4D">
      <w:pPr>
        <w:pStyle w:val="Heading2"/>
        <w:ind w:hanging="567"/>
      </w:pPr>
      <w:r>
        <w:t xml:space="preserve"> Net Zero and Social Value</w:t>
      </w:r>
    </w:p>
    <w:p w14:paraId="6A74131F" w14:textId="77777777" w:rsidR="007647EE" w:rsidRPr="00804F3C" w:rsidRDefault="007647EE" w:rsidP="003D1D4D">
      <w:pPr>
        <w:ind w:left="0" w:hanging="567"/>
      </w:pPr>
    </w:p>
    <w:p w14:paraId="0E938961" w14:textId="61BF6BC9" w:rsidR="00910A06" w:rsidRDefault="007647EE" w:rsidP="003D1D4D">
      <w:pPr>
        <w:pStyle w:val="Heading3"/>
        <w:ind w:hanging="567"/>
      </w:pPr>
      <w:r>
        <w:t>The Authority shall be incorporating evaluation of social value policy elements relevant to the procurement in accordance with government advice.</w:t>
      </w:r>
      <w:r w:rsidR="00910A06">
        <w:t xml:space="preserve">  </w:t>
      </w:r>
    </w:p>
    <w:p w14:paraId="057561A0" w14:textId="3BA39B8F" w:rsidR="00910A06" w:rsidRPr="00ED11E2" w:rsidRDefault="00910A06" w:rsidP="00DC4DE8">
      <w:pPr>
        <w:pStyle w:val="ListParagraph"/>
        <w:ind w:hanging="567"/>
        <w:rPr>
          <w:color w:val="002060"/>
        </w:rPr>
      </w:pPr>
      <w:r>
        <w:t xml:space="preserve">High level info/context: </w:t>
      </w:r>
      <w:hyperlink r:id="rId12" w:history="1">
        <w:r w:rsidRPr="00ED11E2">
          <w:rPr>
            <w:rStyle w:val="BalloonTextChar"/>
            <w:color w:val="002060"/>
          </w:rPr>
          <w:t>https://www.gov.uk/government/publications/social-value-act-information-and-resources/social-value-act-information-and-resources</w:t>
        </w:r>
      </w:hyperlink>
    </w:p>
    <w:p w14:paraId="7F560F24" w14:textId="772B697B" w:rsidR="007647EE" w:rsidRPr="00804F3C" w:rsidRDefault="007647EE" w:rsidP="00DC4DE8">
      <w:pPr>
        <w:pStyle w:val="ListParagraph"/>
        <w:ind w:hanging="567"/>
      </w:pPr>
      <w:r>
        <w:t>Procurement Policy Notice:</w:t>
      </w:r>
      <w:r w:rsidR="00910A06" w:rsidRPr="00910A06">
        <w:t xml:space="preserve"> </w:t>
      </w:r>
      <w:hyperlink r:id="rId13" w:history="1">
        <w:r w:rsidR="00910A06" w:rsidRPr="00ED11E2">
          <w:rPr>
            <w:rStyle w:val="BalloonTextChar"/>
            <w:color w:val="002060"/>
          </w:rPr>
          <w:t>https://www.gov.uk/government/publications/procurement-policy-note-0620-taking-account-of-social-value-in-the-award-of-central-government-contracts</w:t>
        </w:r>
      </w:hyperlink>
      <w:r w:rsidRPr="00ED11E2">
        <w:rPr>
          <w:color w:val="002060"/>
        </w:rPr>
        <w:t xml:space="preserve"> </w:t>
      </w:r>
    </w:p>
    <w:p w14:paraId="5D04FAF5" w14:textId="50BECE33" w:rsidR="007647EE" w:rsidRPr="00ED11E2" w:rsidRDefault="007647EE" w:rsidP="00DC4DE8">
      <w:pPr>
        <w:pStyle w:val="ListParagraph"/>
        <w:ind w:hanging="567"/>
        <w:rPr>
          <w:color w:val="002060"/>
        </w:rPr>
      </w:pPr>
      <w:r w:rsidRPr="00804F3C">
        <w:t>Direct link to the quick reference table:</w:t>
      </w:r>
      <w:r>
        <w:t xml:space="preserve"> </w:t>
      </w:r>
      <w:hyperlink r:id="rId14" w:history="1">
        <w:r w:rsidRPr="00ED11E2">
          <w:rPr>
            <w:rStyle w:val="BalloonTextChar"/>
            <w:color w:val="002060"/>
          </w:rPr>
          <w:t>https://assets.publishing.service.gov.uk/government/uploads/system/uploads/attachment_data/file/940828/Social-Value-Model-Quick-Reference-Table-Edn-1.1-3-Dec-20.pdf</w:t>
        </w:r>
      </w:hyperlink>
    </w:p>
    <w:p w14:paraId="50D50F55" w14:textId="77777777" w:rsidR="007647EE" w:rsidRDefault="007647EE" w:rsidP="003D1D4D">
      <w:pPr>
        <w:ind w:hanging="567"/>
      </w:pPr>
    </w:p>
    <w:p w14:paraId="60CCBE17" w14:textId="56BCF75F" w:rsidR="00D95B46" w:rsidRDefault="00D95B46">
      <w:pPr>
        <w:spacing w:before="0" w:after="120"/>
        <w:ind w:left="0"/>
      </w:pPr>
      <w:r>
        <w:br w:type="page"/>
      </w:r>
    </w:p>
    <w:p w14:paraId="7F568494" w14:textId="33FD00D4" w:rsidR="003668A2" w:rsidRDefault="003668A2" w:rsidP="00C721EC">
      <w:pPr>
        <w:pStyle w:val="Heading1"/>
        <w:ind w:left="0"/>
      </w:pPr>
      <w:r>
        <w:lastRenderedPageBreak/>
        <w:t xml:space="preserve">Appendix </w:t>
      </w:r>
      <w:r w:rsidR="00DC4DE8">
        <w:t>A</w:t>
      </w:r>
      <w:r>
        <w:t xml:space="preserve"> </w:t>
      </w:r>
      <w:r w:rsidR="00174522">
        <w:t xml:space="preserve">- </w:t>
      </w:r>
      <w:r>
        <w:t>Monthly</w:t>
      </w:r>
      <w:r w:rsidR="00C721EC">
        <w:t xml:space="preserve"> Management Report Templates</w:t>
      </w:r>
    </w:p>
    <w:p w14:paraId="0A07A332" w14:textId="360026F0" w:rsidR="00C721EC" w:rsidRDefault="00C721EC" w:rsidP="00C721EC">
      <w:pPr>
        <w:ind w:left="0"/>
      </w:pPr>
    </w:p>
    <w:p w14:paraId="3EE28F71" w14:textId="473859CF" w:rsidR="00C721EC" w:rsidRDefault="00C721EC" w:rsidP="00C721EC">
      <w:pPr>
        <w:ind w:left="0"/>
      </w:pPr>
      <w:r>
        <w:t>Expenditure Report Template</w:t>
      </w:r>
      <w:r w:rsidR="00D803A8">
        <w:t xml:space="preserve"> </w:t>
      </w:r>
    </w:p>
    <w:p w14:paraId="57DA2919" w14:textId="1770450D" w:rsidR="00D803A8" w:rsidRPr="00D803A8" w:rsidRDefault="00D803A8" w:rsidP="00C721EC">
      <w:pPr>
        <w:ind w:left="0"/>
        <w:rPr>
          <w:i/>
          <w:iCs/>
        </w:rPr>
      </w:pPr>
      <w:r w:rsidRPr="00D803A8">
        <w:rPr>
          <w:i/>
          <w:iCs/>
        </w:rPr>
        <w:t>Note: will need to include ABI information for non-member organisations</w:t>
      </w:r>
    </w:p>
    <w:p w14:paraId="4CF58ABB" w14:textId="065A8E38" w:rsidR="00C721EC" w:rsidRDefault="00A57BF9" w:rsidP="00C721EC">
      <w:pPr>
        <w:ind w:left="0"/>
      </w:pPr>
      <w:r>
        <w:object w:dxaOrig="1516" w:dyaOrig="987" w14:anchorId="5B0EB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5" o:title=""/>
          </v:shape>
          <o:OLEObject Type="Embed" ProgID="Excel.Sheet.12" ShapeID="_x0000_i1025" DrawAspect="Icon" ObjectID="_1758717452" r:id="rId16"/>
        </w:object>
      </w:r>
    </w:p>
    <w:p w14:paraId="31BAD245" w14:textId="67216D58" w:rsidR="00C721EC" w:rsidRDefault="00C721EC" w:rsidP="00C721EC">
      <w:pPr>
        <w:ind w:left="0"/>
      </w:pPr>
    </w:p>
    <w:p w14:paraId="086CB65E" w14:textId="567371DE" w:rsidR="00C721EC" w:rsidRDefault="00C721EC" w:rsidP="00C721EC">
      <w:pPr>
        <w:ind w:left="0"/>
      </w:pPr>
      <w:r>
        <w:t>KPI Report Template</w:t>
      </w:r>
    </w:p>
    <w:p w14:paraId="25E433F5" w14:textId="4A16EC23" w:rsidR="00C721EC" w:rsidRDefault="00A57BF9" w:rsidP="00C721EC">
      <w:pPr>
        <w:ind w:left="0"/>
      </w:pPr>
      <w:r>
        <w:object w:dxaOrig="1516" w:dyaOrig="987" w14:anchorId="6C6DE8EF">
          <v:shape id="_x0000_i1026" type="#_x0000_t75" style="width:76.2pt;height:49.2pt" o:ole="">
            <v:imagedata r:id="rId17" o:title=""/>
          </v:shape>
          <o:OLEObject Type="Embed" ProgID="Excel.Sheet.12" ShapeID="_x0000_i1026" DrawAspect="Icon" ObjectID="_1758717453" r:id="rId18"/>
        </w:object>
      </w:r>
    </w:p>
    <w:p w14:paraId="3D848425" w14:textId="77777777" w:rsidR="00852655" w:rsidRDefault="00852655" w:rsidP="00C721EC">
      <w:pPr>
        <w:ind w:left="0"/>
      </w:pPr>
    </w:p>
    <w:p w14:paraId="1A6DB8AA" w14:textId="37E8379C" w:rsidR="00C721EC" w:rsidRDefault="00C721EC" w:rsidP="00C721EC">
      <w:pPr>
        <w:ind w:left="0"/>
      </w:pPr>
      <w:r>
        <w:t>CAI Report Template</w:t>
      </w:r>
    </w:p>
    <w:p w14:paraId="47ADD494" w14:textId="3AB0EB0C" w:rsidR="00C721EC" w:rsidRDefault="00A57BF9" w:rsidP="00C721EC">
      <w:pPr>
        <w:ind w:left="0"/>
      </w:pPr>
      <w:r>
        <w:object w:dxaOrig="1516" w:dyaOrig="987" w14:anchorId="3036093F">
          <v:shape id="_x0000_i1027" type="#_x0000_t75" style="width:76.2pt;height:49.2pt" o:ole="">
            <v:imagedata r:id="rId19" o:title=""/>
          </v:shape>
          <o:OLEObject Type="Embed" ProgID="Excel.Sheet.12" ShapeID="_x0000_i1027" DrawAspect="Icon" ObjectID="_1758717454" r:id="rId20"/>
        </w:object>
      </w:r>
    </w:p>
    <w:p w14:paraId="28AC8486" w14:textId="7D64D4A7" w:rsidR="00C721EC" w:rsidRDefault="00C721EC" w:rsidP="00C721EC">
      <w:pPr>
        <w:ind w:left="0"/>
      </w:pPr>
    </w:p>
    <w:p w14:paraId="203F11EA" w14:textId="00115E68" w:rsidR="00C721EC" w:rsidRDefault="00C721EC" w:rsidP="00C721EC">
      <w:pPr>
        <w:ind w:left="0"/>
      </w:pPr>
      <w:r>
        <w:t xml:space="preserve">Dispensing Information Report Template </w:t>
      </w:r>
    </w:p>
    <w:p w14:paraId="10ACD20A" w14:textId="73BD6A73" w:rsidR="00C721EC" w:rsidRDefault="00A57BF9" w:rsidP="00A57BF9">
      <w:pPr>
        <w:ind w:left="0"/>
      </w:pPr>
      <w:r>
        <w:object w:dxaOrig="1516" w:dyaOrig="987" w14:anchorId="44A9B224">
          <v:shape id="_x0000_i1028" type="#_x0000_t75" style="width:76.2pt;height:49.2pt" o:ole="">
            <v:imagedata r:id="rId21" o:title=""/>
          </v:shape>
          <o:OLEObject Type="Embed" ProgID="Excel.Sheet.12" ShapeID="_x0000_i1028" DrawAspect="Icon" ObjectID="_1758717455" r:id="rId22"/>
        </w:object>
      </w:r>
    </w:p>
    <w:p w14:paraId="674FCF4D" w14:textId="7BD097EF" w:rsidR="00C721EC" w:rsidRDefault="00C721EC" w:rsidP="00C721EC"/>
    <w:p w14:paraId="4A413606" w14:textId="1277594D" w:rsidR="003668A2" w:rsidRDefault="003668A2">
      <w:pPr>
        <w:spacing w:before="0" w:after="120"/>
        <w:ind w:left="0"/>
      </w:pPr>
      <w:r>
        <w:br w:type="page"/>
      </w:r>
    </w:p>
    <w:p w14:paraId="479F6AB4" w14:textId="01A9F26B" w:rsidR="007647EE" w:rsidRDefault="00D95B46" w:rsidP="00852655">
      <w:pPr>
        <w:pStyle w:val="Heading1"/>
        <w:ind w:left="0"/>
      </w:pPr>
      <w:r>
        <w:lastRenderedPageBreak/>
        <w:t xml:space="preserve">Appendix </w:t>
      </w:r>
      <w:r w:rsidR="00DC4DE8">
        <w:t>B</w:t>
      </w:r>
      <w:r w:rsidR="00852655">
        <w:t xml:space="preserve"> - </w:t>
      </w:r>
      <w:r w:rsidR="00A57BF9">
        <w:t>Cold Chain Guidance and Refrigerator Specification</w:t>
      </w:r>
    </w:p>
    <w:p w14:paraId="46F8D92D" w14:textId="77777777" w:rsidR="00A57BF9" w:rsidRDefault="00A57BF9" w:rsidP="003D1D4D">
      <w:pPr>
        <w:ind w:hanging="567"/>
        <w:rPr>
          <w:rFonts w:eastAsia="Times New Roman"/>
          <w:color w:val="FF0000"/>
          <w:lang w:eastAsia="en-GB"/>
        </w:rPr>
      </w:pPr>
    </w:p>
    <w:p w14:paraId="4D44F45E" w14:textId="17D44F74" w:rsidR="00852655" w:rsidRDefault="00A57BF9" w:rsidP="003D1D4D">
      <w:pPr>
        <w:ind w:hanging="567"/>
        <w:rPr>
          <w:rFonts w:eastAsia="Times New Roman"/>
          <w:color w:val="FF0000"/>
          <w:lang w:eastAsia="en-GB"/>
        </w:rPr>
      </w:pPr>
      <w:r>
        <w:rPr>
          <w:rFonts w:eastAsia="Times New Roman"/>
          <w:color w:val="FF0000"/>
          <w:lang w:eastAsia="en-GB"/>
        </w:rPr>
        <w:object w:dxaOrig="1516" w:dyaOrig="987" w14:anchorId="7D8AD2EA">
          <v:shape id="_x0000_i1029" type="#_x0000_t75" style="width:76.2pt;height:49.2pt" o:ole="">
            <v:imagedata r:id="rId23" o:title=""/>
          </v:shape>
          <o:OLEObject Type="Embed" ProgID="AcroExch.Document.DC" ShapeID="_x0000_i1029" DrawAspect="Icon" ObjectID="_1758717456" r:id="rId24"/>
        </w:object>
      </w:r>
    </w:p>
    <w:p w14:paraId="31F220C4" w14:textId="30DFD380" w:rsidR="00A57BF9" w:rsidRDefault="00A57BF9" w:rsidP="003D1D4D">
      <w:pPr>
        <w:ind w:hanging="567"/>
        <w:rPr>
          <w:rFonts w:eastAsia="Times New Roman"/>
          <w:color w:val="FF0000"/>
          <w:lang w:eastAsia="en-GB"/>
        </w:rPr>
      </w:pPr>
    </w:p>
    <w:p w14:paraId="629F1E5A" w14:textId="77777777" w:rsidR="00BA75A0" w:rsidRDefault="00BA75A0" w:rsidP="00BA75A0">
      <w:pPr>
        <w:ind w:left="0"/>
        <w:rPr>
          <w:rFonts w:eastAsia="Times New Roman"/>
          <w:b/>
          <w:bCs/>
          <w:sz w:val="22"/>
          <w:szCs w:val="22"/>
          <w:lang w:eastAsia="en-GB"/>
        </w:rPr>
      </w:pPr>
      <w:r w:rsidRPr="00A57BF9">
        <w:rPr>
          <w:rFonts w:eastAsia="Times New Roman"/>
          <w:b/>
          <w:bCs/>
          <w:sz w:val="22"/>
          <w:szCs w:val="22"/>
          <w:lang w:eastAsia="en-GB"/>
        </w:rPr>
        <w:t>Pharmaceutical Grade Refrigerator Specification</w:t>
      </w:r>
    </w:p>
    <w:p w14:paraId="68E50EC4" w14:textId="41555680" w:rsidR="00A57BF9" w:rsidRPr="00A57BF9" w:rsidRDefault="00A57BF9" w:rsidP="00DC4DE8">
      <w:pPr>
        <w:pStyle w:val="NoSpacing"/>
        <w:numPr>
          <w:ilvl w:val="0"/>
          <w:numId w:val="11"/>
        </w:numPr>
        <w:spacing w:before="0"/>
      </w:pPr>
      <w:r w:rsidRPr="00A57BF9">
        <w:t>Must be a pharmacy medicines fridge</w:t>
      </w:r>
    </w:p>
    <w:p w14:paraId="50F01010" w14:textId="7C19769C" w:rsidR="00A57BF9" w:rsidRPr="00A57BF9" w:rsidRDefault="00BA75A0" w:rsidP="00DC4DE8">
      <w:pPr>
        <w:pStyle w:val="NoSpacing"/>
        <w:numPr>
          <w:ilvl w:val="0"/>
          <w:numId w:val="11"/>
        </w:numPr>
        <w:spacing w:before="0"/>
      </w:pPr>
      <w:r>
        <w:t>C</w:t>
      </w:r>
      <w:r w:rsidR="00A57BF9" w:rsidRPr="00A57BF9">
        <w:t>onstructed of impervious, cleanable materials both internally and externally</w:t>
      </w:r>
    </w:p>
    <w:p w14:paraId="320F9612" w14:textId="24AF7E77" w:rsidR="00BA75A0" w:rsidRDefault="00BA75A0" w:rsidP="00DC4DE8">
      <w:pPr>
        <w:pStyle w:val="NoSpacing"/>
        <w:numPr>
          <w:ilvl w:val="0"/>
          <w:numId w:val="11"/>
        </w:numPr>
        <w:spacing w:before="0"/>
      </w:pPr>
      <w:r>
        <w:t>S</w:t>
      </w:r>
      <w:r w:rsidR="00A57BF9" w:rsidRPr="00A57BF9">
        <w:t>ingle cooler panel without a freezer box</w:t>
      </w:r>
    </w:p>
    <w:p w14:paraId="74B440CD" w14:textId="5FC32A75" w:rsidR="00BA75A0" w:rsidRDefault="00BA75A0" w:rsidP="00DC4DE8">
      <w:pPr>
        <w:pStyle w:val="NoSpacing"/>
        <w:numPr>
          <w:ilvl w:val="0"/>
          <w:numId w:val="11"/>
        </w:numPr>
        <w:spacing w:before="0"/>
      </w:pPr>
      <w:r>
        <w:t>M</w:t>
      </w:r>
      <w:r w:rsidR="00A57BF9" w:rsidRPr="00A57BF9">
        <w:t>aintains the temperature between 2ºC and 8ºC</w:t>
      </w:r>
    </w:p>
    <w:p w14:paraId="367459C2" w14:textId="4226F288" w:rsidR="00A57BF9" w:rsidRPr="00A57BF9" w:rsidRDefault="00BA75A0" w:rsidP="00DC4DE8">
      <w:pPr>
        <w:pStyle w:val="NoSpacing"/>
        <w:numPr>
          <w:ilvl w:val="0"/>
          <w:numId w:val="11"/>
        </w:numPr>
        <w:spacing w:before="0"/>
      </w:pPr>
      <w:r>
        <w:t>T</w:t>
      </w:r>
      <w:r w:rsidR="00A57BF9" w:rsidRPr="00A57BF9">
        <w:t>emperature distribution – maintain the required range across its entire load area</w:t>
      </w:r>
    </w:p>
    <w:p w14:paraId="28A4382D" w14:textId="77777777" w:rsidR="00A57BF9" w:rsidRPr="00A57BF9" w:rsidRDefault="00A57BF9" w:rsidP="00DC4DE8">
      <w:pPr>
        <w:pStyle w:val="NoSpacing"/>
        <w:numPr>
          <w:ilvl w:val="0"/>
          <w:numId w:val="11"/>
        </w:numPr>
        <w:spacing w:before="0"/>
      </w:pPr>
      <w:r w:rsidRPr="00A57BF9">
        <w:t>Capacity – at least one third greater than required to allow for circulation of cooled air</w:t>
      </w:r>
    </w:p>
    <w:p w14:paraId="34962965" w14:textId="77777777" w:rsidR="00A57BF9" w:rsidRPr="00A57BF9" w:rsidRDefault="00A57BF9" w:rsidP="00DC4DE8">
      <w:pPr>
        <w:pStyle w:val="NoSpacing"/>
        <w:numPr>
          <w:ilvl w:val="0"/>
          <w:numId w:val="11"/>
        </w:numPr>
        <w:spacing w:before="0"/>
      </w:pPr>
      <w:r w:rsidRPr="00A57BF9">
        <w:t>Suitable indicator/visual alarm to alert if temperature exceeds parameters (for length of time) or door left open</w:t>
      </w:r>
    </w:p>
    <w:p w14:paraId="4DF30E06" w14:textId="13861A4D" w:rsidR="00A57BF9" w:rsidRDefault="00BA75A0" w:rsidP="00DC4DE8">
      <w:pPr>
        <w:pStyle w:val="NoSpacing"/>
        <w:numPr>
          <w:ilvl w:val="0"/>
          <w:numId w:val="11"/>
        </w:numPr>
        <w:spacing w:before="0"/>
      </w:pPr>
      <w:r>
        <w:t>A</w:t>
      </w:r>
      <w:r w:rsidR="00D95B46" w:rsidRPr="00A57BF9">
        <w:t>utomatic defrost</w:t>
      </w:r>
    </w:p>
    <w:p w14:paraId="624F193D" w14:textId="46A1EA05" w:rsidR="00A57BF9" w:rsidRDefault="00BA75A0" w:rsidP="00DC4DE8">
      <w:pPr>
        <w:pStyle w:val="NoSpacing"/>
        <w:numPr>
          <w:ilvl w:val="0"/>
          <w:numId w:val="11"/>
        </w:numPr>
        <w:spacing w:before="0"/>
      </w:pPr>
      <w:r>
        <w:t>G</w:t>
      </w:r>
      <w:r w:rsidR="00D95B46" w:rsidRPr="00A57BF9">
        <w:t>rille-type shelving</w:t>
      </w:r>
    </w:p>
    <w:p w14:paraId="3FCB804D" w14:textId="085351D8" w:rsidR="00A57BF9" w:rsidRDefault="00BA75A0" w:rsidP="00DC4DE8">
      <w:pPr>
        <w:pStyle w:val="NoSpacing"/>
        <w:numPr>
          <w:ilvl w:val="0"/>
          <w:numId w:val="11"/>
        </w:numPr>
        <w:spacing w:before="0"/>
      </w:pPr>
      <w:r>
        <w:t>I</w:t>
      </w:r>
      <w:r w:rsidR="00D95B46" w:rsidRPr="00A57BF9">
        <w:t>ntegral air circulating fan</w:t>
      </w:r>
    </w:p>
    <w:p w14:paraId="01CCEC78" w14:textId="77777777" w:rsidR="00BA75A0" w:rsidRDefault="00BA75A0" w:rsidP="00DC4DE8">
      <w:pPr>
        <w:pStyle w:val="NoSpacing"/>
        <w:numPr>
          <w:ilvl w:val="0"/>
          <w:numId w:val="11"/>
        </w:numPr>
        <w:spacing w:before="0"/>
      </w:pPr>
      <w:r>
        <w:t>P</w:t>
      </w:r>
      <w:r w:rsidR="00D95B46" w:rsidRPr="00A57BF9">
        <w:t xml:space="preserve">ermanent external </w:t>
      </w:r>
      <w:r w:rsidR="00A57BF9" w:rsidRPr="00A57BF9">
        <w:t xml:space="preserve">easy to read </w:t>
      </w:r>
      <w:r w:rsidR="00D95B46" w:rsidRPr="00A57BF9">
        <w:t>display of current fridge temperature</w:t>
      </w:r>
      <w:r w:rsidR="00A57BF9" w:rsidRPr="00A57BF9">
        <w:t xml:space="preserve"> shown on outside of fridge</w:t>
      </w:r>
    </w:p>
    <w:p w14:paraId="0158201B" w14:textId="4A2570AA" w:rsidR="00A57BF9" w:rsidRDefault="00BA75A0" w:rsidP="00DC4DE8">
      <w:pPr>
        <w:pStyle w:val="NoSpacing"/>
        <w:numPr>
          <w:ilvl w:val="0"/>
          <w:numId w:val="11"/>
        </w:numPr>
        <w:spacing w:before="0"/>
      </w:pPr>
      <w:r>
        <w:t>C</w:t>
      </w:r>
      <w:r w:rsidR="00A57BF9" w:rsidRPr="00A57BF9">
        <w:t>alibrated to proven standard</w:t>
      </w:r>
    </w:p>
    <w:p w14:paraId="45F759BD" w14:textId="1A315D12" w:rsidR="00A57BF9" w:rsidRDefault="00BA75A0" w:rsidP="00DC4DE8">
      <w:pPr>
        <w:pStyle w:val="NoSpacing"/>
        <w:numPr>
          <w:ilvl w:val="0"/>
          <w:numId w:val="11"/>
        </w:numPr>
        <w:spacing w:before="0"/>
      </w:pPr>
      <w:r>
        <w:t>C</w:t>
      </w:r>
      <w:r w:rsidR="00D95B46" w:rsidRPr="00A57BF9">
        <w:t>hild resistant closure and/or lockable with removable key</w:t>
      </w:r>
    </w:p>
    <w:p w14:paraId="4FD55F93" w14:textId="6D661A58" w:rsidR="00D95B46" w:rsidRPr="00A57BF9" w:rsidRDefault="00BA75A0" w:rsidP="00DC4DE8">
      <w:pPr>
        <w:pStyle w:val="NoSpacing"/>
        <w:numPr>
          <w:ilvl w:val="0"/>
          <w:numId w:val="11"/>
        </w:numPr>
        <w:spacing w:before="0"/>
      </w:pPr>
      <w:r>
        <w:t>M</w:t>
      </w:r>
      <w:r w:rsidR="00D95B46" w:rsidRPr="00A57BF9">
        <w:t>aximum operating noise &lt;50 decibels</w:t>
      </w:r>
      <w:r w:rsidR="00D95B46" w:rsidRPr="00A57BF9">
        <w:br/>
      </w:r>
      <w:r w:rsidR="00D95B46" w:rsidRPr="00A57BF9">
        <w:rPr>
          <w:rFonts w:eastAsia="Times New Roman"/>
          <w:color w:val="FF0000"/>
        </w:rPr>
        <w:br/>
      </w:r>
    </w:p>
    <w:sectPr w:rsidR="00D95B46" w:rsidRPr="00A57BF9" w:rsidSect="000200FB">
      <w:headerReference w:type="default" r:id="rId25"/>
      <w:footerReference w:type="default" r:id="rId26"/>
      <w:pgSz w:w="11906" w:h="16838"/>
      <w:pgMar w:top="1276" w:right="991" w:bottom="720" w:left="993"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0E3D9" w14:textId="77777777" w:rsidR="00104166" w:rsidRDefault="00104166" w:rsidP="00FD6B4C">
      <w:r>
        <w:separator/>
      </w:r>
    </w:p>
  </w:endnote>
  <w:endnote w:type="continuationSeparator" w:id="0">
    <w:p w14:paraId="5793EFE6" w14:textId="77777777" w:rsidR="00104166" w:rsidRDefault="00104166" w:rsidP="00FD6B4C">
      <w:r>
        <w:continuationSeparator/>
      </w:r>
    </w:p>
  </w:endnote>
  <w:endnote w:type="continuationNotice" w:id="1">
    <w:p w14:paraId="51139883" w14:textId="77777777" w:rsidR="00104166" w:rsidRDefault="00104166" w:rsidP="00FD6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208787"/>
      <w:docPartObj>
        <w:docPartGallery w:val="Page Numbers (Bottom of Page)"/>
        <w:docPartUnique/>
      </w:docPartObj>
    </w:sdtPr>
    <w:sdtEndPr>
      <w:rPr>
        <w:noProof/>
      </w:rPr>
    </w:sdtEndPr>
    <w:sdtContent>
      <w:p w14:paraId="1FAB844F" w14:textId="5EF5BD97" w:rsidR="00C50E8A" w:rsidRPr="00ED0170" w:rsidRDefault="00C50E8A" w:rsidP="00FD6B4C"/>
      <w:p w14:paraId="4AD76863" w14:textId="6DE77A11" w:rsidR="00C50E8A" w:rsidRDefault="00A37AE5" w:rsidP="00A37AE5">
        <w:pPr>
          <w:ind w:left="0"/>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44277" w14:textId="77777777" w:rsidR="00104166" w:rsidRDefault="00104166" w:rsidP="00FD6B4C">
      <w:bookmarkStart w:id="0" w:name="_Hlk139540872"/>
      <w:bookmarkEnd w:id="0"/>
      <w:r>
        <w:separator/>
      </w:r>
    </w:p>
  </w:footnote>
  <w:footnote w:type="continuationSeparator" w:id="0">
    <w:p w14:paraId="4CDCB550" w14:textId="77777777" w:rsidR="00104166" w:rsidRDefault="00104166" w:rsidP="00FD6B4C">
      <w:r>
        <w:continuationSeparator/>
      </w:r>
    </w:p>
  </w:footnote>
  <w:footnote w:type="continuationNotice" w:id="1">
    <w:p w14:paraId="76B6A3AD" w14:textId="77777777" w:rsidR="00104166" w:rsidRDefault="00104166" w:rsidP="00FD6B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34A0B" w14:textId="77777777" w:rsidR="00733EAB" w:rsidRPr="00A06AF7" w:rsidRDefault="00733EAB" w:rsidP="00733EAB">
    <w:pPr>
      <w:pStyle w:val="Header"/>
      <w:spacing w:before="0"/>
      <w:ind w:left="0"/>
      <w:rPr>
        <w:sz w:val="16"/>
      </w:rPr>
    </w:pPr>
    <w:bookmarkStart w:id="138" w:name="_Hlk147709480"/>
    <w:r w:rsidRPr="00A06AF7">
      <w:rPr>
        <w:sz w:val="16"/>
      </w:rPr>
      <w:t>Yorkshire and Humber NHS Pharmaceuticals Purchasing Consortium</w:t>
    </w:r>
  </w:p>
  <w:p w14:paraId="0CCC795E" w14:textId="77777777" w:rsidR="00733EAB" w:rsidRDefault="00733EAB" w:rsidP="00733EAB">
    <w:pPr>
      <w:pStyle w:val="Header"/>
      <w:spacing w:before="0"/>
      <w:ind w:left="0"/>
      <w:rPr>
        <w:b/>
        <w:sz w:val="22"/>
      </w:rPr>
    </w:pPr>
    <w:r w:rsidRPr="00B2738E">
      <w:rPr>
        <w:sz w:val="16"/>
      </w:rPr>
      <w:t>Low/Mid Tech Homecare Medicines Service Framework Agreement</w:t>
    </w:r>
    <w:r w:rsidRPr="0019605D">
      <w:rPr>
        <w:b/>
        <w:sz w:val="22"/>
      </w:rPr>
      <w:t xml:space="preserve"> </w:t>
    </w:r>
  </w:p>
  <w:p w14:paraId="1B58B7CF" w14:textId="77777777" w:rsidR="00733EAB" w:rsidRPr="00B2738E" w:rsidRDefault="00733EAB" w:rsidP="00733EAB">
    <w:pPr>
      <w:pStyle w:val="Header"/>
      <w:spacing w:before="0"/>
      <w:ind w:left="0"/>
      <w:rPr>
        <w:color w:val="FF0000"/>
      </w:rPr>
    </w:pPr>
    <w:r>
      <w:rPr>
        <w:sz w:val="16"/>
      </w:rPr>
      <w:t>Tender Ref:</w:t>
    </w:r>
    <w:r w:rsidRPr="00FC1CCA">
      <w:rPr>
        <w:sz w:val="16"/>
        <w:szCs w:val="16"/>
      </w:rPr>
      <w:t xml:space="preserve"> </w:t>
    </w:r>
    <w:r w:rsidRPr="00FC1CCA">
      <w:rPr>
        <w:color w:val="181818"/>
        <w:sz w:val="16"/>
        <w:szCs w:val="16"/>
        <w:shd w:val="clear" w:color="auto" w:fill="FFFFFF"/>
      </w:rPr>
      <w:t>C190863</w:t>
    </w:r>
  </w:p>
  <w:bookmarkEnd w:id="138"/>
  <w:p w14:paraId="1A1F40DD" w14:textId="09C0555D" w:rsidR="00A37AE5" w:rsidRPr="00A37AE5" w:rsidRDefault="00A37AE5" w:rsidP="00A37AE5">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0"/>
    <w:multiLevelType w:val="hybridMultilevel"/>
    <w:tmpl w:val="33F24DF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11214446"/>
    <w:multiLevelType w:val="hybridMultilevel"/>
    <w:tmpl w:val="DFC074D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14D32A18"/>
    <w:multiLevelType w:val="hybridMultilevel"/>
    <w:tmpl w:val="4AF62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313A9"/>
    <w:multiLevelType w:val="multilevel"/>
    <w:tmpl w:val="8C7C062A"/>
    <w:lvl w:ilvl="0">
      <w:start w:val="1"/>
      <w:numFmt w:val="decimal"/>
      <w:pStyle w:val="Style1"/>
      <w:lvlText w:val="%1."/>
      <w:lvlJc w:val="left"/>
      <w:pPr>
        <w:ind w:left="644" w:hanging="360"/>
      </w:pPr>
      <w:rPr>
        <w:rFonts w:hint="default"/>
        <w:b/>
        <w:bCs/>
        <w:color w:val="404040" w:themeColor="text1" w:themeTint="BF"/>
        <w:sz w:val="22"/>
        <w:szCs w:val="20"/>
      </w:rPr>
    </w:lvl>
    <w:lvl w:ilvl="1">
      <w:start w:val="1"/>
      <w:numFmt w:val="decimal"/>
      <w:lvlText w:val="%1.%2."/>
      <w:lvlJc w:val="left"/>
      <w:pPr>
        <w:ind w:left="792" w:hanging="432"/>
      </w:pPr>
      <w:rPr>
        <w:rFonts w:hint="default"/>
        <w:b/>
        <w:bCs/>
        <w:i w:val="0"/>
        <w:iCs w:val="0"/>
        <w:color w:val="404040" w:themeColor="text1" w:themeTint="BF"/>
      </w:rPr>
    </w:lvl>
    <w:lvl w:ilvl="2">
      <w:start w:val="1"/>
      <w:numFmt w:val="decimal"/>
      <w:lvlText w:val="%1.%2.%3."/>
      <w:lvlJc w:val="left"/>
      <w:pPr>
        <w:ind w:left="1639" w:hanging="504"/>
      </w:pPr>
      <w:rPr>
        <w:rFonts w:hint="default"/>
        <w:b/>
        <w:bCs/>
        <w:i w:val="0"/>
        <w:iCs w:val="0"/>
        <w:color w:val="404040" w:themeColor="text1" w:themeTint="BF"/>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AE6036A"/>
    <w:multiLevelType w:val="hybridMultilevel"/>
    <w:tmpl w:val="5398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67513"/>
    <w:multiLevelType w:val="hybridMultilevel"/>
    <w:tmpl w:val="DA86E5E0"/>
    <w:lvl w:ilvl="0" w:tplc="AAA4BF06">
      <w:numFmt w:val="bullet"/>
      <w:pStyle w:val="ListParagraph"/>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35B2374"/>
    <w:multiLevelType w:val="hybridMultilevel"/>
    <w:tmpl w:val="A228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9B0AFB"/>
    <w:multiLevelType w:val="hybridMultilevel"/>
    <w:tmpl w:val="CAD275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136BA0"/>
    <w:multiLevelType w:val="hybridMultilevel"/>
    <w:tmpl w:val="2B6AE0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D84B70"/>
    <w:multiLevelType w:val="hybridMultilevel"/>
    <w:tmpl w:val="9F563E1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 w15:restartNumberingAfterBreak="0">
    <w:nsid w:val="72586A6A"/>
    <w:multiLevelType w:val="multilevel"/>
    <w:tmpl w:val="881C358E"/>
    <w:lvl w:ilvl="0">
      <w:start w:val="1"/>
      <w:numFmt w:val="decimal"/>
      <w:pStyle w:val="Heading2"/>
      <w:lvlText w:val="%1."/>
      <w:lvlJc w:val="left"/>
      <w:pPr>
        <w:ind w:left="360" w:hanging="360"/>
      </w:pPr>
    </w:lvl>
    <w:lvl w:ilvl="1">
      <w:start w:val="1"/>
      <w:numFmt w:val="decimal"/>
      <w:pStyle w:val="Heading3"/>
      <w:lvlText w:val="%1.%2."/>
      <w:lvlJc w:val="left"/>
      <w:pPr>
        <w:ind w:left="1282" w:hanging="432"/>
      </w:pPr>
      <w:rPr>
        <w:color w:val="auto"/>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75C4CB6"/>
    <w:multiLevelType w:val="hybridMultilevel"/>
    <w:tmpl w:val="D9CE5D96"/>
    <w:lvl w:ilvl="0" w:tplc="08090001">
      <w:start w:val="1"/>
      <w:numFmt w:val="bullet"/>
      <w:lvlText w:val=""/>
      <w:lvlJc w:val="left"/>
      <w:pPr>
        <w:ind w:left="749" w:hanging="360"/>
      </w:pPr>
      <w:rPr>
        <w:rFonts w:ascii="Symbol" w:hAnsi="Symbol" w:hint="default"/>
      </w:rPr>
    </w:lvl>
    <w:lvl w:ilvl="1" w:tplc="08090003">
      <w:start w:val="1"/>
      <w:numFmt w:val="bullet"/>
      <w:lvlText w:val="o"/>
      <w:lvlJc w:val="left"/>
      <w:pPr>
        <w:ind w:left="1469" w:hanging="360"/>
      </w:pPr>
      <w:rPr>
        <w:rFonts w:ascii="Courier New" w:hAnsi="Courier New" w:cs="Courier New" w:hint="default"/>
      </w:rPr>
    </w:lvl>
    <w:lvl w:ilvl="2" w:tplc="08090005">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num w:numId="1" w16cid:durableId="514227200">
    <w:abstractNumId w:val="10"/>
  </w:num>
  <w:num w:numId="2" w16cid:durableId="791510057">
    <w:abstractNumId w:val="5"/>
  </w:num>
  <w:num w:numId="3" w16cid:durableId="554924766">
    <w:abstractNumId w:val="1"/>
  </w:num>
  <w:num w:numId="4" w16cid:durableId="466315537">
    <w:abstractNumId w:val="0"/>
  </w:num>
  <w:num w:numId="5" w16cid:durableId="2050762751">
    <w:abstractNumId w:val="8"/>
  </w:num>
  <w:num w:numId="6" w16cid:durableId="1674991303">
    <w:abstractNumId w:val="7"/>
  </w:num>
  <w:num w:numId="7" w16cid:durableId="1189828035">
    <w:abstractNumId w:val="2"/>
  </w:num>
  <w:num w:numId="8" w16cid:durableId="2072538719">
    <w:abstractNumId w:val="6"/>
  </w:num>
  <w:num w:numId="9" w16cid:durableId="430668197">
    <w:abstractNumId w:val="11"/>
  </w:num>
  <w:num w:numId="10" w16cid:durableId="21036029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5087904">
    <w:abstractNumId w:val="4"/>
  </w:num>
  <w:num w:numId="12" w16cid:durableId="951325232">
    <w:abstractNumId w:val="9"/>
  </w:num>
  <w:num w:numId="13" w16cid:durableId="75871791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2E7"/>
    <w:rsid w:val="00000A90"/>
    <w:rsid w:val="0000227A"/>
    <w:rsid w:val="000027E5"/>
    <w:rsid w:val="00002D46"/>
    <w:rsid w:val="00005EFD"/>
    <w:rsid w:val="0001061A"/>
    <w:rsid w:val="00011274"/>
    <w:rsid w:val="0001131C"/>
    <w:rsid w:val="000144EB"/>
    <w:rsid w:val="00016A1E"/>
    <w:rsid w:val="000200FB"/>
    <w:rsid w:val="00020FC4"/>
    <w:rsid w:val="000212BC"/>
    <w:rsid w:val="00022987"/>
    <w:rsid w:val="00023722"/>
    <w:rsid w:val="00024229"/>
    <w:rsid w:val="00026780"/>
    <w:rsid w:val="00027A25"/>
    <w:rsid w:val="00027D0B"/>
    <w:rsid w:val="0004125A"/>
    <w:rsid w:val="0004276C"/>
    <w:rsid w:val="00042AFC"/>
    <w:rsid w:val="000432E6"/>
    <w:rsid w:val="0004362D"/>
    <w:rsid w:val="000445B9"/>
    <w:rsid w:val="0005032A"/>
    <w:rsid w:val="000552DF"/>
    <w:rsid w:val="00055657"/>
    <w:rsid w:val="000560D0"/>
    <w:rsid w:val="00056121"/>
    <w:rsid w:val="00056A6C"/>
    <w:rsid w:val="000610F9"/>
    <w:rsid w:val="00063D64"/>
    <w:rsid w:val="00063D8D"/>
    <w:rsid w:val="000648C1"/>
    <w:rsid w:val="00065415"/>
    <w:rsid w:val="0006786D"/>
    <w:rsid w:val="000708B8"/>
    <w:rsid w:val="000710CF"/>
    <w:rsid w:val="00072521"/>
    <w:rsid w:val="00074540"/>
    <w:rsid w:val="00075229"/>
    <w:rsid w:val="00080586"/>
    <w:rsid w:val="0008170A"/>
    <w:rsid w:val="0008351B"/>
    <w:rsid w:val="000869A8"/>
    <w:rsid w:val="000875D6"/>
    <w:rsid w:val="00090750"/>
    <w:rsid w:val="0009132C"/>
    <w:rsid w:val="00091784"/>
    <w:rsid w:val="00095AB2"/>
    <w:rsid w:val="00095C6C"/>
    <w:rsid w:val="00096E9D"/>
    <w:rsid w:val="00097073"/>
    <w:rsid w:val="000975D9"/>
    <w:rsid w:val="000A0D8B"/>
    <w:rsid w:val="000A0FB8"/>
    <w:rsid w:val="000A4501"/>
    <w:rsid w:val="000B0B66"/>
    <w:rsid w:val="000B1EA7"/>
    <w:rsid w:val="000B2A8D"/>
    <w:rsid w:val="000B6623"/>
    <w:rsid w:val="000B671D"/>
    <w:rsid w:val="000B6B34"/>
    <w:rsid w:val="000C0B70"/>
    <w:rsid w:val="000C2575"/>
    <w:rsid w:val="000C3B90"/>
    <w:rsid w:val="000C3F22"/>
    <w:rsid w:val="000C72C3"/>
    <w:rsid w:val="000D014F"/>
    <w:rsid w:val="000D0B76"/>
    <w:rsid w:val="000D4C0B"/>
    <w:rsid w:val="000D4FE7"/>
    <w:rsid w:val="000D53EE"/>
    <w:rsid w:val="000E02AA"/>
    <w:rsid w:val="000E0B74"/>
    <w:rsid w:val="000E0D28"/>
    <w:rsid w:val="000E20F9"/>
    <w:rsid w:val="000E4439"/>
    <w:rsid w:val="000E461F"/>
    <w:rsid w:val="000E4F17"/>
    <w:rsid w:val="000E607F"/>
    <w:rsid w:val="000E6F13"/>
    <w:rsid w:val="000F15AB"/>
    <w:rsid w:val="000F2FEE"/>
    <w:rsid w:val="000F4073"/>
    <w:rsid w:val="000F6790"/>
    <w:rsid w:val="000F75D6"/>
    <w:rsid w:val="000F7B02"/>
    <w:rsid w:val="0010025D"/>
    <w:rsid w:val="00102073"/>
    <w:rsid w:val="001021D1"/>
    <w:rsid w:val="0010320F"/>
    <w:rsid w:val="00104166"/>
    <w:rsid w:val="00104D9C"/>
    <w:rsid w:val="00105347"/>
    <w:rsid w:val="00106EAE"/>
    <w:rsid w:val="00107BFA"/>
    <w:rsid w:val="001121AF"/>
    <w:rsid w:val="001123F1"/>
    <w:rsid w:val="00115125"/>
    <w:rsid w:val="00116981"/>
    <w:rsid w:val="00120098"/>
    <w:rsid w:val="00120F31"/>
    <w:rsid w:val="0012274D"/>
    <w:rsid w:val="00123FEF"/>
    <w:rsid w:val="001254AF"/>
    <w:rsid w:val="00127312"/>
    <w:rsid w:val="00127F8F"/>
    <w:rsid w:val="00131850"/>
    <w:rsid w:val="00132903"/>
    <w:rsid w:val="00133875"/>
    <w:rsid w:val="00134A93"/>
    <w:rsid w:val="00135C00"/>
    <w:rsid w:val="00136DE3"/>
    <w:rsid w:val="001418FA"/>
    <w:rsid w:val="001440E3"/>
    <w:rsid w:val="00144FB5"/>
    <w:rsid w:val="001451A2"/>
    <w:rsid w:val="001452EB"/>
    <w:rsid w:val="00146D47"/>
    <w:rsid w:val="00147C9E"/>
    <w:rsid w:val="00157664"/>
    <w:rsid w:val="001613B7"/>
    <w:rsid w:val="0016364E"/>
    <w:rsid w:val="00163BE7"/>
    <w:rsid w:val="0016657C"/>
    <w:rsid w:val="00174522"/>
    <w:rsid w:val="001749DE"/>
    <w:rsid w:val="00174B38"/>
    <w:rsid w:val="00174EEB"/>
    <w:rsid w:val="00174F15"/>
    <w:rsid w:val="0017517C"/>
    <w:rsid w:val="0017656D"/>
    <w:rsid w:val="00177147"/>
    <w:rsid w:val="00177A7D"/>
    <w:rsid w:val="00181B54"/>
    <w:rsid w:val="00181D96"/>
    <w:rsid w:val="001820F1"/>
    <w:rsid w:val="00182781"/>
    <w:rsid w:val="00182D3C"/>
    <w:rsid w:val="00183724"/>
    <w:rsid w:val="00183B2F"/>
    <w:rsid w:val="00183BF3"/>
    <w:rsid w:val="00184584"/>
    <w:rsid w:val="001862B5"/>
    <w:rsid w:val="00186C63"/>
    <w:rsid w:val="00187D46"/>
    <w:rsid w:val="00191A8E"/>
    <w:rsid w:val="00191BA4"/>
    <w:rsid w:val="00191D23"/>
    <w:rsid w:val="00192CB8"/>
    <w:rsid w:val="00192F81"/>
    <w:rsid w:val="001930E7"/>
    <w:rsid w:val="001959FA"/>
    <w:rsid w:val="001A027B"/>
    <w:rsid w:val="001A171A"/>
    <w:rsid w:val="001A65E9"/>
    <w:rsid w:val="001B0300"/>
    <w:rsid w:val="001B4F88"/>
    <w:rsid w:val="001B6F83"/>
    <w:rsid w:val="001C1C30"/>
    <w:rsid w:val="001C693A"/>
    <w:rsid w:val="001D0EBC"/>
    <w:rsid w:val="001D14D5"/>
    <w:rsid w:val="001D332F"/>
    <w:rsid w:val="001D4212"/>
    <w:rsid w:val="001D78E0"/>
    <w:rsid w:val="001E1AFA"/>
    <w:rsid w:val="001F0FE3"/>
    <w:rsid w:val="001F2756"/>
    <w:rsid w:val="001F3308"/>
    <w:rsid w:val="001F3568"/>
    <w:rsid w:val="001F3A3B"/>
    <w:rsid w:val="001F4E15"/>
    <w:rsid w:val="001F4FD2"/>
    <w:rsid w:val="001F60A0"/>
    <w:rsid w:val="001F6165"/>
    <w:rsid w:val="001F661A"/>
    <w:rsid w:val="00201260"/>
    <w:rsid w:val="00204651"/>
    <w:rsid w:val="002110D5"/>
    <w:rsid w:val="0021258C"/>
    <w:rsid w:val="002137C5"/>
    <w:rsid w:val="00214FB3"/>
    <w:rsid w:val="002158B3"/>
    <w:rsid w:val="00216F1F"/>
    <w:rsid w:val="002238B2"/>
    <w:rsid w:val="002251AA"/>
    <w:rsid w:val="0022572F"/>
    <w:rsid w:val="0022723C"/>
    <w:rsid w:val="00227573"/>
    <w:rsid w:val="00227AC1"/>
    <w:rsid w:val="00230DC3"/>
    <w:rsid w:val="00231C5F"/>
    <w:rsid w:val="0023244D"/>
    <w:rsid w:val="00240628"/>
    <w:rsid w:val="00240B33"/>
    <w:rsid w:val="00240B42"/>
    <w:rsid w:val="0024363D"/>
    <w:rsid w:val="0024368E"/>
    <w:rsid w:val="00243B23"/>
    <w:rsid w:val="002444A7"/>
    <w:rsid w:val="00244FA7"/>
    <w:rsid w:val="0024546D"/>
    <w:rsid w:val="00251742"/>
    <w:rsid w:val="0025190B"/>
    <w:rsid w:val="00253D85"/>
    <w:rsid w:val="00254A40"/>
    <w:rsid w:val="002550AF"/>
    <w:rsid w:val="00255598"/>
    <w:rsid w:val="002568C5"/>
    <w:rsid w:val="002573D2"/>
    <w:rsid w:val="00261549"/>
    <w:rsid w:val="00263E79"/>
    <w:rsid w:val="00264310"/>
    <w:rsid w:val="00265A27"/>
    <w:rsid w:val="0026684E"/>
    <w:rsid w:val="002668C0"/>
    <w:rsid w:val="00267A3A"/>
    <w:rsid w:val="00270912"/>
    <w:rsid w:val="00271CC5"/>
    <w:rsid w:val="00272451"/>
    <w:rsid w:val="0027389E"/>
    <w:rsid w:val="00274DF8"/>
    <w:rsid w:val="002757AF"/>
    <w:rsid w:val="00276D2C"/>
    <w:rsid w:val="00280596"/>
    <w:rsid w:val="002813E2"/>
    <w:rsid w:val="00282127"/>
    <w:rsid w:val="002824B8"/>
    <w:rsid w:val="00284832"/>
    <w:rsid w:val="002860A4"/>
    <w:rsid w:val="002876BF"/>
    <w:rsid w:val="002900D4"/>
    <w:rsid w:val="00291E3E"/>
    <w:rsid w:val="00292F74"/>
    <w:rsid w:val="0029513C"/>
    <w:rsid w:val="0029543D"/>
    <w:rsid w:val="00296EC6"/>
    <w:rsid w:val="002A0EA9"/>
    <w:rsid w:val="002A3529"/>
    <w:rsid w:val="002A5BD2"/>
    <w:rsid w:val="002A6D4D"/>
    <w:rsid w:val="002A7C59"/>
    <w:rsid w:val="002B0BD8"/>
    <w:rsid w:val="002B1C70"/>
    <w:rsid w:val="002B496D"/>
    <w:rsid w:val="002B5076"/>
    <w:rsid w:val="002B5EF1"/>
    <w:rsid w:val="002B75D9"/>
    <w:rsid w:val="002B7FC3"/>
    <w:rsid w:val="002C0B8D"/>
    <w:rsid w:val="002C1017"/>
    <w:rsid w:val="002C132A"/>
    <w:rsid w:val="002C25CF"/>
    <w:rsid w:val="002C3197"/>
    <w:rsid w:val="002C41D1"/>
    <w:rsid w:val="002C497A"/>
    <w:rsid w:val="002C5176"/>
    <w:rsid w:val="002C529B"/>
    <w:rsid w:val="002C5643"/>
    <w:rsid w:val="002D51DE"/>
    <w:rsid w:val="002E01C0"/>
    <w:rsid w:val="002E05B9"/>
    <w:rsid w:val="002E1AEC"/>
    <w:rsid w:val="002E1DA1"/>
    <w:rsid w:val="002E6B2A"/>
    <w:rsid w:val="002E7828"/>
    <w:rsid w:val="002F00CA"/>
    <w:rsid w:val="002F0AF9"/>
    <w:rsid w:val="002F12FF"/>
    <w:rsid w:val="002F1F28"/>
    <w:rsid w:val="002F29AE"/>
    <w:rsid w:val="002F3ECC"/>
    <w:rsid w:val="002F41B4"/>
    <w:rsid w:val="002F5F75"/>
    <w:rsid w:val="002F6EA2"/>
    <w:rsid w:val="00301E6F"/>
    <w:rsid w:val="00302DC4"/>
    <w:rsid w:val="00304123"/>
    <w:rsid w:val="003052E2"/>
    <w:rsid w:val="00310DDB"/>
    <w:rsid w:val="0031687B"/>
    <w:rsid w:val="00320FD4"/>
    <w:rsid w:val="0032263E"/>
    <w:rsid w:val="003229E4"/>
    <w:rsid w:val="003230CC"/>
    <w:rsid w:val="00323CC7"/>
    <w:rsid w:val="0032691C"/>
    <w:rsid w:val="00327B23"/>
    <w:rsid w:val="0033079C"/>
    <w:rsid w:val="003421CB"/>
    <w:rsid w:val="0034237E"/>
    <w:rsid w:val="0034292D"/>
    <w:rsid w:val="00346105"/>
    <w:rsid w:val="00347E78"/>
    <w:rsid w:val="00350E8B"/>
    <w:rsid w:val="00351BD3"/>
    <w:rsid w:val="00351D51"/>
    <w:rsid w:val="00352295"/>
    <w:rsid w:val="0035456D"/>
    <w:rsid w:val="00354FCE"/>
    <w:rsid w:val="00357340"/>
    <w:rsid w:val="003575EA"/>
    <w:rsid w:val="00357C2F"/>
    <w:rsid w:val="003639F7"/>
    <w:rsid w:val="00363ABA"/>
    <w:rsid w:val="00364660"/>
    <w:rsid w:val="00364922"/>
    <w:rsid w:val="00365435"/>
    <w:rsid w:val="003668A2"/>
    <w:rsid w:val="003707F6"/>
    <w:rsid w:val="00370C6C"/>
    <w:rsid w:val="00371217"/>
    <w:rsid w:val="00372B70"/>
    <w:rsid w:val="00372B98"/>
    <w:rsid w:val="003731D3"/>
    <w:rsid w:val="003736CC"/>
    <w:rsid w:val="00377137"/>
    <w:rsid w:val="00377C96"/>
    <w:rsid w:val="0038171E"/>
    <w:rsid w:val="00382622"/>
    <w:rsid w:val="00384289"/>
    <w:rsid w:val="003849A3"/>
    <w:rsid w:val="00385910"/>
    <w:rsid w:val="00386ACA"/>
    <w:rsid w:val="00390D68"/>
    <w:rsid w:val="0039540D"/>
    <w:rsid w:val="00397E78"/>
    <w:rsid w:val="003A0C6D"/>
    <w:rsid w:val="003A1CD1"/>
    <w:rsid w:val="003A3D51"/>
    <w:rsid w:val="003A4279"/>
    <w:rsid w:val="003A4BC9"/>
    <w:rsid w:val="003A5D0C"/>
    <w:rsid w:val="003A66F8"/>
    <w:rsid w:val="003B0824"/>
    <w:rsid w:val="003B2E6F"/>
    <w:rsid w:val="003B3688"/>
    <w:rsid w:val="003B7BC2"/>
    <w:rsid w:val="003C037C"/>
    <w:rsid w:val="003C0E5B"/>
    <w:rsid w:val="003C1F5D"/>
    <w:rsid w:val="003C2457"/>
    <w:rsid w:val="003C2E63"/>
    <w:rsid w:val="003C5044"/>
    <w:rsid w:val="003D0990"/>
    <w:rsid w:val="003D1484"/>
    <w:rsid w:val="003D1D32"/>
    <w:rsid w:val="003D1D4D"/>
    <w:rsid w:val="003D2494"/>
    <w:rsid w:val="003D2838"/>
    <w:rsid w:val="003D4225"/>
    <w:rsid w:val="003D4CDC"/>
    <w:rsid w:val="003D5029"/>
    <w:rsid w:val="003D5229"/>
    <w:rsid w:val="003D5867"/>
    <w:rsid w:val="003D5980"/>
    <w:rsid w:val="003D72CC"/>
    <w:rsid w:val="003D7555"/>
    <w:rsid w:val="003D75C9"/>
    <w:rsid w:val="003D7F1E"/>
    <w:rsid w:val="003E0329"/>
    <w:rsid w:val="003E1792"/>
    <w:rsid w:val="003E2A09"/>
    <w:rsid w:val="003E3105"/>
    <w:rsid w:val="003E58F0"/>
    <w:rsid w:val="003E6447"/>
    <w:rsid w:val="003E756B"/>
    <w:rsid w:val="003E7682"/>
    <w:rsid w:val="003F4160"/>
    <w:rsid w:val="003F425D"/>
    <w:rsid w:val="003F52F4"/>
    <w:rsid w:val="003F56C5"/>
    <w:rsid w:val="003F5C0A"/>
    <w:rsid w:val="003F6750"/>
    <w:rsid w:val="003F769B"/>
    <w:rsid w:val="0040208A"/>
    <w:rsid w:val="00402223"/>
    <w:rsid w:val="0040429D"/>
    <w:rsid w:val="00405DA4"/>
    <w:rsid w:val="00406302"/>
    <w:rsid w:val="0040691D"/>
    <w:rsid w:val="00410B35"/>
    <w:rsid w:val="004110B2"/>
    <w:rsid w:val="0041157C"/>
    <w:rsid w:val="00412DE0"/>
    <w:rsid w:val="004169E2"/>
    <w:rsid w:val="004171E2"/>
    <w:rsid w:val="0042088C"/>
    <w:rsid w:val="0042192F"/>
    <w:rsid w:val="0042231D"/>
    <w:rsid w:val="004223FF"/>
    <w:rsid w:val="00423325"/>
    <w:rsid w:val="00423D0C"/>
    <w:rsid w:val="004262AE"/>
    <w:rsid w:val="00431B04"/>
    <w:rsid w:val="0043406F"/>
    <w:rsid w:val="004360DC"/>
    <w:rsid w:val="00450209"/>
    <w:rsid w:val="00450D37"/>
    <w:rsid w:val="00451209"/>
    <w:rsid w:val="00451424"/>
    <w:rsid w:val="0045147B"/>
    <w:rsid w:val="0045263A"/>
    <w:rsid w:val="00453380"/>
    <w:rsid w:val="00454D4C"/>
    <w:rsid w:val="0045728D"/>
    <w:rsid w:val="00457869"/>
    <w:rsid w:val="0046000F"/>
    <w:rsid w:val="00461C16"/>
    <w:rsid w:val="004642B6"/>
    <w:rsid w:val="00464647"/>
    <w:rsid w:val="00464A8C"/>
    <w:rsid w:val="00464F7A"/>
    <w:rsid w:val="00466BA9"/>
    <w:rsid w:val="00467676"/>
    <w:rsid w:val="004725D7"/>
    <w:rsid w:val="00472F56"/>
    <w:rsid w:val="00474369"/>
    <w:rsid w:val="00474384"/>
    <w:rsid w:val="00481083"/>
    <w:rsid w:val="004850E8"/>
    <w:rsid w:val="00485159"/>
    <w:rsid w:val="0048681D"/>
    <w:rsid w:val="00491641"/>
    <w:rsid w:val="00492148"/>
    <w:rsid w:val="004926BF"/>
    <w:rsid w:val="00493524"/>
    <w:rsid w:val="004972E7"/>
    <w:rsid w:val="004A6A9B"/>
    <w:rsid w:val="004A79E3"/>
    <w:rsid w:val="004B0BC5"/>
    <w:rsid w:val="004B1047"/>
    <w:rsid w:val="004B1130"/>
    <w:rsid w:val="004B1958"/>
    <w:rsid w:val="004B2468"/>
    <w:rsid w:val="004B3693"/>
    <w:rsid w:val="004B6632"/>
    <w:rsid w:val="004B78E6"/>
    <w:rsid w:val="004C160C"/>
    <w:rsid w:val="004C2649"/>
    <w:rsid w:val="004C3E64"/>
    <w:rsid w:val="004C3EC1"/>
    <w:rsid w:val="004C4C4B"/>
    <w:rsid w:val="004C4E49"/>
    <w:rsid w:val="004C56A6"/>
    <w:rsid w:val="004C5E08"/>
    <w:rsid w:val="004C6A6C"/>
    <w:rsid w:val="004D4765"/>
    <w:rsid w:val="004D4797"/>
    <w:rsid w:val="004D6A7D"/>
    <w:rsid w:val="004E02A1"/>
    <w:rsid w:val="004E26FD"/>
    <w:rsid w:val="004E2883"/>
    <w:rsid w:val="004E2FD8"/>
    <w:rsid w:val="004E3810"/>
    <w:rsid w:val="004E3DD8"/>
    <w:rsid w:val="004E42B0"/>
    <w:rsid w:val="004E6C5E"/>
    <w:rsid w:val="004E6CB7"/>
    <w:rsid w:val="004F1517"/>
    <w:rsid w:val="004F29B6"/>
    <w:rsid w:val="004F3853"/>
    <w:rsid w:val="004F3860"/>
    <w:rsid w:val="004F3C0C"/>
    <w:rsid w:val="004F5B64"/>
    <w:rsid w:val="004F5CBB"/>
    <w:rsid w:val="004F5E63"/>
    <w:rsid w:val="00501743"/>
    <w:rsid w:val="00502A4E"/>
    <w:rsid w:val="00502B22"/>
    <w:rsid w:val="00503160"/>
    <w:rsid w:val="0050498D"/>
    <w:rsid w:val="00505B4C"/>
    <w:rsid w:val="00506DD7"/>
    <w:rsid w:val="005109BF"/>
    <w:rsid w:val="00510D14"/>
    <w:rsid w:val="0051167F"/>
    <w:rsid w:val="00511BE7"/>
    <w:rsid w:val="00512688"/>
    <w:rsid w:val="00512A71"/>
    <w:rsid w:val="005131F9"/>
    <w:rsid w:val="00513928"/>
    <w:rsid w:val="0051396D"/>
    <w:rsid w:val="005173B3"/>
    <w:rsid w:val="005178DD"/>
    <w:rsid w:val="005214BF"/>
    <w:rsid w:val="00521BF4"/>
    <w:rsid w:val="005222F7"/>
    <w:rsid w:val="00526037"/>
    <w:rsid w:val="0052675B"/>
    <w:rsid w:val="00530413"/>
    <w:rsid w:val="00535DDA"/>
    <w:rsid w:val="005367CA"/>
    <w:rsid w:val="00536A1D"/>
    <w:rsid w:val="00536CB5"/>
    <w:rsid w:val="005373DD"/>
    <w:rsid w:val="00540661"/>
    <w:rsid w:val="005407C3"/>
    <w:rsid w:val="005410DA"/>
    <w:rsid w:val="00543AB7"/>
    <w:rsid w:val="00544029"/>
    <w:rsid w:val="005453E6"/>
    <w:rsid w:val="00545691"/>
    <w:rsid w:val="00546D9F"/>
    <w:rsid w:val="0054743D"/>
    <w:rsid w:val="00553101"/>
    <w:rsid w:val="005538E1"/>
    <w:rsid w:val="005538E8"/>
    <w:rsid w:val="00554FC1"/>
    <w:rsid w:val="0055735C"/>
    <w:rsid w:val="00557F1F"/>
    <w:rsid w:val="005600BD"/>
    <w:rsid w:val="00565B40"/>
    <w:rsid w:val="0056696F"/>
    <w:rsid w:val="00566D00"/>
    <w:rsid w:val="00567447"/>
    <w:rsid w:val="00567BFD"/>
    <w:rsid w:val="00571386"/>
    <w:rsid w:val="00576BFA"/>
    <w:rsid w:val="00577D4B"/>
    <w:rsid w:val="00580040"/>
    <w:rsid w:val="00581490"/>
    <w:rsid w:val="00581CA7"/>
    <w:rsid w:val="00584252"/>
    <w:rsid w:val="005853D9"/>
    <w:rsid w:val="00585B82"/>
    <w:rsid w:val="00585B9E"/>
    <w:rsid w:val="00586378"/>
    <w:rsid w:val="00586649"/>
    <w:rsid w:val="00586B35"/>
    <w:rsid w:val="005870AF"/>
    <w:rsid w:val="00587114"/>
    <w:rsid w:val="005945AB"/>
    <w:rsid w:val="005956C6"/>
    <w:rsid w:val="0059709A"/>
    <w:rsid w:val="005A425E"/>
    <w:rsid w:val="005A5333"/>
    <w:rsid w:val="005A6CD3"/>
    <w:rsid w:val="005A733D"/>
    <w:rsid w:val="005B0982"/>
    <w:rsid w:val="005B2101"/>
    <w:rsid w:val="005B2D13"/>
    <w:rsid w:val="005B49A5"/>
    <w:rsid w:val="005C1188"/>
    <w:rsid w:val="005C41F4"/>
    <w:rsid w:val="005C5AAE"/>
    <w:rsid w:val="005C679F"/>
    <w:rsid w:val="005C6B2D"/>
    <w:rsid w:val="005D0A07"/>
    <w:rsid w:val="005D272D"/>
    <w:rsid w:val="005D4AEF"/>
    <w:rsid w:val="005D4F92"/>
    <w:rsid w:val="005D4FEC"/>
    <w:rsid w:val="005D5A1D"/>
    <w:rsid w:val="005D696A"/>
    <w:rsid w:val="005D780B"/>
    <w:rsid w:val="005E2129"/>
    <w:rsid w:val="005E343B"/>
    <w:rsid w:val="005E4BD2"/>
    <w:rsid w:val="005E5790"/>
    <w:rsid w:val="005E6D20"/>
    <w:rsid w:val="005E7316"/>
    <w:rsid w:val="005E7867"/>
    <w:rsid w:val="005F10D8"/>
    <w:rsid w:val="005F1419"/>
    <w:rsid w:val="005F2254"/>
    <w:rsid w:val="005F25A1"/>
    <w:rsid w:val="005F3002"/>
    <w:rsid w:val="005F5BAF"/>
    <w:rsid w:val="005F5C7D"/>
    <w:rsid w:val="005F5F06"/>
    <w:rsid w:val="005F6304"/>
    <w:rsid w:val="00600547"/>
    <w:rsid w:val="006021DB"/>
    <w:rsid w:val="00602A08"/>
    <w:rsid w:val="00603070"/>
    <w:rsid w:val="00605214"/>
    <w:rsid w:val="006105AE"/>
    <w:rsid w:val="00614A0E"/>
    <w:rsid w:val="006172F3"/>
    <w:rsid w:val="00620779"/>
    <w:rsid w:val="00621623"/>
    <w:rsid w:val="006239BF"/>
    <w:rsid w:val="0062561B"/>
    <w:rsid w:val="00626B1E"/>
    <w:rsid w:val="00627D66"/>
    <w:rsid w:val="00632C45"/>
    <w:rsid w:val="00632F54"/>
    <w:rsid w:val="00633588"/>
    <w:rsid w:val="006345C9"/>
    <w:rsid w:val="00637D40"/>
    <w:rsid w:val="006406D2"/>
    <w:rsid w:val="00640F26"/>
    <w:rsid w:val="0064148E"/>
    <w:rsid w:val="00642E11"/>
    <w:rsid w:val="0064300D"/>
    <w:rsid w:val="00643761"/>
    <w:rsid w:val="006447AA"/>
    <w:rsid w:val="0064574B"/>
    <w:rsid w:val="00645F99"/>
    <w:rsid w:val="006464DC"/>
    <w:rsid w:val="00651022"/>
    <w:rsid w:val="00651485"/>
    <w:rsid w:val="00653606"/>
    <w:rsid w:val="0065373E"/>
    <w:rsid w:val="006555AC"/>
    <w:rsid w:val="00656152"/>
    <w:rsid w:val="00660C5E"/>
    <w:rsid w:val="0066105E"/>
    <w:rsid w:val="00661A6C"/>
    <w:rsid w:val="00663666"/>
    <w:rsid w:val="00663E95"/>
    <w:rsid w:val="00665C23"/>
    <w:rsid w:val="00666481"/>
    <w:rsid w:val="00672517"/>
    <w:rsid w:val="00674A5B"/>
    <w:rsid w:val="00680601"/>
    <w:rsid w:val="00681247"/>
    <w:rsid w:val="006822A6"/>
    <w:rsid w:val="0068273D"/>
    <w:rsid w:val="006862BF"/>
    <w:rsid w:val="0068745D"/>
    <w:rsid w:val="0069022E"/>
    <w:rsid w:val="00690E40"/>
    <w:rsid w:val="0069107E"/>
    <w:rsid w:val="006917FD"/>
    <w:rsid w:val="00691CC0"/>
    <w:rsid w:val="00693D0F"/>
    <w:rsid w:val="00693ED2"/>
    <w:rsid w:val="00694228"/>
    <w:rsid w:val="0069471E"/>
    <w:rsid w:val="006969B0"/>
    <w:rsid w:val="006A08A0"/>
    <w:rsid w:val="006A370E"/>
    <w:rsid w:val="006A38BD"/>
    <w:rsid w:val="006A5676"/>
    <w:rsid w:val="006A7CBB"/>
    <w:rsid w:val="006B187A"/>
    <w:rsid w:val="006B3D7A"/>
    <w:rsid w:val="006B41A1"/>
    <w:rsid w:val="006B44A6"/>
    <w:rsid w:val="006B4D97"/>
    <w:rsid w:val="006B57F3"/>
    <w:rsid w:val="006B64B9"/>
    <w:rsid w:val="006B7323"/>
    <w:rsid w:val="006C0006"/>
    <w:rsid w:val="006C1170"/>
    <w:rsid w:val="006C2437"/>
    <w:rsid w:val="006C5DA9"/>
    <w:rsid w:val="006C7625"/>
    <w:rsid w:val="006C7D5F"/>
    <w:rsid w:val="006D5F34"/>
    <w:rsid w:val="006D5F3D"/>
    <w:rsid w:val="006D7CD3"/>
    <w:rsid w:val="006E458A"/>
    <w:rsid w:val="006E6194"/>
    <w:rsid w:val="006E6D8A"/>
    <w:rsid w:val="006F234A"/>
    <w:rsid w:val="006F3BC3"/>
    <w:rsid w:val="006F563B"/>
    <w:rsid w:val="006F5BB2"/>
    <w:rsid w:val="006F63E9"/>
    <w:rsid w:val="006F6E63"/>
    <w:rsid w:val="006F7417"/>
    <w:rsid w:val="006F7F5E"/>
    <w:rsid w:val="0070341C"/>
    <w:rsid w:val="007034C0"/>
    <w:rsid w:val="00703B0C"/>
    <w:rsid w:val="00703DA2"/>
    <w:rsid w:val="00704079"/>
    <w:rsid w:val="00705DC7"/>
    <w:rsid w:val="007073AB"/>
    <w:rsid w:val="00710986"/>
    <w:rsid w:val="00711037"/>
    <w:rsid w:val="007116D3"/>
    <w:rsid w:val="0071342D"/>
    <w:rsid w:val="00713C86"/>
    <w:rsid w:val="0071449E"/>
    <w:rsid w:val="00720109"/>
    <w:rsid w:val="00726105"/>
    <w:rsid w:val="007263EC"/>
    <w:rsid w:val="00730CF4"/>
    <w:rsid w:val="00731324"/>
    <w:rsid w:val="00731842"/>
    <w:rsid w:val="0073237F"/>
    <w:rsid w:val="007337EE"/>
    <w:rsid w:val="00733CC9"/>
    <w:rsid w:val="00733EAB"/>
    <w:rsid w:val="0073608F"/>
    <w:rsid w:val="00736F0E"/>
    <w:rsid w:val="0074040C"/>
    <w:rsid w:val="00740FE0"/>
    <w:rsid w:val="0074302B"/>
    <w:rsid w:val="00743C52"/>
    <w:rsid w:val="0074428D"/>
    <w:rsid w:val="007444C9"/>
    <w:rsid w:val="007445F6"/>
    <w:rsid w:val="0074533A"/>
    <w:rsid w:val="00746215"/>
    <w:rsid w:val="007527CF"/>
    <w:rsid w:val="00753CA0"/>
    <w:rsid w:val="00754273"/>
    <w:rsid w:val="0075478C"/>
    <w:rsid w:val="007550F5"/>
    <w:rsid w:val="007600B5"/>
    <w:rsid w:val="0076075F"/>
    <w:rsid w:val="00760DD4"/>
    <w:rsid w:val="007647EE"/>
    <w:rsid w:val="00765DB0"/>
    <w:rsid w:val="00766BB4"/>
    <w:rsid w:val="007712EE"/>
    <w:rsid w:val="00772E77"/>
    <w:rsid w:val="007740C6"/>
    <w:rsid w:val="0077552F"/>
    <w:rsid w:val="007760B8"/>
    <w:rsid w:val="007766AE"/>
    <w:rsid w:val="007773FF"/>
    <w:rsid w:val="007806E7"/>
    <w:rsid w:val="00781BE4"/>
    <w:rsid w:val="0078480A"/>
    <w:rsid w:val="007851DA"/>
    <w:rsid w:val="00786E3B"/>
    <w:rsid w:val="00787335"/>
    <w:rsid w:val="007905FA"/>
    <w:rsid w:val="00794226"/>
    <w:rsid w:val="0079465B"/>
    <w:rsid w:val="00797333"/>
    <w:rsid w:val="007A134C"/>
    <w:rsid w:val="007A3552"/>
    <w:rsid w:val="007B13E9"/>
    <w:rsid w:val="007B1F66"/>
    <w:rsid w:val="007B259F"/>
    <w:rsid w:val="007B293C"/>
    <w:rsid w:val="007B40BC"/>
    <w:rsid w:val="007B4698"/>
    <w:rsid w:val="007B62B0"/>
    <w:rsid w:val="007C0E51"/>
    <w:rsid w:val="007C264C"/>
    <w:rsid w:val="007C49A2"/>
    <w:rsid w:val="007C5007"/>
    <w:rsid w:val="007C607F"/>
    <w:rsid w:val="007C65EB"/>
    <w:rsid w:val="007C7BBC"/>
    <w:rsid w:val="007C7C3C"/>
    <w:rsid w:val="007D0082"/>
    <w:rsid w:val="007D0415"/>
    <w:rsid w:val="007D1742"/>
    <w:rsid w:val="007D2D2D"/>
    <w:rsid w:val="007D3AAA"/>
    <w:rsid w:val="007D724B"/>
    <w:rsid w:val="007D7C7F"/>
    <w:rsid w:val="007E09E8"/>
    <w:rsid w:val="007E0DF1"/>
    <w:rsid w:val="007E1981"/>
    <w:rsid w:val="007E43C4"/>
    <w:rsid w:val="007E6F8D"/>
    <w:rsid w:val="007F175D"/>
    <w:rsid w:val="007F3F45"/>
    <w:rsid w:val="007F5FF3"/>
    <w:rsid w:val="007F6602"/>
    <w:rsid w:val="007F7508"/>
    <w:rsid w:val="007F79D3"/>
    <w:rsid w:val="008003C5"/>
    <w:rsid w:val="00800E5F"/>
    <w:rsid w:val="00801CBA"/>
    <w:rsid w:val="00803865"/>
    <w:rsid w:val="00803CE3"/>
    <w:rsid w:val="00810B6A"/>
    <w:rsid w:val="00811D4E"/>
    <w:rsid w:val="008134D5"/>
    <w:rsid w:val="00814C96"/>
    <w:rsid w:val="008150C3"/>
    <w:rsid w:val="00815A0E"/>
    <w:rsid w:val="00816977"/>
    <w:rsid w:val="0081736A"/>
    <w:rsid w:val="00817463"/>
    <w:rsid w:val="0081788C"/>
    <w:rsid w:val="008179BF"/>
    <w:rsid w:val="0082068F"/>
    <w:rsid w:val="00824346"/>
    <w:rsid w:val="00824E12"/>
    <w:rsid w:val="008266DF"/>
    <w:rsid w:val="00826981"/>
    <w:rsid w:val="00832278"/>
    <w:rsid w:val="00832B01"/>
    <w:rsid w:val="00833380"/>
    <w:rsid w:val="00833A49"/>
    <w:rsid w:val="0083408F"/>
    <w:rsid w:val="00834D8E"/>
    <w:rsid w:val="008356E9"/>
    <w:rsid w:val="008359F6"/>
    <w:rsid w:val="0083682E"/>
    <w:rsid w:val="00837B21"/>
    <w:rsid w:val="008442C5"/>
    <w:rsid w:val="00845B1B"/>
    <w:rsid w:val="00846F0F"/>
    <w:rsid w:val="00852655"/>
    <w:rsid w:val="00852E9C"/>
    <w:rsid w:val="008547C5"/>
    <w:rsid w:val="0085491C"/>
    <w:rsid w:val="00855F42"/>
    <w:rsid w:val="008565AB"/>
    <w:rsid w:val="008566B6"/>
    <w:rsid w:val="00857810"/>
    <w:rsid w:val="0086407C"/>
    <w:rsid w:val="0086485F"/>
    <w:rsid w:val="00870ED3"/>
    <w:rsid w:val="00875B0E"/>
    <w:rsid w:val="008766AE"/>
    <w:rsid w:val="0087688E"/>
    <w:rsid w:val="00876E0F"/>
    <w:rsid w:val="0087712E"/>
    <w:rsid w:val="00877234"/>
    <w:rsid w:val="00877B67"/>
    <w:rsid w:val="00877CCB"/>
    <w:rsid w:val="00880675"/>
    <w:rsid w:val="00880B1B"/>
    <w:rsid w:val="008834C4"/>
    <w:rsid w:val="00885392"/>
    <w:rsid w:val="00885847"/>
    <w:rsid w:val="00890B01"/>
    <w:rsid w:val="00890CCF"/>
    <w:rsid w:val="00890EEE"/>
    <w:rsid w:val="00891956"/>
    <w:rsid w:val="00892436"/>
    <w:rsid w:val="0089359B"/>
    <w:rsid w:val="00893F04"/>
    <w:rsid w:val="00894C79"/>
    <w:rsid w:val="008A11C1"/>
    <w:rsid w:val="008A1244"/>
    <w:rsid w:val="008A17B4"/>
    <w:rsid w:val="008A3D1A"/>
    <w:rsid w:val="008A4E6B"/>
    <w:rsid w:val="008A6DD5"/>
    <w:rsid w:val="008B089F"/>
    <w:rsid w:val="008B0C9D"/>
    <w:rsid w:val="008B0E13"/>
    <w:rsid w:val="008C1ED0"/>
    <w:rsid w:val="008C2D8B"/>
    <w:rsid w:val="008C4D01"/>
    <w:rsid w:val="008C6A1F"/>
    <w:rsid w:val="008D0E76"/>
    <w:rsid w:val="008D1699"/>
    <w:rsid w:val="008D2167"/>
    <w:rsid w:val="008D21C7"/>
    <w:rsid w:val="008D3D54"/>
    <w:rsid w:val="008D4A5A"/>
    <w:rsid w:val="008D4DA9"/>
    <w:rsid w:val="008D5AE4"/>
    <w:rsid w:val="008D6D70"/>
    <w:rsid w:val="008D7F1E"/>
    <w:rsid w:val="008E0977"/>
    <w:rsid w:val="008E0CD0"/>
    <w:rsid w:val="008E0F04"/>
    <w:rsid w:val="008E2187"/>
    <w:rsid w:val="008E31DE"/>
    <w:rsid w:val="008E5A79"/>
    <w:rsid w:val="008F07D8"/>
    <w:rsid w:val="008F35A5"/>
    <w:rsid w:val="008F3E7F"/>
    <w:rsid w:val="008F47F6"/>
    <w:rsid w:val="008F50BE"/>
    <w:rsid w:val="00900FEE"/>
    <w:rsid w:val="00903F2B"/>
    <w:rsid w:val="00904166"/>
    <w:rsid w:val="009050E3"/>
    <w:rsid w:val="00906B55"/>
    <w:rsid w:val="00906F0C"/>
    <w:rsid w:val="009078E0"/>
    <w:rsid w:val="00910615"/>
    <w:rsid w:val="00910A06"/>
    <w:rsid w:val="009117AB"/>
    <w:rsid w:val="00912A71"/>
    <w:rsid w:val="00912B64"/>
    <w:rsid w:val="00915364"/>
    <w:rsid w:val="00916D78"/>
    <w:rsid w:val="009174DB"/>
    <w:rsid w:val="00920997"/>
    <w:rsid w:val="00920DC6"/>
    <w:rsid w:val="009210D5"/>
    <w:rsid w:val="00921FC2"/>
    <w:rsid w:val="00922577"/>
    <w:rsid w:val="00924743"/>
    <w:rsid w:val="00927F79"/>
    <w:rsid w:val="009301FC"/>
    <w:rsid w:val="009309EF"/>
    <w:rsid w:val="009330EE"/>
    <w:rsid w:val="009347E7"/>
    <w:rsid w:val="009353ED"/>
    <w:rsid w:val="00936F9C"/>
    <w:rsid w:val="009409A3"/>
    <w:rsid w:val="009440B2"/>
    <w:rsid w:val="0094562F"/>
    <w:rsid w:val="00952DDA"/>
    <w:rsid w:val="009621C0"/>
    <w:rsid w:val="0096416A"/>
    <w:rsid w:val="009649BA"/>
    <w:rsid w:val="00964C68"/>
    <w:rsid w:val="0097207C"/>
    <w:rsid w:val="00972384"/>
    <w:rsid w:val="0097306F"/>
    <w:rsid w:val="00973AC5"/>
    <w:rsid w:val="00974322"/>
    <w:rsid w:val="009743BE"/>
    <w:rsid w:val="00974447"/>
    <w:rsid w:val="00974FF6"/>
    <w:rsid w:val="00975065"/>
    <w:rsid w:val="00975083"/>
    <w:rsid w:val="00975B1D"/>
    <w:rsid w:val="009773D1"/>
    <w:rsid w:val="009831E5"/>
    <w:rsid w:val="00984BA0"/>
    <w:rsid w:val="00984BAD"/>
    <w:rsid w:val="00986E7A"/>
    <w:rsid w:val="009914EB"/>
    <w:rsid w:val="00991E43"/>
    <w:rsid w:val="00991EB2"/>
    <w:rsid w:val="00992D89"/>
    <w:rsid w:val="00994A3B"/>
    <w:rsid w:val="009963E6"/>
    <w:rsid w:val="00997817"/>
    <w:rsid w:val="009A47CE"/>
    <w:rsid w:val="009A4A68"/>
    <w:rsid w:val="009A4DA4"/>
    <w:rsid w:val="009B0DF0"/>
    <w:rsid w:val="009B3266"/>
    <w:rsid w:val="009B59C9"/>
    <w:rsid w:val="009C0B43"/>
    <w:rsid w:val="009C133B"/>
    <w:rsid w:val="009C14AA"/>
    <w:rsid w:val="009C3D7B"/>
    <w:rsid w:val="009C4A05"/>
    <w:rsid w:val="009C596D"/>
    <w:rsid w:val="009C6EC8"/>
    <w:rsid w:val="009C7949"/>
    <w:rsid w:val="009D1723"/>
    <w:rsid w:val="009D1A24"/>
    <w:rsid w:val="009D35D0"/>
    <w:rsid w:val="009D3B2B"/>
    <w:rsid w:val="009D44E0"/>
    <w:rsid w:val="009D5FE0"/>
    <w:rsid w:val="009D6E6A"/>
    <w:rsid w:val="009D70B9"/>
    <w:rsid w:val="009E06EF"/>
    <w:rsid w:val="009E2932"/>
    <w:rsid w:val="009E32F1"/>
    <w:rsid w:val="009E3956"/>
    <w:rsid w:val="009E4F18"/>
    <w:rsid w:val="009E5AAD"/>
    <w:rsid w:val="009E67DF"/>
    <w:rsid w:val="009E779C"/>
    <w:rsid w:val="009F08FD"/>
    <w:rsid w:val="009F1F9A"/>
    <w:rsid w:val="009F43A6"/>
    <w:rsid w:val="009F5208"/>
    <w:rsid w:val="009F6B52"/>
    <w:rsid w:val="009F78B1"/>
    <w:rsid w:val="00A003C8"/>
    <w:rsid w:val="00A0291E"/>
    <w:rsid w:val="00A02A5C"/>
    <w:rsid w:val="00A0486E"/>
    <w:rsid w:val="00A05D15"/>
    <w:rsid w:val="00A0606D"/>
    <w:rsid w:val="00A1266C"/>
    <w:rsid w:val="00A1314D"/>
    <w:rsid w:val="00A136FB"/>
    <w:rsid w:val="00A13B10"/>
    <w:rsid w:val="00A15C5C"/>
    <w:rsid w:val="00A1607D"/>
    <w:rsid w:val="00A16E47"/>
    <w:rsid w:val="00A2181B"/>
    <w:rsid w:val="00A22ABE"/>
    <w:rsid w:val="00A236AF"/>
    <w:rsid w:val="00A2514D"/>
    <w:rsid w:val="00A26976"/>
    <w:rsid w:val="00A278D1"/>
    <w:rsid w:val="00A27CC9"/>
    <w:rsid w:val="00A30741"/>
    <w:rsid w:val="00A31050"/>
    <w:rsid w:val="00A319FE"/>
    <w:rsid w:val="00A31B30"/>
    <w:rsid w:val="00A31D8C"/>
    <w:rsid w:val="00A34278"/>
    <w:rsid w:val="00A356BA"/>
    <w:rsid w:val="00A362AC"/>
    <w:rsid w:val="00A37AE5"/>
    <w:rsid w:val="00A37C2B"/>
    <w:rsid w:val="00A42F10"/>
    <w:rsid w:val="00A443A4"/>
    <w:rsid w:val="00A45B54"/>
    <w:rsid w:val="00A4630C"/>
    <w:rsid w:val="00A507B7"/>
    <w:rsid w:val="00A52FC9"/>
    <w:rsid w:val="00A53E5D"/>
    <w:rsid w:val="00A53F2A"/>
    <w:rsid w:val="00A544A3"/>
    <w:rsid w:val="00A559CE"/>
    <w:rsid w:val="00A5713B"/>
    <w:rsid w:val="00A57BF9"/>
    <w:rsid w:val="00A660AA"/>
    <w:rsid w:val="00A67FF3"/>
    <w:rsid w:val="00A72F99"/>
    <w:rsid w:val="00A73379"/>
    <w:rsid w:val="00A7376B"/>
    <w:rsid w:val="00A73E41"/>
    <w:rsid w:val="00A743E4"/>
    <w:rsid w:val="00A74B8B"/>
    <w:rsid w:val="00A7589D"/>
    <w:rsid w:val="00A76AC3"/>
    <w:rsid w:val="00A76FFE"/>
    <w:rsid w:val="00A77BC7"/>
    <w:rsid w:val="00A81A9D"/>
    <w:rsid w:val="00A849AD"/>
    <w:rsid w:val="00A84D8E"/>
    <w:rsid w:val="00A900CC"/>
    <w:rsid w:val="00A93620"/>
    <w:rsid w:val="00A94960"/>
    <w:rsid w:val="00A956D6"/>
    <w:rsid w:val="00A978D9"/>
    <w:rsid w:val="00AA053E"/>
    <w:rsid w:val="00AA0C34"/>
    <w:rsid w:val="00AA21EA"/>
    <w:rsid w:val="00AA2268"/>
    <w:rsid w:val="00AA3E45"/>
    <w:rsid w:val="00AA448F"/>
    <w:rsid w:val="00AA69DA"/>
    <w:rsid w:val="00AB2D6B"/>
    <w:rsid w:val="00AB3018"/>
    <w:rsid w:val="00AB3546"/>
    <w:rsid w:val="00AB361E"/>
    <w:rsid w:val="00AC1D2B"/>
    <w:rsid w:val="00AC32D2"/>
    <w:rsid w:val="00AC6ACB"/>
    <w:rsid w:val="00AC71AC"/>
    <w:rsid w:val="00AD2B90"/>
    <w:rsid w:val="00AD33A4"/>
    <w:rsid w:val="00AD3914"/>
    <w:rsid w:val="00AD6ABC"/>
    <w:rsid w:val="00AE0B6A"/>
    <w:rsid w:val="00AE2062"/>
    <w:rsid w:val="00AE2252"/>
    <w:rsid w:val="00AE3375"/>
    <w:rsid w:val="00AE5D79"/>
    <w:rsid w:val="00AE7374"/>
    <w:rsid w:val="00AF002A"/>
    <w:rsid w:val="00AF0F2B"/>
    <w:rsid w:val="00AF1BC9"/>
    <w:rsid w:val="00AF4292"/>
    <w:rsid w:val="00AF4300"/>
    <w:rsid w:val="00AF4476"/>
    <w:rsid w:val="00AF453D"/>
    <w:rsid w:val="00AF5D40"/>
    <w:rsid w:val="00AF7C39"/>
    <w:rsid w:val="00B023C1"/>
    <w:rsid w:val="00B02BF0"/>
    <w:rsid w:val="00B0576F"/>
    <w:rsid w:val="00B126A8"/>
    <w:rsid w:val="00B1392B"/>
    <w:rsid w:val="00B14321"/>
    <w:rsid w:val="00B143A7"/>
    <w:rsid w:val="00B14AF6"/>
    <w:rsid w:val="00B157B5"/>
    <w:rsid w:val="00B16206"/>
    <w:rsid w:val="00B230A3"/>
    <w:rsid w:val="00B257B3"/>
    <w:rsid w:val="00B267EC"/>
    <w:rsid w:val="00B276C7"/>
    <w:rsid w:val="00B30C31"/>
    <w:rsid w:val="00B31120"/>
    <w:rsid w:val="00B31476"/>
    <w:rsid w:val="00B325FE"/>
    <w:rsid w:val="00B32B05"/>
    <w:rsid w:val="00B34049"/>
    <w:rsid w:val="00B3494B"/>
    <w:rsid w:val="00B34A68"/>
    <w:rsid w:val="00B35F5A"/>
    <w:rsid w:val="00B41383"/>
    <w:rsid w:val="00B421E4"/>
    <w:rsid w:val="00B4235C"/>
    <w:rsid w:val="00B42736"/>
    <w:rsid w:val="00B43FE5"/>
    <w:rsid w:val="00B44741"/>
    <w:rsid w:val="00B44AAB"/>
    <w:rsid w:val="00B46EAE"/>
    <w:rsid w:val="00B50DCD"/>
    <w:rsid w:val="00B50E82"/>
    <w:rsid w:val="00B5326A"/>
    <w:rsid w:val="00B53C73"/>
    <w:rsid w:val="00B54C50"/>
    <w:rsid w:val="00B602F0"/>
    <w:rsid w:val="00B61F95"/>
    <w:rsid w:val="00B641AA"/>
    <w:rsid w:val="00B67A4E"/>
    <w:rsid w:val="00B71904"/>
    <w:rsid w:val="00B72938"/>
    <w:rsid w:val="00B74E23"/>
    <w:rsid w:val="00B76921"/>
    <w:rsid w:val="00B80FD5"/>
    <w:rsid w:val="00B82EB2"/>
    <w:rsid w:val="00B8407B"/>
    <w:rsid w:val="00B84E9F"/>
    <w:rsid w:val="00B85341"/>
    <w:rsid w:val="00B86C73"/>
    <w:rsid w:val="00B91122"/>
    <w:rsid w:val="00B92587"/>
    <w:rsid w:val="00B93264"/>
    <w:rsid w:val="00B96559"/>
    <w:rsid w:val="00B967A9"/>
    <w:rsid w:val="00B9693B"/>
    <w:rsid w:val="00BA08DC"/>
    <w:rsid w:val="00BA209A"/>
    <w:rsid w:val="00BA2E0B"/>
    <w:rsid w:val="00BA3A28"/>
    <w:rsid w:val="00BA499C"/>
    <w:rsid w:val="00BA723E"/>
    <w:rsid w:val="00BA7361"/>
    <w:rsid w:val="00BA75A0"/>
    <w:rsid w:val="00BA7D6A"/>
    <w:rsid w:val="00BB1204"/>
    <w:rsid w:val="00BB1622"/>
    <w:rsid w:val="00BB19DF"/>
    <w:rsid w:val="00BB2CA0"/>
    <w:rsid w:val="00BB324E"/>
    <w:rsid w:val="00BB3A0C"/>
    <w:rsid w:val="00BB3CAC"/>
    <w:rsid w:val="00BB4AEE"/>
    <w:rsid w:val="00BB7B18"/>
    <w:rsid w:val="00BC0FF8"/>
    <w:rsid w:val="00BC1B09"/>
    <w:rsid w:val="00BC2047"/>
    <w:rsid w:val="00BC3664"/>
    <w:rsid w:val="00BC4784"/>
    <w:rsid w:val="00BC5F50"/>
    <w:rsid w:val="00BC7038"/>
    <w:rsid w:val="00BC737B"/>
    <w:rsid w:val="00BD0E66"/>
    <w:rsid w:val="00BD1930"/>
    <w:rsid w:val="00BD419C"/>
    <w:rsid w:val="00BD43A9"/>
    <w:rsid w:val="00BD4916"/>
    <w:rsid w:val="00BD53EA"/>
    <w:rsid w:val="00BD606A"/>
    <w:rsid w:val="00BE3972"/>
    <w:rsid w:val="00BE4BE0"/>
    <w:rsid w:val="00BE4EA1"/>
    <w:rsid w:val="00BE5BFC"/>
    <w:rsid w:val="00BE5F1C"/>
    <w:rsid w:val="00BE69A5"/>
    <w:rsid w:val="00BE6F8E"/>
    <w:rsid w:val="00BE7DD4"/>
    <w:rsid w:val="00BE7FEE"/>
    <w:rsid w:val="00BF317D"/>
    <w:rsid w:val="00BF36F8"/>
    <w:rsid w:val="00BF61C2"/>
    <w:rsid w:val="00BF78B8"/>
    <w:rsid w:val="00BF7F43"/>
    <w:rsid w:val="00C001AC"/>
    <w:rsid w:val="00C00398"/>
    <w:rsid w:val="00C01156"/>
    <w:rsid w:val="00C025F7"/>
    <w:rsid w:val="00C04496"/>
    <w:rsid w:val="00C0703E"/>
    <w:rsid w:val="00C074C2"/>
    <w:rsid w:val="00C1557A"/>
    <w:rsid w:val="00C16CD8"/>
    <w:rsid w:val="00C23378"/>
    <w:rsid w:val="00C23DB9"/>
    <w:rsid w:val="00C260D6"/>
    <w:rsid w:val="00C31EFC"/>
    <w:rsid w:val="00C3293A"/>
    <w:rsid w:val="00C36AE4"/>
    <w:rsid w:val="00C41468"/>
    <w:rsid w:val="00C42506"/>
    <w:rsid w:val="00C451AA"/>
    <w:rsid w:val="00C50E8A"/>
    <w:rsid w:val="00C50F6B"/>
    <w:rsid w:val="00C53B1E"/>
    <w:rsid w:val="00C54A49"/>
    <w:rsid w:val="00C5627E"/>
    <w:rsid w:val="00C569EF"/>
    <w:rsid w:val="00C573A1"/>
    <w:rsid w:val="00C575F9"/>
    <w:rsid w:val="00C57ED6"/>
    <w:rsid w:val="00C605C7"/>
    <w:rsid w:val="00C62559"/>
    <w:rsid w:val="00C638D7"/>
    <w:rsid w:val="00C65E9F"/>
    <w:rsid w:val="00C66721"/>
    <w:rsid w:val="00C71792"/>
    <w:rsid w:val="00C721EC"/>
    <w:rsid w:val="00C73066"/>
    <w:rsid w:val="00C73178"/>
    <w:rsid w:val="00C74FA6"/>
    <w:rsid w:val="00C7530F"/>
    <w:rsid w:val="00C758E8"/>
    <w:rsid w:val="00C7790F"/>
    <w:rsid w:val="00C84103"/>
    <w:rsid w:val="00C8446C"/>
    <w:rsid w:val="00C844DD"/>
    <w:rsid w:val="00C85D33"/>
    <w:rsid w:val="00C87287"/>
    <w:rsid w:val="00C87B88"/>
    <w:rsid w:val="00C91A40"/>
    <w:rsid w:val="00C93365"/>
    <w:rsid w:val="00C9489F"/>
    <w:rsid w:val="00CA1D80"/>
    <w:rsid w:val="00CA2D71"/>
    <w:rsid w:val="00CA2E11"/>
    <w:rsid w:val="00CA508D"/>
    <w:rsid w:val="00CB1178"/>
    <w:rsid w:val="00CB2E23"/>
    <w:rsid w:val="00CB5281"/>
    <w:rsid w:val="00CB6F89"/>
    <w:rsid w:val="00CC1EB2"/>
    <w:rsid w:val="00CC3108"/>
    <w:rsid w:val="00CC389B"/>
    <w:rsid w:val="00CC59E6"/>
    <w:rsid w:val="00CC60E7"/>
    <w:rsid w:val="00CC7CB9"/>
    <w:rsid w:val="00CD080F"/>
    <w:rsid w:val="00CD14EA"/>
    <w:rsid w:val="00CD47CF"/>
    <w:rsid w:val="00CD65B8"/>
    <w:rsid w:val="00CD6A84"/>
    <w:rsid w:val="00CD7DDE"/>
    <w:rsid w:val="00CD7F81"/>
    <w:rsid w:val="00CE0712"/>
    <w:rsid w:val="00CE1615"/>
    <w:rsid w:val="00CE2CD8"/>
    <w:rsid w:val="00CE3DF9"/>
    <w:rsid w:val="00CE6BB7"/>
    <w:rsid w:val="00CE740F"/>
    <w:rsid w:val="00CF0FD2"/>
    <w:rsid w:val="00CF1B67"/>
    <w:rsid w:val="00CF23C4"/>
    <w:rsid w:val="00CF362A"/>
    <w:rsid w:val="00CF39C3"/>
    <w:rsid w:val="00CF5998"/>
    <w:rsid w:val="00CF610C"/>
    <w:rsid w:val="00D039D9"/>
    <w:rsid w:val="00D059CD"/>
    <w:rsid w:val="00D129CB"/>
    <w:rsid w:val="00D1393B"/>
    <w:rsid w:val="00D14E3D"/>
    <w:rsid w:val="00D15832"/>
    <w:rsid w:val="00D15E07"/>
    <w:rsid w:val="00D1607F"/>
    <w:rsid w:val="00D162CE"/>
    <w:rsid w:val="00D177AE"/>
    <w:rsid w:val="00D21049"/>
    <w:rsid w:val="00D23494"/>
    <w:rsid w:val="00D24786"/>
    <w:rsid w:val="00D24F0A"/>
    <w:rsid w:val="00D253B6"/>
    <w:rsid w:val="00D2556C"/>
    <w:rsid w:val="00D26AC9"/>
    <w:rsid w:val="00D27CA4"/>
    <w:rsid w:val="00D300C5"/>
    <w:rsid w:val="00D309E7"/>
    <w:rsid w:val="00D3288F"/>
    <w:rsid w:val="00D32E21"/>
    <w:rsid w:val="00D364D2"/>
    <w:rsid w:val="00D410E8"/>
    <w:rsid w:val="00D42041"/>
    <w:rsid w:val="00D423FF"/>
    <w:rsid w:val="00D43B5E"/>
    <w:rsid w:val="00D45580"/>
    <w:rsid w:val="00D5327E"/>
    <w:rsid w:val="00D5500B"/>
    <w:rsid w:val="00D551A1"/>
    <w:rsid w:val="00D56DE0"/>
    <w:rsid w:val="00D57D17"/>
    <w:rsid w:val="00D6071D"/>
    <w:rsid w:val="00D61A1C"/>
    <w:rsid w:val="00D61B39"/>
    <w:rsid w:val="00D64D2B"/>
    <w:rsid w:val="00D66863"/>
    <w:rsid w:val="00D7038D"/>
    <w:rsid w:val="00D73556"/>
    <w:rsid w:val="00D73E62"/>
    <w:rsid w:val="00D74AD9"/>
    <w:rsid w:val="00D75EBC"/>
    <w:rsid w:val="00D765B9"/>
    <w:rsid w:val="00D769C0"/>
    <w:rsid w:val="00D77320"/>
    <w:rsid w:val="00D77A1A"/>
    <w:rsid w:val="00D803A8"/>
    <w:rsid w:val="00D82D0E"/>
    <w:rsid w:val="00D8397F"/>
    <w:rsid w:val="00D83D6B"/>
    <w:rsid w:val="00D84540"/>
    <w:rsid w:val="00D846D3"/>
    <w:rsid w:val="00D85C01"/>
    <w:rsid w:val="00D871C6"/>
    <w:rsid w:val="00D87C8B"/>
    <w:rsid w:val="00D906B0"/>
    <w:rsid w:val="00D94F14"/>
    <w:rsid w:val="00D9594E"/>
    <w:rsid w:val="00D95B46"/>
    <w:rsid w:val="00D96520"/>
    <w:rsid w:val="00D9691D"/>
    <w:rsid w:val="00D97349"/>
    <w:rsid w:val="00D97464"/>
    <w:rsid w:val="00DA2208"/>
    <w:rsid w:val="00DA40EF"/>
    <w:rsid w:val="00DA6462"/>
    <w:rsid w:val="00DA6723"/>
    <w:rsid w:val="00DB0A8E"/>
    <w:rsid w:val="00DB1992"/>
    <w:rsid w:val="00DB386D"/>
    <w:rsid w:val="00DB3915"/>
    <w:rsid w:val="00DB485E"/>
    <w:rsid w:val="00DB70D8"/>
    <w:rsid w:val="00DB757B"/>
    <w:rsid w:val="00DB78DD"/>
    <w:rsid w:val="00DB795C"/>
    <w:rsid w:val="00DB7BE6"/>
    <w:rsid w:val="00DC4DE8"/>
    <w:rsid w:val="00DC5811"/>
    <w:rsid w:val="00DC58BD"/>
    <w:rsid w:val="00DC712A"/>
    <w:rsid w:val="00DC7932"/>
    <w:rsid w:val="00DD2513"/>
    <w:rsid w:val="00DD30FA"/>
    <w:rsid w:val="00DD4FF8"/>
    <w:rsid w:val="00DD637A"/>
    <w:rsid w:val="00DE20D0"/>
    <w:rsid w:val="00DE2A2B"/>
    <w:rsid w:val="00DE495A"/>
    <w:rsid w:val="00DE6E73"/>
    <w:rsid w:val="00DE7303"/>
    <w:rsid w:val="00DF2D36"/>
    <w:rsid w:val="00DF3CEE"/>
    <w:rsid w:val="00DF3D57"/>
    <w:rsid w:val="00DF4720"/>
    <w:rsid w:val="00DF4A30"/>
    <w:rsid w:val="00DF52AE"/>
    <w:rsid w:val="00DF5D9F"/>
    <w:rsid w:val="00DF6909"/>
    <w:rsid w:val="00E018FC"/>
    <w:rsid w:val="00E01DC2"/>
    <w:rsid w:val="00E0283D"/>
    <w:rsid w:val="00E02A05"/>
    <w:rsid w:val="00E02D31"/>
    <w:rsid w:val="00E0363E"/>
    <w:rsid w:val="00E03733"/>
    <w:rsid w:val="00E040A5"/>
    <w:rsid w:val="00E043C5"/>
    <w:rsid w:val="00E046FE"/>
    <w:rsid w:val="00E05082"/>
    <w:rsid w:val="00E0546B"/>
    <w:rsid w:val="00E0564F"/>
    <w:rsid w:val="00E102A0"/>
    <w:rsid w:val="00E11089"/>
    <w:rsid w:val="00E11770"/>
    <w:rsid w:val="00E122FA"/>
    <w:rsid w:val="00E12F5F"/>
    <w:rsid w:val="00E1356F"/>
    <w:rsid w:val="00E13753"/>
    <w:rsid w:val="00E154DD"/>
    <w:rsid w:val="00E1550D"/>
    <w:rsid w:val="00E16120"/>
    <w:rsid w:val="00E234FF"/>
    <w:rsid w:val="00E23E0D"/>
    <w:rsid w:val="00E26253"/>
    <w:rsid w:val="00E27EE0"/>
    <w:rsid w:val="00E27F2B"/>
    <w:rsid w:val="00E30E8B"/>
    <w:rsid w:val="00E31232"/>
    <w:rsid w:val="00E312A4"/>
    <w:rsid w:val="00E31CBA"/>
    <w:rsid w:val="00E33824"/>
    <w:rsid w:val="00E339A2"/>
    <w:rsid w:val="00E33D25"/>
    <w:rsid w:val="00E351F7"/>
    <w:rsid w:val="00E35450"/>
    <w:rsid w:val="00E37C26"/>
    <w:rsid w:val="00E40266"/>
    <w:rsid w:val="00E40E61"/>
    <w:rsid w:val="00E41DC1"/>
    <w:rsid w:val="00E43050"/>
    <w:rsid w:val="00E43BBB"/>
    <w:rsid w:val="00E45A8A"/>
    <w:rsid w:val="00E4691B"/>
    <w:rsid w:val="00E47D63"/>
    <w:rsid w:val="00E527A1"/>
    <w:rsid w:val="00E53903"/>
    <w:rsid w:val="00E53D3F"/>
    <w:rsid w:val="00E5498D"/>
    <w:rsid w:val="00E54A5B"/>
    <w:rsid w:val="00E55080"/>
    <w:rsid w:val="00E56F36"/>
    <w:rsid w:val="00E61BDA"/>
    <w:rsid w:val="00E6394E"/>
    <w:rsid w:val="00E666C4"/>
    <w:rsid w:val="00E66D42"/>
    <w:rsid w:val="00E70DE8"/>
    <w:rsid w:val="00E70FA7"/>
    <w:rsid w:val="00E71BB4"/>
    <w:rsid w:val="00E72903"/>
    <w:rsid w:val="00E731D4"/>
    <w:rsid w:val="00E81134"/>
    <w:rsid w:val="00E835AB"/>
    <w:rsid w:val="00E83877"/>
    <w:rsid w:val="00E83A96"/>
    <w:rsid w:val="00E8406A"/>
    <w:rsid w:val="00E84664"/>
    <w:rsid w:val="00E84E97"/>
    <w:rsid w:val="00E86876"/>
    <w:rsid w:val="00E86EDB"/>
    <w:rsid w:val="00E8790C"/>
    <w:rsid w:val="00E9058E"/>
    <w:rsid w:val="00E910E6"/>
    <w:rsid w:val="00E9117F"/>
    <w:rsid w:val="00E91715"/>
    <w:rsid w:val="00E91EC5"/>
    <w:rsid w:val="00E9272E"/>
    <w:rsid w:val="00E93B1E"/>
    <w:rsid w:val="00E969AF"/>
    <w:rsid w:val="00EA3AA4"/>
    <w:rsid w:val="00EA4DE7"/>
    <w:rsid w:val="00EA5E83"/>
    <w:rsid w:val="00EA795D"/>
    <w:rsid w:val="00EB2265"/>
    <w:rsid w:val="00EB2A7A"/>
    <w:rsid w:val="00EB3FCC"/>
    <w:rsid w:val="00EC39F4"/>
    <w:rsid w:val="00EC4CFA"/>
    <w:rsid w:val="00EC6B34"/>
    <w:rsid w:val="00EC72F0"/>
    <w:rsid w:val="00EC7521"/>
    <w:rsid w:val="00EC7D20"/>
    <w:rsid w:val="00ED11E2"/>
    <w:rsid w:val="00ED3366"/>
    <w:rsid w:val="00ED4ACF"/>
    <w:rsid w:val="00ED4BD3"/>
    <w:rsid w:val="00ED4D3A"/>
    <w:rsid w:val="00ED4E09"/>
    <w:rsid w:val="00ED71EE"/>
    <w:rsid w:val="00ED79D3"/>
    <w:rsid w:val="00EE3395"/>
    <w:rsid w:val="00EE4EFD"/>
    <w:rsid w:val="00EE50CF"/>
    <w:rsid w:val="00EE6427"/>
    <w:rsid w:val="00EF02C2"/>
    <w:rsid w:val="00EF34D0"/>
    <w:rsid w:val="00EF4D20"/>
    <w:rsid w:val="00EF5D3A"/>
    <w:rsid w:val="00EF7F8A"/>
    <w:rsid w:val="00F0137F"/>
    <w:rsid w:val="00F059DD"/>
    <w:rsid w:val="00F06332"/>
    <w:rsid w:val="00F118E0"/>
    <w:rsid w:val="00F12702"/>
    <w:rsid w:val="00F127B3"/>
    <w:rsid w:val="00F12FF2"/>
    <w:rsid w:val="00F131F1"/>
    <w:rsid w:val="00F14077"/>
    <w:rsid w:val="00F1457D"/>
    <w:rsid w:val="00F14AC0"/>
    <w:rsid w:val="00F16612"/>
    <w:rsid w:val="00F16A22"/>
    <w:rsid w:val="00F16A7E"/>
    <w:rsid w:val="00F16D00"/>
    <w:rsid w:val="00F16D48"/>
    <w:rsid w:val="00F2052C"/>
    <w:rsid w:val="00F20C57"/>
    <w:rsid w:val="00F23924"/>
    <w:rsid w:val="00F24618"/>
    <w:rsid w:val="00F260D1"/>
    <w:rsid w:val="00F27864"/>
    <w:rsid w:val="00F30B05"/>
    <w:rsid w:val="00F30CAC"/>
    <w:rsid w:val="00F31728"/>
    <w:rsid w:val="00F324C6"/>
    <w:rsid w:val="00F32B29"/>
    <w:rsid w:val="00F32EBB"/>
    <w:rsid w:val="00F334A6"/>
    <w:rsid w:val="00F34327"/>
    <w:rsid w:val="00F344B7"/>
    <w:rsid w:val="00F347A5"/>
    <w:rsid w:val="00F349AA"/>
    <w:rsid w:val="00F36ED0"/>
    <w:rsid w:val="00F37C29"/>
    <w:rsid w:val="00F4100E"/>
    <w:rsid w:val="00F422ED"/>
    <w:rsid w:val="00F425C5"/>
    <w:rsid w:val="00F43BCB"/>
    <w:rsid w:val="00F441D5"/>
    <w:rsid w:val="00F449FC"/>
    <w:rsid w:val="00F471F2"/>
    <w:rsid w:val="00F52078"/>
    <w:rsid w:val="00F52AC2"/>
    <w:rsid w:val="00F5351E"/>
    <w:rsid w:val="00F535B2"/>
    <w:rsid w:val="00F549A9"/>
    <w:rsid w:val="00F54CEB"/>
    <w:rsid w:val="00F55B57"/>
    <w:rsid w:val="00F56ED2"/>
    <w:rsid w:val="00F57755"/>
    <w:rsid w:val="00F57B49"/>
    <w:rsid w:val="00F611B7"/>
    <w:rsid w:val="00F62F37"/>
    <w:rsid w:val="00F63384"/>
    <w:rsid w:val="00F6438D"/>
    <w:rsid w:val="00F6735E"/>
    <w:rsid w:val="00F67F86"/>
    <w:rsid w:val="00F70358"/>
    <w:rsid w:val="00F70C9B"/>
    <w:rsid w:val="00F73BD1"/>
    <w:rsid w:val="00F74543"/>
    <w:rsid w:val="00F7464C"/>
    <w:rsid w:val="00F74B01"/>
    <w:rsid w:val="00F7629E"/>
    <w:rsid w:val="00F817CE"/>
    <w:rsid w:val="00F83105"/>
    <w:rsid w:val="00F838B4"/>
    <w:rsid w:val="00F83E63"/>
    <w:rsid w:val="00F94EAC"/>
    <w:rsid w:val="00F95F5A"/>
    <w:rsid w:val="00F9701D"/>
    <w:rsid w:val="00F97677"/>
    <w:rsid w:val="00FA212B"/>
    <w:rsid w:val="00FA28F5"/>
    <w:rsid w:val="00FA4233"/>
    <w:rsid w:val="00FA60B2"/>
    <w:rsid w:val="00FA703A"/>
    <w:rsid w:val="00FB06DA"/>
    <w:rsid w:val="00FB0F83"/>
    <w:rsid w:val="00FB11D9"/>
    <w:rsid w:val="00FB1BE5"/>
    <w:rsid w:val="00FB1D2D"/>
    <w:rsid w:val="00FB2280"/>
    <w:rsid w:val="00FB3E34"/>
    <w:rsid w:val="00FB3EA2"/>
    <w:rsid w:val="00FB4CEB"/>
    <w:rsid w:val="00FB4EBE"/>
    <w:rsid w:val="00FB653A"/>
    <w:rsid w:val="00FB72D0"/>
    <w:rsid w:val="00FC2BEA"/>
    <w:rsid w:val="00FC4674"/>
    <w:rsid w:val="00FC622F"/>
    <w:rsid w:val="00FC6449"/>
    <w:rsid w:val="00FC7714"/>
    <w:rsid w:val="00FD0828"/>
    <w:rsid w:val="00FD0B1F"/>
    <w:rsid w:val="00FD41B9"/>
    <w:rsid w:val="00FD44A1"/>
    <w:rsid w:val="00FD6B4C"/>
    <w:rsid w:val="00FD746D"/>
    <w:rsid w:val="00FE105E"/>
    <w:rsid w:val="00FE1892"/>
    <w:rsid w:val="00FE4217"/>
    <w:rsid w:val="00FE54C0"/>
    <w:rsid w:val="00FE6995"/>
    <w:rsid w:val="00FF1385"/>
    <w:rsid w:val="00FF1BEB"/>
    <w:rsid w:val="00FF36EB"/>
    <w:rsid w:val="00FF3AFD"/>
    <w:rsid w:val="00FF6C79"/>
    <w:rsid w:val="00FF7274"/>
    <w:rsid w:val="052E2CDD"/>
    <w:rsid w:val="088D63B4"/>
    <w:rsid w:val="0A0326FF"/>
    <w:rsid w:val="0D98C302"/>
    <w:rsid w:val="0DFD8AA8"/>
    <w:rsid w:val="10FBCF49"/>
    <w:rsid w:val="11FF427A"/>
    <w:rsid w:val="1A508652"/>
    <w:rsid w:val="1D6D6CEC"/>
    <w:rsid w:val="20F9E2CB"/>
    <w:rsid w:val="223A4571"/>
    <w:rsid w:val="27C04DD6"/>
    <w:rsid w:val="31186686"/>
    <w:rsid w:val="3198AF58"/>
    <w:rsid w:val="3C2B6619"/>
    <w:rsid w:val="4084F262"/>
    <w:rsid w:val="412F2FAF"/>
    <w:rsid w:val="43126CC9"/>
    <w:rsid w:val="45635F43"/>
    <w:rsid w:val="45EBBF25"/>
    <w:rsid w:val="485FFA92"/>
    <w:rsid w:val="4A4A30F1"/>
    <w:rsid w:val="4A5FABBB"/>
    <w:rsid w:val="4B9E8BC0"/>
    <w:rsid w:val="4BA908FC"/>
    <w:rsid w:val="4F9ACD5F"/>
    <w:rsid w:val="5061DAD1"/>
    <w:rsid w:val="513D2985"/>
    <w:rsid w:val="5175F2E7"/>
    <w:rsid w:val="51EDB47B"/>
    <w:rsid w:val="555A7434"/>
    <w:rsid w:val="560993C0"/>
    <w:rsid w:val="569586A4"/>
    <w:rsid w:val="640CFA7C"/>
    <w:rsid w:val="656911F1"/>
    <w:rsid w:val="72BFB313"/>
    <w:rsid w:val="74195A57"/>
    <w:rsid w:val="74A9AC09"/>
    <w:rsid w:val="7625F49E"/>
    <w:rsid w:val="78631B1B"/>
    <w:rsid w:val="79185CEB"/>
    <w:rsid w:val="7B27AED9"/>
    <w:rsid w:val="7E58F870"/>
    <w:rsid w:val="7EA842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1777C8A"/>
  <w15:docId w15:val="{95690E11-2188-4F72-BD2C-D9FADB01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B4C"/>
    <w:pPr>
      <w:spacing w:before="120" w:after="0"/>
      <w:ind w:left="1418"/>
    </w:pPr>
    <w:rPr>
      <w:rFonts w:ascii="Arial" w:hAnsi="Arial" w:cs="Arial"/>
    </w:rPr>
  </w:style>
  <w:style w:type="paragraph" w:styleId="Heading1">
    <w:name w:val="heading 1"/>
    <w:basedOn w:val="Normal"/>
    <w:next w:val="Normal"/>
    <w:link w:val="Heading1Char"/>
    <w:uiPriority w:val="9"/>
    <w:qFormat/>
    <w:rsid w:val="005E7316"/>
    <w:pPr>
      <w:keepNext/>
      <w:keepLines/>
      <w:spacing w:before="240" w:line="240" w:lineRule="auto"/>
      <w:outlineLvl w:val="0"/>
    </w:pPr>
    <w:rPr>
      <w:rFonts w:eastAsiaTheme="majorEastAsia"/>
      <w:b/>
      <w:color w:val="0070C0"/>
      <w:sz w:val="32"/>
      <w:szCs w:val="32"/>
      <w:u w:val="single"/>
    </w:rPr>
  </w:style>
  <w:style w:type="paragraph" w:styleId="Heading2">
    <w:name w:val="heading 2"/>
    <w:basedOn w:val="Normal"/>
    <w:next w:val="Normal"/>
    <w:link w:val="Heading2Char"/>
    <w:uiPriority w:val="9"/>
    <w:unhideWhenUsed/>
    <w:qFormat/>
    <w:rsid w:val="00681247"/>
    <w:pPr>
      <w:keepNext/>
      <w:keepLines/>
      <w:numPr>
        <w:numId w:val="1"/>
      </w:numPr>
      <w:spacing w:before="320" w:line="240" w:lineRule="auto"/>
      <w:outlineLvl w:val="1"/>
    </w:pPr>
    <w:rPr>
      <w:rFonts w:eastAsiaTheme="majorEastAsia"/>
      <w:color w:val="0070C0"/>
      <w:sz w:val="28"/>
      <w:szCs w:val="28"/>
    </w:rPr>
  </w:style>
  <w:style w:type="paragraph" w:styleId="Heading3">
    <w:name w:val="heading 3"/>
    <w:basedOn w:val="ListParagraph"/>
    <w:next w:val="Normal"/>
    <w:link w:val="Heading3Char"/>
    <w:uiPriority w:val="9"/>
    <w:unhideWhenUsed/>
    <w:qFormat/>
    <w:rsid w:val="00681247"/>
    <w:pPr>
      <w:numPr>
        <w:ilvl w:val="1"/>
        <w:numId w:val="1"/>
      </w:numPr>
      <w:spacing w:after="240"/>
      <w:contextualSpacing w:val="0"/>
      <w:outlineLvl w:val="2"/>
    </w:pPr>
  </w:style>
  <w:style w:type="paragraph" w:styleId="Heading4">
    <w:name w:val="heading 4"/>
    <w:basedOn w:val="Normal"/>
    <w:next w:val="Normal"/>
    <w:link w:val="Heading4Char"/>
    <w:uiPriority w:val="9"/>
    <w:semiHidden/>
    <w:unhideWhenUsed/>
    <w:qFormat/>
    <w:rsid w:val="004972E7"/>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972E7"/>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972E7"/>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972E7"/>
    <w:pPr>
      <w:keepNext/>
      <w:keepLines/>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4972E7"/>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972E7"/>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316"/>
    <w:rPr>
      <w:rFonts w:ascii="Arial" w:eastAsiaTheme="majorEastAsia" w:hAnsi="Arial" w:cs="Arial"/>
      <w:b/>
      <w:color w:val="0070C0"/>
      <w:sz w:val="32"/>
      <w:szCs w:val="32"/>
      <w:u w:val="single"/>
    </w:rPr>
  </w:style>
  <w:style w:type="character" w:customStyle="1" w:styleId="Heading2Char">
    <w:name w:val="Heading 2 Char"/>
    <w:basedOn w:val="DefaultParagraphFont"/>
    <w:link w:val="Heading2"/>
    <w:uiPriority w:val="9"/>
    <w:rsid w:val="00681247"/>
    <w:rPr>
      <w:rFonts w:ascii="Arial" w:eastAsiaTheme="majorEastAsia" w:hAnsi="Arial" w:cs="Arial"/>
      <w:color w:val="0070C0"/>
      <w:sz w:val="28"/>
      <w:szCs w:val="28"/>
    </w:rPr>
  </w:style>
  <w:style w:type="paragraph" w:styleId="ListParagraph">
    <w:name w:val="List Paragraph"/>
    <w:basedOn w:val="Normal"/>
    <w:uiPriority w:val="34"/>
    <w:qFormat/>
    <w:rsid w:val="00FD6B4C"/>
    <w:pPr>
      <w:numPr>
        <w:numId w:val="2"/>
      </w:numPr>
      <w:contextualSpacing/>
    </w:pPr>
  </w:style>
  <w:style w:type="character" w:customStyle="1" w:styleId="Heading3Char">
    <w:name w:val="Heading 3 Char"/>
    <w:basedOn w:val="DefaultParagraphFont"/>
    <w:link w:val="Heading3"/>
    <w:uiPriority w:val="9"/>
    <w:rsid w:val="00681247"/>
    <w:rPr>
      <w:rFonts w:ascii="Arial" w:hAnsi="Arial" w:cs="Arial"/>
    </w:rPr>
  </w:style>
  <w:style w:type="character" w:customStyle="1" w:styleId="Heading4Char">
    <w:name w:val="Heading 4 Char"/>
    <w:basedOn w:val="DefaultParagraphFont"/>
    <w:link w:val="Heading4"/>
    <w:uiPriority w:val="9"/>
    <w:semiHidden/>
    <w:rsid w:val="004972E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972E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972E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972E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4972E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972E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972E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E7316"/>
    <w:pPr>
      <w:spacing w:line="240" w:lineRule="auto"/>
    </w:pPr>
    <w:rPr>
      <w:rFonts w:eastAsia="Times New Roman"/>
      <w:b/>
      <w:bCs/>
      <w:color w:val="0070C0"/>
      <w:sz w:val="40"/>
      <w:szCs w:val="40"/>
      <w:lang w:eastAsia="en-GB"/>
    </w:rPr>
  </w:style>
  <w:style w:type="character" w:customStyle="1" w:styleId="TitleChar">
    <w:name w:val="Title Char"/>
    <w:basedOn w:val="DefaultParagraphFont"/>
    <w:link w:val="Title"/>
    <w:uiPriority w:val="10"/>
    <w:rsid w:val="005E7316"/>
    <w:rPr>
      <w:rFonts w:ascii="Arial" w:eastAsia="Times New Roman" w:hAnsi="Arial" w:cs="Arial"/>
      <w:b/>
      <w:bCs/>
      <w:color w:val="0070C0"/>
      <w:sz w:val="40"/>
      <w:szCs w:val="40"/>
      <w:lang w:eastAsia="en-GB"/>
    </w:rPr>
  </w:style>
  <w:style w:type="paragraph" w:styleId="Subtitle">
    <w:name w:val="Subtitle"/>
    <w:basedOn w:val="Normal"/>
    <w:next w:val="Normal"/>
    <w:link w:val="SubtitleChar"/>
    <w:uiPriority w:val="11"/>
    <w:rsid w:val="004972E7"/>
    <w:pPr>
      <w:numPr>
        <w:ilvl w:val="1"/>
      </w:numPr>
      <w:spacing w:line="240" w:lineRule="auto"/>
      <w:ind w:left="1418"/>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972E7"/>
    <w:rPr>
      <w:rFonts w:asciiTheme="majorHAnsi" w:eastAsiaTheme="majorEastAsia" w:hAnsiTheme="majorHAnsi" w:cstheme="majorBidi"/>
      <w:sz w:val="24"/>
      <w:szCs w:val="24"/>
    </w:rPr>
  </w:style>
  <w:style w:type="character" w:styleId="Strong">
    <w:name w:val="Strong"/>
    <w:basedOn w:val="DefaultParagraphFont"/>
    <w:uiPriority w:val="22"/>
    <w:rsid w:val="004972E7"/>
    <w:rPr>
      <w:b/>
      <w:bCs/>
    </w:rPr>
  </w:style>
  <w:style w:type="character" w:styleId="Emphasis">
    <w:name w:val="Emphasis"/>
    <w:basedOn w:val="DefaultParagraphFont"/>
    <w:uiPriority w:val="20"/>
    <w:rsid w:val="004972E7"/>
    <w:rPr>
      <w:i/>
      <w:iCs/>
    </w:rPr>
  </w:style>
  <w:style w:type="paragraph" w:styleId="NoSpacing">
    <w:name w:val="No Spacing"/>
    <w:basedOn w:val="Normal"/>
    <w:link w:val="NoSpacingChar"/>
    <w:uiPriority w:val="1"/>
    <w:qFormat/>
    <w:rsid w:val="000C2575"/>
    <w:pPr>
      <w:ind w:left="29"/>
    </w:pPr>
    <w:rPr>
      <w:lang w:eastAsia="en-GB"/>
    </w:rPr>
  </w:style>
  <w:style w:type="character" w:customStyle="1" w:styleId="NoSpacingChar">
    <w:name w:val="No Spacing Char"/>
    <w:basedOn w:val="DefaultParagraphFont"/>
    <w:link w:val="NoSpacing"/>
    <w:uiPriority w:val="1"/>
    <w:rsid w:val="007F7508"/>
    <w:rPr>
      <w:rFonts w:ascii="Arial" w:hAnsi="Arial" w:cs="Arial"/>
      <w:lang w:eastAsia="en-GB"/>
    </w:rPr>
  </w:style>
  <w:style w:type="paragraph" w:styleId="Quote">
    <w:name w:val="Quote"/>
    <w:basedOn w:val="Normal"/>
    <w:next w:val="Normal"/>
    <w:link w:val="QuoteChar"/>
    <w:uiPriority w:val="29"/>
    <w:rsid w:val="004972E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972E7"/>
    <w:rPr>
      <w:i/>
      <w:iCs/>
      <w:color w:val="404040" w:themeColor="text1" w:themeTint="BF"/>
    </w:rPr>
  </w:style>
  <w:style w:type="paragraph" w:styleId="IntenseQuote">
    <w:name w:val="Intense Quote"/>
    <w:basedOn w:val="Normal"/>
    <w:next w:val="Normal"/>
    <w:link w:val="IntenseQuoteChar"/>
    <w:uiPriority w:val="30"/>
    <w:rsid w:val="004972E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972E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rsid w:val="004972E7"/>
    <w:rPr>
      <w:i/>
      <w:iCs/>
      <w:color w:val="404040" w:themeColor="text1" w:themeTint="BF"/>
    </w:rPr>
  </w:style>
  <w:style w:type="character" w:styleId="IntenseEmphasis">
    <w:name w:val="Intense Emphasis"/>
    <w:basedOn w:val="DefaultParagraphFont"/>
    <w:uiPriority w:val="21"/>
    <w:rsid w:val="004972E7"/>
    <w:rPr>
      <w:b/>
      <w:bCs/>
      <w:i/>
      <w:iCs/>
    </w:rPr>
  </w:style>
  <w:style w:type="character" w:styleId="SubtleReference">
    <w:name w:val="Subtle Reference"/>
    <w:basedOn w:val="DefaultParagraphFont"/>
    <w:uiPriority w:val="31"/>
    <w:rsid w:val="004972E7"/>
    <w:rPr>
      <w:smallCaps/>
      <w:color w:val="404040" w:themeColor="text1" w:themeTint="BF"/>
      <w:u w:val="single" w:color="7F7F7F" w:themeColor="text1" w:themeTint="80"/>
    </w:rPr>
  </w:style>
  <w:style w:type="character" w:styleId="IntenseReference">
    <w:name w:val="Intense Reference"/>
    <w:basedOn w:val="DefaultParagraphFont"/>
    <w:uiPriority w:val="32"/>
    <w:rsid w:val="004972E7"/>
    <w:rPr>
      <w:b/>
      <w:bCs/>
      <w:smallCaps/>
      <w:spacing w:val="5"/>
      <w:u w:val="single"/>
    </w:rPr>
  </w:style>
  <w:style w:type="character" w:styleId="BookTitle">
    <w:name w:val="Book Title"/>
    <w:basedOn w:val="DefaultParagraphFont"/>
    <w:uiPriority w:val="33"/>
    <w:rsid w:val="004972E7"/>
    <w:rPr>
      <w:b/>
      <w:bCs/>
      <w:smallCaps/>
    </w:rPr>
  </w:style>
  <w:style w:type="paragraph" w:styleId="TOCHeading">
    <w:name w:val="TOC Heading"/>
    <w:basedOn w:val="Heading1"/>
    <w:next w:val="Normal"/>
    <w:uiPriority w:val="39"/>
    <w:unhideWhenUsed/>
    <w:qFormat/>
    <w:rsid w:val="004972E7"/>
    <w:pPr>
      <w:outlineLvl w:val="9"/>
    </w:pPr>
  </w:style>
  <w:style w:type="character" w:styleId="CommentReference">
    <w:name w:val="annotation reference"/>
    <w:basedOn w:val="DefaultParagraphFont"/>
    <w:uiPriority w:val="99"/>
    <w:semiHidden/>
    <w:unhideWhenUsed/>
    <w:rsid w:val="00192F81"/>
    <w:rPr>
      <w:sz w:val="16"/>
      <w:szCs w:val="16"/>
    </w:rPr>
  </w:style>
  <w:style w:type="paragraph" w:styleId="CommentText">
    <w:name w:val="annotation text"/>
    <w:basedOn w:val="Normal"/>
    <w:link w:val="CommentTextChar"/>
    <w:uiPriority w:val="99"/>
    <w:unhideWhenUsed/>
    <w:rsid w:val="00192F81"/>
    <w:pPr>
      <w:spacing w:line="240" w:lineRule="auto"/>
    </w:pPr>
  </w:style>
  <w:style w:type="character" w:customStyle="1" w:styleId="CommentTextChar">
    <w:name w:val="Comment Text Char"/>
    <w:basedOn w:val="DefaultParagraphFont"/>
    <w:link w:val="CommentText"/>
    <w:uiPriority w:val="99"/>
    <w:rsid w:val="00192F81"/>
  </w:style>
  <w:style w:type="paragraph" w:styleId="CommentSubject">
    <w:name w:val="annotation subject"/>
    <w:basedOn w:val="CommentText"/>
    <w:next w:val="CommentText"/>
    <w:link w:val="CommentSubjectChar"/>
    <w:uiPriority w:val="99"/>
    <w:semiHidden/>
    <w:unhideWhenUsed/>
    <w:rsid w:val="00192F81"/>
    <w:rPr>
      <w:b/>
      <w:bCs/>
    </w:rPr>
  </w:style>
  <w:style w:type="character" w:customStyle="1" w:styleId="CommentSubjectChar">
    <w:name w:val="Comment Subject Char"/>
    <w:basedOn w:val="CommentTextChar"/>
    <w:link w:val="CommentSubject"/>
    <w:uiPriority w:val="99"/>
    <w:semiHidden/>
    <w:rsid w:val="00192F81"/>
    <w:rPr>
      <w:b/>
      <w:bCs/>
    </w:rPr>
  </w:style>
  <w:style w:type="paragraph" w:styleId="BalloonText">
    <w:name w:val="Balloon Text"/>
    <w:basedOn w:val="Normal"/>
    <w:link w:val="BalloonTextChar"/>
    <w:uiPriority w:val="99"/>
    <w:semiHidden/>
    <w:unhideWhenUsed/>
    <w:rsid w:val="00192F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F81"/>
    <w:rPr>
      <w:rFonts w:ascii="Segoe UI" w:hAnsi="Segoe UI" w:cs="Segoe UI"/>
      <w:sz w:val="18"/>
      <w:szCs w:val="18"/>
    </w:rPr>
  </w:style>
  <w:style w:type="character" w:styleId="Hyperlink">
    <w:name w:val="Hyperlink"/>
    <w:basedOn w:val="DefaultParagraphFont"/>
    <w:uiPriority w:val="99"/>
    <w:unhideWhenUsed/>
    <w:rsid w:val="00803CE3"/>
    <w:rPr>
      <w:color w:val="0563C1" w:themeColor="hyperlink"/>
      <w:u w:val="single"/>
    </w:rPr>
  </w:style>
  <w:style w:type="paragraph" w:styleId="TOC1">
    <w:name w:val="toc 1"/>
    <w:basedOn w:val="Normal"/>
    <w:next w:val="Normal"/>
    <w:autoRedefine/>
    <w:uiPriority w:val="39"/>
    <w:unhideWhenUsed/>
    <w:rsid w:val="00502B22"/>
    <w:pPr>
      <w:tabs>
        <w:tab w:val="right" w:leader="dot" w:pos="9016"/>
      </w:tabs>
      <w:spacing w:after="100"/>
    </w:pPr>
  </w:style>
  <w:style w:type="paragraph" w:styleId="Header">
    <w:name w:val="header"/>
    <w:basedOn w:val="Normal"/>
    <w:link w:val="HeaderChar"/>
    <w:uiPriority w:val="99"/>
    <w:unhideWhenUsed/>
    <w:rsid w:val="009E5AAD"/>
    <w:pPr>
      <w:tabs>
        <w:tab w:val="center" w:pos="4513"/>
        <w:tab w:val="right" w:pos="9026"/>
      </w:tabs>
      <w:spacing w:line="240" w:lineRule="auto"/>
    </w:pPr>
  </w:style>
  <w:style w:type="character" w:customStyle="1" w:styleId="HeaderChar">
    <w:name w:val="Header Char"/>
    <w:basedOn w:val="DefaultParagraphFont"/>
    <w:link w:val="Header"/>
    <w:uiPriority w:val="99"/>
    <w:rsid w:val="009E5AAD"/>
  </w:style>
  <w:style w:type="paragraph" w:styleId="Footer">
    <w:name w:val="footer"/>
    <w:basedOn w:val="Normal"/>
    <w:link w:val="FooterChar"/>
    <w:uiPriority w:val="99"/>
    <w:unhideWhenUsed/>
    <w:rsid w:val="009E5AAD"/>
    <w:pPr>
      <w:tabs>
        <w:tab w:val="center" w:pos="4513"/>
        <w:tab w:val="right" w:pos="9026"/>
      </w:tabs>
      <w:spacing w:line="240" w:lineRule="auto"/>
    </w:pPr>
  </w:style>
  <w:style w:type="character" w:customStyle="1" w:styleId="FooterChar">
    <w:name w:val="Footer Char"/>
    <w:basedOn w:val="DefaultParagraphFont"/>
    <w:link w:val="Footer"/>
    <w:uiPriority w:val="99"/>
    <w:rsid w:val="009E5AAD"/>
  </w:style>
  <w:style w:type="paragraph" w:styleId="TOC2">
    <w:name w:val="toc 2"/>
    <w:basedOn w:val="Normal"/>
    <w:next w:val="Normal"/>
    <w:autoRedefine/>
    <w:uiPriority w:val="39"/>
    <w:unhideWhenUsed/>
    <w:rsid w:val="00656152"/>
    <w:pPr>
      <w:spacing w:after="100"/>
      <w:ind w:left="200"/>
    </w:pPr>
  </w:style>
  <w:style w:type="character" w:styleId="UnresolvedMention">
    <w:name w:val="Unresolved Mention"/>
    <w:basedOn w:val="DefaultParagraphFont"/>
    <w:uiPriority w:val="99"/>
    <w:semiHidden/>
    <w:unhideWhenUsed/>
    <w:rsid w:val="00243B23"/>
    <w:rPr>
      <w:color w:val="605E5C"/>
      <w:shd w:val="clear" w:color="auto" w:fill="E1DFDD"/>
    </w:rPr>
  </w:style>
  <w:style w:type="paragraph" w:styleId="Revision">
    <w:name w:val="Revision"/>
    <w:hidden/>
    <w:uiPriority w:val="99"/>
    <w:semiHidden/>
    <w:rsid w:val="003D4225"/>
    <w:pPr>
      <w:spacing w:after="0" w:line="240" w:lineRule="auto"/>
    </w:pPr>
  </w:style>
  <w:style w:type="paragraph" w:styleId="NormalWeb">
    <w:name w:val="Normal (Web)"/>
    <w:basedOn w:val="Normal"/>
    <w:uiPriority w:val="99"/>
    <w:semiHidden/>
    <w:unhideWhenUsed/>
    <w:rsid w:val="00A67F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B7323"/>
    <w:rPr>
      <w:color w:val="954F72" w:themeColor="followedHyperlink"/>
      <w:u w:val="single"/>
    </w:rPr>
  </w:style>
  <w:style w:type="table" w:styleId="TableGrid">
    <w:name w:val="Table Grid"/>
    <w:basedOn w:val="TableNormal"/>
    <w:uiPriority w:val="39"/>
    <w:rsid w:val="00184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45B1B"/>
    <w:pPr>
      <w:spacing w:line="240" w:lineRule="auto"/>
    </w:pPr>
  </w:style>
  <w:style w:type="character" w:customStyle="1" w:styleId="FootnoteTextChar">
    <w:name w:val="Footnote Text Char"/>
    <w:basedOn w:val="DefaultParagraphFont"/>
    <w:link w:val="FootnoteText"/>
    <w:uiPriority w:val="99"/>
    <w:semiHidden/>
    <w:rsid w:val="00845B1B"/>
  </w:style>
  <w:style w:type="character" w:styleId="FootnoteReference">
    <w:name w:val="footnote reference"/>
    <w:basedOn w:val="DefaultParagraphFont"/>
    <w:uiPriority w:val="99"/>
    <w:semiHidden/>
    <w:unhideWhenUsed/>
    <w:rsid w:val="00845B1B"/>
    <w:rPr>
      <w:vertAlign w:val="superscript"/>
    </w:rPr>
  </w:style>
  <w:style w:type="paragraph" w:customStyle="1" w:styleId="paragraph">
    <w:name w:val="paragraph"/>
    <w:basedOn w:val="Normal"/>
    <w:rsid w:val="00BA73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A7361"/>
  </w:style>
  <w:style w:type="character" w:customStyle="1" w:styleId="eop">
    <w:name w:val="eop"/>
    <w:basedOn w:val="DefaultParagraphFont"/>
    <w:rsid w:val="00BA7361"/>
  </w:style>
  <w:style w:type="paragraph" w:styleId="TOC3">
    <w:name w:val="toc 3"/>
    <w:basedOn w:val="Normal"/>
    <w:next w:val="Normal"/>
    <w:autoRedefine/>
    <w:uiPriority w:val="39"/>
    <w:unhideWhenUsed/>
    <w:rsid w:val="007F7508"/>
    <w:pPr>
      <w:spacing w:after="100"/>
      <w:ind w:left="400"/>
    </w:pPr>
  </w:style>
  <w:style w:type="paragraph" w:customStyle="1" w:styleId="Default">
    <w:name w:val="Default"/>
    <w:rsid w:val="00D871C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4">
    <w:name w:val="toc 4"/>
    <w:basedOn w:val="Normal"/>
    <w:next w:val="Normal"/>
    <w:autoRedefine/>
    <w:uiPriority w:val="39"/>
    <w:unhideWhenUsed/>
    <w:rsid w:val="00975083"/>
    <w:pPr>
      <w:spacing w:before="0" w:after="100" w:line="259" w:lineRule="auto"/>
      <w:ind w:left="660"/>
    </w:pPr>
    <w:rPr>
      <w:rFonts w:asciiTheme="minorHAnsi" w:hAnsiTheme="minorHAnsi" w:cstheme="minorBidi"/>
      <w:sz w:val="22"/>
      <w:szCs w:val="22"/>
      <w:lang w:eastAsia="en-GB"/>
    </w:rPr>
  </w:style>
  <w:style w:type="paragraph" w:styleId="TOC5">
    <w:name w:val="toc 5"/>
    <w:basedOn w:val="Normal"/>
    <w:next w:val="Normal"/>
    <w:autoRedefine/>
    <w:uiPriority w:val="39"/>
    <w:unhideWhenUsed/>
    <w:rsid w:val="00975083"/>
    <w:pPr>
      <w:spacing w:before="0" w:after="100" w:line="259" w:lineRule="auto"/>
      <w:ind w:left="880"/>
    </w:pPr>
    <w:rPr>
      <w:rFonts w:asciiTheme="minorHAnsi" w:hAnsiTheme="minorHAnsi" w:cstheme="minorBidi"/>
      <w:sz w:val="22"/>
      <w:szCs w:val="22"/>
      <w:lang w:eastAsia="en-GB"/>
    </w:rPr>
  </w:style>
  <w:style w:type="paragraph" w:styleId="TOC6">
    <w:name w:val="toc 6"/>
    <w:basedOn w:val="Normal"/>
    <w:next w:val="Normal"/>
    <w:autoRedefine/>
    <w:uiPriority w:val="39"/>
    <w:unhideWhenUsed/>
    <w:rsid w:val="00975083"/>
    <w:pPr>
      <w:spacing w:before="0" w:after="100" w:line="259" w:lineRule="auto"/>
      <w:ind w:left="1100"/>
    </w:pPr>
    <w:rPr>
      <w:rFonts w:asciiTheme="minorHAnsi" w:hAnsiTheme="minorHAnsi" w:cstheme="minorBidi"/>
      <w:sz w:val="22"/>
      <w:szCs w:val="22"/>
      <w:lang w:eastAsia="en-GB"/>
    </w:rPr>
  </w:style>
  <w:style w:type="paragraph" w:styleId="TOC7">
    <w:name w:val="toc 7"/>
    <w:basedOn w:val="Normal"/>
    <w:next w:val="Normal"/>
    <w:autoRedefine/>
    <w:uiPriority w:val="39"/>
    <w:unhideWhenUsed/>
    <w:rsid w:val="00975083"/>
    <w:pPr>
      <w:spacing w:before="0" w:after="100" w:line="259" w:lineRule="auto"/>
      <w:ind w:left="1320"/>
    </w:pPr>
    <w:rPr>
      <w:rFonts w:asciiTheme="minorHAnsi" w:hAnsiTheme="minorHAnsi" w:cstheme="minorBidi"/>
      <w:sz w:val="22"/>
      <w:szCs w:val="22"/>
      <w:lang w:eastAsia="en-GB"/>
    </w:rPr>
  </w:style>
  <w:style w:type="paragraph" w:styleId="TOC8">
    <w:name w:val="toc 8"/>
    <w:basedOn w:val="Normal"/>
    <w:next w:val="Normal"/>
    <w:autoRedefine/>
    <w:uiPriority w:val="39"/>
    <w:unhideWhenUsed/>
    <w:rsid w:val="00975083"/>
    <w:pPr>
      <w:spacing w:before="0" w:after="100" w:line="259" w:lineRule="auto"/>
      <w:ind w:left="1540"/>
    </w:pPr>
    <w:rPr>
      <w:rFonts w:asciiTheme="minorHAnsi" w:hAnsiTheme="minorHAnsi" w:cstheme="minorBidi"/>
      <w:sz w:val="22"/>
      <w:szCs w:val="22"/>
      <w:lang w:eastAsia="en-GB"/>
    </w:rPr>
  </w:style>
  <w:style w:type="paragraph" w:styleId="TOC9">
    <w:name w:val="toc 9"/>
    <w:basedOn w:val="Normal"/>
    <w:next w:val="Normal"/>
    <w:autoRedefine/>
    <w:uiPriority w:val="39"/>
    <w:unhideWhenUsed/>
    <w:rsid w:val="00975083"/>
    <w:pPr>
      <w:spacing w:before="0" w:after="100" w:line="259" w:lineRule="auto"/>
      <w:ind w:left="1760"/>
    </w:pPr>
    <w:rPr>
      <w:rFonts w:asciiTheme="minorHAnsi" w:hAnsiTheme="minorHAnsi" w:cstheme="minorBidi"/>
      <w:sz w:val="22"/>
      <w:szCs w:val="22"/>
      <w:lang w:eastAsia="en-GB"/>
    </w:rPr>
  </w:style>
  <w:style w:type="paragraph" w:customStyle="1" w:styleId="Style1">
    <w:name w:val="Style1"/>
    <w:basedOn w:val="NoSpacing"/>
    <w:qFormat/>
    <w:rsid w:val="00F06332"/>
    <w:pPr>
      <w:numPr>
        <w:numId w:val="13"/>
      </w:numPr>
      <w:spacing w:before="0" w:line="240" w:lineRule="auto"/>
      <w:ind w:left="567" w:hanging="567"/>
    </w:pPr>
    <w:rPr>
      <w:rFonts w:eastAsia="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9828">
      <w:bodyDiv w:val="1"/>
      <w:marLeft w:val="0"/>
      <w:marRight w:val="0"/>
      <w:marTop w:val="0"/>
      <w:marBottom w:val="0"/>
      <w:divBdr>
        <w:top w:val="none" w:sz="0" w:space="0" w:color="auto"/>
        <w:left w:val="none" w:sz="0" w:space="0" w:color="auto"/>
        <w:bottom w:val="none" w:sz="0" w:space="0" w:color="auto"/>
        <w:right w:val="none" w:sz="0" w:space="0" w:color="auto"/>
      </w:divBdr>
    </w:div>
    <w:div w:id="74399384">
      <w:bodyDiv w:val="1"/>
      <w:marLeft w:val="0"/>
      <w:marRight w:val="0"/>
      <w:marTop w:val="0"/>
      <w:marBottom w:val="0"/>
      <w:divBdr>
        <w:top w:val="none" w:sz="0" w:space="0" w:color="auto"/>
        <w:left w:val="none" w:sz="0" w:space="0" w:color="auto"/>
        <w:bottom w:val="none" w:sz="0" w:space="0" w:color="auto"/>
        <w:right w:val="none" w:sz="0" w:space="0" w:color="auto"/>
      </w:divBdr>
      <w:divsChild>
        <w:div w:id="485363715">
          <w:marLeft w:val="0"/>
          <w:marRight w:val="0"/>
          <w:marTop w:val="0"/>
          <w:marBottom w:val="120"/>
          <w:divBdr>
            <w:top w:val="none" w:sz="0" w:space="0" w:color="auto"/>
            <w:left w:val="none" w:sz="0" w:space="0" w:color="auto"/>
            <w:bottom w:val="none" w:sz="0" w:space="0" w:color="auto"/>
            <w:right w:val="none" w:sz="0" w:space="0" w:color="auto"/>
          </w:divBdr>
        </w:div>
        <w:div w:id="2025939218">
          <w:marLeft w:val="0"/>
          <w:marRight w:val="0"/>
          <w:marTop w:val="0"/>
          <w:marBottom w:val="120"/>
          <w:divBdr>
            <w:top w:val="none" w:sz="0" w:space="0" w:color="auto"/>
            <w:left w:val="none" w:sz="0" w:space="0" w:color="auto"/>
            <w:bottom w:val="none" w:sz="0" w:space="0" w:color="auto"/>
            <w:right w:val="none" w:sz="0" w:space="0" w:color="auto"/>
          </w:divBdr>
        </w:div>
      </w:divsChild>
    </w:div>
    <w:div w:id="82071099">
      <w:bodyDiv w:val="1"/>
      <w:marLeft w:val="0"/>
      <w:marRight w:val="0"/>
      <w:marTop w:val="0"/>
      <w:marBottom w:val="0"/>
      <w:divBdr>
        <w:top w:val="none" w:sz="0" w:space="0" w:color="auto"/>
        <w:left w:val="none" w:sz="0" w:space="0" w:color="auto"/>
        <w:bottom w:val="none" w:sz="0" w:space="0" w:color="auto"/>
        <w:right w:val="none" w:sz="0" w:space="0" w:color="auto"/>
      </w:divBdr>
    </w:div>
    <w:div w:id="149637031">
      <w:bodyDiv w:val="1"/>
      <w:marLeft w:val="0"/>
      <w:marRight w:val="0"/>
      <w:marTop w:val="0"/>
      <w:marBottom w:val="0"/>
      <w:divBdr>
        <w:top w:val="none" w:sz="0" w:space="0" w:color="auto"/>
        <w:left w:val="none" w:sz="0" w:space="0" w:color="auto"/>
        <w:bottom w:val="none" w:sz="0" w:space="0" w:color="auto"/>
        <w:right w:val="none" w:sz="0" w:space="0" w:color="auto"/>
      </w:divBdr>
    </w:div>
    <w:div w:id="196045076">
      <w:bodyDiv w:val="1"/>
      <w:marLeft w:val="0"/>
      <w:marRight w:val="0"/>
      <w:marTop w:val="0"/>
      <w:marBottom w:val="0"/>
      <w:divBdr>
        <w:top w:val="none" w:sz="0" w:space="0" w:color="auto"/>
        <w:left w:val="none" w:sz="0" w:space="0" w:color="auto"/>
        <w:bottom w:val="none" w:sz="0" w:space="0" w:color="auto"/>
        <w:right w:val="none" w:sz="0" w:space="0" w:color="auto"/>
      </w:divBdr>
    </w:div>
    <w:div w:id="234750102">
      <w:bodyDiv w:val="1"/>
      <w:marLeft w:val="0"/>
      <w:marRight w:val="0"/>
      <w:marTop w:val="0"/>
      <w:marBottom w:val="0"/>
      <w:divBdr>
        <w:top w:val="none" w:sz="0" w:space="0" w:color="auto"/>
        <w:left w:val="none" w:sz="0" w:space="0" w:color="auto"/>
        <w:bottom w:val="none" w:sz="0" w:space="0" w:color="auto"/>
        <w:right w:val="none" w:sz="0" w:space="0" w:color="auto"/>
      </w:divBdr>
    </w:div>
    <w:div w:id="278728729">
      <w:bodyDiv w:val="1"/>
      <w:marLeft w:val="0"/>
      <w:marRight w:val="0"/>
      <w:marTop w:val="0"/>
      <w:marBottom w:val="0"/>
      <w:divBdr>
        <w:top w:val="none" w:sz="0" w:space="0" w:color="auto"/>
        <w:left w:val="none" w:sz="0" w:space="0" w:color="auto"/>
        <w:bottom w:val="none" w:sz="0" w:space="0" w:color="auto"/>
        <w:right w:val="none" w:sz="0" w:space="0" w:color="auto"/>
      </w:divBdr>
    </w:div>
    <w:div w:id="314917104">
      <w:bodyDiv w:val="1"/>
      <w:marLeft w:val="0"/>
      <w:marRight w:val="0"/>
      <w:marTop w:val="0"/>
      <w:marBottom w:val="0"/>
      <w:divBdr>
        <w:top w:val="none" w:sz="0" w:space="0" w:color="auto"/>
        <w:left w:val="none" w:sz="0" w:space="0" w:color="auto"/>
        <w:bottom w:val="none" w:sz="0" w:space="0" w:color="auto"/>
        <w:right w:val="none" w:sz="0" w:space="0" w:color="auto"/>
      </w:divBdr>
    </w:div>
    <w:div w:id="327170414">
      <w:bodyDiv w:val="1"/>
      <w:marLeft w:val="0"/>
      <w:marRight w:val="0"/>
      <w:marTop w:val="0"/>
      <w:marBottom w:val="0"/>
      <w:divBdr>
        <w:top w:val="none" w:sz="0" w:space="0" w:color="auto"/>
        <w:left w:val="none" w:sz="0" w:space="0" w:color="auto"/>
        <w:bottom w:val="none" w:sz="0" w:space="0" w:color="auto"/>
        <w:right w:val="none" w:sz="0" w:space="0" w:color="auto"/>
      </w:divBdr>
    </w:div>
    <w:div w:id="332496825">
      <w:bodyDiv w:val="1"/>
      <w:marLeft w:val="0"/>
      <w:marRight w:val="0"/>
      <w:marTop w:val="0"/>
      <w:marBottom w:val="0"/>
      <w:divBdr>
        <w:top w:val="none" w:sz="0" w:space="0" w:color="auto"/>
        <w:left w:val="none" w:sz="0" w:space="0" w:color="auto"/>
        <w:bottom w:val="none" w:sz="0" w:space="0" w:color="auto"/>
        <w:right w:val="none" w:sz="0" w:space="0" w:color="auto"/>
      </w:divBdr>
    </w:div>
    <w:div w:id="370038878">
      <w:bodyDiv w:val="1"/>
      <w:marLeft w:val="0"/>
      <w:marRight w:val="0"/>
      <w:marTop w:val="0"/>
      <w:marBottom w:val="0"/>
      <w:divBdr>
        <w:top w:val="none" w:sz="0" w:space="0" w:color="auto"/>
        <w:left w:val="none" w:sz="0" w:space="0" w:color="auto"/>
        <w:bottom w:val="none" w:sz="0" w:space="0" w:color="auto"/>
        <w:right w:val="none" w:sz="0" w:space="0" w:color="auto"/>
      </w:divBdr>
    </w:div>
    <w:div w:id="434402192">
      <w:bodyDiv w:val="1"/>
      <w:marLeft w:val="0"/>
      <w:marRight w:val="0"/>
      <w:marTop w:val="0"/>
      <w:marBottom w:val="0"/>
      <w:divBdr>
        <w:top w:val="none" w:sz="0" w:space="0" w:color="auto"/>
        <w:left w:val="none" w:sz="0" w:space="0" w:color="auto"/>
        <w:bottom w:val="none" w:sz="0" w:space="0" w:color="auto"/>
        <w:right w:val="none" w:sz="0" w:space="0" w:color="auto"/>
      </w:divBdr>
    </w:div>
    <w:div w:id="435755463">
      <w:bodyDiv w:val="1"/>
      <w:marLeft w:val="0"/>
      <w:marRight w:val="0"/>
      <w:marTop w:val="0"/>
      <w:marBottom w:val="0"/>
      <w:divBdr>
        <w:top w:val="none" w:sz="0" w:space="0" w:color="auto"/>
        <w:left w:val="none" w:sz="0" w:space="0" w:color="auto"/>
        <w:bottom w:val="none" w:sz="0" w:space="0" w:color="auto"/>
        <w:right w:val="none" w:sz="0" w:space="0" w:color="auto"/>
      </w:divBdr>
    </w:div>
    <w:div w:id="449476898">
      <w:bodyDiv w:val="1"/>
      <w:marLeft w:val="0"/>
      <w:marRight w:val="0"/>
      <w:marTop w:val="0"/>
      <w:marBottom w:val="0"/>
      <w:divBdr>
        <w:top w:val="none" w:sz="0" w:space="0" w:color="auto"/>
        <w:left w:val="none" w:sz="0" w:space="0" w:color="auto"/>
        <w:bottom w:val="none" w:sz="0" w:space="0" w:color="auto"/>
        <w:right w:val="none" w:sz="0" w:space="0" w:color="auto"/>
      </w:divBdr>
    </w:div>
    <w:div w:id="452754705">
      <w:bodyDiv w:val="1"/>
      <w:marLeft w:val="0"/>
      <w:marRight w:val="0"/>
      <w:marTop w:val="0"/>
      <w:marBottom w:val="0"/>
      <w:divBdr>
        <w:top w:val="none" w:sz="0" w:space="0" w:color="auto"/>
        <w:left w:val="none" w:sz="0" w:space="0" w:color="auto"/>
        <w:bottom w:val="none" w:sz="0" w:space="0" w:color="auto"/>
        <w:right w:val="none" w:sz="0" w:space="0" w:color="auto"/>
      </w:divBdr>
    </w:div>
    <w:div w:id="510295780">
      <w:bodyDiv w:val="1"/>
      <w:marLeft w:val="0"/>
      <w:marRight w:val="0"/>
      <w:marTop w:val="0"/>
      <w:marBottom w:val="0"/>
      <w:divBdr>
        <w:top w:val="none" w:sz="0" w:space="0" w:color="auto"/>
        <w:left w:val="none" w:sz="0" w:space="0" w:color="auto"/>
        <w:bottom w:val="none" w:sz="0" w:space="0" w:color="auto"/>
        <w:right w:val="none" w:sz="0" w:space="0" w:color="auto"/>
      </w:divBdr>
    </w:div>
    <w:div w:id="543444316">
      <w:bodyDiv w:val="1"/>
      <w:marLeft w:val="0"/>
      <w:marRight w:val="0"/>
      <w:marTop w:val="0"/>
      <w:marBottom w:val="0"/>
      <w:divBdr>
        <w:top w:val="none" w:sz="0" w:space="0" w:color="auto"/>
        <w:left w:val="none" w:sz="0" w:space="0" w:color="auto"/>
        <w:bottom w:val="none" w:sz="0" w:space="0" w:color="auto"/>
        <w:right w:val="none" w:sz="0" w:space="0" w:color="auto"/>
      </w:divBdr>
    </w:div>
    <w:div w:id="560286048">
      <w:bodyDiv w:val="1"/>
      <w:marLeft w:val="0"/>
      <w:marRight w:val="0"/>
      <w:marTop w:val="0"/>
      <w:marBottom w:val="0"/>
      <w:divBdr>
        <w:top w:val="none" w:sz="0" w:space="0" w:color="auto"/>
        <w:left w:val="none" w:sz="0" w:space="0" w:color="auto"/>
        <w:bottom w:val="none" w:sz="0" w:space="0" w:color="auto"/>
        <w:right w:val="none" w:sz="0" w:space="0" w:color="auto"/>
      </w:divBdr>
    </w:div>
    <w:div w:id="630013466">
      <w:bodyDiv w:val="1"/>
      <w:marLeft w:val="0"/>
      <w:marRight w:val="0"/>
      <w:marTop w:val="0"/>
      <w:marBottom w:val="0"/>
      <w:divBdr>
        <w:top w:val="none" w:sz="0" w:space="0" w:color="auto"/>
        <w:left w:val="none" w:sz="0" w:space="0" w:color="auto"/>
        <w:bottom w:val="none" w:sz="0" w:space="0" w:color="auto"/>
        <w:right w:val="none" w:sz="0" w:space="0" w:color="auto"/>
      </w:divBdr>
    </w:div>
    <w:div w:id="652174669">
      <w:bodyDiv w:val="1"/>
      <w:marLeft w:val="0"/>
      <w:marRight w:val="0"/>
      <w:marTop w:val="0"/>
      <w:marBottom w:val="0"/>
      <w:divBdr>
        <w:top w:val="none" w:sz="0" w:space="0" w:color="auto"/>
        <w:left w:val="none" w:sz="0" w:space="0" w:color="auto"/>
        <w:bottom w:val="none" w:sz="0" w:space="0" w:color="auto"/>
        <w:right w:val="none" w:sz="0" w:space="0" w:color="auto"/>
      </w:divBdr>
    </w:div>
    <w:div w:id="661784119">
      <w:bodyDiv w:val="1"/>
      <w:marLeft w:val="0"/>
      <w:marRight w:val="0"/>
      <w:marTop w:val="0"/>
      <w:marBottom w:val="0"/>
      <w:divBdr>
        <w:top w:val="none" w:sz="0" w:space="0" w:color="auto"/>
        <w:left w:val="none" w:sz="0" w:space="0" w:color="auto"/>
        <w:bottom w:val="none" w:sz="0" w:space="0" w:color="auto"/>
        <w:right w:val="none" w:sz="0" w:space="0" w:color="auto"/>
      </w:divBdr>
    </w:div>
    <w:div w:id="702369411">
      <w:bodyDiv w:val="1"/>
      <w:marLeft w:val="0"/>
      <w:marRight w:val="0"/>
      <w:marTop w:val="0"/>
      <w:marBottom w:val="0"/>
      <w:divBdr>
        <w:top w:val="none" w:sz="0" w:space="0" w:color="auto"/>
        <w:left w:val="none" w:sz="0" w:space="0" w:color="auto"/>
        <w:bottom w:val="none" w:sz="0" w:space="0" w:color="auto"/>
        <w:right w:val="none" w:sz="0" w:space="0" w:color="auto"/>
      </w:divBdr>
    </w:div>
    <w:div w:id="704795587">
      <w:bodyDiv w:val="1"/>
      <w:marLeft w:val="0"/>
      <w:marRight w:val="0"/>
      <w:marTop w:val="0"/>
      <w:marBottom w:val="0"/>
      <w:divBdr>
        <w:top w:val="none" w:sz="0" w:space="0" w:color="auto"/>
        <w:left w:val="none" w:sz="0" w:space="0" w:color="auto"/>
        <w:bottom w:val="none" w:sz="0" w:space="0" w:color="auto"/>
        <w:right w:val="none" w:sz="0" w:space="0" w:color="auto"/>
      </w:divBdr>
    </w:div>
    <w:div w:id="710501411">
      <w:bodyDiv w:val="1"/>
      <w:marLeft w:val="0"/>
      <w:marRight w:val="0"/>
      <w:marTop w:val="0"/>
      <w:marBottom w:val="0"/>
      <w:divBdr>
        <w:top w:val="none" w:sz="0" w:space="0" w:color="auto"/>
        <w:left w:val="none" w:sz="0" w:space="0" w:color="auto"/>
        <w:bottom w:val="none" w:sz="0" w:space="0" w:color="auto"/>
        <w:right w:val="none" w:sz="0" w:space="0" w:color="auto"/>
      </w:divBdr>
    </w:div>
    <w:div w:id="719983444">
      <w:bodyDiv w:val="1"/>
      <w:marLeft w:val="0"/>
      <w:marRight w:val="0"/>
      <w:marTop w:val="0"/>
      <w:marBottom w:val="0"/>
      <w:divBdr>
        <w:top w:val="none" w:sz="0" w:space="0" w:color="auto"/>
        <w:left w:val="none" w:sz="0" w:space="0" w:color="auto"/>
        <w:bottom w:val="none" w:sz="0" w:space="0" w:color="auto"/>
        <w:right w:val="none" w:sz="0" w:space="0" w:color="auto"/>
      </w:divBdr>
    </w:div>
    <w:div w:id="736368569">
      <w:bodyDiv w:val="1"/>
      <w:marLeft w:val="0"/>
      <w:marRight w:val="0"/>
      <w:marTop w:val="0"/>
      <w:marBottom w:val="0"/>
      <w:divBdr>
        <w:top w:val="none" w:sz="0" w:space="0" w:color="auto"/>
        <w:left w:val="none" w:sz="0" w:space="0" w:color="auto"/>
        <w:bottom w:val="none" w:sz="0" w:space="0" w:color="auto"/>
        <w:right w:val="none" w:sz="0" w:space="0" w:color="auto"/>
      </w:divBdr>
    </w:div>
    <w:div w:id="748233328">
      <w:bodyDiv w:val="1"/>
      <w:marLeft w:val="0"/>
      <w:marRight w:val="0"/>
      <w:marTop w:val="0"/>
      <w:marBottom w:val="0"/>
      <w:divBdr>
        <w:top w:val="none" w:sz="0" w:space="0" w:color="auto"/>
        <w:left w:val="none" w:sz="0" w:space="0" w:color="auto"/>
        <w:bottom w:val="none" w:sz="0" w:space="0" w:color="auto"/>
        <w:right w:val="none" w:sz="0" w:space="0" w:color="auto"/>
      </w:divBdr>
    </w:div>
    <w:div w:id="856043862">
      <w:bodyDiv w:val="1"/>
      <w:marLeft w:val="0"/>
      <w:marRight w:val="0"/>
      <w:marTop w:val="0"/>
      <w:marBottom w:val="0"/>
      <w:divBdr>
        <w:top w:val="none" w:sz="0" w:space="0" w:color="auto"/>
        <w:left w:val="none" w:sz="0" w:space="0" w:color="auto"/>
        <w:bottom w:val="none" w:sz="0" w:space="0" w:color="auto"/>
        <w:right w:val="none" w:sz="0" w:space="0" w:color="auto"/>
      </w:divBdr>
    </w:div>
    <w:div w:id="879825743">
      <w:bodyDiv w:val="1"/>
      <w:marLeft w:val="0"/>
      <w:marRight w:val="0"/>
      <w:marTop w:val="0"/>
      <w:marBottom w:val="0"/>
      <w:divBdr>
        <w:top w:val="none" w:sz="0" w:space="0" w:color="auto"/>
        <w:left w:val="none" w:sz="0" w:space="0" w:color="auto"/>
        <w:bottom w:val="none" w:sz="0" w:space="0" w:color="auto"/>
        <w:right w:val="none" w:sz="0" w:space="0" w:color="auto"/>
      </w:divBdr>
    </w:div>
    <w:div w:id="886837755">
      <w:bodyDiv w:val="1"/>
      <w:marLeft w:val="0"/>
      <w:marRight w:val="0"/>
      <w:marTop w:val="0"/>
      <w:marBottom w:val="0"/>
      <w:divBdr>
        <w:top w:val="none" w:sz="0" w:space="0" w:color="auto"/>
        <w:left w:val="none" w:sz="0" w:space="0" w:color="auto"/>
        <w:bottom w:val="none" w:sz="0" w:space="0" w:color="auto"/>
        <w:right w:val="none" w:sz="0" w:space="0" w:color="auto"/>
      </w:divBdr>
    </w:div>
    <w:div w:id="923144228">
      <w:bodyDiv w:val="1"/>
      <w:marLeft w:val="0"/>
      <w:marRight w:val="0"/>
      <w:marTop w:val="0"/>
      <w:marBottom w:val="0"/>
      <w:divBdr>
        <w:top w:val="none" w:sz="0" w:space="0" w:color="auto"/>
        <w:left w:val="none" w:sz="0" w:space="0" w:color="auto"/>
        <w:bottom w:val="none" w:sz="0" w:space="0" w:color="auto"/>
        <w:right w:val="none" w:sz="0" w:space="0" w:color="auto"/>
      </w:divBdr>
    </w:div>
    <w:div w:id="1018046189">
      <w:bodyDiv w:val="1"/>
      <w:marLeft w:val="0"/>
      <w:marRight w:val="0"/>
      <w:marTop w:val="0"/>
      <w:marBottom w:val="0"/>
      <w:divBdr>
        <w:top w:val="none" w:sz="0" w:space="0" w:color="auto"/>
        <w:left w:val="none" w:sz="0" w:space="0" w:color="auto"/>
        <w:bottom w:val="none" w:sz="0" w:space="0" w:color="auto"/>
        <w:right w:val="none" w:sz="0" w:space="0" w:color="auto"/>
      </w:divBdr>
    </w:div>
    <w:div w:id="1057825098">
      <w:bodyDiv w:val="1"/>
      <w:marLeft w:val="0"/>
      <w:marRight w:val="0"/>
      <w:marTop w:val="0"/>
      <w:marBottom w:val="0"/>
      <w:divBdr>
        <w:top w:val="none" w:sz="0" w:space="0" w:color="auto"/>
        <w:left w:val="none" w:sz="0" w:space="0" w:color="auto"/>
        <w:bottom w:val="none" w:sz="0" w:space="0" w:color="auto"/>
        <w:right w:val="none" w:sz="0" w:space="0" w:color="auto"/>
      </w:divBdr>
    </w:div>
    <w:div w:id="1069308914">
      <w:bodyDiv w:val="1"/>
      <w:marLeft w:val="0"/>
      <w:marRight w:val="0"/>
      <w:marTop w:val="0"/>
      <w:marBottom w:val="0"/>
      <w:divBdr>
        <w:top w:val="none" w:sz="0" w:space="0" w:color="auto"/>
        <w:left w:val="none" w:sz="0" w:space="0" w:color="auto"/>
        <w:bottom w:val="none" w:sz="0" w:space="0" w:color="auto"/>
        <w:right w:val="none" w:sz="0" w:space="0" w:color="auto"/>
      </w:divBdr>
    </w:div>
    <w:div w:id="1083143478">
      <w:bodyDiv w:val="1"/>
      <w:marLeft w:val="0"/>
      <w:marRight w:val="0"/>
      <w:marTop w:val="0"/>
      <w:marBottom w:val="0"/>
      <w:divBdr>
        <w:top w:val="none" w:sz="0" w:space="0" w:color="auto"/>
        <w:left w:val="none" w:sz="0" w:space="0" w:color="auto"/>
        <w:bottom w:val="none" w:sz="0" w:space="0" w:color="auto"/>
        <w:right w:val="none" w:sz="0" w:space="0" w:color="auto"/>
      </w:divBdr>
    </w:div>
    <w:div w:id="1099371181">
      <w:bodyDiv w:val="1"/>
      <w:marLeft w:val="0"/>
      <w:marRight w:val="0"/>
      <w:marTop w:val="0"/>
      <w:marBottom w:val="0"/>
      <w:divBdr>
        <w:top w:val="none" w:sz="0" w:space="0" w:color="auto"/>
        <w:left w:val="none" w:sz="0" w:space="0" w:color="auto"/>
        <w:bottom w:val="none" w:sz="0" w:space="0" w:color="auto"/>
        <w:right w:val="none" w:sz="0" w:space="0" w:color="auto"/>
      </w:divBdr>
    </w:div>
    <w:div w:id="1202788875">
      <w:bodyDiv w:val="1"/>
      <w:marLeft w:val="0"/>
      <w:marRight w:val="0"/>
      <w:marTop w:val="0"/>
      <w:marBottom w:val="0"/>
      <w:divBdr>
        <w:top w:val="none" w:sz="0" w:space="0" w:color="auto"/>
        <w:left w:val="none" w:sz="0" w:space="0" w:color="auto"/>
        <w:bottom w:val="none" w:sz="0" w:space="0" w:color="auto"/>
        <w:right w:val="none" w:sz="0" w:space="0" w:color="auto"/>
      </w:divBdr>
    </w:div>
    <w:div w:id="1248921038">
      <w:bodyDiv w:val="1"/>
      <w:marLeft w:val="0"/>
      <w:marRight w:val="0"/>
      <w:marTop w:val="0"/>
      <w:marBottom w:val="0"/>
      <w:divBdr>
        <w:top w:val="none" w:sz="0" w:space="0" w:color="auto"/>
        <w:left w:val="none" w:sz="0" w:space="0" w:color="auto"/>
        <w:bottom w:val="none" w:sz="0" w:space="0" w:color="auto"/>
        <w:right w:val="none" w:sz="0" w:space="0" w:color="auto"/>
      </w:divBdr>
    </w:div>
    <w:div w:id="1252742884">
      <w:bodyDiv w:val="1"/>
      <w:marLeft w:val="0"/>
      <w:marRight w:val="0"/>
      <w:marTop w:val="0"/>
      <w:marBottom w:val="0"/>
      <w:divBdr>
        <w:top w:val="none" w:sz="0" w:space="0" w:color="auto"/>
        <w:left w:val="none" w:sz="0" w:space="0" w:color="auto"/>
        <w:bottom w:val="none" w:sz="0" w:space="0" w:color="auto"/>
        <w:right w:val="none" w:sz="0" w:space="0" w:color="auto"/>
      </w:divBdr>
      <w:divsChild>
        <w:div w:id="695010651">
          <w:marLeft w:val="0"/>
          <w:marRight w:val="0"/>
          <w:marTop w:val="0"/>
          <w:marBottom w:val="120"/>
          <w:divBdr>
            <w:top w:val="none" w:sz="0" w:space="0" w:color="auto"/>
            <w:left w:val="none" w:sz="0" w:space="0" w:color="auto"/>
            <w:bottom w:val="none" w:sz="0" w:space="0" w:color="auto"/>
            <w:right w:val="none" w:sz="0" w:space="0" w:color="auto"/>
          </w:divBdr>
        </w:div>
        <w:div w:id="998735054">
          <w:marLeft w:val="0"/>
          <w:marRight w:val="0"/>
          <w:marTop w:val="0"/>
          <w:marBottom w:val="120"/>
          <w:divBdr>
            <w:top w:val="none" w:sz="0" w:space="0" w:color="auto"/>
            <w:left w:val="none" w:sz="0" w:space="0" w:color="auto"/>
            <w:bottom w:val="none" w:sz="0" w:space="0" w:color="auto"/>
            <w:right w:val="none" w:sz="0" w:space="0" w:color="auto"/>
          </w:divBdr>
        </w:div>
      </w:divsChild>
    </w:div>
    <w:div w:id="1294363820">
      <w:bodyDiv w:val="1"/>
      <w:marLeft w:val="0"/>
      <w:marRight w:val="0"/>
      <w:marTop w:val="0"/>
      <w:marBottom w:val="0"/>
      <w:divBdr>
        <w:top w:val="none" w:sz="0" w:space="0" w:color="auto"/>
        <w:left w:val="none" w:sz="0" w:space="0" w:color="auto"/>
        <w:bottom w:val="none" w:sz="0" w:space="0" w:color="auto"/>
        <w:right w:val="none" w:sz="0" w:space="0" w:color="auto"/>
      </w:divBdr>
    </w:div>
    <w:div w:id="1324117997">
      <w:bodyDiv w:val="1"/>
      <w:marLeft w:val="0"/>
      <w:marRight w:val="0"/>
      <w:marTop w:val="0"/>
      <w:marBottom w:val="0"/>
      <w:divBdr>
        <w:top w:val="none" w:sz="0" w:space="0" w:color="auto"/>
        <w:left w:val="none" w:sz="0" w:space="0" w:color="auto"/>
        <w:bottom w:val="none" w:sz="0" w:space="0" w:color="auto"/>
        <w:right w:val="none" w:sz="0" w:space="0" w:color="auto"/>
      </w:divBdr>
    </w:div>
    <w:div w:id="1351032256">
      <w:bodyDiv w:val="1"/>
      <w:marLeft w:val="0"/>
      <w:marRight w:val="0"/>
      <w:marTop w:val="0"/>
      <w:marBottom w:val="0"/>
      <w:divBdr>
        <w:top w:val="none" w:sz="0" w:space="0" w:color="auto"/>
        <w:left w:val="none" w:sz="0" w:space="0" w:color="auto"/>
        <w:bottom w:val="none" w:sz="0" w:space="0" w:color="auto"/>
        <w:right w:val="none" w:sz="0" w:space="0" w:color="auto"/>
      </w:divBdr>
    </w:div>
    <w:div w:id="1367833385">
      <w:bodyDiv w:val="1"/>
      <w:marLeft w:val="0"/>
      <w:marRight w:val="0"/>
      <w:marTop w:val="0"/>
      <w:marBottom w:val="0"/>
      <w:divBdr>
        <w:top w:val="none" w:sz="0" w:space="0" w:color="auto"/>
        <w:left w:val="none" w:sz="0" w:space="0" w:color="auto"/>
        <w:bottom w:val="none" w:sz="0" w:space="0" w:color="auto"/>
        <w:right w:val="none" w:sz="0" w:space="0" w:color="auto"/>
      </w:divBdr>
    </w:div>
    <w:div w:id="1408647566">
      <w:bodyDiv w:val="1"/>
      <w:marLeft w:val="0"/>
      <w:marRight w:val="0"/>
      <w:marTop w:val="0"/>
      <w:marBottom w:val="0"/>
      <w:divBdr>
        <w:top w:val="none" w:sz="0" w:space="0" w:color="auto"/>
        <w:left w:val="none" w:sz="0" w:space="0" w:color="auto"/>
        <w:bottom w:val="none" w:sz="0" w:space="0" w:color="auto"/>
        <w:right w:val="none" w:sz="0" w:space="0" w:color="auto"/>
      </w:divBdr>
    </w:div>
    <w:div w:id="1470971411">
      <w:bodyDiv w:val="1"/>
      <w:marLeft w:val="0"/>
      <w:marRight w:val="0"/>
      <w:marTop w:val="0"/>
      <w:marBottom w:val="0"/>
      <w:divBdr>
        <w:top w:val="none" w:sz="0" w:space="0" w:color="auto"/>
        <w:left w:val="none" w:sz="0" w:space="0" w:color="auto"/>
        <w:bottom w:val="none" w:sz="0" w:space="0" w:color="auto"/>
        <w:right w:val="none" w:sz="0" w:space="0" w:color="auto"/>
      </w:divBdr>
      <w:divsChild>
        <w:div w:id="795148984">
          <w:marLeft w:val="0"/>
          <w:marRight w:val="0"/>
          <w:marTop w:val="0"/>
          <w:marBottom w:val="0"/>
          <w:divBdr>
            <w:top w:val="none" w:sz="0" w:space="0" w:color="auto"/>
            <w:left w:val="none" w:sz="0" w:space="0" w:color="auto"/>
            <w:bottom w:val="none" w:sz="0" w:space="0" w:color="auto"/>
            <w:right w:val="none" w:sz="0" w:space="0" w:color="auto"/>
          </w:divBdr>
        </w:div>
        <w:div w:id="1399785890">
          <w:marLeft w:val="0"/>
          <w:marRight w:val="0"/>
          <w:marTop w:val="0"/>
          <w:marBottom w:val="0"/>
          <w:divBdr>
            <w:top w:val="none" w:sz="0" w:space="0" w:color="auto"/>
            <w:left w:val="none" w:sz="0" w:space="0" w:color="auto"/>
            <w:bottom w:val="none" w:sz="0" w:space="0" w:color="auto"/>
            <w:right w:val="none" w:sz="0" w:space="0" w:color="auto"/>
          </w:divBdr>
        </w:div>
      </w:divsChild>
    </w:div>
    <w:div w:id="1481649662">
      <w:bodyDiv w:val="1"/>
      <w:marLeft w:val="0"/>
      <w:marRight w:val="0"/>
      <w:marTop w:val="0"/>
      <w:marBottom w:val="0"/>
      <w:divBdr>
        <w:top w:val="none" w:sz="0" w:space="0" w:color="auto"/>
        <w:left w:val="none" w:sz="0" w:space="0" w:color="auto"/>
        <w:bottom w:val="none" w:sz="0" w:space="0" w:color="auto"/>
        <w:right w:val="none" w:sz="0" w:space="0" w:color="auto"/>
      </w:divBdr>
    </w:div>
    <w:div w:id="1565751635">
      <w:bodyDiv w:val="1"/>
      <w:marLeft w:val="0"/>
      <w:marRight w:val="0"/>
      <w:marTop w:val="0"/>
      <w:marBottom w:val="0"/>
      <w:divBdr>
        <w:top w:val="none" w:sz="0" w:space="0" w:color="auto"/>
        <w:left w:val="none" w:sz="0" w:space="0" w:color="auto"/>
        <w:bottom w:val="none" w:sz="0" w:space="0" w:color="auto"/>
        <w:right w:val="none" w:sz="0" w:space="0" w:color="auto"/>
      </w:divBdr>
    </w:div>
    <w:div w:id="1591770959">
      <w:bodyDiv w:val="1"/>
      <w:marLeft w:val="0"/>
      <w:marRight w:val="0"/>
      <w:marTop w:val="0"/>
      <w:marBottom w:val="0"/>
      <w:divBdr>
        <w:top w:val="none" w:sz="0" w:space="0" w:color="auto"/>
        <w:left w:val="none" w:sz="0" w:space="0" w:color="auto"/>
        <w:bottom w:val="none" w:sz="0" w:space="0" w:color="auto"/>
        <w:right w:val="none" w:sz="0" w:space="0" w:color="auto"/>
      </w:divBdr>
    </w:div>
    <w:div w:id="1596478016">
      <w:bodyDiv w:val="1"/>
      <w:marLeft w:val="0"/>
      <w:marRight w:val="0"/>
      <w:marTop w:val="0"/>
      <w:marBottom w:val="0"/>
      <w:divBdr>
        <w:top w:val="none" w:sz="0" w:space="0" w:color="auto"/>
        <w:left w:val="none" w:sz="0" w:space="0" w:color="auto"/>
        <w:bottom w:val="none" w:sz="0" w:space="0" w:color="auto"/>
        <w:right w:val="none" w:sz="0" w:space="0" w:color="auto"/>
      </w:divBdr>
    </w:div>
    <w:div w:id="1635719213">
      <w:bodyDiv w:val="1"/>
      <w:marLeft w:val="0"/>
      <w:marRight w:val="0"/>
      <w:marTop w:val="0"/>
      <w:marBottom w:val="0"/>
      <w:divBdr>
        <w:top w:val="none" w:sz="0" w:space="0" w:color="auto"/>
        <w:left w:val="none" w:sz="0" w:space="0" w:color="auto"/>
        <w:bottom w:val="none" w:sz="0" w:space="0" w:color="auto"/>
        <w:right w:val="none" w:sz="0" w:space="0" w:color="auto"/>
      </w:divBdr>
    </w:div>
    <w:div w:id="1646809415">
      <w:bodyDiv w:val="1"/>
      <w:marLeft w:val="0"/>
      <w:marRight w:val="0"/>
      <w:marTop w:val="0"/>
      <w:marBottom w:val="0"/>
      <w:divBdr>
        <w:top w:val="none" w:sz="0" w:space="0" w:color="auto"/>
        <w:left w:val="none" w:sz="0" w:space="0" w:color="auto"/>
        <w:bottom w:val="none" w:sz="0" w:space="0" w:color="auto"/>
        <w:right w:val="none" w:sz="0" w:space="0" w:color="auto"/>
      </w:divBdr>
    </w:div>
    <w:div w:id="1704666858">
      <w:bodyDiv w:val="1"/>
      <w:marLeft w:val="0"/>
      <w:marRight w:val="0"/>
      <w:marTop w:val="0"/>
      <w:marBottom w:val="0"/>
      <w:divBdr>
        <w:top w:val="none" w:sz="0" w:space="0" w:color="auto"/>
        <w:left w:val="none" w:sz="0" w:space="0" w:color="auto"/>
        <w:bottom w:val="none" w:sz="0" w:space="0" w:color="auto"/>
        <w:right w:val="none" w:sz="0" w:space="0" w:color="auto"/>
      </w:divBdr>
    </w:div>
    <w:div w:id="1710758970">
      <w:bodyDiv w:val="1"/>
      <w:marLeft w:val="0"/>
      <w:marRight w:val="0"/>
      <w:marTop w:val="0"/>
      <w:marBottom w:val="0"/>
      <w:divBdr>
        <w:top w:val="none" w:sz="0" w:space="0" w:color="auto"/>
        <w:left w:val="none" w:sz="0" w:space="0" w:color="auto"/>
        <w:bottom w:val="none" w:sz="0" w:space="0" w:color="auto"/>
        <w:right w:val="none" w:sz="0" w:space="0" w:color="auto"/>
      </w:divBdr>
    </w:div>
    <w:div w:id="1717389768">
      <w:bodyDiv w:val="1"/>
      <w:marLeft w:val="0"/>
      <w:marRight w:val="0"/>
      <w:marTop w:val="0"/>
      <w:marBottom w:val="0"/>
      <w:divBdr>
        <w:top w:val="none" w:sz="0" w:space="0" w:color="auto"/>
        <w:left w:val="none" w:sz="0" w:space="0" w:color="auto"/>
        <w:bottom w:val="none" w:sz="0" w:space="0" w:color="auto"/>
        <w:right w:val="none" w:sz="0" w:space="0" w:color="auto"/>
      </w:divBdr>
    </w:div>
    <w:div w:id="1798331844">
      <w:bodyDiv w:val="1"/>
      <w:marLeft w:val="0"/>
      <w:marRight w:val="0"/>
      <w:marTop w:val="0"/>
      <w:marBottom w:val="0"/>
      <w:divBdr>
        <w:top w:val="none" w:sz="0" w:space="0" w:color="auto"/>
        <w:left w:val="none" w:sz="0" w:space="0" w:color="auto"/>
        <w:bottom w:val="none" w:sz="0" w:space="0" w:color="auto"/>
        <w:right w:val="none" w:sz="0" w:space="0" w:color="auto"/>
      </w:divBdr>
      <w:divsChild>
        <w:div w:id="243415993">
          <w:marLeft w:val="0"/>
          <w:marRight w:val="0"/>
          <w:marTop w:val="0"/>
          <w:marBottom w:val="0"/>
          <w:divBdr>
            <w:top w:val="none" w:sz="0" w:space="0" w:color="auto"/>
            <w:left w:val="none" w:sz="0" w:space="0" w:color="auto"/>
            <w:bottom w:val="none" w:sz="0" w:space="0" w:color="auto"/>
            <w:right w:val="none" w:sz="0" w:space="0" w:color="auto"/>
          </w:divBdr>
        </w:div>
        <w:div w:id="956445482">
          <w:marLeft w:val="0"/>
          <w:marRight w:val="0"/>
          <w:marTop w:val="0"/>
          <w:marBottom w:val="0"/>
          <w:divBdr>
            <w:top w:val="none" w:sz="0" w:space="0" w:color="auto"/>
            <w:left w:val="none" w:sz="0" w:space="0" w:color="auto"/>
            <w:bottom w:val="none" w:sz="0" w:space="0" w:color="auto"/>
            <w:right w:val="none" w:sz="0" w:space="0" w:color="auto"/>
          </w:divBdr>
        </w:div>
        <w:div w:id="1378243112">
          <w:marLeft w:val="0"/>
          <w:marRight w:val="0"/>
          <w:marTop w:val="0"/>
          <w:marBottom w:val="0"/>
          <w:divBdr>
            <w:top w:val="none" w:sz="0" w:space="0" w:color="auto"/>
            <w:left w:val="none" w:sz="0" w:space="0" w:color="auto"/>
            <w:bottom w:val="none" w:sz="0" w:space="0" w:color="auto"/>
            <w:right w:val="none" w:sz="0" w:space="0" w:color="auto"/>
          </w:divBdr>
        </w:div>
      </w:divsChild>
    </w:div>
    <w:div w:id="1828132521">
      <w:bodyDiv w:val="1"/>
      <w:marLeft w:val="0"/>
      <w:marRight w:val="0"/>
      <w:marTop w:val="0"/>
      <w:marBottom w:val="0"/>
      <w:divBdr>
        <w:top w:val="none" w:sz="0" w:space="0" w:color="auto"/>
        <w:left w:val="none" w:sz="0" w:space="0" w:color="auto"/>
        <w:bottom w:val="none" w:sz="0" w:space="0" w:color="auto"/>
        <w:right w:val="none" w:sz="0" w:space="0" w:color="auto"/>
      </w:divBdr>
    </w:div>
    <w:div w:id="1949656563">
      <w:bodyDiv w:val="1"/>
      <w:marLeft w:val="0"/>
      <w:marRight w:val="0"/>
      <w:marTop w:val="0"/>
      <w:marBottom w:val="0"/>
      <w:divBdr>
        <w:top w:val="none" w:sz="0" w:space="0" w:color="auto"/>
        <w:left w:val="none" w:sz="0" w:space="0" w:color="auto"/>
        <w:bottom w:val="none" w:sz="0" w:space="0" w:color="auto"/>
        <w:right w:val="none" w:sz="0" w:space="0" w:color="auto"/>
      </w:divBdr>
    </w:div>
    <w:div w:id="1977448198">
      <w:bodyDiv w:val="1"/>
      <w:marLeft w:val="0"/>
      <w:marRight w:val="0"/>
      <w:marTop w:val="0"/>
      <w:marBottom w:val="0"/>
      <w:divBdr>
        <w:top w:val="none" w:sz="0" w:space="0" w:color="auto"/>
        <w:left w:val="none" w:sz="0" w:space="0" w:color="auto"/>
        <w:bottom w:val="none" w:sz="0" w:space="0" w:color="auto"/>
        <w:right w:val="none" w:sz="0" w:space="0" w:color="auto"/>
      </w:divBdr>
    </w:div>
    <w:div w:id="1999797722">
      <w:bodyDiv w:val="1"/>
      <w:marLeft w:val="0"/>
      <w:marRight w:val="0"/>
      <w:marTop w:val="0"/>
      <w:marBottom w:val="0"/>
      <w:divBdr>
        <w:top w:val="none" w:sz="0" w:space="0" w:color="auto"/>
        <w:left w:val="none" w:sz="0" w:space="0" w:color="auto"/>
        <w:bottom w:val="none" w:sz="0" w:space="0" w:color="auto"/>
        <w:right w:val="none" w:sz="0" w:space="0" w:color="auto"/>
      </w:divBdr>
    </w:div>
    <w:div w:id="2087532457">
      <w:bodyDiv w:val="1"/>
      <w:marLeft w:val="0"/>
      <w:marRight w:val="0"/>
      <w:marTop w:val="0"/>
      <w:marBottom w:val="0"/>
      <w:divBdr>
        <w:top w:val="none" w:sz="0" w:space="0" w:color="auto"/>
        <w:left w:val="none" w:sz="0" w:space="0" w:color="auto"/>
        <w:bottom w:val="none" w:sz="0" w:space="0" w:color="auto"/>
        <w:right w:val="none" w:sz="0" w:space="0" w:color="auto"/>
      </w:divBdr>
    </w:div>
    <w:div w:id="2097283824">
      <w:bodyDiv w:val="1"/>
      <w:marLeft w:val="0"/>
      <w:marRight w:val="0"/>
      <w:marTop w:val="0"/>
      <w:marBottom w:val="0"/>
      <w:divBdr>
        <w:top w:val="none" w:sz="0" w:space="0" w:color="auto"/>
        <w:left w:val="none" w:sz="0" w:space="0" w:color="auto"/>
        <w:bottom w:val="none" w:sz="0" w:space="0" w:color="auto"/>
        <w:right w:val="none" w:sz="0" w:space="0" w:color="auto"/>
      </w:divBdr>
    </w:div>
    <w:div w:id="2114399776">
      <w:bodyDiv w:val="1"/>
      <w:marLeft w:val="0"/>
      <w:marRight w:val="0"/>
      <w:marTop w:val="0"/>
      <w:marBottom w:val="0"/>
      <w:divBdr>
        <w:top w:val="none" w:sz="0" w:space="0" w:color="auto"/>
        <w:left w:val="none" w:sz="0" w:space="0" w:color="auto"/>
        <w:bottom w:val="none" w:sz="0" w:space="0" w:color="auto"/>
        <w:right w:val="none" w:sz="0" w:space="0" w:color="auto"/>
      </w:divBdr>
    </w:div>
    <w:div w:id="2125803703">
      <w:bodyDiv w:val="1"/>
      <w:marLeft w:val="0"/>
      <w:marRight w:val="0"/>
      <w:marTop w:val="0"/>
      <w:marBottom w:val="0"/>
      <w:divBdr>
        <w:top w:val="none" w:sz="0" w:space="0" w:color="auto"/>
        <w:left w:val="none" w:sz="0" w:space="0" w:color="auto"/>
        <w:bottom w:val="none" w:sz="0" w:space="0" w:color="auto"/>
        <w:right w:val="none" w:sz="0" w:space="0" w:color="auto"/>
      </w:divBdr>
    </w:div>
    <w:div w:id="2146850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procurement-policy-note-0620-taking-account-of-social-value-in-the-award-of-central-government-contracts" TargetMode="External"/><Relationship Id="rId18" Type="http://schemas.openxmlformats.org/officeDocument/2006/relationships/package" Target="embeddings/Microsoft_Excel_Worksheet1.xls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https://www.gov.uk/government/publications/social-value-act-information-and-resources/social-value-act-information-and-resources" TargetMode="External"/><Relationship Id="rId17" Type="http://schemas.openxmlformats.org/officeDocument/2006/relationships/image" Target="media/image2.e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940828/Social-Value-Model-Quick-Reference-Table-Edn-1.1-3-Dec-20.pdf" TargetMode="External"/><Relationship Id="rId22" Type="http://schemas.openxmlformats.org/officeDocument/2006/relationships/package" Target="embeddings/Microsoft_Excel_Worksheet3.xls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3f0758-f32a-4e3c-8775-b2914e7dc19f">
      <Terms xmlns="http://schemas.microsoft.com/office/infopath/2007/PartnerControls"/>
    </lcf76f155ced4ddcb4097134ff3c332f>
    <TaxCatchAll xmlns="cd55ae8d-f41b-4bfa-a7a9-470ed40e51c1" xsi:nil="true"/>
    <_Flow_SignoffStatus xmlns="383f0758-f32a-4e3c-8775-b2914e7dc1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222F470EC8D44CB90B217AE75C8439" ma:contentTypeVersion="16" ma:contentTypeDescription="Create a new document." ma:contentTypeScope="" ma:versionID="88071925777548a3fbf6d3a3ccff917b">
  <xsd:schema xmlns:xsd="http://www.w3.org/2001/XMLSchema" xmlns:xs="http://www.w3.org/2001/XMLSchema" xmlns:p="http://schemas.microsoft.com/office/2006/metadata/properties" xmlns:ns2="383f0758-f32a-4e3c-8775-b2914e7dc19f" xmlns:ns3="3cc795e3-58c8-4110-ab34-e3c83d5c5685" xmlns:ns4="cd55ae8d-f41b-4bfa-a7a9-470ed40e51c1" targetNamespace="http://schemas.microsoft.com/office/2006/metadata/properties" ma:root="true" ma:fieldsID="881be0e0a68debdef06e1b5659c5395a" ns2:_="" ns3:_="" ns4:_="">
    <xsd:import namespace="383f0758-f32a-4e3c-8775-b2914e7dc19f"/>
    <xsd:import namespace="3cc795e3-58c8-4110-ab34-e3c83d5c5685"/>
    <xsd:import namespace="cd55ae8d-f41b-4bfa-a7a9-470ed40e51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f0758-f32a-4e3c-8775-b2914e7dc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a2b3b8-3a3e-45c2-8518-989bf344611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795e3-58c8-4110-ab34-e3c83d5c56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55ae8d-f41b-4bfa-a7a9-470ed40e51c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d666900-98ce-4fd7-a1cb-0e637d46e972}" ma:internalName="TaxCatchAll" ma:showField="CatchAllData" ma:web="cd55ae8d-f41b-4bfa-a7a9-470ed40e51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etadata xmlns="http://www.objective.com/ecm/document/metadata/E082C855B2CC4CE58E7448F960A4E632" version="1.0.0">
  <systemFields>
    <field name="Objective-Id">
      <value order="0">A2665072</value>
    </field>
    <field name="Objective-Title">
      <value order="0">V2.0 - Homecare Medicines Specification (Word)</value>
    </field>
    <field name="Objective-Description">
      <value order="0"/>
    </field>
    <field name="Objective-CreationStamp">
      <value order="0">2022-10-11T17:23:16Z</value>
    </field>
    <field name="Objective-IsApproved">
      <value order="0">false</value>
    </field>
    <field name="Objective-IsPublished">
      <value order="0">true</value>
    </field>
    <field name="Objective-DatePublished">
      <value order="0">2022-12-19T13:56:24Z</value>
    </field>
    <field name="Objective-ModificationStamp">
      <value order="0">2022-12-19T13:56:24Z</value>
    </field>
    <field name="Objective-Owner">
      <value order="0">Clarke, Michelle</value>
    </field>
    <field name="Objective-Path">
      <value order="0">Global Folder:04 Homecare and Services Projects and Contracts:Shared Area:NHMC:Standardisation workplan and activity 2016,2017,2018, 2019,2020,2021,2022:19 Homecare Medicines and Services Template Specification:001 Homecare Medicines and Services Template Specification v2 2022:Final Versions</value>
    </field>
    <field name="Objective-Parent">
      <value order="0">Final Versions</value>
    </field>
    <field name="Objective-State">
      <value order="0">Published</value>
    </field>
    <field name="Objective-VersionId">
      <value order="0">vA4125200</value>
    </field>
    <field name="Objective-Version">
      <value order="0">6.0</value>
    </field>
    <field name="Objective-VersionNumber">
      <value order="0">6</value>
    </field>
    <field name="Objective-VersionComment">
      <value order="0"/>
    </field>
    <field name="Objective-FileNumber">
      <value order="0"/>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D4BA020B-F108-4043-9111-6C522B45AEB7}">
  <ds:schemaRefs>
    <ds:schemaRef ds:uri="http://schemas.microsoft.com/sharepoint/v3/contenttype/forms"/>
  </ds:schemaRefs>
</ds:datastoreItem>
</file>

<file path=customXml/itemProps2.xml><?xml version="1.0" encoding="utf-8"?>
<ds:datastoreItem xmlns:ds="http://schemas.openxmlformats.org/officeDocument/2006/customXml" ds:itemID="{75ED642E-849F-434D-850C-24C7B2E68F6D}">
  <ds:schemaRefs>
    <ds:schemaRef ds:uri="http://schemas.microsoft.com/office/2006/metadata/properties"/>
    <ds:schemaRef ds:uri="http://schemas.microsoft.com/office/infopath/2007/PartnerControls"/>
    <ds:schemaRef ds:uri="383f0758-f32a-4e3c-8775-b2914e7dc19f"/>
    <ds:schemaRef ds:uri="cd55ae8d-f41b-4bfa-a7a9-470ed40e51c1"/>
  </ds:schemaRefs>
</ds:datastoreItem>
</file>

<file path=customXml/itemProps3.xml><?xml version="1.0" encoding="utf-8"?>
<ds:datastoreItem xmlns:ds="http://schemas.openxmlformats.org/officeDocument/2006/customXml" ds:itemID="{D7E9AF45-AA64-4099-ADDD-573B44796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f0758-f32a-4e3c-8775-b2914e7dc19f"/>
    <ds:schemaRef ds:uri="3cc795e3-58c8-4110-ab34-e3c83d5c5685"/>
    <ds:schemaRef ds:uri="cd55ae8d-f41b-4bfa-a7a9-470ed40e5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486548-7473-4104-BEAD-0370D44ED856}">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14642</Words>
  <Characters>83464</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Bassett</dc:creator>
  <cp:keywords/>
  <dc:description/>
  <cp:lastModifiedBy>BESTFORD, Jennifer (LEEDS TEACHING HOSPITALS NHS TRUST)</cp:lastModifiedBy>
  <cp:revision>2</cp:revision>
  <dcterms:created xsi:type="dcterms:W3CDTF">2023-10-13T14:51:00Z</dcterms:created>
  <dcterms:modified xsi:type="dcterms:W3CDTF">2023-10-13T14:51:00Z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0x0101000A222F470EC8D44CB90B217AE75C8439</vt:lpwstr>
  </property>
  <property fmtid="{D5CDD505-2E9C-101B-9397-08002B2CF9AE}" pid="3" name="MSIP_Label_4060ab0d-bac5-413b-b22d-b8e3584a949b_Enabled">
    <vt:lpwstr>true</vt:lpwstr>
  </property>
  <property fmtid="{D5CDD505-2E9C-101B-9397-08002B2CF9AE}" pid="4" name="MSIP_Label_4060ab0d-bac5-413b-b22d-b8e3584a949b_SetDate">
    <vt:lpwstr>2022-04-12T10:17:15Z</vt:lpwstr>
  </property>
  <property fmtid="{D5CDD505-2E9C-101B-9397-08002B2CF9AE}" pid="5" name="MSIP_Label_4060ab0d-bac5-413b-b22d-b8e3584a949b_Method">
    <vt:lpwstr>Standard</vt:lpwstr>
  </property>
  <property fmtid="{D5CDD505-2E9C-101B-9397-08002B2CF9AE}" pid="6" name="MSIP_Label_4060ab0d-bac5-413b-b22d-b8e3584a949b_Name">
    <vt:lpwstr>Public</vt:lpwstr>
  </property>
  <property fmtid="{D5CDD505-2E9C-101B-9397-08002B2CF9AE}" pid="7" name="MSIP_Label_4060ab0d-bac5-413b-b22d-b8e3584a949b_SiteId">
    <vt:lpwstr>882415b0-7612-4cb3-8949-2005b7dd7378</vt:lpwstr>
  </property>
  <property fmtid="{D5CDD505-2E9C-101B-9397-08002B2CF9AE}" pid="8" name="MSIP_Label_4060ab0d-bac5-413b-b22d-b8e3584a949b_ActionId">
    <vt:lpwstr>eb816559-e3b6-4418-8960-c89408bd7050</vt:lpwstr>
  </property>
  <property fmtid="{D5CDD505-2E9C-101B-9397-08002B2CF9AE}" pid="9" name="MSIP_Label_4060ab0d-bac5-413b-b22d-b8e3584a949b_ContentBits">
    <vt:lpwstr>0</vt:lpwstr>
  </property>
  <property fmtid="{D5CDD505-2E9C-101B-9397-08002B2CF9AE}" pid="10" name="MediaServiceImageTags">
    <vt:lpwstr/>
  </property>
  <property fmtid="{D5CDD505-2E9C-101B-9397-08002B2CF9AE}" pid="11" name="Objective-Id">
    <vt:lpwstr>A2665072</vt:lpwstr>
  </property>
  <property fmtid="{D5CDD505-2E9C-101B-9397-08002B2CF9AE}" pid="12" name="Objective-Title">
    <vt:lpwstr>V2.0 - Homecare Medicines Specification (Word)</vt:lpwstr>
  </property>
  <property fmtid="{D5CDD505-2E9C-101B-9397-08002B2CF9AE}" pid="13" name="Objective-Description">
    <vt:lpwstr/>
  </property>
  <property fmtid="{D5CDD505-2E9C-101B-9397-08002B2CF9AE}" pid="14" name="Objective-CreationStamp">
    <vt:filetime>2022-10-11T17:23:16Z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2022-12-19T13:56:24Z</vt:filetime>
  </property>
  <property fmtid="{D5CDD505-2E9C-101B-9397-08002B2CF9AE}" pid="18" name="Objective-ModificationStamp">
    <vt:filetime>2022-12-19T13:56:24Z</vt:filetime>
  </property>
  <property fmtid="{D5CDD505-2E9C-101B-9397-08002B2CF9AE}" pid="19" name="Objective-Owner">
    <vt:lpwstr>Clarke, Michelle</vt:lpwstr>
  </property>
  <property fmtid="{D5CDD505-2E9C-101B-9397-08002B2CF9AE}" pid="20" name="Objective-Path">
    <vt:lpwstr>Global Folder:04 Homecare and Services Projects and Contracts:Shared Area:NHMC:Standardisation workplan and activity 2016,2017,2018, 2019,2020,2021,2022:19 Homecare Medicines and Services Template Specification:001 Homecare Medicines and Services Template</vt:lpwstr>
  </property>
  <property fmtid="{D5CDD505-2E9C-101B-9397-08002B2CF9AE}" pid="21" name="Objective-Parent">
    <vt:lpwstr>Final Versions</vt:lpwstr>
  </property>
  <property fmtid="{D5CDD505-2E9C-101B-9397-08002B2CF9AE}" pid="22" name="Objective-State">
    <vt:lpwstr>Published</vt:lpwstr>
  </property>
  <property fmtid="{D5CDD505-2E9C-101B-9397-08002B2CF9AE}" pid="23" name="Objective-VersionId">
    <vt:lpwstr>vA4125200</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
  </property>
  <property fmtid="{D5CDD505-2E9C-101B-9397-08002B2CF9AE}" pid="27" name="Objective-FileNumber">
    <vt:lpwstr/>
  </property>
  <property fmtid="{D5CDD505-2E9C-101B-9397-08002B2CF9AE}" pid="28" name="Objective-Classification">
    <vt:lpwstr/>
  </property>
  <property fmtid="{D5CDD505-2E9C-101B-9397-08002B2CF9AE}" pid="29" name="Objective-Caveats">
    <vt:lpwstr/>
  </property>
</Properties>
</file>