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73" w:rsidRPr="003E3471" w:rsidRDefault="0003783B" w:rsidP="003E3471">
      <w:pPr>
        <w:spacing w:before="100" w:beforeAutospacing="1" w:after="100" w:afterAutospacing="1"/>
        <w:jc w:val="center"/>
        <w:rPr>
          <w:rFonts w:cs="Arial"/>
          <w:b/>
          <w:sz w:val="22"/>
          <w:szCs w:val="22"/>
          <w:u w:val="single"/>
        </w:rPr>
      </w:pPr>
      <w:r>
        <w:rPr>
          <w:rFonts w:cs="Arial"/>
          <w:b/>
          <w:sz w:val="22"/>
          <w:szCs w:val="22"/>
          <w:u w:val="single"/>
        </w:rPr>
        <w:t>Lift Maintenance Tender</w:t>
      </w:r>
    </w:p>
    <w:p w:rsidR="00675F73" w:rsidRDefault="00675F73" w:rsidP="00675F73">
      <w:pPr>
        <w:spacing w:before="100" w:beforeAutospacing="1" w:after="100" w:afterAutospacing="1"/>
        <w:jc w:val="left"/>
        <w:rPr>
          <w:rFonts w:cs="Arial"/>
          <w:b/>
          <w:u w:val="single"/>
        </w:rPr>
      </w:pPr>
    </w:p>
    <w:p w:rsidR="00675F73" w:rsidRPr="00675F73" w:rsidRDefault="00675F73" w:rsidP="00675F73">
      <w:pPr>
        <w:pStyle w:val="Heading2"/>
        <w:jc w:val="center"/>
        <w:rPr>
          <w:rFonts w:ascii="Arial" w:hAnsi="Arial" w:cs="Arial"/>
          <w:b/>
          <w:color w:val="auto"/>
          <w:sz w:val="24"/>
          <w:szCs w:val="24"/>
        </w:rPr>
      </w:pPr>
      <w:r w:rsidRPr="00675F73">
        <w:rPr>
          <w:rFonts w:ascii="Arial" w:hAnsi="Arial" w:cs="Arial"/>
          <w:b/>
          <w:color w:val="auto"/>
          <w:sz w:val="24"/>
          <w:szCs w:val="24"/>
        </w:rPr>
        <w:t>Trust reference number DELT0</w:t>
      </w:r>
      <w:r w:rsidR="0003783B">
        <w:rPr>
          <w:rFonts w:ascii="Arial" w:hAnsi="Arial" w:cs="Arial"/>
          <w:b/>
          <w:color w:val="auto"/>
          <w:sz w:val="24"/>
          <w:szCs w:val="24"/>
        </w:rPr>
        <w:t>80</w:t>
      </w:r>
    </w:p>
    <w:p w:rsidR="00675F73" w:rsidRDefault="00675F73" w:rsidP="00675F73">
      <w:pPr>
        <w:spacing w:before="100" w:beforeAutospacing="1" w:after="100" w:afterAutospacing="1"/>
        <w:jc w:val="left"/>
        <w:rPr>
          <w:rFonts w:cs="Arial"/>
          <w:b/>
          <w:u w:val="single"/>
        </w:rPr>
      </w:pPr>
    </w:p>
    <w:p w:rsidR="00E86C5D" w:rsidRDefault="00E86C5D" w:rsidP="00675F73">
      <w:pPr>
        <w:spacing w:before="100" w:beforeAutospacing="1" w:after="100" w:afterAutospacing="1"/>
        <w:jc w:val="left"/>
        <w:rPr>
          <w:rFonts w:cs="Arial"/>
          <w:b/>
          <w:u w:val="single"/>
        </w:rPr>
      </w:pPr>
    </w:p>
    <w:p w:rsidR="00E86C5D" w:rsidRDefault="00E86C5D" w:rsidP="00393E76">
      <w:pPr>
        <w:pStyle w:val="Heading1"/>
      </w:pPr>
      <w:r>
        <w:t xml:space="preserve">Please note this document is not an </w:t>
      </w:r>
      <w:r w:rsidR="00393E76">
        <w:t>invitation</w:t>
      </w:r>
      <w:r>
        <w:t xml:space="preserve"> to tender.  This is for information only the trust </w:t>
      </w:r>
      <w:bookmarkStart w:id="0" w:name="_GoBack"/>
      <w:r>
        <w:t>is</w:t>
      </w:r>
      <w:bookmarkEnd w:id="0"/>
      <w:r>
        <w:t xml:space="preserve"> seeking expression of </w:t>
      </w:r>
      <w:r w:rsidR="00393E76">
        <w:t>interests</w:t>
      </w:r>
      <w:r>
        <w:t xml:space="preserve"> only at this point.</w:t>
      </w:r>
    </w:p>
    <w:p w:rsidR="00E86C5D" w:rsidRDefault="00E86C5D" w:rsidP="00675F73">
      <w:pPr>
        <w:spacing w:before="100" w:beforeAutospacing="1" w:after="100" w:afterAutospacing="1"/>
        <w:jc w:val="left"/>
        <w:rPr>
          <w:rFonts w:cs="Arial"/>
          <w:b/>
          <w:u w:val="single"/>
        </w:rPr>
      </w:pPr>
    </w:p>
    <w:p w:rsidR="00E86C5D" w:rsidRDefault="00E86C5D" w:rsidP="00675F73">
      <w:pPr>
        <w:spacing w:before="100" w:beforeAutospacing="1" w:after="100" w:afterAutospacing="1"/>
        <w:jc w:val="left"/>
        <w:rPr>
          <w:rFonts w:cs="Arial"/>
          <w:b/>
          <w:u w:val="single"/>
        </w:rPr>
      </w:pPr>
      <w:r>
        <w:rPr>
          <w:rFonts w:cs="Arial"/>
          <w:b/>
          <w:u w:val="single"/>
        </w:rPr>
        <w:t xml:space="preserve">If you wish to be </w:t>
      </w:r>
      <w:proofErr w:type="gramStart"/>
      <w:r>
        <w:rPr>
          <w:rFonts w:cs="Arial"/>
          <w:b/>
          <w:u w:val="single"/>
        </w:rPr>
        <w:t>included</w:t>
      </w:r>
      <w:proofErr w:type="gramEnd"/>
      <w:r>
        <w:rPr>
          <w:rFonts w:cs="Arial"/>
          <w:b/>
          <w:u w:val="single"/>
        </w:rPr>
        <w:t xml:space="preserve"> please email your interest to gemma.bushell@gmmh.nhs.uk</w:t>
      </w:r>
    </w:p>
    <w:p w:rsidR="00675F73" w:rsidRPr="003E3471" w:rsidRDefault="004570EE" w:rsidP="00675F73">
      <w:pPr>
        <w:spacing w:before="100" w:beforeAutospacing="1" w:after="100" w:afterAutospacing="1"/>
        <w:jc w:val="left"/>
        <w:rPr>
          <w:rFonts w:cs="Arial"/>
          <w:b/>
        </w:rPr>
      </w:pPr>
      <w:r>
        <w:rPr>
          <w:rFonts w:cs="Arial"/>
          <w:b/>
        </w:rPr>
        <w:t xml:space="preserve">Estimated </w:t>
      </w:r>
      <w:r w:rsidR="00675F73" w:rsidRPr="003E3471">
        <w:rPr>
          <w:rFonts w:cs="Arial"/>
          <w:b/>
        </w:rPr>
        <w:t>Tender Timetable</w:t>
      </w:r>
    </w:p>
    <w:p w:rsidR="00675F73" w:rsidRDefault="00675F73" w:rsidP="00675F73">
      <w:pPr>
        <w:spacing w:before="100" w:beforeAutospacing="1" w:after="100" w:afterAutospacing="1"/>
        <w:jc w:val="left"/>
        <w:rPr>
          <w:rFonts w:cs="Arial"/>
        </w:rPr>
      </w:pPr>
    </w:p>
    <w:tbl>
      <w:tblPr>
        <w:tblStyle w:val="TableGrid"/>
        <w:tblW w:w="8534" w:type="dxa"/>
        <w:tblInd w:w="817" w:type="dxa"/>
        <w:tblLook w:val="04A0" w:firstRow="1" w:lastRow="0" w:firstColumn="1" w:lastColumn="0" w:noHBand="0" w:noVBand="1"/>
      </w:tblPr>
      <w:tblGrid>
        <w:gridCol w:w="4707"/>
        <w:gridCol w:w="3827"/>
      </w:tblGrid>
      <w:tr w:rsidR="00675F73" w:rsidRPr="002D2E91" w:rsidTr="008044F8">
        <w:trPr>
          <w:trHeight w:val="301"/>
        </w:trPr>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 xml:space="preserve">ITT issued </w:t>
            </w:r>
          </w:p>
        </w:tc>
        <w:tc>
          <w:tcPr>
            <w:tcW w:w="3827" w:type="dxa"/>
          </w:tcPr>
          <w:p w:rsidR="00675F73" w:rsidRPr="00675F73" w:rsidRDefault="00675F73" w:rsidP="008044F8">
            <w:pPr>
              <w:rPr>
                <w:rFonts w:cs="Arial"/>
                <w:color w:val="FF0000"/>
              </w:rPr>
            </w:pPr>
          </w:p>
          <w:p w:rsidR="00675F73" w:rsidRPr="00675F73" w:rsidRDefault="0003783B" w:rsidP="00E86C5D">
            <w:pPr>
              <w:pStyle w:val="Heading2"/>
              <w:jc w:val="left"/>
              <w:outlineLvl w:val="1"/>
              <w:rPr>
                <w:rFonts w:ascii="Arial" w:hAnsi="Arial" w:cs="Arial"/>
                <w:color w:val="FF0000"/>
                <w:sz w:val="20"/>
                <w:szCs w:val="20"/>
              </w:rPr>
            </w:pPr>
            <w:r>
              <w:rPr>
                <w:rFonts w:ascii="Arial" w:hAnsi="Arial" w:cs="Arial"/>
                <w:color w:val="FF0000"/>
                <w:sz w:val="20"/>
                <w:szCs w:val="20"/>
              </w:rPr>
              <w:t>21</w:t>
            </w:r>
            <w:r w:rsidRPr="0003783B">
              <w:rPr>
                <w:rFonts w:ascii="Arial" w:hAnsi="Arial" w:cs="Arial"/>
                <w:color w:val="FF0000"/>
                <w:sz w:val="20"/>
                <w:szCs w:val="20"/>
                <w:vertAlign w:val="superscript"/>
              </w:rPr>
              <w:t>st</w:t>
            </w:r>
            <w:r>
              <w:rPr>
                <w:rFonts w:ascii="Arial" w:hAnsi="Arial" w:cs="Arial"/>
                <w:color w:val="FF0000"/>
                <w:sz w:val="20"/>
                <w:szCs w:val="20"/>
              </w:rPr>
              <w:t xml:space="preserve"> October 2019</w:t>
            </w:r>
          </w:p>
        </w:tc>
      </w:tr>
      <w:tr w:rsidR="00675F73" w:rsidRPr="002D2E91" w:rsidTr="008044F8">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Deadline for the receipt of clarification questions</w:t>
            </w:r>
          </w:p>
          <w:p w:rsidR="00675F73" w:rsidRPr="00675F73" w:rsidRDefault="00675F73" w:rsidP="008044F8">
            <w:pPr>
              <w:pStyle w:val="Heading2"/>
              <w:outlineLvl w:val="1"/>
              <w:rPr>
                <w:rFonts w:ascii="Arial" w:hAnsi="Arial" w:cs="Arial"/>
                <w:color w:val="auto"/>
                <w:sz w:val="20"/>
                <w:szCs w:val="20"/>
              </w:rPr>
            </w:pPr>
          </w:p>
        </w:tc>
        <w:tc>
          <w:tcPr>
            <w:tcW w:w="3827" w:type="dxa"/>
          </w:tcPr>
          <w:p w:rsidR="00675F73" w:rsidRPr="00675F73" w:rsidRDefault="00675F73" w:rsidP="008044F8">
            <w:pPr>
              <w:pStyle w:val="Heading2"/>
              <w:jc w:val="left"/>
              <w:outlineLvl w:val="1"/>
              <w:rPr>
                <w:rFonts w:ascii="Arial" w:hAnsi="Arial" w:cs="Arial"/>
                <w:color w:val="FF0000"/>
                <w:sz w:val="20"/>
                <w:szCs w:val="20"/>
              </w:rPr>
            </w:pPr>
          </w:p>
          <w:p w:rsidR="00675F73" w:rsidRPr="00675F73" w:rsidRDefault="0003783B" w:rsidP="008044F8">
            <w:pPr>
              <w:pStyle w:val="Heading2"/>
              <w:jc w:val="left"/>
              <w:outlineLvl w:val="1"/>
              <w:rPr>
                <w:rFonts w:ascii="Arial" w:hAnsi="Arial" w:cs="Arial"/>
                <w:color w:val="FF0000"/>
                <w:sz w:val="20"/>
                <w:szCs w:val="20"/>
              </w:rPr>
            </w:pPr>
            <w:r>
              <w:rPr>
                <w:rFonts w:ascii="Arial" w:hAnsi="Arial" w:cs="Arial"/>
                <w:color w:val="FF0000"/>
                <w:sz w:val="20"/>
                <w:szCs w:val="20"/>
              </w:rPr>
              <w:t>31</w:t>
            </w:r>
            <w:r w:rsidRPr="0003783B">
              <w:rPr>
                <w:rFonts w:ascii="Arial" w:hAnsi="Arial" w:cs="Arial"/>
                <w:color w:val="FF0000"/>
                <w:sz w:val="20"/>
                <w:szCs w:val="20"/>
                <w:vertAlign w:val="superscript"/>
              </w:rPr>
              <w:t>st</w:t>
            </w:r>
            <w:r>
              <w:rPr>
                <w:rFonts w:ascii="Arial" w:hAnsi="Arial" w:cs="Arial"/>
                <w:color w:val="FF0000"/>
                <w:sz w:val="20"/>
                <w:szCs w:val="20"/>
              </w:rPr>
              <w:t xml:space="preserve"> October 2019</w:t>
            </w:r>
          </w:p>
        </w:tc>
      </w:tr>
      <w:tr w:rsidR="00675F73" w:rsidRPr="002D2E91" w:rsidTr="008044F8">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Target date for responses to clarification questions</w:t>
            </w:r>
          </w:p>
          <w:p w:rsidR="00675F73" w:rsidRPr="00675F73" w:rsidRDefault="00675F73" w:rsidP="008044F8">
            <w:pPr>
              <w:pStyle w:val="Heading2"/>
              <w:outlineLvl w:val="1"/>
              <w:rPr>
                <w:rFonts w:ascii="Arial" w:hAnsi="Arial" w:cs="Arial"/>
                <w:color w:val="auto"/>
                <w:sz w:val="20"/>
                <w:szCs w:val="20"/>
              </w:rPr>
            </w:pPr>
          </w:p>
        </w:tc>
        <w:tc>
          <w:tcPr>
            <w:tcW w:w="3827" w:type="dxa"/>
          </w:tcPr>
          <w:p w:rsidR="00675F73" w:rsidRPr="00675F73" w:rsidRDefault="00675F73" w:rsidP="008044F8">
            <w:pPr>
              <w:pStyle w:val="Heading2"/>
              <w:jc w:val="left"/>
              <w:outlineLvl w:val="1"/>
              <w:rPr>
                <w:rFonts w:ascii="Arial" w:hAnsi="Arial" w:cs="Arial"/>
                <w:color w:val="FF0000"/>
                <w:sz w:val="20"/>
                <w:szCs w:val="20"/>
              </w:rPr>
            </w:pPr>
          </w:p>
          <w:p w:rsidR="00675F73" w:rsidRPr="00675F73" w:rsidRDefault="0003783B" w:rsidP="00675F73">
            <w:pPr>
              <w:rPr>
                <w:rFonts w:cs="Arial"/>
                <w:color w:val="FF0000"/>
              </w:rPr>
            </w:pPr>
            <w:r>
              <w:rPr>
                <w:rFonts w:cs="Arial"/>
                <w:color w:val="FF0000"/>
              </w:rPr>
              <w:t>8</w:t>
            </w:r>
            <w:r w:rsidRPr="0003783B">
              <w:rPr>
                <w:rFonts w:cs="Arial"/>
                <w:color w:val="FF0000"/>
                <w:vertAlign w:val="superscript"/>
              </w:rPr>
              <w:t>th</w:t>
            </w:r>
            <w:r>
              <w:rPr>
                <w:rFonts w:cs="Arial"/>
                <w:color w:val="FF0000"/>
              </w:rPr>
              <w:t xml:space="preserve"> November 2019</w:t>
            </w:r>
          </w:p>
        </w:tc>
      </w:tr>
      <w:tr w:rsidR="00675F73" w:rsidRPr="002D2E91" w:rsidTr="008044F8">
        <w:trPr>
          <w:trHeight w:val="201"/>
        </w:trPr>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Deadline for receipt of Tenders</w:t>
            </w:r>
          </w:p>
          <w:p w:rsidR="00675F73" w:rsidRPr="00675F73" w:rsidRDefault="00675F73" w:rsidP="008044F8">
            <w:pPr>
              <w:pStyle w:val="Heading2"/>
              <w:outlineLvl w:val="1"/>
              <w:rPr>
                <w:rFonts w:ascii="Arial" w:hAnsi="Arial" w:cs="Arial"/>
                <w:color w:val="auto"/>
                <w:sz w:val="20"/>
                <w:szCs w:val="20"/>
              </w:rPr>
            </w:pPr>
          </w:p>
        </w:tc>
        <w:tc>
          <w:tcPr>
            <w:tcW w:w="3827" w:type="dxa"/>
          </w:tcPr>
          <w:p w:rsidR="00675F73" w:rsidRPr="00675F73" w:rsidRDefault="0003783B" w:rsidP="00675F73">
            <w:pPr>
              <w:pStyle w:val="Heading2"/>
              <w:jc w:val="left"/>
              <w:outlineLvl w:val="1"/>
              <w:rPr>
                <w:rFonts w:ascii="Arial" w:hAnsi="Arial" w:cs="Arial"/>
                <w:color w:val="FF0000"/>
                <w:sz w:val="20"/>
                <w:szCs w:val="20"/>
              </w:rPr>
            </w:pPr>
            <w:r>
              <w:rPr>
                <w:rFonts w:ascii="Arial" w:hAnsi="Arial" w:cs="Arial"/>
                <w:color w:val="FF0000"/>
                <w:sz w:val="20"/>
                <w:szCs w:val="20"/>
              </w:rPr>
              <w:t>19</w:t>
            </w:r>
            <w:r w:rsidRPr="0003783B">
              <w:rPr>
                <w:rFonts w:ascii="Arial" w:hAnsi="Arial" w:cs="Arial"/>
                <w:color w:val="FF0000"/>
                <w:sz w:val="20"/>
                <w:szCs w:val="20"/>
                <w:vertAlign w:val="superscript"/>
              </w:rPr>
              <w:t>th</w:t>
            </w:r>
            <w:r>
              <w:rPr>
                <w:rFonts w:ascii="Arial" w:hAnsi="Arial" w:cs="Arial"/>
                <w:color w:val="FF0000"/>
                <w:sz w:val="20"/>
                <w:szCs w:val="20"/>
              </w:rPr>
              <w:t xml:space="preserve"> November 2019</w:t>
            </w:r>
          </w:p>
        </w:tc>
      </w:tr>
      <w:tr w:rsidR="00675F73" w:rsidRPr="002D2E91" w:rsidTr="008044F8">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Evaluation of Tenders</w:t>
            </w:r>
          </w:p>
          <w:p w:rsidR="00675F73" w:rsidRPr="00675F73" w:rsidRDefault="00675F73" w:rsidP="008044F8">
            <w:pPr>
              <w:pStyle w:val="Heading2"/>
              <w:outlineLvl w:val="1"/>
              <w:rPr>
                <w:rFonts w:ascii="Arial" w:hAnsi="Arial" w:cs="Arial"/>
                <w:color w:val="auto"/>
                <w:sz w:val="20"/>
                <w:szCs w:val="20"/>
              </w:rPr>
            </w:pPr>
          </w:p>
        </w:tc>
        <w:tc>
          <w:tcPr>
            <w:tcW w:w="3827" w:type="dxa"/>
          </w:tcPr>
          <w:p w:rsidR="00675F73" w:rsidRPr="00675F73" w:rsidRDefault="0003783B" w:rsidP="008044F8">
            <w:pPr>
              <w:pStyle w:val="Heading2"/>
              <w:jc w:val="left"/>
              <w:outlineLvl w:val="1"/>
              <w:rPr>
                <w:rFonts w:ascii="Arial" w:hAnsi="Arial" w:cs="Arial"/>
                <w:color w:val="FF0000"/>
                <w:sz w:val="20"/>
                <w:szCs w:val="20"/>
              </w:rPr>
            </w:pPr>
            <w:r>
              <w:rPr>
                <w:rFonts w:ascii="Arial" w:hAnsi="Arial" w:cs="Arial"/>
                <w:color w:val="FF0000"/>
                <w:sz w:val="20"/>
                <w:szCs w:val="20"/>
              </w:rPr>
              <w:t>25</w:t>
            </w:r>
            <w:r w:rsidRPr="0003783B">
              <w:rPr>
                <w:rFonts w:ascii="Arial" w:hAnsi="Arial" w:cs="Arial"/>
                <w:color w:val="FF0000"/>
                <w:sz w:val="20"/>
                <w:szCs w:val="20"/>
                <w:vertAlign w:val="superscript"/>
              </w:rPr>
              <w:t>th</w:t>
            </w:r>
            <w:r>
              <w:rPr>
                <w:rFonts w:ascii="Arial" w:hAnsi="Arial" w:cs="Arial"/>
                <w:color w:val="FF0000"/>
                <w:sz w:val="20"/>
                <w:szCs w:val="20"/>
              </w:rPr>
              <w:t xml:space="preserve"> – 29</w:t>
            </w:r>
            <w:r w:rsidRPr="0003783B">
              <w:rPr>
                <w:rFonts w:ascii="Arial" w:hAnsi="Arial" w:cs="Arial"/>
                <w:color w:val="FF0000"/>
                <w:sz w:val="20"/>
                <w:szCs w:val="20"/>
                <w:vertAlign w:val="superscript"/>
              </w:rPr>
              <w:t>th</w:t>
            </w:r>
            <w:r>
              <w:rPr>
                <w:rFonts w:ascii="Arial" w:hAnsi="Arial" w:cs="Arial"/>
                <w:color w:val="FF0000"/>
                <w:sz w:val="20"/>
                <w:szCs w:val="20"/>
              </w:rPr>
              <w:t xml:space="preserve"> November 2019</w:t>
            </w:r>
          </w:p>
        </w:tc>
      </w:tr>
      <w:tr w:rsidR="00675F73" w:rsidRPr="002D2E91" w:rsidTr="008044F8">
        <w:trPr>
          <w:trHeight w:val="207"/>
        </w:trPr>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 xml:space="preserve">Contract Award Notice </w:t>
            </w:r>
          </w:p>
        </w:tc>
        <w:tc>
          <w:tcPr>
            <w:tcW w:w="3827" w:type="dxa"/>
          </w:tcPr>
          <w:p w:rsidR="00675F73" w:rsidRPr="00675F73" w:rsidRDefault="0003783B" w:rsidP="00675F73">
            <w:pPr>
              <w:pStyle w:val="Heading2"/>
              <w:jc w:val="left"/>
              <w:outlineLvl w:val="1"/>
              <w:rPr>
                <w:rFonts w:ascii="Arial" w:hAnsi="Arial" w:cs="Arial"/>
                <w:color w:val="FF0000"/>
                <w:sz w:val="20"/>
                <w:szCs w:val="20"/>
              </w:rPr>
            </w:pPr>
            <w:r>
              <w:rPr>
                <w:rFonts w:ascii="Arial" w:hAnsi="Arial" w:cs="Arial"/>
                <w:color w:val="FF0000"/>
                <w:sz w:val="20"/>
                <w:szCs w:val="20"/>
              </w:rPr>
              <w:t>2</w:t>
            </w:r>
            <w:r w:rsidRPr="0003783B">
              <w:rPr>
                <w:rFonts w:ascii="Arial" w:hAnsi="Arial" w:cs="Arial"/>
                <w:color w:val="FF0000"/>
                <w:sz w:val="20"/>
                <w:szCs w:val="20"/>
                <w:vertAlign w:val="superscript"/>
              </w:rPr>
              <w:t>nd</w:t>
            </w:r>
            <w:r>
              <w:rPr>
                <w:rFonts w:ascii="Arial" w:hAnsi="Arial" w:cs="Arial"/>
                <w:color w:val="FF0000"/>
                <w:sz w:val="20"/>
                <w:szCs w:val="20"/>
              </w:rPr>
              <w:t xml:space="preserve"> December 2019</w:t>
            </w:r>
          </w:p>
        </w:tc>
      </w:tr>
      <w:tr w:rsidR="00675F73" w:rsidRPr="002D2E91" w:rsidTr="008044F8">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 xml:space="preserve">Standstill Period </w:t>
            </w:r>
            <w:r w:rsidR="0003783B">
              <w:rPr>
                <w:rFonts w:ascii="Arial" w:hAnsi="Arial" w:cs="Arial"/>
                <w:color w:val="auto"/>
                <w:sz w:val="20"/>
                <w:szCs w:val="20"/>
              </w:rPr>
              <w:t xml:space="preserve">End </w:t>
            </w:r>
          </w:p>
        </w:tc>
        <w:tc>
          <w:tcPr>
            <w:tcW w:w="3827" w:type="dxa"/>
          </w:tcPr>
          <w:p w:rsidR="00675F73" w:rsidRPr="00675F73" w:rsidRDefault="0003783B" w:rsidP="008044F8">
            <w:pPr>
              <w:pStyle w:val="Heading2"/>
              <w:jc w:val="left"/>
              <w:outlineLvl w:val="1"/>
              <w:rPr>
                <w:rFonts w:ascii="Arial" w:hAnsi="Arial" w:cs="Arial"/>
                <w:color w:val="FF0000"/>
                <w:sz w:val="20"/>
                <w:szCs w:val="20"/>
              </w:rPr>
            </w:pPr>
            <w:r>
              <w:rPr>
                <w:rFonts w:ascii="Arial" w:hAnsi="Arial" w:cs="Arial"/>
                <w:color w:val="FF0000"/>
                <w:sz w:val="20"/>
                <w:szCs w:val="20"/>
              </w:rPr>
              <w:t>11</w:t>
            </w:r>
            <w:r w:rsidRPr="0003783B">
              <w:rPr>
                <w:rFonts w:ascii="Arial" w:hAnsi="Arial" w:cs="Arial"/>
                <w:color w:val="FF0000"/>
                <w:sz w:val="20"/>
                <w:szCs w:val="20"/>
                <w:vertAlign w:val="superscript"/>
              </w:rPr>
              <w:t>th</w:t>
            </w:r>
            <w:r>
              <w:rPr>
                <w:rFonts w:ascii="Arial" w:hAnsi="Arial" w:cs="Arial"/>
                <w:color w:val="FF0000"/>
                <w:sz w:val="20"/>
                <w:szCs w:val="20"/>
              </w:rPr>
              <w:t xml:space="preserve"> December 2018</w:t>
            </w:r>
          </w:p>
        </w:tc>
      </w:tr>
      <w:tr w:rsidR="00675F73" w:rsidRPr="002D2E91" w:rsidTr="008044F8">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Contract Start</w:t>
            </w:r>
          </w:p>
        </w:tc>
        <w:tc>
          <w:tcPr>
            <w:tcW w:w="3827" w:type="dxa"/>
          </w:tcPr>
          <w:p w:rsidR="00675F73" w:rsidRPr="00675F73" w:rsidRDefault="0003783B" w:rsidP="00675F73">
            <w:pPr>
              <w:pStyle w:val="Heading2"/>
              <w:jc w:val="left"/>
              <w:outlineLvl w:val="1"/>
              <w:rPr>
                <w:rFonts w:ascii="Arial" w:hAnsi="Arial" w:cs="Arial"/>
                <w:color w:val="FF0000"/>
                <w:sz w:val="20"/>
                <w:szCs w:val="20"/>
              </w:rPr>
            </w:pPr>
            <w:r>
              <w:rPr>
                <w:rFonts w:ascii="Arial" w:hAnsi="Arial" w:cs="Arial"/>
                <w:color w:val="FF0000"/>
                <w:sz w:val="20"/>
                <w:szCs w:val="20"/>
              </w:rPr>
              <w:t>1</w:t>
            </w:r>
            <w:r w:rsidRPr="0003783B">
              <w:rPr>
                <w:rFonts w:ascii="Arial" w:hAnsi="Arial" w:cs="Arial"/>
                <w:color w:val="FF0000"/>
                <w:sz w:val="20"/>
                <w:szCs w:val="20"/>
                <w:vertAlign w:val="superscript"/>
              </w:rPr>
              <w:t>st</w:t>
            </w:r>
            <w:r>
              <w:rPr>
                <w:rFonts w:ascii="Arial" w:hAnsi="Arial" w:cs="Arial"/>
                <w:color w:val="FF0000"/>
                <w:sz w:val="20"/>
                <w:szCs w:val="20"/>
              </w:rPr>
              <w:t xml:space="preserve"> January 2020</w:t>
            </w:r>
          </w:p>
        </w:tc>
      </w:tr>
    </w:tbl>
    <w:p w:rsidR="00675F73" w:rsidRPr="00675F73" w:rsidRDefault="00675F73" w:rsidP="00675F73">
      <w:pPr>
        <w:spacing w:before="100" w:beforeAutospacing="1" w:after="100" w:afterAutospacing="1"/>
        <w:jc w:val="left"/>
        <w:rPr>
          <w:rFonts w:cs="Arial"/>
        </w:rPr>
      </w:pPr>
    </w:p>
    <w:p w:rsidR="00675F73" w:rsidRDefault="00675F73" w:rsidP="00675F73">
      <w:pPr>
        <w:spacing w:before="100" w:beforeAutospacing="1" w:after="100" w:afterAutospacing="1"/>
        <w:jc w:val="left"/>
        <w:rPr>
          <w:rFonts w:cs="Arial"/>
          <w:b/>
          <w:u w:val="single"/>
        </w:rPr>
      </w:pPr>
    </w:p>
    <w:p w:rsidR="00542FCC" w:rsidRPr="00542FCC" w:rsidRDefault="00542FCC" w:rsidP="00542FCC">
      <w:pPr>
        <w:pStyle w:val="Level2"/>
        <w:numPr>
          <w:ilvl w:val="0"/>
          <w:numId w:val="0"/>
        </w:numPr>
        <w:ind w:left="851" w:hanging="141"/>
        <w:rPr>
          <w:b/>
          <w:bCs/>
          <w:sz w:val="22"/>
          <w:szCs w:val="22"/>
        </w:rPr>
      </w:pPr>
      <w:r>
        <w:rPr>
          <w:bCs/>
          <w:sz w:val="22"/>
          <w:szCs w:val="22"/>
        </w:rPr>
        <w:tab/>
      </w:r>
      <w:r w:rsidRPr="00542FCC">
        <w:rPr>
          <w:b/>
          <w:bCs/>
          <w:sz w:val="22"/>
          <w:szCs w:val="22"/>
        </w:rPr>
        <w:t xml:space="preserve">Whilst the Authorities do not intend to depart from the timetable, it reserves the right to do so at any stage.  </w:t>
      </w: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Pr="00675F73" w:rsidRDefault="00675F73" w:rsidP="00675F73">
      <w:pPr>
        <w:pStyle w:val="ListParagraph"/>
        <w:numPr>
          <w:ilvl w:val="0"/>
          <w:numId w:val="1"/>
        </w:numPr>
        <w:spacing w:before="100" w:beforeAutospacing="1" w:after="100" w:afterAutospacing="1"/>
        <w:jc w:val="left"/>
        <w:rPr>
          <w:rFonts w:eastAsia="Times New Roman" w:cs="Arial"/>
          <w:u w:val="single"/>
          <w:lang w:eastAsia="en-GB"/>
        </w:rPr>
      </w:pPr>
      <w:r w:rsidRPr="00675F73">
        <w:rPr>
          <w:rFonts w:cs="Arial"/>
          <w:b/>
          <w:u w:val="single"/>
        </w:rPr>
        <w:t xml:space="preserve">Contract Period </w:t>
      </w:r>
    </w:p>
    <w:p w:rsidR="00675F73" w:rsidRPr="0063625F" w:rsidRDefault="00675F73" w:rsidP="00675F73">
      <w:pPr>
        <w:spacing w:before="100" w:beforeAutospacing="1" w:after="100" w:afterAutospacing="1"/>
        <w:jc w:val="left"/>
        <w:rPr>
          <w:rFonts w:eastAsia="Times New Roman" w:cs="Arial"/>
          <w:lang w:eastAsia="en-GB"/>
        </w:rPr>
      </w:pPr>
      <w:r w:rsidRPr="0063625F">
        <w:rPr>
          <w:rFonts w:eastAsia="Times New Roman" w:cs="Arial"/>
          <w:lang w:eastAsia="en-GB"/>
        </w:rPr>
        <w:t xml:space="preserve">Contract Period, </w:t>
      </w:r>
      <w:proofErr w:type="gramStart"/>
      <w:r w:rsidR="00F70B28">
        <w:rPr>
          <w:rFonts w:eastAsia="Times New Roman" w:cs="Arial"/>
          <w:lang w:eastAsia="en-GB"/>
        </w:rPr>
        <w:t>Thirty Six</w:t>
      </w:r>
      <w:proofErr w:type="gramEnd"/>
      <w:r w:rsidRPr="0063625F">
        <w:rPr>
          <w:rFonts w:eastAsia="Times New Roman" w:cs="Arial"/>
          <w:lang w:eastAsia="en-GB"/>
        </w:rPr>
        <w:t xml:space="preserve"> months with an option to extend for a further two twelve month periods.</w:t>
      </w:r>
    </w:p>
    <w:p w:rsidR="00675F73" w:rsidRPr="0063625F" w:rsidRDefault="00675F73" w:rsidP="00675F73">
      <w:pPr>
        <w:pStyle w:val="ListParagraph"/>
        <w:numPr>
          <w:ilvl w:val="0"/>
          <w:numId w:val="1"/>
        </w:numPr>
        <w:spacing w:before="100" w:beforeAutospacing="1" w:after="100" w:afterAutospacing="1"/>
        <w:jc w:val="left"/>
        <w:rPr>
          <w:rFonts w:eastAsia="Times New Roman" w:cs="Arial"/>
          <w:u w:val="single"/>
          <w:lang w:eastAsia="en-GB"/>
        </w:rPr>
      </w:pPr>
      <w:r w:rsidRPr="0063625F">
        <w:rPr>
          <w:rFonts w:cs="Arial"/>
          <w:b/>
          <w:u w:val="single"/>
        </w:rPr>
        <w:t>Contract Management</w:t>
      </w:r>
    </w:p>
    <w:p w:rsidR="00675F73" w:rsidRPr="0063625F" w:rsidRDefault="00675F73" w:rsidP="00675F73">
      <w:pPr>
        <w:spacing w:before="100" w:beforeAutospacing="1" w:after="100" w:afterAutospacing="1"/>
        <w:contextualSpacing/>
        <w:jc w:val="left"/>
        <w:rPr>
          <w:rFonts w:cs="Arial"/>
        </w:rPr>
      </w:pPr>
      <w:r w:rsidRPr="0063625F">
        <w:rPr>
          <w:rFonts w:cs="Arial"/>
        </w:rPr>
        <w:t>Monthly Contract meetings with the Trust's Estates Manager and a Customer Representative from the Contractor are to be undertaken.</w:t>
      </w:r>
    </w:p>
    <w:p w:rsidR="00675F73" w:rsidRPr="0063625F" w:rsidRDefault="00675F73" w:rsidP="00675F73">
      <w:pPr>
        <w:spacing w:before="100" w:beforeAutospacing="1" w:after="100" w:afterAutospacing="1"/>
        <w:ind w:left="360"/>
        <w:contextualSpacing/>
        <w:jc w:val="left"/>
        <w:rPr>
          <w:rFonts w:eastAsia="Times New Roman" w:cs="Arial"/>
          <w:u w:val="single"/>
          <w:lang w:eastAsia="en-GB"/>
        </w:rPr>
      </w:pPr>
    </w:p>
    <w:p w:rsidR="00675F73" w:rsidRPr="0063625F" w:rsidRDefault="00675F73" w:rsidP="00675F73">
      <w:pPr>
        <w:spacing w:before="100" w:beforeAutospacing="1" w:after="100" w:afterAutospacing="1"/>
        <w:contextualSpacing/>
        <w:jc w:val="left"/>
        <w:rPr>
          <w:rFonts w:cs="Arial"/>
        </w:rPr>
      </w:pPr>
      <w:r w:rsidRPr="0063625F">
        <w:rPr>
          <w:rFonts w:cs="Arial"/>
        </w:rPr>
        <w:t xml:space="preserve">It is envisaged that a formal review of performance and operational requirements will be undertaken once throughout the </w:t>
      </w:r>
      <w:proofErr w:type="gramStart"/>
      <w:r w:rsidRPr="0063625F">
        <w:rPr>
          <w:rFonts w:cs="Arial"/>
        </w:rPr>
        <w:t>twelve month</w:t>
      </w:r>
      <w:proofErr w:type="gramEnd"/>
      <w:r w:rsidRPr="0063625F">
        <w:rPr>
          <w:rFonts w:cs="Arial"/>
        </w:rPr>
        <w:t xml:space="preserve"> period or as changes in the Trust's requirements occur.</w:t>
      </w:r>
    </w:p>
    <w:p w:rsidR="00675F73" w:rsidRPr="0063625F" w:rsidRDefault="00675F73" w:rsidP="00675F73">
      <w:pPr>
        <w:spacing w:before="100" w:beforeAutospacing="1" w:after="100" w:afterAutospacing="1"/>
        <w:contextualSpacing/>
        <w:jc w:val="left"/>
        <w:rPr>
          <w:rFonts w:eastAsia="Times New Roman" w:cs="Arial"/>
          <w:u w:val="single"/>
          <w:lang w:eastAsia="en-GB"/>
        </w:rPr>
      </w:pPr>
    </w:p>
    <w:p w:rsidR="00675F73" w:rsidRDefault="00675F73" w:rsidP="00675F73">
      <w:pPr>
        <w:pStyle w:val="Heading3"/>
        <w:keepNext/>
        <w:numPr>
          <w:ilvl w:val="0"/>
          <w:numId w:val="1"/>
        </w:numPr>
        <w:spacing w:before="240" w:after="60"/>
        <w:jc w:val="left"/>
        <w:rPr>
          <w:rFonts w:cs="Arial"/>
          <w:b/>
          <w:sz w:val="22"/>
          <w:szCs w:val="22"/>
          <w:u w:val="single"/>
        </w:rPr>
      </w:pPr>
      <w:r w:rsidRPr="00D74C7F">
        <w:rPr>
          <w:rFonts w:cs="Arial"/>
          <w:b/>
          <w:sz w:val="22"/>
          <w:szCs w:val="22"/>
          <w:u w:val="single"/>
        </w:rPr>
        <w:t xml:space="preserve">Scope of Work </w:t>
      </w:r>
    </w:p>
    <w:p w:rsidR="00675F73" w:rsidRDefault="00675F73" w:rsidP="00675F73">
      <w:pPr>
        <w:rPr>
          <w:rFonts w:cs="Arial"/>
        </w:rPr>
      </w:pPr>
    </w:p>
    <w:p w:rsidR="00D77CC8" w:rsidRPr="00524A9D" w:rsidRDefault="00D77CC8" w:rsidP="00D77CC8">
      <w:pPr>
        <w:spacing w:line="234" w:lineRule="exact"/>
        <w:ind w:right="72"/>
        <w:textAlignment w:val="baseline"/>
        <w:rPr>
          <w:rFonts w:asciiTheme="minorHAnsi" w:eastAsia="Arial" w:hAnsiTheme="minorHAnsi" w:cstheme="minorHAnsi"/>
          <w:color w:val="000000"/>
          <w:spacing w:val="-1"/>
        </w:rPr>
      </w:pPr>
      <w:proofErr w:type="gramStart"/>
      <w:r w:rsidRPr="00524A9D">
        <w:rPr>
          <w:rFonts w:asciiTheme="minorHAnsi" w:eastAsia="Arial" w:hAnsiTheme="minorHAnsi" w:cstheme="minorHAnsi"/>
          <w:color w:val="000000"/>
          <w:spacing w:val="-1"/>
        </w:rPr>
        <w:t xml:space="preserve">Greater Manchester Mental Health NHS Foundation Trust (the Employer') currently has </w:t>
      </w:r>
      <w:r w:rsidRPr="001211EF">
        <w:rPr>
          <w:rFonts w:asciiTheme="minorHAnsi" w:eastAsia="Arial" w:hAnsiTheme="minorHAnsi" w:cstheme="minorHAnsi"/>
          <w:spacing w:val="-1"/>
        </w:rPr>
        <w:t>17</w:t>
      </w:r>
      <w:r w:rsidRPr="00524A9D">
        <w:rPr>
          <w:rFonts w:asciiTheme="minorHAnsi" w:eastAsia="Arial" w:hAnsiTheme="minorHAnsi" w:cstheme="minorHAnsi"/>
          <w:color w:val="000000"/>
          <w:spacing w:val="-1"/>
        </w:rPr>
        <w:t xml:space="preserve"> vertical transport installations (hereinafter defined </w:t>
      </w:r>
      <w:r w:rsidRPr="001211EF">
        <w:rPr>
          <w:rFonts w:asciiTheme="minorHAnsi" w:eastAsia="Arial" w:hAnsiTheme="minorHAnsi" w:cstheme="minorHAnsi"/>
          <w:spacing w:val="-1"/>
        </w:rPr>
        <w:t xml:space="preserve">as in 31 </w:t>
      </w:r>
      <w:r w:rsidRPr="00524A9D">
        <w:rPr>
          <w:rFonts w:asciiTheme="minorHAnsi" w:eastAsia="Arial" w:hAnsiTheme="minorHAnsi" w:cstheme="minorHAnsi"/>
          <w:color w:val="000000"/>
          <w:spacing w:val="-1"/>
        </w:rPr>
        <w:t xml:space="preserve">'The </w:t>
      </w:r>
      <w:r>
        <w:rPr>
          <w:rFonts w:asciiTheme="minorHAnsi" w:eastAsia="Arial" w:hAnsiTheme="minorHAnsi" w:cstheme="minorHAnsi"/>
          <w:color w:val="000000"/>
          <w:spacing w:val="-1"/>
        </w:rPr>
        <w:t>Lift</w:t>
      </w:r>
      <w:r w:rsidRPr="00524A9D">
        <w:rPr>
          <w:rFonts w:asciiTheme="minorHAnsi" w:eastAsia="Arial" w:hAnsiTheme="minorHAnsi" w:cstheme="minorHAnsi"/>
          <w:color w:val="000000"/>
          <w:spacing w:val="-1"/>
        </w:rPr>
        <w:t xml:space="preserve">s') in various premises throughout the region The Employer now seeks competitive tenders from </w:t>
      </w:r>
      <w:r>
        <w:rPr>
          <w:rFonts w:asciiTheme="minorHAnsi" w:eastAsia="Arial" w:hAnsiTheme="minorHAnsi" w:cstheme="minorHAnsi"/>
          <w:color w:val="000000"/>
          <w:spacing w:val="-1"/>
        </w:rPr>
        <w:t>lift</w:t>
      </w:r>
      <w:r w:rsidRPr="00524A9D">
        <w:rPr>
          <w:rFonts w:asciiTheme="minorHAnsi" w:eastAsia="Arial" w:hAnsiTheme="minorHAnsi" w:cstheme="minorHAnsi"/>
          <w:color w:val="000000"/>
          <w:spacing w:val="-1"/>
        </w:rPr>
        <w:t xml:space="preserve"> contractors with a view to awarding a contract to a successful tenderer ('The Contractor') in respect of all of the vertical transport installations and detailed </w:t>
      </w:r>
      <w:r w:rsidRPr="001211EF">
        <w:rPr>
          <w:rFonts w:asciiTheme="minorHAnsi" w:eastAsia="Arial" w:hAnsiTheme="minorHAnsi" w:cstheme="minorHAnsi"/>
          <w:spacing w:val="-1"/>
        </w:rPr>
        <w:t xml:space="preserve">in Appendix 1 on all of the following basis (the </w:t>
      </w:r>
      <w:r w:rsidRPr="00524A9D">
        <w:rPr>
          <w:rFonts w:asciiTheme="minorHAnsi" w:eastAsia="Arial" w:hAnsiTheme="minorHAnsi" w:cstheme="minorHAnsi"/>
          <w:color w:val="000000"/>
          <w:spacing w:val="-1"/>
        </w:rPr>
        <w:t>'Contract):</w:t>
      </w:r>
      <w:proofErr w:type="gramEnd"/>
    </w:p>
    <w:p w:rsidR="00D77CC8" w:rsidRPr="001211EF" w:rsidRDefault="00D77CC8" w:rsidP="00D77CC8">
      <w:pPr>
        <w:tabs>
          <w:tab w:val="left" w:pos="1440"/>
        </w:tabs>
        <w:spacing w:before="235" w:line="230" w:lineRule="exact"/>
        <w:ind w:left="567" w:hanging="567"/>
        <w:textAlignment w:val="baseline"/>
        <w:rPr>
          <w:rFonts w:asciiTheme="minorHAnsi" w:eastAsia="Arial" w:hAnsiTheme="minorHAnsi" w:cstheme="minorHAnsi"/>
          <w:spacing w:val="3"/>
        </w:rPr>
      </w:pPr>
      <w:r w:rsidRPr="00524A9D">
        <w:rPr>
          <w:rFonts w:asciiTheme="minorHAnsi" w:eastAsia="Arial" w:hAnsiTheme="minorHAnsi" w:cstheme="minorHAnsi"/>
          <w:color w:val="000000"/>
          <w:spacing w:val="3"/>
        </w:rPr>
        <w:t>(a)</w:t>
      </w:r>
      <w:r w:rsidRPr="00524A9D">
        <w:rPr>
          <w:rFonts w:asciiTheme="minorHAnsi" w:eastAsia="Arial" w:hAnsiTheme="minorHAnsi" w:cstheme="minorHAnsi"/>
          <w:color w:val="000000"/>
          <w:spacing w:val="3"/>
        </w:rPr>
        <w:tab/>
        <w:t xml:space="preserve">A </w:t>
      </w:r>
      <w:r w:rsidRPr="001211EF">
        <w:rPr>
          <w:rFonts w:asciiTheme="minorHAnsi" w:eastAsia="Arial" w:hAnsiTheme="minorHAnsi" w:cstheme="minorHAnsi"/>
          <w:spacing w:val="3"/>
        </w:rPr>
        <w:t>3-year Fixed Price Fully Comprehensive Contract with an option of a further 2 x</w:t>
      </w:r>
    </w:p>
    <w:p w:rsidR="00D77CC8" w:rsidRPr="00524A9D" w:rsidRDefault="00D77CC8" w:rsidP="00D77CC8">
      <w:pPr>
        <w:spacing w:before="7" w:line="230" w:lineRule="exact"/>
        <w:ind w:left="567" w:right="72"/>
        <w:textAlignment w:val="baseline"/>
        <w:rPr>
          <w:rFonts w:asciiTheme="minorHAnsi" w:eastAsia="Arial" w:hAnsiTheme="minorHAnsi" w:cstheme="minorHAnsi"/>
          <w:color w:val="000000"/>
        </w:rPr>
      </w:pPr>
      <w:r w:rsidRPr="001211EF">
        <w:rPr>
          <w:rFonts w:asciiTheme="minorHAnsi" w:eastAsia="Arial" w:hAnsiTheme="minorHAnsi" w:cstheme="minorHAnsi"/>
        </w:rPr>
        <w:t xml:space="preserve">year (extensions to be negotiated 3-6 months before expiry) as more fully described in Section C Clause 17 </w:t>
      </w:r>
      <w:r w:rsidRPr="00524A9D">
        <w:rPr>
          <w:rFonts w:asciiTheme="minorHAnsi" w:eastAsia="Arial" w:hAnsiTheme="minorHAnsi" w:cstheme="minorHAnsi"/>
          <w:color w:val="000000"/>
        </w:rPr>
        <w:t>whereby the Contractor undertakes, for a specified all-inclusive consideration, to carry out all or any maintenance, repairs or renewals which may be or become necessary and provide an emergency 24 hour service.</w:t>
      </w:r>
    </w:p>
    <w:p w:rsidR="00D77CC8" w:rsidRPr="00524A9D" w:rsidRDefault="00D77CC8" w:rsidP="00D77CC8">
      <w:pPr>
        <w:spacing w:before="221" w:line="234" w:lineRule="exact"/>
        <w:ind w:right="216"/>
        <w:textAlignment w:val="baseline"/>
        <w:rPr>
          <w:rFonts w:asciiTheme="minorHAnsi" w:eastAsia="Arial" w:hAnsiTheme="minorHAnsi" w:cstheme="minorHAnsi"/>
          <w:color w:val="000000"/>
        </w:rPr>
      </w:pPr>
      <w:r>
        <w:rPr>
          <w:rFonts w:asciiTheme="minorHAnsi" w:eastAsia="Arial" w:hAnsiTheme="minorHAnsi" w:cstheme="minorHAnsi"/>
          <w:color w:val="000000"/>
        </w:rPr>
        <w:t>Lift</w:t>
      </w:r>
      <w:r w:rsidRPr="00524A9D">
        <w:rPr>
          <w:rFonts w:asciiTheme="minorHAnsi" w:eastAsia="Arial" w:hAnsiTheme="minorHAnsi" w:cstheme="minorHAnsi"/>
          <w:color w:val="000000"/>
        </w:rPr>
        <w:t xml:space="preserve">s may be added to or removed from the agreement with </w:t>
      </w:r>
      <w:r>
        <w:rPr>
          <w:rFonts w:asciiTheme="minorHAnsi" w:eastAsia="Arial" w:hAnsiTheme="minorHAnsi" w:cstheme="minorHAnsi"/>
          <w:color w:val="000000"/>
        </w:rPr>
        <w:t>charges adjusted on a pro-</w:t>
      </w:r>
      <w:proofErr w:type="gramStart"/>
      <w:r>
        <w:rPr>
          <w:rFonts w:asciiTheme="minorHAnsi" w:eastAsia="Arial" w:hAnsiTheme="minorHAnsi" w:cstheme="minorHAnsi"/>
          <w:color w:val="000000"/>
        </w:rPr>
        <w:t xml:space="preserve">rata </w:t>
      </w:r>
      <w:r w:rsidRPr="00524A9D">
        <w:rPr>
          <w:rFonts w:asciiTheme="minorHAnsi" w:eastAsia="Arial" w:hAnsiTheme="minorHAnsi" w:cstheme="minorHAnsi"/>
          <w:color w:val="000000"/>
        </w:rPr>
        <w:t xml:space="preserve"> basis</w:t>
      </w:r>
      <w:proofErr w:type="gramEnd"/>
      <w:r w:rsidRPr="00524A9D">
        <w:rPr>
          <w:rFonts w:asciiTheme="minorHAnsi" w:eastAsia="Arial" w:hAnsiTheme="minorHAnsi" w:cstheme="minorHAnsi"/>
          <w:color w:val="000000"/>
        </w:rPr>
        <w:t>.</w:t>
      </w:r>
    </w:p>
    <w:p w:rsidR="00D77CC8" w:rsidRPr="00524A9D" w:rsidRDefault="00D77CC8" w:rsidP="00D77CC8">
      <w:pPr>
        <w:spacing w:before="252" w:line="231" w:lineRule="exact"/>
        <w:textAlignment w:val="baseline"/>
        <w:rPr>
          <w:rFonts w:asciiTheme="minorHAnsi" w:eastAsia="Arial" w:hAnsiTheme="minorHAnsi" w:cstheme="minorHAnsi"/>
          <w:color w:val="000000"/>
        </w:rPr>
      </w:pPr>
      <w:r w:rsidRPr="00524A9D">
        <w:rPr>
          <w:rFonts w:asciiTheme="minorHAnsi" w:eastAsia="Arial" w:hAnsiTheme="minorHAnsi" w:cstheme="minorHAnsi"/>
          <w:color w:val="000000"/>
        </w:rPr>
        <w:t>The Employer has five principal requirements:-</w:t>
      </w:r>
    </w:p>
    <w:p w:rsidR="00D77CC8" w:rsidRPr="00524A9D" w:rsidRDefault="00D77CC8" w:rsidP="00D77CC8">
      <w:pPr>
        <w:numPr>
          <w:ilvl w:val="0"/>
          <w:numId w:val="9"/>
        </w:numPr>
        <w:tabs>
          <w:tab w:val="left" w:pos="1134"/>
        </w:tabs>
        <w:spacing w:line="227" w:lineRule="exact"/>
        <w:ind w:left="0" w:firstLine="567"/>
        <w:jc w:val="left"/>
        <w:textAlignment w:val="baseline"/>
        <w:rPr>
          <w:rFonts w:asciiTheme="minorHAnsi" w:eastAsia="Arial" w:hAnsiTheme="minorHAnsi" w:cstheme="minorHAnsi"/>
          <w:color w:val="000000"/>
        </w:rPr>
      </w:pPr>
      <w:r w:rsidRPr="00524A9D">
        <w:rPr>
          <w:rFonts w:asciiTheme="minorHAnsi" w:eastAsia="Arial" w:hAnsiTheme="minorHAnsi" w:cstheme="minorHAnsi"/>
          <w:color w:val="000000"/>
        </w:rPr>
        <w:t xml:space="preserve">To maximize the life expectancy of the components which make up the </w:t>
      </w:r>
      <w:r>
        <w:rPr>
          <w:rFonts w:asciiTheme="minorHAnsi" w:eastAsia="Arial" w:hAnsiTheme="minorHAnsi" w:cstheme="minorHAnsi"/>
          <w:color w:val="000000"/>
        </w:rPr>
        <w:t>lift</w:t>
      </w:r>
      <w:r w:rsidRPr="00524A9D">
        <w:rPr>
          <w:rFonts w:asciiTheme="minorHAnsi" w:eastAsia="Arial" w:hAnsiTheme="minorHAnsi" w:cstheme="minorHAnsi"/>
          <w:color w:val="000000"/>
        </w:rPr>
        <w:t>s.</w:t>
      </w:r>
    </w:p>
    <w:p w:rsidR="00D77CC8" w:rsidRPr="00524A9D" w:rsidRDefault="00D77CC8" w:rsidP="00D77CC8">
      <w:pPr>
        <w:numPr>
          <w:ilvl w:val="0"/>
          <w:numId w:val="9"/>
        </w:numPr>
        <w:tabs>
          <w:tab w:val="left" w:pos="1134"/>
        </w:tabs>
        <w:spacing w:before="3" w:line="230" w:lineRule="exact"/>
        <w:ind w:left="0" w:firstLine="567"/>
        <w:jc w:val="left"/>
        <w:textAlignment w:val="baseline"/>
        <w:rPr>
          <w:rFonts w:asciiTheme="minorHAnsi" w:eastAsia="Arial" w:hAnsiTheme="minorHAnsi" w:cstheme="minorHAnsi"/>
          <w:color w:val="000000"/>
        </w:rPr>
      </w:pPr>
      <w:r w:rsidRPr="00524A9D">
        <w:rPr>
          <w:rFonts w:asciiTheme="minorHAnsi" w:eastAsia="Arial" w:hAnsiTheme="minorHAnsi" w:cstheme="minorHAnsi"/>
          <w:color w:val="000000"/>
        </w:rPr>
        <w:t xml:space="preserve">To ensure the continued safety of the </w:t>
      </w:r>
      <w:r>
        <w:rPr>
          <w:rFonts w:asciiTheme="minorHAnsi" w:eastAsia="Arial" w:hAnsiTheme="minorHAnsi" w:cstheme="minorHAnsi"/>
          <w:color w:val="000000"/>
        </w:rPr>
        <w:t>lift</w:t>
      </w:r>
      <w:r w:rsidRPr="00524A9D">
        <w:rPr>
          <w:rFonts w:asciiTheme="minorHAnsi" w:eastAsia="Arial" w:hAnsiTheme="minorHAnsi" w:cstheme="minorHAnsi"/>
          <w:color w:val="000000"/>
        </w:rPr>
        <w:t>s.</w:t>
      </w:r>
    </w:p>
    <w:p w:rsidR="00D77CC8" w:rsidRPr="00524A9D" w:rsidRDefault="00D77CC8" w:rsidP="00D77CC8">
      <w:pPr>
        <w:numPr>
          <w:ilvl w:val="0"/>
          <w:numId w:val="9"/>
        </w:numPr>
        <w:tabs>
          <w:tab w:val="left" w:pos="1134"/>
        </w:tabs>
        <w:spacing w:before="2" w:line="230" w:lineRule="exact"/>
        <w:ind w:left="0" w:firstLine="567"/>
        <w:jc w:val="left"/>
        <w:textAlignment w:val="baseline"/>
        <w:rPr>
          <w:rFonts w:asciiTheme="minorHAnsi" w:eastAsia="Arial" w:hAnsiTheme="minorHAnsi" w:cstheme="minorHAnsi"/>
          <w:color w:val="000000"/>
        </w:rPr>
      </w:pPr>
      <w:r w:rsidRPr="00524A9D">
        <w:rPr>
          <w:rFonts w:asciiTheme="minorHAnsi" w:eastAsia="Arial" w:hAnsiTheme="minorHAnsi" w:cstheme="minorHAnsi"/>
          <w:color w:val="000000"/>
        </w:rPr>
        <w:t xml:space="preserve">To ensure reliable operation of the </w:t>
      </w:r>
      <w:r>
        <w:rPr>
          <w:rFonts w:asciiTheme="minorHAnsi" w:eastAsia="Arial" w:hAnsiTheme="minorHAnsi" w:cstheme="minorHAnsi"/>
          <w:color w:val="000000"/>
        </w:rPr>
        <w:t>lift</w:t>
      </w:r>
      <w:r w:rsidRPr="00524A9D">
        <w:rPr>
          <w:rFonts w:asciiTheme="minorHAnsi" w:eastAsia="Arial" w:hAnsiTheme="minorHAnsi" w:cstheme="minorHAnsi"/>
          <w:color w:val="000000"/>
        </w:rPr>
        <w:t>s.</w:t>
      </w:r>
    </w:p>
    <w:p w:rsidR="00D77CC8" w:rsidRPr="00524A9D" w:rsidRDefault="00D77CC8" w:rsidP="00D77CC8">
      <w:pPr>
        <w:numPr>
          <w:ilvl w:val="0"/>
          <w:numId w:val="9"/>
        </w:numPr>
        <w:tabs>
          <w:tab w:val="left" w:pos="1134"/>
        </w:tabs>
        <w:spacing w:before="3" w:line="226" w:lineRule="exact"/>
        <w:ind w:left="0" w:firstLine="567"/>
        <w:jc w:val="left"/>
        <w:textAlignment w:val="baseline"/>
        <w:rPr>
          <w:rFonts w:asciiTheme="minorHAnsi" w:eastAsia="Arial" w:hAnsiTheme="minorHAnsi" w:cstheme="minorHAnsi"/>
          <w:color w:val="000000"/>
        </w:rPr>
      </w:pPr>
      <w:r w:rsidRPr="00524A9D">
        <w:rPr>
          <w:rFonts w:asciiTheme="minorHAnsi" w:eastAsia="Arial" w:hAnsiTheme="minorHAnsi" w:cstheme="minorHAnsi"/>
          <w:color w:val="000000"/>
        </w:rPr>
        <w:t xml:space="preserve">To preserve ride quality on </w:t>
      </w:r>
      <w:r>
        <w:rPr>
          <w:rFonts w:asciiTheme="minorHAnsi" w:eastAsia="Arial" w:hAnsiTheme="minorHAnsi" w:cstheme="minorHAnsi"/>
          <w:color w:val="000000"/>
        </w:rPr>
        <w:t>lift</w:t>
      </w:r>
      <w:r w:rsidRPr="00524A9D">
        <w:rPr>
          <w:rFonts w:asciiTheme="minorHAnsi" w:eastAsia="Arial" w:hAnsiTheme="minorHAnsi" w:cstheme="minorHAnsi"/>
          <w:color w:val="000000"/>
        </w:rPr>
        <w:t>s.</w:t>
      </w:r>
    </w:p>
    <w:p w:rsidR="00D77CC8" w:rsidRPr="00524A9D" w:rsidRDefault="00D77CC8" w:rsidP="00D77CC8">
      <w:pPr>
        <w:numPr>
          <w:ilvl w:val="0"/>
          <w:numId w:val="9"/>
        </w:numPr>
        <w:tabs>
          <w:tab w:val="left" w:pos="1134"/>
        </w:tabs>
        <w:spacing w:line="227" w:lineRule="exact"/>
        <w:ind w:left="0" w:firstLine="567"/>
        <w:jc w:val="left"/>
        <w:textAlignment w:val="baseline"/>
        <w:rPr>
          <w:rFonts w:asciiTheme="minorHAnsi" w:eastAsia="Arial" w:hAnsiTheme="minorHAnsi" w:cstheme="minorHAnsi"/>
          <w:color w:val="000000"/>
        </w:rPr>
      </w:pPr>
      <w:r w:rsidRPr="00524A9D">
        <w:rPr>
          <w:rFonts w:asciiTheme="minorHAnsi" w:eastAsia="Arial" w:hAnsiTheme="minorHAnsi" w:cstheme="minorHAnsi"/>
          <w:color w:val="000000"/>
        </w:rPr>
        <w:lastRenderedPageBreak/>
        <w:t xml:space="preserve">To maintain cleanliness in all areas inaccessible to non- </w:t>
      </w:r>
      <w:r>
        <w:rPr>
          <w:rFonts w:asciiTheme="minorHAnsi" w:eastAsia="Arial" w:hAnsiTheme="minorHAnsi" w:cstheme="minorHAnsi"/>
          <w:color w:val="000000"/>
        </w:rPr>
        <w:t>lift</w:t>
      </w:r>
      <w:r w:rsidRPr="00524A9D">
        <w:rPr>
          <w:rFonts w:asciiTheme="minorHAnsi" w:eastAsia="Arial" w:hAnsiTheme="minorHAnsi" w:cstheme="minorHAnsi"/>
          <w:color w:val="000000"/>
        </w:rPr>
        <w:t xml:space="preserve"> industry trained staff.</w:t>
      </w:r>
    </w:p>
    <w:p w:rsidR="00675F73" w:rsidRDefault="00675F73" w:rsidP="00675F73">
      <w:pPr>
        <w:pStyle w:val="Heading3"/>
        <w:keepNext/>
        <w:spacing w:before="240" w:after="60"/>
        <w:jc w:val="left"/>
        <w:rPr>
          <w:rFonts w:cs="Arial"/>
          <w:b/>
          <w:sz w:val="22"/>
          <w:szCs w:val="22"/>
          <w:u w:val="single"/>
        </w:rPr>
      </w:pPr>
    </w:p>
    <w:p w:rsidR="00675F73" w:rsidRPr="00D5429A" w:rsidRDefault="00675F73" w:rsidP="00675F73">
      <w:pPr>
        <w:pStyle w:val="Heading3"/>
        <w:keepNext/>
        <w:spacing w:before="240" w:after="60"/>
        <w:ind w:left="360"/>
        <w:jc w:val="left"/>
        <w:rPr>
          <w:rFonts w:cs="Arial"/>
          <w:b/>
          <w:sz w:val="22"/>
          <w:szCs w:val="22"/>
          <w:u w:val="single"/>
        </w:rPr>
      </w:pPr>
    </w:p>
    <w:p w:rsidR="00675F73" w:rsidRDefault="00675F73" w:rsidP="00675F73">
      <w:pPr>
        <w:ind w:left="1080"/>
        <w:rPr>
          <w:rFonts w:cs="Arial"/>
          <w:b/>
          <w:sz w:val="22"/>
          <w:szCs w:val="22"/>
          <w:u w:val="single"/>
        </w:rPr>
      </w:pPr>
    </w:p>
    <w:p w:rsidR="00675F73" w:rsidRDefault="00675F73" w:rsidP="00675F73">
      <w:pPr>
        <w:ind w:left="1080"/>
        <w:rPr>
          <w:rFonts w:cs="Arial"/>
          <w:b/>
          <w:sz w:val="22"/>
          <w:szCs w:val="22"/>
          <w:u w:val="single"/>
        </w:rPr>
      </w:pPr>
    </w:p>
    <w:p w:rsidR="00675F73" w:rsidRPr="00814454" w:rsidRDefault="00675F73" w:rsidP="00675F73">
      <w:pPr>
        <w:spacing w:before="100" w:beforeAutospacing="1" w:after="100" w:afterAutospacing="1"/>
        <w:jc w:val="left"/>
        <w:rPr>
          <w:sz w:val="22"/>
          <w:szCs w:val="22"/>
        </w:rPr>
      </w:pPr>
    </w:p>
    <w:p w:rsidR="00675F73" w:rsidRDefault="00675F73" w:rsidP="00675F73">
      <w:pPr>
        <w:spacing w:before="100" w:beforeAutospacing="1" w:after="100" w:afterAutospacing="1"/>
        <w:contextualSpacing/>
        <w:jc w:val="left"/>
        <w:rPr>
          <w:rFonts w:cs="Arial"/>
          <w:sz w:val="22"/>
          <w:szCs w:val="22"/>
        </w:rPr>
      </w:pPr>
    </w:p>
    <w:p w:rsidR="00675F73" w:rsidRPr="00D74C7F" w:rsidRDefault="00675F73" w:rsidP="00675F73">
      <w:pPr>
        <w:pStyle w:val="Heading3"/>
        <w:keepNext/>
        <w:spacing w:before="240" w:after="60"/>
        <w:jc w:val="left"/>
        <w:rPr>
          <w:rFonts w:cs="Arial"/>
          <w:b/>
          <w:sz w:val="22"/>
          <w:szCs w:val="22"/>
          <w:u w:val="single"/>
        </w:rPr>
      </w:pPr>
    </w:p>
    <w:p w:rsidR="00675F73" w:rsidRDefault="00675F73" w:rsidP="00675F73">
      <w:pPr>
        <w:pStyle w:val="Heading3"/>
        <w:keepNext/>
        <w:spacing w:before="240" w:after="60"/>
        <w:jc w:val="left"/>
        <w:rPr>
          <w:rFonts w:cs="Arial"/>
          <w:sz w:val="22"/>
          <w:szCs w:val="22"/>
        </w:rPr>
      </w:pPr>
    </w:p>
    <w:p w:rsidR="00675F73" w:rsidRDefault="00675F73" w:rsidP="00675F73">
      <w:pPr>
        <w:pStyle w:val="Heading3"/>
        <w:keepNext/>
        <w:numPr>
          <w:ilvl w:val="0"/>
          <w:numId w:val="1"/>
        </w:numPr>
        <w:spacing w:before="240" w:after="60"/>
        <w:jc w:val="left"/>
        <w:rPr>
          <w:rFonts w:cs="Arial"/>
          <w:b/>
          <w:sz w:val="22"/>
          <w:szCs w:val="22"/>
          <w:u w:val="single"/>
        </w:rPr>
      </w:pPr>
      <w:r w:rsidRPr="00D74C7F">
        <w:rPr>
          <w:rFonts w:cs="Arial"/>
          <w:b/>
          <w:sz w:val="22"/>
          <w:szCs w:val="22"/>
          <w:u w:val="single"/>
        </w:rPr>
        <w:t xml:space="preserve"> General Items</w:t>
      </w:r>
      <w:r>
        <w:rPr>
          <w:rFonts w:cs="Arial"/>
          <w:b/>
          <w:sz w:val="22"/>
          <w:szCs w:val="22"/>
          <w:u w:val="single"/>
        </w:rPr>
        <w:t xml:space="preserve"> </w:t>
      </w:r>
    </w:p>
    <w:p w:rsidR="00675F73" w:rsidRPr="001940D4" w:rsidRDefault="00675F73" w:rsidP="00675F73">
      <w:pPr>
        <w:pStyle w:val="Heading3"/>
        <w:keepNext/>
        <w:spacing w:before="240" w:after="60"/>
        <w:ind w:left="360"/>
        <w:jc w:val="left"/>
        <w:rPr>
          <w:rFonts w:cs="Arial"/>
          <w:sz w:val="22"/>
          <w:szCs w:val="22"/>
        </w:rPr>
      </w:pPr>
      <w:r w:rsidRPr="001940D4">
        <w:rPr>
          <w:rFonts w:cs="Arial"/>
          <w:sz w:val="22"/>
          <w:szCs w:val="22"/>
        </w:rPr>
        <w:t>Clients:</w:t>
      </w:r>
      <w:r>
        <w:rPr>
          <w:rFonts w:cs="Arial"/>
          <w:sz w:val="22"/>
          <w:szCs w:val="22"/>
        </w:rPr>
        <w:t xml:space="preserve"> </w:t>
      </w:r>
      <w:r w:rsidRPr="001940D4">
        <w:rPr>
          <w:rFonts w:cs="Arial"/>
          <w:sz w:val="22"/>
          <w:szCs w:val="22"/>
        </w:rPr>
        <w:t>Means persons receiving treatment for mental health rela</w:t>
      </w:r>
      <w:r>
        <w:rPr>
          <w:rFonts w:cs="Arial"/>
          <w:sz w:val="22"/>
          <w:szCs w:val="22"/>
        </w:rPr>
        <w:t xml:space="preserve">ted problems, </w:t>
      </w:r>
      <w:r w:rsidRPr="001940D4">
        <w:rPr>
          <w:rFonts w:cs="Arial"/>
          <w:sz w:val="22"/>
          <w:szCs w:val="22"/>
        </w:rPr>
        <w:t>within the various Trust’s buildings.</w:t>
      </w:r>
    </w:p>
    <w:p w:rsidR="00675F73" w:rsidRPr="00D74C7F" w:rsidRDefault="00675F73" w:rsidP="00675F73">
      <w:pPr>
        <w:pStyle w:val="Heading3"/>
        <w:keepNext/>
        <w:spacing w:before="240" w:after="60"/>
        <w:ind w:left="360"/>
        <w:jc w:val="left"/>
        <w:rPr>
          <w:rFonts w:cs="Arial"/>
          <w:i/>
          <w:sz w:val="22"/>
          <w:szCs w:val="22"/>
        </w:rPr>
      </w:pPr>
      <w:r w:rsidRPr="00D74C7F">
        <w:rPr>
          <w:rFonts w:cs="Arial"/>
          <w:i/>
          <w:sz w:val="22"/>
          <w:szCs w:val="22"/>
        </w:rPr>
        <w:t xml:space="preserve">Use of the Trust Sites: </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 xml:space="preserve">The contractor must not use the Trust’s sites or premises for any other purpose than carrying out the </w:t>
      </w:r>
      <w:r w:rsidR="00542FCC">
        <w:rPr>
          <w:rFonts w:cs="Arial"/>
          <w:sz w:val="22"/>
          <w:szCs w:val="22"/>
        </w:rPr>
        <w:t>Lift Maintenance</w:t>
      </w:r>
      <w:r>
        <w:rPr>
          <w:rFonts w:cs="Arial"/>
          <w:sz w:val="22"/>
          <w:szCs w:val="22"/>
        </w:rPr>
        <w:t xml:space="preserve"> </w:t>
      </w:r>
      <w:r w:rsidRPr="00D74C7F">
        <w:rPr>
          <w:rFonts w:cs="Arial"/>
          <w:sz w:val="22"/>
          <w:szCs w:val="22"/>
        </w:rPr>
        <w:t>contract.</w:t>
      </w:r>
    </w:p>
    <w:p w:rsidR="00675F73" w:rsidRPr="00D74C7F" w:rsidRDefault="00675F73" w:rsidP="00675F73">
      <w:pPr>
        <w:pStyle w:val="Heading3"/>
        <w:keepNext/>
        <w:spacing w:before="240" w:after="60"/>
        <w:ind w:left="360"/>
        <w:jc w:val="left"/>
        <w:rPr>
          <w:rFonts w:cs="Arial"/>
          <w:i/>
          <w:sz w:val="22"/>
          <w:szCs w:val="22"/>
        </w:rPr>
      </w:pPr>
      <w:r w:rsidRPr="00D74C7F">
        <w:rPr>
          <w:rFonts w:cs="Arial"/>
          <w:i/>
          <w:sz w:val="22"/>
          <w:szCs w:val="22"/>
        </w:rPr>
        <w:t>Advertising:</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 xml:space="preserve">Do not display or permit advertisements to </w:t>
      </w:r>
      <w:proofErr w:type="gramStart"/>
      <w:r w:rsidRPr="00D74C7F">
        <w:rPr>
          <w:rFonts w:cs="Arial"/>
          <w:sz w:val="22"/>
          <w:szCs w:val="22"/>
        </w:rPr>
        <w:t>be displayed</w:t>
      </w:r>
      <w:proofErr w:type="gramEnd"/>
      <w:r w:rsidRPr="00D74C7F">
        <w:rPr>
          <w:rFonts w:cs="Arial"/>
          <w:sz w:val="22"/>
          <w:szCs w:val="22"/>
        </w:rPr>
        <w:t xml:space="preserve"> on any site or within any document without the consent of the Trust in writing.</w:t>
      </w:r>
    </w:p>
    <w:p w:rsidR="00675F73" w:rsidRPr="00D74C7F" w:rsidRDefault="00675F73" w:rsidP="00675F73">
      <w:pPr>
        <w:pStyle w:val="Heading3"/>
        <w:keepNext/>
        <w:spacing w:before="240" w:after="60"/>
        <w:ind w:left="360"/>
        <w:jc w:val="left"/>
        <w:rPr>
          <w:rFonts w:cs="Arial"/>
          <w:i/>
          <w:sz w:val="22"/>
          <w:szCs w:val="22"/>
        </w:rPr>
      </w:pPr>
      <w:r w:rsidRPr="00D74C7F">
        <w:rPr>
          <w:rFonts w:cs="Arial"/>
          <w:i/>
          <w:sz w:val="22"/>
          <w:szCs w:val="22"/>
        </w:rPr>
        <w:t>Security:</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The contractor shall include for and be solely responsible for the protection and safety of the works being undertaken, materials, plant and equipment, clients, staff, visitors and the </w:t>
      </w:r>
      <w:proofErr w:type="gramStart"/>
      <w:r w:rsidRPr="00D74C7F">
        <w:rPr>
          <w:rFonts w:cs="Arial"/>
          <w:sz w:val="22"/>
          <w:szCs w:val="22"/>
        </w:rPr>
        <w:t>general public</w:t>
      </w:r>
      <w:proofErr w:type="gramEnd"/>
      <w:r w:rsidRPr="00D74C7F">
        <w:rPr>
          <w:rFonts w:cs="Arial"/>
          <w:sz w:val="22"/>
          <w:szCs w:val="22"/>
        </w:rPr>
        <w:t xml:space="preserve">. </w:t>
      </w:r>
      <w:proofErr w:type="gramStart"/>
      <w:r w:rsidRPr="00D74C7F">
        <w:rPr>
          <w:rFonts w:cs="Arial"/>
          <w:sz w:val="22"/>
          <w:szCs w:val="22"/>
        </w:rPr>
        <w:t>Without delay</w:t>
      </w:r>
      <w:proofErr w:type="gramEnd"/>
      <w:r w:rsidRPr="00D74C7F">
        <w:rPr>
          <w:rFonts w:cs="Arial"/>
          <w:sz w:val="22"/>
          <w:szCs w:val="22"/>
        </w:rPr>
        <w:t xml:space="preserve"> report any incident to the Estates Manager.</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spacing w:before="120" w:after="120"/>
        <w:ind w:left="360"/>
        <w:jc w:val="left"/>
        <w:rPr>
          <w:rFonts w:cs="Arial"/>
          <w:i/>
          <w:sz w:val="22"/>
          <w:szCs w:val="22"/>
        </w:rPr>
      </w:pPr>
      <w:r w:rsidRPr="00D74C7F">
        <w:rPr>
          <w:rFonts w:cs="Arial"/>
          <w:i/>
          <w:sz w:val="22"/>
          <w:szCs w:val="22"/>
        </w:rPr>
        <w:t>Occupied Building and Adjoining Property:</w:t>
      </w:r>
    </w:p>
    <w:p w:rsidR="00675F73" w:rsidRPr="00D74C7F" w:rsidRDefault="00675F73" w:rsidP="00675F73">
      <w:pPr>
        <w:spacing w:before="120" w:after="120"/>
        <w:ind w:left="360"/>
        <w:jc w:val="left"/>
        <w:rPr>
          <w:rFonts w:cs="Arial"/>
          <w:sz w:val="22"/>
          <w:szCs w:val="22"/>
        </w:rPr>
      </w:pPr>
      <w:r w:rsidRPr="00D74C7F">
        <w:rPr>
          <w:rFonts w:cs="Arial"/>
          <w:sz w:val="22"/>
          <w:szCs w:val="22"/>
        </w:rPr>
        <w:t>All building will be occupied and during the contract. The contractor should carry out the works without undue inconvenience and nuisance and without danger to clients, staff and visitors.</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Prevent damage to existing buildings, fences, gates, walls, roads, paved areas and other site features, which are to remain in position during the execution of the works. If any damage is </w:t>
      </w:r>
      <w:proofErr w:type="gramStart"/>
      <w:r w:rsidRPr="00D74C7F">
        <w:rPr>
          <w:rFonts w:cs="Arial"/>
          <w:sz w:val="22"/>
          <w:szCs w:val="22"/>
        </w:rPr>
        <w:t>caused</w:t>
      </w:r>
      <w:proofErr w:type="gramEnd"/>
      <w:r w:rsidRPr="00D74C7F">
        <w:rPr>
          <w:rFonts w:cs="Arial"/>
          <w:sz w:val="22"/>
          <w:szCs w:val="22"/>
        </w:rPr>
        <w:t xml:space="preserve"> this must be reported immediately to the Estates Manager or </w:t>
      </w:r>
      <w:r w:rsidR="00542FCC">
        <w:rPr>
          <w:rFonts w:cs="Arial"/>
          <w:sz w:val="22"/>
          <w:szCs w:val="22"/>
        </w:rPr>
        <w:t>their</w:t>
      </w:r>
      <w:r w:rsidRPr="00D74C7F">
        <w:rPr>
          <w:rFonts w:cs="Arial"/>
          <w:sz w:val="22"/>
          <w:szCs w:val="22"/>
        </w:rPr>
        <w:t xml:space="preserve"> representative and all costs incurred will be charged to the contractor.</w:t>
      </w:r>
    </w:p>
    <w:p w:rsidR="00675F73" w:rsidRPr="00D74C7F" w:rsidRDefault="00675F73" w:rsidP="00675F73">
      <w:pPr>
        <w:spacing w:before="120" w:after="120"/>
        <w:ind w:left="360"/>
        <w:jc w:val="left"/>
        <w:rPr>
          <w:rFonts w:cs="Arial"/>
          <w:sz w:val="22"/>
          <w:szCs w:val="22"/>
        </w:rPr>
      </w:pPr>
      <w:r w:rsidRPr="00D74C7F">
        <w:rPr>
          <w:rFonts w:cs="Arial"/>
          <w:sz w:val="22"/>
          <w:szCs w:val="22"/>
        </w:rPr>
        <w:t>Take all precautions to prevent damage to adjoining property. Obtain permission as necessary from the owners of adjoining property if required to gain access to undertake works on the trusts boundary.</w:t>
      </w:r>
    </w:p>
    <w:p w:rsidR="00675F73" w:rsidRDefault="00675F73" w:rsidP="00675F73">
      <w:pPr>
        <w:spacing w:before="120" w:after="120"/>
        <w:ind w:left="360"/>
        <w:jc w:val="left"/>
        <w:rPr>
          <w:rFonts w:cs="Arial"/>
          <w:sz w:val="22"/>
          <w:szCs w:val="22"/>
        </w:rPr>
      </w:pPr>
    </w:p>
    <w:p w:rsidR="00542FCC" w:rsidRDefault="00542FCC" w:rsidP="00675F73">
      <w:pPr>
        <w:spacing w:before="120" w:after="120"/>
        <w:ind w:left="360"/>
        <w:jc w:val="left"/>
        <w:rPr>
          <w:rFonts w:cs="Arial"/>
          <w:sz w:val="22"/>
          <w:szCs w:val="22"/>
        </w:rPr>
      </w:pPr>
    </w:p>
    <w:p w:rsidR="00542FCC" w:rsidRPr="00D74C7F" w:rsidRDefault="00542FCC" w:rsidP="00675F73">
      <w:pPr>
        <w:spacing w:before="120" w:after="120"/>
        <w:ind w:left="360"/>
        <w:jc w:val="left"/>
        <w:rPr>
          <w:rFonts w:cs="Arial"/>
          <w:sz w:val="22"/>
          <w:szCs w:val="22"/>
        </w:rPr>
      </w:pPr>
    </w:p>
    <w:p w:rsidR="00675F73" w:rsidRPr="00D74C7F" w:rsidRDefault="00675F73" w:rsidP="00675F73">
      <w:pPr>
        <w:spacing w:before="120" w:after="120"/>
        <w:ind w:left="360"/>
        <w:jc w:val="left"/>
        <w:rPr>
          <w:rFonts w:cs="Arial"/>
          <w:i/>
          <w:sz w:val="22"/>
          <w:szCs w:val="22"/>
        </w:rPr>
      </w:pPr>
      <w:r w:rsidRPr="00D74C7F">
        <w:rPr>
          <w:rFonts w:cs="Arial"/>
          <w:i/>
          <w:sz w:val="22"/>
          <w:szCs w:val="22"/>
        </w:rPr>
        <w:lastRenderedPageBreak/>
        <w:t>Nuisance:</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Take all necessary precautions to prevent nuisance from fumes, dust, rubbish and any other causes. The contractor must note that NO burning of rubbish, leaves on any of the Trust’s sites </w:t>
      </w:r>
      <w:proofErr w:type="gramStart"/>
      <w:r w:rsidRPr="00D74C7F">
        <w:rPr>
          <w:rFonts w:cs="Arial"/>
          <w:sz w:val="22"/>
          <w:szCs w:val="22"/>
        </w:rPr>
        <w:t>is allowed</w:t>
      </w:r>
      <w:proofErr w:type="gramEnd"/>
      <w:r w:rsidRPr="00D74C7F">
        <w:rPr>
          <w:rFonts w:cs="Arial"/>
          <w:sz w:val="22"/>
          <w:szCs w:val="22"/>
        </w:rPr>
        <w:t>.</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spacing w:before="120" w:after="120"/>
        <w:ind w:left="360"/>
        <w:jc w:val="left"/>
        <w:rPr>
          <w:rFonts w:cs="Arial"/>
          <w:i/>
          <w:sz w:val="22"/>
          <w:szCs w:val="22"/>
        </w:rPr>
      </w:pPr>
      <w:r w:rsidRPr="00D74C7F">
        <w:rPr>
          <w:rFonts w:cs="Arial"/>
          <w:i/>
          <w:sz w:val="22"/>
          <w:szCs w:val="22"/>
        </w:rPr>
        <w:t>Dangerous Substances</w:t>
      </w:r>
    </w:p>
    <w:p w:rsidR="00675F73" w:rsidRPr="00D74C7F" w:rsidRDefault="00675F73" w:rsidP="00675F73">
      <w:pPr>
        <w:spacing w:before="120" w:after="120"/>
        <w:ind w:left="360"/>
        <w:jc w:val="left"/>
        <w:rPr>
          <w:rFonts w:cs="Arial"/>
          <w:b/>
          <w:sz w:val="22"/>
          <w:szCs w:val="22"/>
        </w:rPr>
      </w:pPr>
      <w:r w:rsidRPr="00D74C7F">
        <w:rPr>
          <w:rFonts w:cs="Arial"/>
          <w:sz w:val="22"/>
          <w:szCs w:val="22"/>
        </w:rPr>
        <w:t xml:space="preserve">The contractor must take all recommended safety precautions when handling or using toxic, inflammable or any other dangerous substances and keep securely stored when not in use. Remove empty containers from site and dispose of in accordance with the </w:t>
      </w:r>
      <w:r w:rsidRPr="00D74C7F">
        <w:rPr>
          <w:rFonts w:cs="Arial"/>
          <w:b/>
          <w:sz w:val="22"/>
          <w:szCs w:val="22"/>
        </w:rPr>
        <w:t>Environmental Protection Act 1990.</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The contractor must undertake all risk assessments in accordance with </w:t>
      </w:r>
      <w:r w:rsidRPr="00D74C7F">
        <w:rPr>
          <w:rFonts w:cs="Arial"/>
          <w:b/>
          <w:sz w:val="22"/>
          <w:szCs w:val="22"/>
        </w:rPr>
        <w:t xml:space="preserve">Control of Substances Hazardous to Health Regulations 1994 </w:t>
      </w:r>
      <w:proofErr w:type="spellStart"/>
      <w:r w:rsidRPr="00D74C7F">
        <w:rPr>
          <w:rFonts w:cs="Arial"/>
          <w:b/>
          <w:sz w:val="22"/>
          <w:szCs w:val="22"/>
        </w:rPr>
        <w:t>COSHH</w:t>
      </w:r>
      <w:proofErr w:type="spellEnd"/>
      <w:r w:rsidRPr="00D74C7F">
        <w:rPr>
          <w:rFonts w:cs="Arial"/>
          <w:b/>
          <w:sz w:val="22"/>
          <w:szCs w:val="22"/>
        </w:rPr>
        <w:t>.</w:t>
      </w:r>
      <w:r w:rsidRPr="00D74C7F">
        <w:rPr>
          <w:rFonts w:cs="Arial"/>
          <w:sz w:val="22"/>
          <w:szCs w:val="22"/>
        </w:rPr>
        <w:t xml:space="preserve"> Prior to using any dangerous substance.</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All operatives who will undertake spraying of chemicals must have a valid certificate of competence in accordance with </w:t>
      </w:r>
      <w:r w:rsidRPr="00D74C7F">
        <w:rPr>
          <w:rFonts w:cs="Arial"/>
          <w:b/>
          <w:sz w:val="22"/>
          <w:szCs w:val="22"/>
        </w:rPr>
        <w:t>The Food and Environmental Protection Act 1985 [FEPA] and The Control and Pesticides Regulations 1986</w:t>
      </w:r>
      <w:proofErr w:type="gramStart"/>
      <w:r w:rsidRPr="00D74C7F">
        <w:rPr>
          <w:rFonts w:cs="Arial"/>
          <w:b/>
          <w:sz w:val="22"/>
          <w:szCs w:val="22"/>
        </w:rPr>
        <w:t>.[</w:t>
      </w:r>
      <w:proofErr w:type="spellStart"/>
      <w:proofErr w:type="gramEnd"/>
      <w:r w:rsidRPr="00D74C7F">
        <w:rPr>
          <w:rFonts w:cs="Arial"/>
          <w:b/>
          <w:sz w:val="22"/>
          <w:szCs w:val="22"/>
        </w:rPr>
        <w:t>COPR</w:t>
      </w:r>
      <w:proofErr w:type="spellEnd"/>
      <w:r w:rsidRPr="00D74C7F">
        <w:rPr>
          <w:rFonts w:cs="Arial"/>
          <w:b/>
          <w:sz w:val="22"/>
          <w:szCs w:val="22"/>
        </w:rPr>
        <w:t>]</w:t>
      </w:r>
      <w:r w:rsidRPr="00D74C7F">
        <w:rPr>
          <w:rFonts w:cs="Arial"/>
          <w:sz w:val="22"/>
          <w:szCs w:val="22"/>
        </w:rPr>
        <w:t xml:space="preserve"> This must be produced to the Estates Manager prior to any spraying being undertaken</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spacing w:before="120" w:after="120"/>
        <w:ind w:left="360"/>
        <w:jc w:val="left"/>
        <w:rPr>
          <w:rFonts w:cs="Arial"/>
          <w:i/>
          <w:sz w:val="22"/>
          <w:szCs w:val="22"/>
        </w:rPr>
      </w:pPr>
      <w:r w:rsidRPr="00D74C7F">
        <w:rPr>
          <w:rFonts w:cs="Arial"/>
          <w:i/>
          <w:sz w:val="22"/>
          <w:szCs w:val="22"/>
        </w:rPr>
        <w:t>Health and Safety:</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It is the responsibility of the contractor to ensure that adequate Health and Safety training </w:t>
      </w:r>
      <w:proofErr w:type="gramStart"/>
      <w:r w:rsidRPr="00D74C7F">
        <w:rPr>
          <w:rFonts w:cs="Arial"/>
          <w:sz w:val="22"/>
          <w:szCs w:val="22"/>
        </w:rPr>
        <w:t>is provided</w:t>
      </w:r>
      <w:proofErr w:type="gramEnd"/>
      <w:r w:rsidRPr="00D74C7F">
        <w:rPr>
          <w:rFonts w:cs="Arial"/>
          <w:sz w:val="22"/>
          <w:szCs w:val="22"/>
        </w:rPr>
        <w:t xml:space="preserve"> to their staff and all necessary risk assessments are undertaken in accordance with current legislation.</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spacing w:before="120" w:after="120"/>
        <w:ind w:left="360"/>
        <w:jc w:val="left"/>
        <w:rPr>
          <w:rFonts w:cs="Arial"/>
          <w:i/>
          <w:sz w:val="22"/>
          <w:szCs w:val="22"/>
        </w:rPr>
      </w:pPr>
      <w:r w:rsidRPr="00D74C7F">
        <w:rPr>
          <w:rFonts w:cs="Arial"/>
          <w:i/>
          <w:sz w:val="22"/>
          <w:szCs w:val="22"/>
        </w:rPr>
        <w:t>Temporary Works:</w:t>
      </w:r>
    </w:p>
    <w:p w:rsidR="00675F73" w:rsidRPr="00D74C7F" w:rsidRDefault="00675F73" w:rsidP="00675F73">
      <w:pPr>
        <w:spacing w:before="120" w:after="120"/>
        <w:ind w:left="360"/>
        <w:jc w:val="left"/>
        <w:rPr>
          <w:rFonts w:cs="Arial"/>
          <w:sz w:val="22"/>
          <w:szCs w:val="22"/>
        </w:rPr>
      </w:pPr>
      <w:r w:rsidRPr="00D74C7F">
        <w:rPr>
          <w:rFonts w:cs="Arial"/>
          <w:sz w:val="22"/>
          <w:szCs w:val="22"/>
        </w:rPr>
        <w:t>The contractor must inform the Estates Manager of the intended siting of any spoil heaps, temporary works and services.</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Permanent roads, hard standing and footpaths on the various sites </w:t>
      </w:r>
      <w:proofErr w:type="gramStart"/>
      <w:r w:rsidRPr="00D74C7F">
        <w:rPr>
          <w:rFonts w:cs="Arial"/>
          <w:sz w:val="22"/>
          <w:szCs w:val="22"/>
        </w:rPr>
        <w:t>may be used</w:t>
      </w:r>
      <w:proofErr w:type="gramEnd"/>
      <w:r w:rsidRPr="00D74C7F">
        <w:rPr>
          <w:rFonts w:cs="Arial"/>
          <w:sz w:val="22"/>
          <w:szCs w:val="22"/>
        </w:rPr>
        <w:t xml:space="preserve"> providing that they are adequately maintained and left thoroughly clean and unimpaired condition.</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Provide all temporary fencing, footpaths, walkways, </w:t>
      </w:r>
      <w:proofErr w:type="gramStart"/>
      <w:r w:rsidRPr="00D74C7F">
        <w:rPr>
          <w:rFonts w:cs="Arial"/>
          <w:sz w:val="22"/>
          <w:szCs w:val="22"/>
        </w:rPr>
        <w:t>guard rails</w:t>
      </w:r>
      <w:proofErr w:type="gramEnd"/>
      <w:r w:rsidRPr="00D74C7F">
        <w:rPr>
          <w:rFonts w:cs="Arial"/>
          <w:sz w:val="22"/>
          <w:szCs w:val="22"/>
        </w:rPr>
        <w:t xml:space="preserve"> and the like as may be necessary for protecting clients, staff and visitors and the general public, for the proper execution of the works to be undertaken and for meeting the requirements of any local or other authority</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pStyle w:val="BodyText"/>
        <w:spacing w:before="120"/>
        <w:ind w:left="360"/>
        <w:jc w:val="left"/>
        <w:rPr>
          <w:rFonts w:cs="Arial"/>
          <w:i/>
          <w:sz w:val="22"/>
          <w:szCs w:val="22"/>
        </w:rPr>
      </w:pPr>
      <w:proofErr w:type="gramStart"/>
      <w:r w:rsidRPr="00D74C7F">
        <w:rPr>
          <w:rFonts w:cs="Arial"/>
          <w:i/>
          <w:sz w:val="22"/>
          <w:szCs w:val="22"/>
        </w:rPr>
        <w:t>Manufacturer’s</w:t>
      </w:r>
      <w:proofErr w:type="gramEnd"/>
      <w:r w:rsidRPr="00D74C7F">
        <w:rPr>
          <w:rFonts w:cs="Arial"/>
          <w:i/>
          <w:sz w:val="22"/>
          <w:szCs w:val="22"/>
        </w:rPr>
        <w:t xml:space="preserve"> Recommendation’s:</w:t>
      </w:r>
    </w:p>
    <w:p w:rsidR="00675F73" w:rsidRPr="00D74C7F" w:rsidRDefault="00675F73" w:rsidP="00675F73">
      <w:pPr>
        <w:pStyle w:val="BodyText"/>
        <w:spacing w:before="120"/>
        <w:ind w:left="360"/>
        <w:jc w:val="left"/>
        <w:rPr>
          <w:rFonts w:cs="Arial"/>
          <w:sz w:val="22"/>
          <w:szCs w:val="22"/>
        </w:rPr>
      </w:pPr>
      <w:r w:rsidRPr="00D74C7F">
        <w:rPr>
          <w:rFonts w:cs="Arial"/>
          <w:sz w:val="22"/>
          <w:szCs w:val="22"/>
        </w:rPr>
        <w:t xml:space="preserve">Handle, store, prepare and apply each product in accordance with manufacturer’s printed or written recommendations / instructions. Inform the Trust if </w:t>
      </w:r>
      <w:proofErr w:type="gramStart"/>
      <w:r w:rsidRPr="00D74C7F">
        <w:rPr>
          <w:rFonts w:cs="Arial"/>
          <w:sz w:val="22"/>
          <w:szCs w:val="22"/>
        </w:rPr>
        <w:t>these conflict</w:t>
      </w:r>
      <w:proofErr w:type="gramEnd"/>
      <w:r w:rsidRPr="00D74C7F">
        <w:rPr>
          <w:rFonts w:cs="Arial"/>
          <w:sz w:val="22"/>
          <w:szCs w:val="22"/>
        </w:rPr>
        <w:t xml:space="preserve"> with any other specified requirement and submit copies to the Trust when requested.</w:t>
      </w:r>
    </w:p>
    <w:p w:rsidR="00675F73" w:rsidRPr="00D74C7F" w:rsidRDefault="00675F73" w:rsidP="00675F73">
      <w:pPr>
        <w:pStyle w:val="BodyText"/>
        <w:spacing w:before="120"/>
        <w:jc w:val="left"/>
        <w:rPr>
          <w:rFonts w:cs="Arial"/>
          <w:sz w:val="22"/>
          <w:szCs w:val="22"/>
        </w:rPr>
      </w:pPr>
    </w:p>
    <w:p w:rsidR="00675F73" w:rsidRPr="00D74C7F" w:rsidRDefault="00675F73" w:rsidP="00675F73">
      <w:pPr>
        <w:pStyle w:val="BodyText"/>
        <w:spacing w:before="120"/>
        <w:ind w:left="360"/>
        <w:jc w:val="left"/>
        <w:rPr>
          <w:rFonts w:cs="Arial"/>
          <w:i/>
          <w:sz w:val="22"/>
          <w:szCs w:val="22"/>
        </w:rPr>
      </w:pPr>
      <w:r>
        <w:rPr>
          <w:rFonts w:cs="Arial"/>
          <w:i/>
          <w:sz w:val="22"/>
          <w:szCs w:val="22"/>
        </w:rPr>
        <w:t>Product</w:t>
      </w:r>
      <w:r w:rsidRPr="00D74C7F">
        <w:rPr>
          <w:rFonts w:cs="Arial"/>
          <w:i/>
          <w:sz w:val="22"/>
          <w:szCs w:val="22"/>
        </w:rPr>
        <w:t xml:space="preserve"> Sources:</w:t>
      </w:r>
    </w:p>
    <w:p w:rsidR="00675F73" w:rsidRPr="00D74C7F" w:rsidRDefault="00675F73" w:rsidP="00675F73">
      <w:pPr>
        <w:pStyle w:val="BodyText"/>
        <w:spacing w:before="120"/>
        <w:ind w:left="360"/>
        <w:jc w:val="left"/>
        <w:rPr>
          <w:rFonts w:cs="Arial"/>
          <w:sz w:val="22"/>
          <w:szCs w:val="22"/>
        </w:rPr>
      </w:pPr>
      <w:r w:rsidRPr="00D74C7F">
        <w:rPr>
          <w:rFonts w:cs="Arial"/>
          <w:sz w:val="22"/>
          <w:szCs w:val="22"/>
        </w:rPr>
        <w:t>Where a choice of manufacturer or source of supply is allowed for any particular product or material, the whole quantity required to complete the work must be of the same type, manufacturer and | or source Do not change without approval.</w:t>
      </w:r>
    </w:p>
    <w:p w:rsidR="00675F73" w:rsidRPr="00D74C7F" w:rsidRDefault="00675F73" w:rsidP="00675F73">
      <w:pPr>
        <w:pStyle w:val="BodyText"/>
        <w:spacing w:before="120"/>
        <w:ind w:left="360"/>
        <w:jc w:val="left"/>
        <w:rPr>
          <w:rFonts w:cs="Arial"/>
          <w:sz w:val="22"/>
          <w:szCs w:val="22"/>
        </w:rPr>
      </w:pPr>
    </w:p>
    <w:p w:rsidR="00675F73" w:rsidRPr="00D74C7F" w:rsidRDefault="00675F73" w:rsidP="00675F73">
      <w:pPr>
        <w:pStyle w:val="BodyText"/>
        <w:spacing w:before="120"/>
        <w:ind w:left="360"/>
        <w:jc w:val="left"/>
        <w:rPr>
          <w:rFonts w:cs="Arial"/>
          <w:i/>
          <w:sz w:val="22"/>
          <w:szCs w:val="22"/>
        </w:rPr>
      </w:pPr>
      <w:r w:rsidRPr="00D74C7F">
        <w:rPr>
          <w:rFonts w:cs="Arial"/>
          <w:i/>
          <w:sz w:val="22"/>
          <w:szCs w:val="22"/>
        </w:rPr>
        <w:lastRenderedPageBreak/>
        <w:t>Samples:</w:t>
      </w:r>
    </w:p>
    <w:p w:rsidR="00675F73" w:rsidRDefault="00675F73" w:rsidP="00675F73">
      <w:pPr>
        <w:pStyle w:val="BodyText"/>
        <w:spacing w:before="120"/>
        <w:ind w:left="360"/>
        <w:jc w:val="left"/>
        <w:rPr>
          <w:rFonts w:cs="Arial"/>
          <w:sz w:val="22"/>
          <w:szCs w:val="22"/>
        </w:rPr>
      </w:pPr>
      <w:r w:rsidRPr="00D74C7F">
        <w:rPr>
          <w:rFonts w:cs="Arial"/>
          <w:sz w:val="22"/>
          <w:szCs w:val="22"/>
        </w:rPr>
        <w:t xml:space="preserve">Where approval of products or materials is </w:t>
      </w:r>
      <w:proofErr w:type="gramStart"/>
      <w:r w:rsidRPr="00D74C7F">
        <w:rPr>
          <w:rFonts w:cs="Arial"/>
          <w:sz w:val="22"/>
          <w:szCs w:val="22"/>
        </w:rPr>
        <w:t>specified</w:t>
      </w:r>
      <w:proofErr w:type="gramEnd"/>
      <w:r w:rsidRPr="00D74C7F">
        <w:rPr>
          <w:rFonts w:cs="Arial"/>
          <w:sz w:val="22"/>
          <w:szCs w:val="22"/>
        </w:rPr>
        <w:t xml:space="preserve"> submit samples or other evidence of suitability. Do not confirm orders or use materials until approval </w:t>
      </w:r>
      <w:proofErr w:type="gramStart"/>
      <w:r w:rsidRPr="00D74C7F">
        <w:rPr>
          <w:rFonts w:cs="Arial"/>
          <w:sz w:val="22"/>
          <w:szCs w:val="22"/>
        </w:rPr>
        <w:t>has been obtained</w:t>
      </w:r>
      <w:proofErr w:type="gramEnd"/>
      <w:r w:rsidRPr="00D74C7F">
        <w:rPr>
          <w:rFonts w:cs="Arial"/>
          <w:sz w:val="22"/>
          <w:szCs w:val="22"/>
        </w:rPr>
        <w:t>.  Retain approved samples on site for comparison with products and materials used in the Works.</w:t>
      </w:r>
    </w:p>
    <w:p w:rsidR="00675F73" w:rsidRDefault="00675F73" w:rsidP="00675F73">
      <w:pPr>
        <w:pStyle w:val="BodyText"/>
        <w:spacing w:before="120"/>
        <w:ind w:left="360"/>
        <w:jc w:val="left"/>
        <w:rPr>
          <w:rFonts w:cs="Arial"/>
          <w:sz w:val="22"/>
          <w:szCs w:val="22"/>
        </w:rPr>
      </w:pPr>
    </w:p>
    <w:p w:rsidR="00675F73" w:rsidRDefault="00675F73" w:rsidP="00675F73">
      <w:pPr>
        <w:pStyle w:val="BodyText"/>
        <w:spacing w:before="120"/>
        <w:ind w:left="360"/>
        <w:jc w:val="left"/>
        <w:rPr>
          <w:rFonts w:cs="Arial"/>
          <w:sz w:val="22"/>
          <w:szCs w:val="22"/>
        </w:rPr>
      </w:pPr>
    </w:p>
    <w:p w:rsidR="00675F73" w:rsidRDefault="00675F73" w:rsidP="00675F73">
      <w:pPr>
        <w:pStyle w:val="BodyText"/>
        <w:spacing w:before="120"/>
        <w:ind w:left="360"/>
        <w:jc w:val="left"/>
        <w:rPr>
          <w:rFonts w:cs="Arial"/>
          <w:sz w:val="22"/>
          <w:szCs w:val="22"/>
        </w:rPr>
      </w:pPr>
    </w:p>
    <w:p w:rsidR="00675F73" w:rsidRPr="00D74C7F" w:rsidRDefault="00675F73" w:rsidP="00675F73">
      <w:pPr>
        <w:pStyle w:val="BodyText"/>
        <w:spacing w:before="120"/>
        <w:ind w:left="360"/>
        <w:jc w:val="left"/>
        <w:rPr>
          <w:rFonts w:cs="Arial"/>
          <w:sz w:val="22"/>
          <w:szCs w:val="22"/>
        </w:rPr>
      </w:pPr>
    </w:p>
    <w:p w:rsidR="00675F73" w:rsidRPr="00D74C7F" w:rsidRDefault="00675F73" w:rsidP="00675F73">
      <w:pPr>
        <w:pStyle w:val="BodyText"/>
        <w:spacing w:before="120"/>
        <w:jc w:val="left"/>
        <w:rPr>
          <w:rFonts w:cs="Arial"/>
          <w:sz w:val="22"/>
          <w:szCs w:val="22"/>
        </w:rPr>
      </w:pPr>
    </w:p>
    <w:p w:rsidR="00675F73" w:rsidRDefault="00675F73" w:rsidP="00675F73">
      <w:pPr>
        <w:pStyle w:val="BodyText"/>
        <w:numPr>
          <w:ilvl w:val="0"/>
          <w:numId w:val="1"/>
        </w:numPr>
        <w:overflowPunct w:val="0"/>
        <w:autoSpaceDE w:val="0"/>
        <w:autoSpaceDN w:val="0"/>
        <w:adjustRightInd w:val="0"/>
        <w:spacing w:before="120"/>
        <w:jc w:val="left"/>
        <w:textAlignment w:val="baseline"/>
        <w:rPr>
          <w:rFonts w:cs="Arial"/>
          <w:b/>
          <w:sz w:val="22"/>
          <w:szCs w:val="22"/>
          <w:u w:val="single"/>
        </w:rPr>
      </w:pPr>
      <w:r w:rsidRPr="00D45693">
        <w:rPr>
          <w:rFonts w:cs="Arial"/>
          <w:b/>
          <w:sz w:val="22"/>
          <w:szCs w:val="22"/>
        </w:rPr>
        <w:t xml:space="preserve"> </w:t>
      </w:r>
      <w:r w:rsidRPr="00D74C7F">
        <w:rPr>
          <w:rFonts w:cs="Arial"/>
          <w:b/>
          <w:sz w:val="22"/>
          <w:szCs w:val="22"/>
          <w:u w:val="single"/>
        </w:rPr>
        <w:t>Staff</w:t>
      </w:r>
    </w:p>
    <w:p w:rsidR="00675F73" w:rsidRPr="00D74C7F" w:rsidRDefault="00675F73" w:rsidP="00675F73">
      <w:pPr>
        <w:pStyle w:val="BodyText"/>
        <w:spacing w:before="120"/>
        <w:ind w:left="360"/>
        <w:jc w:val="left"/>
        <w:rPr>
          <w:rFonts w:cs="Arial"/>
          <w:b/>
          <w:sz w:val="22"/>
          <w:szCs w:val="22"/>
          <w:u w:val="single"/>
        </w:rPr>
      </w:pPr>
    </w:p>
    <w:p w:rsidR="00675F73" w:rsidRPr="00D74C7F" w:rsidRDefault="00675F73" w:rsidP="00675F73">
      <w:pPr>
        <w:pStyle w:val="BodyText"/>
        <w:spacing w:before="120"/>
        <w:ind w:left="360"/>
        <w:jc w:val="left"/>
        <w:rPr>
          <w:rFonts w:cs="Arial"/>
          <w:sz w:val="22"/>
          <w:szCs w:val="22"/>
        </w:rPr>
      </w:pPr>
      <w:r w:rsidRPr="00D74C7F">
        <w:rPr>
          <w:rFonts w:cs="Arial"/>
          <w:sz w:val="22"/>
          <w:szCs w:val="22"/>
        </w:rPr>
        <w:t xml:space="preserve">The contractor must employ sufficient staff to ensure that the </w:t>
      </w:r>
      <w:r w:rsidR="00542FCC">
        <w:rPr>
          <w:rFonts w:cs="Arial"/>
          <w:sz w:val="22"/>
          <w:szCs w:val="22"/>
        </w:rPr>
        <w:t>Lift Maintenance</w:t>
      </w:r>
      <w:r w:rsidRPr="00D74C7F">
        <w:rPr>
          <w:rFonts w:cs="Arial"/>
          <w:sz w:val="22"/>
          <w:szCs w:val="22"/>
        </w:rPr>
        <w:t xml:space="preserve"> service </w:t>
      </w:r>
      <w:proofErr w:type="gramStart"/>
      <w:r w:rsidRPr="00D74C7F">
        <w:rPr>
          <w:rFonts w:cs="Arial"/>
          <w:sz w:val="22"/>
          <w:szCs w:val="22"/>
        </w:rPr>
        <w:t>is provided</w:t>
      </w:r>
      <w:proofErr w:type="gramEnd"/>
      <w:r w:rsidRPr="00D74C7F">
        <w:rPr>
          <w:rFonts w:cs="Arial"/>
          <w:sz w:val="22"/>
          <w:szCs w:val="22"/>
        </w:rPr>
        <w:t xml:space="preserve"> in accordance with the specification. The contractor must ensure that a sufficient reserve of staff is available to provide the service during holidays or absences.</w:t>
      </w:r>
    </w:p>
    <w:p w:rsidR="00675F73" w:rsidRPr="00D74C7F" w:rsidRDefault="00675F73" w:rsidP="00675F73">
      <w:pPr>
        <w:pStyle w:val="BodyText"/>
        <w:spacing w:before="120"/>
        <w:ind w:left="360"/>
        <w:jc w:val="left"/>
        <w:rPr>
          <w:rFonts w:cs="Arial"/>
          <w:sz w:val="22"/>
          <w:szCs w:val="22"/>
        </w:rPr>
      </w:pPr>
      <w:r w:rsidRPr="00D74C7F">
        <w:rPr>
          <w:rFonts w:cs="Arial"/>
          <w:sz w:val="22"/>
          <w:szCs w:val="22"/>
        </w:rPr>
        <w:t xml:space="preserve">The contractor must employ for the purpose of </w:t>
      </w:r>
      <w:proofErr w:type="gramStart"/>
      <w:r w:rsidRPr="00D74C7F">
        <w:rPr>
          <w:rFonts w:cs="Arial"/>
          <w:sz w:val="22"/>
          <w:szCs w:val="22"/>
        </w:rPr>
        <w:t>this</w:t>
      </w:r>
      <w:proofErr w:type="gramEnd"/>
      <w:r w:rsidRPr="00D74C7F">
        <w:rPr>
          <w:rFonts w:cs="Arial"/>
          <w:sz w:val="22"/>
          <w:szCs w:val="22"/>
        </w:rPr>
        <w:t xml:space="preserve"> contract staff who are, skilled and experienced in the duties required of them and must ensure that every person is properly and sufficiently trained and instructed and carry out the tasks with regard to:</w:t>
      </w:r>
    </w:p>
    <w:p w:rsidR="00675F73" w:rsidRPr="00D74C7F" w:rsidRDefault="00675F73" w:rsidP="00675F73">
      <w:pPr>
        <w:pStyle w:val="BodyText"/>
        <w:numPr>
          <w:ilvl w:val="0"/>
          <w:numId w:val="2"/>
        </w:numPr>
        <w:overflowPunct w:val="0"/>
        <w:autoSpaceDE w:val="0"/>
        <w:autoSpaceDN w:val="0"/>
        <w:adjustRightInd w:val="0"/>
        <w:spacing w:before="120"/>
        <w:ind w:left="709" w:hanging="283"/>
        <w:jc w:val="left"/>
        <w:textAlignment w:val="baseline"/>
        <w:rPr>
          <w:rFonts w:cs="Arial"/>
          <w:sz w:val="22"/>
          <w:szCs w:val="22"/>
        </w:rPr>
      </w:pPr>
      <w:r w:rsidRPr="00D74C7F">
        <w:rPr>
          <w:rFonts w:cs="Arial"/>
          <w:sz w:val="22"/>
          <w:szCs w:val="22"/>
        </w:rPr>
        <w:t>The task that person has to perform</w:t>
      </w:r>
    </w:p>
    <w:p w:rsidR="00675F73" w:rsidRPr="00D74C7F" w:rsidRDefault="00675F73" w:rsidP="00675F73">
      <w:pPr>
        <w:pStyle w:val="BodyText"/>
        <w:numPr>
          <w:ilvl w:val="0"/>
          <w:numId w:val="2"/>
        </w:numPr>
        <w:overflowPunct w:val="0"/>
        <w:autoSpaceDE w:val="0"/>
        <w:autoSpaceDN w:val="0"/>
        <w:adjustRightInd w:val="0"/>
        <w:spacing w:before="120"/>
        <w:ind w:left="709" w:hanging="283"/>
        <w:jc w:val="left"/>
        <w:textAlignment w:val="baseline"/>
        <w:rPr>
          <w:rFonts w:cs="Arial"/>
          <w:sz w:val="22"/>
          <w:szCs w:val="22"/>
        </w:rPr>
      </w:pPr>
      <w:r w:rsidRPr="00D74C7F">
        <w:rPr>
          <w:rFonts w:cs="Arial"/>
          <w:sz w:val="22"/>
          <w:szCs w:val="22"/>
        </w:rPr>
        <w:t xml:space="preserve">The requirements of </w:t>
      </w:r>
      <w:r w:rsidRPr="00D74C7F">
        <w:rPr>
          <w:rFonts w:cs="Arial"/>
          <w:b/>
          <w:sz w:val="22"/>
          <w:szCs w:val="22"/>
        </w:rPr>
        <w:t>Health and Safety at Work Act 1974</w:t>
      </w:r>
      <w:r w:rsidRPr="00D74C7F">
        <w:rPr>
          <w:rFonts w:cs="Arial"/>
          <w:sz w:val="22"/>
          <w:szCs w:val="22"/>
        </w:rPr>
        <w:t xml:space="preserve"> and all other relevant legislation and Codes of Practice applicable to the </w:t>
      </w:r>
      <w:r w:rsidR="00542FCC">
        <w:rPr>
          <w:rFonts w:cs="Arial"/>
          <w:sz w:val="22"/>
          <w:szCs w:val="22"/>
        </w:rPr>
        <w:t>Lift Maintenance</w:t>
      </w:r>
      <w:r w:rsidRPr="00D74C7F">
        <w:rPr>
          <w:rFonts w:cs="Arial"/>
          <w:sz w:val="22"/>
          <w:szCs w:val="22"/>
        </w:rPr>
        <w:t xml:space="preserve"> industry.</w:t>
      </w:r>
    </w:p>
    <w:p w:rsidR="00675F73" w:rsidRPr="00D74C7F" w:rsidRDefault="00675F73" w:rsidP="00675F73">
      <w:pPr>
        <w:pStyle w:val="BodyText"/>
        <w:numPr>
          <w:ilvl w:val="0"/>
          <w:numId w:val="2"/>
        </w:numPr>
        <w:overflowPunct w:val="0"/>
        <w:autoSpaceDE w:val="0"/>
        <w:autoSpaceDN w:val="0"/>
        <w:adjustRightInd w:val="0"/>
        <w:spacing w:before="120"/>
        <w:ind w:left="709" w:hanging="283"/>
        <w:jc w:val="left"/>
        <w:textAlignment w:val="baseline"/>
        <w:rPr>
          <w:rFonts w:cs="Arial"/>
          <w:sz w:val="22"/>
          <w:szCs w:val="22"/>
        </w:rPr>
      </w:pPr>
      <w:r w:rsidRPr="00D74C7F">
        <w:rPr>
          <w:rFonts w:cs="Arial"/>
          <w:sz w:val="22"/>
          <w:szCs w:val="22"/>
        </w:rPr>
        <w:t>To be fully trained and competent in the safe use of tools, machinery and equipment and where necessary are suitably qualified</w:t>
      </w:r>
    </w:p>
    <w:p w:rsidR="00675F73" w:rsidRPr="000203BD" w:rsidRDefault="00675F73" w:rsidP="00675F73">
      <w:pPr>
        <w:pStyle w:val="BodyText"/>
        <w:spacing w:before="120"/>
        <w:ind w:firstLine="360"/>
        <w:jc w:val="left"/>
        <w:rPr>
          <w:rFonts w:cs="Arial"/>
          <w:b/>
          <w:sz w:val="22"/>
          <w:szCs w:val="22"/>
        </w:rPr>
      </w:pPr>
      <w:r w:rsidRPr="000203BD">
        <w:rPr>
          <w:rFonts w:cs="Arial"/>
          <w:b/>
          <w:sz w:val="22"/>
          <w:szCs w:val="22"/>
        </w:rPr>
        <w:t>Code of Conduct of Staff:</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Be polite, courteous, </w:t>
      </w:r>
      <w:proofErr w:type="gramStart"/>
      <w:r w:rsidRPr="00D74C7F">
        <w:rPr>
          <w:rFonts w:cs="Arial"/>
          <w:sz w:val="22"/>
          <w:szCs w:val="22"/>
        </w:rPr>
        <w:t>helpful</w:t>
      </w:r>
      <w:proofErr w:type="gramEnd"/>
      <w:r w:rsidRPr="00D74C7F">
        <w:rPr>
          <w:rFonts w:cs="Arial"/>
          <w:sz w:val="22"/>
          <w:szCs w:val="22"/>
        </w:rPr>
        <w:t xml:space="preserve"> and promote a professional image to clients, staff and visitors at all times.</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Wear full </w:t>
      </w:r>
      <w:r>
        <w:rPr>
          <w:rFonts w:cs="Arial"/>
          <w:sz w:val="22"/>
          <w:szCs w:val="22"/>
        </w:rPr>
        <w:t>Supplier</w:t>
      </w:r>
      <w:r w:rsidRPr="00D74C7F">
        <w:rPr>
          <w:rFonts w:cs="Arial"/>
          <w:sz w:val="22"/>
          <w:szCs w:val="22"/>
        </w:rPr>
        <w:t xml:space="preserve"> uniform at all times. External clothing should carry visible reference to company name and service provided.</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Must display a clean and tidy appearance, hair must be clean and tidy.</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Not to commence work smelling of alcohol. Whilst on the Trust's sites the consumption of alcohol </w:t>
      </w:r>
      <w:proofErr w:type="gramStart"/>
      <w:r w:rsidRPr="00D74C7F">
        <w:rPr>
          <w:rFonts w:cs="Arial"/>
          <w:sz w:val="22"/>
          <w:szCs w:val="22"/>
        </w:rPr>
        <w:t>is not permitted</w:t>
      </w:r>
      <w:proofErr w:type="gramEnd"/>
      <w:r w:rsidRPr="00D74C7F">
        <w:rPr>
          <w:rFonts w:cs="Arial"/>
          <w:sz w:val="22"/>
          <w:szCs w:val="22"/>
        </w:rPr>
        <w:t>.</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Smoking within the site grounds or any building </w:t>
      </w:r>
      <w:proofErr w:type="gramStart"/>
      <w:r w:rsidRPr="00D74C7F">
        <w:rPr>
          <w:rFonts w:cs="Arial"/>
          <w:sz w:val="22"/>
          <w:szCs w:val="22"/>
        </w:rPr>
        <w:t>is not permitted</w:t>
      </w:r>
      <w:proofErr w:type="gramEnd"/>
      <w:r w:rsidRPr="00D74C7F">
        <w:rPr>
          <w:rFonts w:cs="Arial"/>
          <w:sz w:val="22"/>
          <w:szCs w:val="22"/>
        </w:rPr>
        <w:t>.</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Not to remove from any site keys belonging to the Trust. </w:t>
      </w:r>
      <w:proofErr w:type="gramStart"/>
      <w:r w:rsidRPr="00D74C7F">
        <w:rPr>
          <w:rFonts w:cs="Arial"/>
          <w:sz w:val="22"/>
          <w:szCs w:val="22"/>
        </w:rPr>
        <w:t>Keys which are given to the contractor for use on any site</w:t>
      </w:r>
      <w:proofErr w:type="gramEnd"/>
      <w:r w:rsidRPr="00D74C7F">
        <w:rPr>
          <w:rFonts w:cs="Arial"/>
          <w:sz w:val="22"/>
          <w:szCs w:val="22"/>
        </w:rPr>
        <w:t xml:space="preserve"> are to be handed in at the end of their work period. No copies of keys </w:t>
      </w:r>
      <w:proofErr w:type="gramStart"/>
      <w:r w:rsidRPr="00D74C7F">
        <w:rPr>
          <w:rFonts w:cs="Arial"/>
          <w:sz w:val="22"/>
          <w:szCs w:val="22"/>
        </w:rPr>
        <w:t>may be made</w:t>
      </w:r>
      <w:proofErr w:type="gramEnd"/>
      <w:r w:rsidRPr="00D74C7F">
        <w:rPr>
          <w:rFonts w:cs="Arial"/>
          <w:sz w:val="22"/>
          <w:szCs w:val="22"/>
        </w:rPr>
        <w:t xml:space="preserve"> without the expressed permission of the Trust’s Operational Estates Manager.</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Refrain from fraternising with clients, staff or visitors.</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Any kind of harassment of clients, staff or visitors </w:t>
      </w:r>
      <w:proofErr w:type="gramStart"/>
      <w:r w:rsidRPr="00D74C7F">
        <w:rPr>
          <w:rFonts w:cs="Arial"/>
          <w:sz w:val="22"/>
          <w:szCs w:val="22"/>
        </w:rPr>
        <w:t>will not be tolerated</w:t>
      </w:r>
      <w:proofErr w:type="gramEnd"/>
      <w:r w:rsidRPr="00D74C7F">
        <w:rPr>
          <w:rFonts w:cs="Arial"/>
          <w:sz w:val="22"/>
          <w:szCs w:val="22"/>
        </w:rPr>
        <w:t>, even if meant in fun.</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Not to bring or give drugs, tobacco products, lighters, matches or alcohol to anyone or pass these on to a client by any means.</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Not to give money to anyone.</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lastRenderedPageBreak/>
        <w:t>Record on your Activity work sheet any approach made by clients, staff or visitors, which have security implications</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Report any approach by anyone to the Estates Manager, who will pass the information to the appropriate personnel.</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Be accountable for every item in the work area including, tools, equipment, machinery and debris. This is very important, as clients may use anything to harm themselves. This is especially important when working in or adjacent to occupied buildings.</w:t>
      </w:r>
    </w:p>
    <w:p w:rsidR="00675F73" w:rsidRPr="00D74C7F" w:rsidRDefault="00675F73" w:rsidP="00675F73">
      <w:pPr>
        <w:pStyle w:val="BodyText"/>
        <w:spacing w:before="120"/>
        <w:ind w:left="360"/>
        <w:jc w:val="left"/>
        <w:rPr>
          <w:rFonts w:cs="Arial"/>
          <w:sz w:val="22"/>
          <w:szCs w:val="22"/>
        </w:rPr>
      </w:pPr>
    </w:p>
    <w:p w:rsidR="00675F73" w:rsidRPr="00D74C7F" w:rsidRDefault="00675F73" w:rsidP="00675F73">
      <w:pPr>
        <w:pStyle w:val="Heading3"/>
        <w:keepNext/>
        <w:numPr>
          <w:ilvl w:val="0"/>
          <w:numId w:val="1"/>
        </w:numPr>
        <w:spacing w:before="240" w:after="60"/>
        <w:jc w:val="left"/>
        <w:rPr>
          <w:rFonts w:cs="Arial"/>
          <w:b/>
          <w:sz w:val="22"/>
          <w:szCs w:val="22"/>
          <w:u w:val="single"/>
        </w:rPr>
      </w:pPr>
      <w:r w:rsidRPr="00D74C7F">
        <w:rPr>
          <w:rFonts w:cs="Arial"/>
          <w:b/>
          <w:sz w:val="22"/>
          <w:szCs w:val="22"/>
          <w:u w:val="single"/>
        </w:rPr>
        <w:t xml:space="preserve">Reporting Information </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 xml:space="preserve">It is envisaged that a formal review of performance and operational requirements will be undertaken once throughout the </w:t>
      </w:r>
      <w:proofErr w:type="gramStart"/>
      <w:r w:rsidRPr="00D74C7F">
        <w:rPr>
          <w:rFonts w:cs="Arial"/>
          <w:sz w:val="22"/>
          <w:szCs w:val="22"/>
        </w:rPr>
        <w:t>eight month</w:t>
      </w:r>
      <w:proofErr w:type="gramEnd"/>
      <w:r w:rsidRPr="00D74C7F">
        <w:rPr>
          <w:rFonts w:cs="Arial"/>
          <w:sz w:val="22"/>
          <w:szCs w:val="22"/>
        </w:rPr>
        <w:t xml:space="preserve"> period or as changes in the Trust's requirements occur.</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Monthly meetings with the Trust's Estates Manager and a Customer Representative form the Contractor are to be undertaken.</w:t>
      </w:r>
    </w:p>
    <w:p w:rsidR="00675F73" w:rsidRPr="00D74C7F" w:rsidRDefault="00675F73" w:rsidP="00675F73">
      <w:pPr>
        <w:pStyle w:val="Heading3"/>
        <w:keepNext/>
        <w:spacing w:before="240" w:after="60"/>
        <w:ind w:left="360"/>
        <w:jc w:val="left"/>
        <w:rPr>
          <w:rFonts w:cs="Arial"/>
          <w:b/>
          <w:sz w:val="22"/>
          <w:szCs w:val="22"/>
          <w:u w:val="single"/>
        </w:rPr>
      </w:pPr>
      <w:r w:rsidRPr="00D74C7F">
        <w:rPr>
          <w:rFonts w:cs="Arial"/>
          <w:sz w:val="22"/>
          <w:szCs w:val="22"/>
        </w:rPr>
        <w:t xml:space="preserve">The successful contractor will be required to submit </w:t>
      </w:r>
      <w:proofErr w:type="gramStart"/>
      <w:r w:rsidRPr="00D74C7F">
        <w:rPr>
          <w:rFonts w:cs="Arial"/>
          <w:sz w:val="22"/>
          <w:szCs w:val="22"/>
        </w:rPr>
        <w:t>activity monitoring</w:t>
      </w:r>
      <w:proofErr w:type="gramEnd"/>
      <w:r w:rsidRPr="00D74C7F">
        <w:rPr>
          <w:rFonts w:cs="Arial"/>
          <w:sz w:val="22"/>
          <w:szCs w:val="22"/>
        </w:rPr>
        <w:t xml:space="preserve"> sheets for each site </w:t>
      </w:r>
      <w:r w:rsidRPr="00D74C7F">
        <w:rPr>
          <w:rFonts w:cs="Arial"/>
          <w:b/>
          <w:sz w:val="22"/>
          <w:szCs w:val="22"/>
        </w:rPr>
        <w:t>[sheets will be provided by the Trust</w:t>
      </w:r>
      <w:r>
        <w:rPr>
          <w:rFonts w:cs="Arial"/>
          <w:sz w:val="22"/>
          <w:szCs w:val="22"/>
        </w:rPr>
        <w:t>] and a</w:t>
      </w:r>
      <w:r w:rsidRPr="00D74C7F">
        <w:rPr>
          <w:rFonts w:cs="Arial"/>
          <w:sz w:val="22"/>
          <w:szCs w:val="22"/>
        </w:rPr>
        <w:t xml:space="preserve"> programme of work to be undertaken at the various sites, divided into the four seasons, which gives a fully comprehensive plan of operations and tasks to be undertaken.</w:t>
      </w:r>
    </w:p>
    <w:p w:rsidR="00675F73" w:rsidRPr="00D74C7F" w:rsidRDefault="00675F73" w:rsidP="00675F73">
      <w:pPr>
        <w:pStyle w:val="Heading3"/>
        <w:keepNext/>
        <w:numPr>
          <w:ilvl w:val="0"/>
          <w:numId w:val="1"/>
        </w:numPr>
        <w:spacing w:before="240" w:after="60"/>
        <w:jc w:val="left"/>
        <w:rPr>
          <w:rFonts w:cs="Arial"/>
          <w:b/>
          <w:sz w:val="22"/>
          <w:szCs w:val="22"/>
          <w:u w:val="single"/>
        </w:rPr>
      </w:pPr>
      <w:r w:rsidRPr="00D74C7F">
        <w:rPr>
          <w:rFonts w:cs="Arial"/>
          <w:b/>
          <w:sz w:val="22"/>
          <w:szCs w:val="22"/>
          <w:u w:val="single"/>
        </w:rPr>
        <w:t>Confidentiality</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 xml:space="preserve">In accordance with the provisions and principals of the </w:t>
      </w:r>
      <w:r w:rsidRPr="00D74C7F">
        <w:rPr>
          <w:rFonts w:cs="Arial"/>
          <w:b/>
          <w:sz w:val="22"/>
          <w:szCs w:val="22"/>
        </w:rPr>
        <w:t xml:space="preserve">Data Protection Act 1998. </w:t>
      </w:r>
      <w:r w:rsidRPr="00D74C7F">
        <w:rPr>
          <w:rFonts w:cs="Arial"/>
          <w:sz w:val="22"/>
          <w:szCs w:val="22"/>
        </w:rPr>
        <w:t>The contractor and its staff must not disclose to any person other than a person authorised by the Trust any information acquired by them in connection with the contract or any of the following elements:</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The Trust, Clients, Staff or Procedures.</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The identity of any client at any of the Trust’s sites or establishments.</w:t>
      </w:r>
    </w:p>
    <w:p w:rsidR="00675F73" w:rsidRDefault="00675F73" w:rsidP="00675F73">
      <w:pPr>
        <w:pStyle w:val="Heading3"/>
        <w:keepNext/>
        <w:spacing w:before="240" w:after="60"/>
        <w:ind w:left="360"/>
        <w:jc w:val="left"/>
        <w:rPr>
          <w:rFonts w:cs="Arial"/>
          <w:sz w:val="22"/>
          <w:szCs w:val="22"/>
        </w:rPr>
      </w:pPr>
      <w:r w:rsidRPr="00D74C7F">
        <w:rPr>
          <w:rFonts w:cs="Arial"/>
          <w:sz w:val="22"/>
          <w:szCs w:val="22"/>
        </w:rPr>
        <w:t>The medical condition of or treatment received by any client</w:t>
      </w:r>
    </w:p>
    <w:p w:rsidR="00675F73" w:rsidRPr="00D74C7F" w:rsidRDefault="00675F73" w:rsidP="00675F73">
      <w:pPr>
        <w:pStyle w:val="MRNumberedHeading2"/>
        <w:numPr>
          <w:ilvl w:val="0"/>
          <w:numId w:val="1"/>
        </w:numPr>
        <w:rPr>
          <w:rFonts w:cs="Arial"/>
          <w:b/>
          <w:sz w:val="22"/>
          <w:szCs w:val="22"/>
          <w:u w:val="single"/>
        </w:rPr>
      </w:pPr>
      <w:r w:rsidRPr="00D74C7F">
        <w:rPr>
          <w:rFonts w:cs="Arial"/>
          <w:b/>
          <w:sz w:val="22"/>
          <w:szCs w:val="22"/>
          <w:u w:val="single"/>
        </w:rPr>
        <w:t xml:space="preserve">Corporate Social Responsibility </w:t>
      </w:r>
    </w:p>
    <w:p w:rsidR="00675F73" w:rsidRPr="00755293" w:rsidRDefault="00675F73" w:rsidP="00675F73">
      <w:pPr>
        <w:pStyle w:val="ListParagraph"/>
        <w:spacing w:before="100" w:beforeAutospacing="1" w:after="100" w:afterAutospacing="1"/>
        <w:ind w:left="360"/>
        <w:rPr>
          <w:sz w:val="22"/>
          <w:szCs w:val="22"/>
        </w:rPr>
      </w:pPr>
      <w:r w:rsidRPr="00EA527D">
        <w:rPr>
          <w:rFonts w:cs="Arial"/>
        </w:rPr>
        <w:t xml:space="preserve">The </w:t>
      </w:r>
      <w:r w:rsidRPr="00755293">
        <w:rPr>
          <w:rFonts w:cs="Arial"/>
          <w:sz w:val="22"/>
          <w:szCs w:val="22"/>
        </w:rPr>
        <w:t xml:space="preserve">Contractor </w:t>
      </w:r>
      <w:proofErr w:type="gramStart"/>
      <w:r w:rsidRPr="00755293">
        <w:rPr>
          <w:rFonts w:cs="Arial"/>
          <w:sz w:val="22"/>
          <w:szCs w:val="22"/>
        </w:rPr>
        <w:t>will be expected</w:t>
      </w:r>
      <w:proofErr w:type="gramEnd"/>
      <w:r w:rsidRPr="00755293">
        <w:rPr>
          <w:rFonts w:cs="Arial"/>
          <w:sz w:val="22"/>
          <w:szCs w:val="22"/>
        </w:rPr>
        <w:t xml:space="preserve"> to show its commitment to Corporate Social Responsibility and best practice. The contract shall comply with the supplier code of conduct as set out in section </w:t>
      </w:r>
      <w:proofErr w:type="gramStart"/>
      <w:r w:rsidRPr="00755293">
        <w:rPr>
          <w:rFonts w:cs="Arial"/>
          <w:sz w:val="22"/>
          <w:szCs w:val="22"/>
        </w:rPr>
        <w:t>A</w:t>
      </w:r>
      <w:proofErr w:type="gramEnd"/>
      <w:r w:rsidRPr="00755293">
        <w:rPr>
          <w:rFonts w:cs="Arial"/>
          <w:sz w:val="22"/>
          <w:szCs w:val="22"/>
        </w:rPr>
        <w:t xml:space="preserve"> annexe A2.</w:t>
      </w:r>
    </w:p>
    <w:p w:rsidR="00675F73" w:rsidRPr="00D74C7F" w:rsidRDefault="00675F73" w:rsidP="00675F73">
      <w:pPr>
        <w:pStyle w:val="Heading3"/>
        <w:keepNext/>
        <w:spacing w:before="240" w:after="60"/>
        <w:jc w:val="left"/>
        <w:rPr>
          <w:rFonts w:cs="Arial"/>
          <w:b/>
          <w:sz w:val="22"/>
          <w:szCs w:val="22"/>
          <w:u w:val="single"/>
        </w:rPr>
      </w:pPr>
    </w:p>
    <w:p w:rsidR="00675F73" w:rsidRPr="00D74C7F" w:rsidRDefault="00675F73" w:rsidP="00675F73">
      <w:pPr>
        <w:pStyle w:val="Heading3"/>
        <w:keepNext/>
        <w:numPr>
          <w:ilvl w:val="0"/>
          <w:numId w:val="1"/>
        </w:numPr>
        <w:spacing w:before="240" w:after="60"/>
        <w:jc w:val="left"/>
        <w:rPr>
          <w:rFonts w:cs="Arial"/>
          <w:b/>
          <w:sz w:val="22"/>
          <w:szCs w:val="22"/>
          <w:u w:val="single"/>
        </w:rPr>
      </w:pPr>
      <w:r w:rsidRPr="00D74C7F">
        <w:rPr>
          <w:rFonts w:cs="Arial"/>
          <w:b/>
          <w:sz w:val="22"/>
          <w:szCs w:val="22"/>
          <w:u w:val="single"/>
        </w:rPr>
        <w:t>General Data Protection Regulation Clause</w:t>
      </w:r>
    </w:p>
    <w:p w:rsidR="00675F73" w:rsidRPr="00D74C7F" w:rsidRDefault="00675F73" w:rsidP="00675F73">
      <w:pPr>
        <w:pStyle w:val="ListParagraph"/>
        <w:rPr>
          <w:rFonts w:cs="Arial"/>
          <w:b/>
          <w:sz w:val="22"/>
          <w:szCs w:val="22"/>
          <w:u w:val="single"/>
        </w:rPr>
      </w:pP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Parties acknowledge that for the purposes of the Data Protection Legislation, the Customer is the Controller and the Supplier is the Processor. The only processing that the Supplier is authorised to do is listed in Call </w:t>
      </w:r>
      <w:proofErr w:type="gramStart"/>
      <w:r w:rsidRPr="00755293">
        <w:rPr>
          <w:rFonts w:ascii="Arial" w:hAnsi="Arial" w:cs="Arial"/>
          <w:color w:val="000000"/>
          <w:sz w:val="22"/>
          <w:szCs w:val="22"/>
        </w:rPr>
        <w:t>Off</w:t>
      </w:r>
      <w:proofErr w:type="gramEnd"/>
      <w:r w:rsidRPr="00755293">
        <w:rPr>
          <w:rFonts w:ascii="Arial" w:hAnsi="Arial" w:cs="Arial"/>
          <w:color w:val="000000"/>
          <w:sz w:val="22"/>
          <w:szCs w:val="22"/>
        </w:rPr>
        <w:t xml:space="preserve"> Schedule 18 by the Customer and may not be determined by the Supplier.  </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lastRenderedPageBreak/>
        <w:t>The Supplier shall notify the Customer immediately if it considers that any of the Customer's instructions infringe the Data Protection Legislation.</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shall provide all reasonable assistance to the Customer in the preparation of any Data Protection Impact Assessment prior to commencing any processing.  Such assistance may, at the discretion of the Customer, include:</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 systematic description of the envisaged processing operations and the purpose of the processing;</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an assessment of the necessity and proportionality of the processing operations in relation to the Services;</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an assessment of the risks to the rights and freedoms of Data Subjects; and</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the</w:t>
      </w:r>
      <w:proofErr w:type="gramEnd"/>
      <w:r w:rsidRPr="00755293">
        <w:rPr>
          <w:rFonts w:ascii="Arial" w:hAnsi="Arial" w:cs="Arial"/>
          <w:color w:val="000000"/>
          <w:sz w:val="22"/>
          <w:szCs w:val="22"/>
        </w:rPr>
        <w:t xml:space="preserve"> measures envisaged to address the risks, including safeguards, security measures and mechanisms to ensure the protection of Personal Data.</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shall, in relation to any Personal Data processed in connection with its obligations under this Call-Off Contract:</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process</w:t>
      </w:r>
      <w:proofErr w:type="gramEnd"/>
      <w:r w:rsidRPr="00755293">
        <w:rPr>
          <w:rFonts w:ascii="Arial" w:hAnsi="Arial" w:cs="Arial"/>
          <w:color w:val="000000"/>
          <w:sz w:val="22"/>
          <w:szCs w:val="22"/>
        </w:rPr>
        <w:t xml:space="preserve"> that Personal Data only in accordance with Call Off Schedule 18 unless the Supplier is required to do otherwise by Law. If it is so required the Supplier shall promptly notify the Customer before processing the Personal Data unless prohibited by Law;</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ensure that it has in place Protective Measures, which have been reviewed and approved by the Customer as appropriate to protect against a Data Loss Event having taken account of the:</w:t>
      </w:r>
    </w:p>
    <w:p w:rsidR="00675F73" w:rsidRPr="00755293"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nature of the data to be protected;</w:t>
      </w:r>
    </w:p>
    <w:p w:rsidR="00675F73" w:rsidRPr="00755293"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harm that might result from a Data Loss Event;</w:t>
      </w:r>
    </w:p>
    <w:p w:rsidR="00675F73" w:rsidRPr="00755293"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state of technological development; and</w:t>
      </w:r>
    </w:p>
    <w:p w:rsidR="00675F73" w:rsidRPr="00755293"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cost of implementing any measures;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ensure that :</w:t>
      </w:r>
    </w:p>
    <w:p w:rsidR="00675F73" w:rsidRPr="00755293" w:rsidRDefault="00675F73" w:rsidP="00675F73">
      <w:pPr>
        <w:pStyle w:val="NormalWeb"/>
        <w:numPr>
          <w:ilvl w:val="4"/>
          <w:numId w:val="5"/>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Personnel do not process Personal Data except in accordance with this Call-Off Contract (and in particular Call Off Schedule 18;</w:t>
      </w:r>
    </w:p>
    <w:p w:rsidR="00675F73" w:rsidRPr="00755293" w:rsidRDefault="00675F73" w:rsidP="00675F73">
      <w:pPr>
        <w:pStyle w:val="NormalWeb"/>
        <w:numPr>
          <w:ilvl w:val="4"/>
          <w:numId w:val="5"/>
        </w:numPr>
        <w:spacing w:before="0" w:beforeAutospacing="0" w:after="120" w:afterAutospacing="0"/>
        <w:jc w:val="both"/>
        <w:textAlignment w:val="baseline"/>
        <w:rPr>
          <w:rFonts w:ascii="Arial" w:hAnsi="Arial" w:cs="Arial"/>
          <w:color w:val="000000"/>
          <w:sz w:val="22"/>
          <w:szCs w:val="22"/>
        </w:rPr>
      </w:pPr>
      <w:r w:rsidRPr="00F64328">
        <w:rPr>
          <w:rFonts w:ascii="Arial" w:hAnsi="Arial" w:cs="Arial"/>
          <w:color w:val="000000"/>
          <w:sz w:val="20"/>
          <w:szCs w:val="20"/>
        </w:rPr>
        <w:t xml:space="preserve">it </w:t>
      </w:r>
      <w:r w:rsidRPr="00755293">
        <w:rPr>
          <w:rFonts w:ascii="Arial" w:hAnsi="Arial" w:cs="Arial"/>
          <w:color w:val="000000"/>
          <w:sz w:val="22"/>
          <w:szCs w:val="22"/>
        </w:rPr>
        <w:t>takes all reasonable steps to ensure the reliability and integrity of any Supplier Personnel who have access to the Personal Data and ensure that they:</w:t>
      </w:r>
    </w:p>
    <w:p w:rsidR="00675F73" w:rsidRPr="00755293"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are aware of and comply with the Supplier’s duties under this clause;</w:t>
      </w:r>
    </w:p>
    <w:p w:rsidR="00675F73" w:rsidRPr="00755293"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are subject to appropriate confidentiality undertakings with the Supplier or any Sub-processor;</w:t>
      </w:r>
    </w:p>
    <w:p w:rsidR="00675F73" w:rsidRPr="00755293"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are informed of the confidential nature of the Personal Data and do not publish, disclose or divulge any of the Personal Data to any third party unless directed in writing to do so by the Customer or as otherwise permitted by this Call-Off Contract; and</w:t>
      </w:r>
    </w:p>
    <w:p w:rsidR="00675F73" w:rsidRPr="00755293"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have undergone adequate training in the use, care, protection and handling of</w:t>
      </w:r>
      <w:r w:rsidRPr="00F64328">
        <w:rPr>
          <w:rFonts w:ascii="Arial" w:hAnsi="Arial" w:cs="Arial"/>
          <w:color w:val="000000"/>
          <w:sz w:val="20"/>
          <w:szCs w:val="20"/>
        </w:rPr>
        <w:t xml:space="preserve"> </w:t>
      </w:r>
      <w:r w:rsidRPr="00755293">
        <w:rPr>
          <w:rFonts w:ascii="Arial" w:hAnsi="Arial" w:cs="Arial"/>
          <w:color w:val="000000"/>
          <w:sz w:val="22"/>
          <w:szCs w:val="22"/>
        </w:rPr>
        <w:t>Personal Data; and</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lastRenderedPageBreak/>
        <w:t>not transfer Personal Data outside of the European Economic Area unless the prior written consent of the Customer has been obtained and the following conditions are fulfilled:</w:t>
      </w:r>
    </w:p>
    <w:p w:rsidR="00675F73" w:rsidRPr="00755293" w:rsidRDefault="00675F73" w:rsidP="00675F73">
      <w:pPr>
        <w:pStyle w:val="NormalWeb"/>
        <w:numPr>
          <w:ilvl w:val="4"/>
          <w:numId w:val="7"/>
        </w:numPr>
        <w:spacing w:before="0" w:beforeAutospacing="0" w:after="120" w:afterAutospacing="0"/>
        <w:textAlignment w:val="baseline"/>
        <w:rPr>
          <w:rFonts w:ascii="Arial" w:hAnsi="Arial" w:cs="Arial"/>
          <w:color w:val="000000"/>
          <w:sz w:val="22"/>
          <w:szCs w:val="22"/>
        </w:rPr>
      </w:pPr>
      <w:r w:rsidRPr="00755293">
        <w:rPr>
          <w:rFonts w:ascii="Arial" w:hAnsi="Arial" w:cs="Arial"/>
          <w:color w:val="000000"/>
          <w:sz w:val="22"/>
          <w:szCs w:val="22"/>
        </w:rPr>
        <w:t>the Customer or the Supplier has provided appropriate safeguards in relation to the transfer;</w:t>
      </w:r>
    </w:p>
    <w:p w:rsidR="00675F73" w:rsidRPr="00755293" w:rsidRDefault="00675F73" w:rsidP="00675F73">
      <w:pPr>
        <w:pStyle w:val="NormalWeb"/>
        <w:numPr>
          <w:ilvl w:val="4"/>
          <w:numId w:val="7"/>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Data Subject has enforceable rights and effective legal remedies;</w:t>
      </w:r>
    </w:p>
    <w:p w:rsidR="00675F73" w:rsidRPr="00755293" w:rsidRDefault="00675F73" w:rsidP="00675F73">
      <w:pPr>
        <w:pStyle w:val="NormalWeb"/>
        <w:numPr>
          <w:ilvl w:val="4"/>
          <w:numId w:val="7"/>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complies with its obligations under the Data Protection Legislation by providing an adequate level of protection to any Personal Data that is transferred; and</w:t>
      </w:r>
    </w:p>
    <w:p w:rsidR="00675F73" w:rsidRPr="00755293" w:rsidRDefault="00675F73" w:rsidP="00675F73">
      <w:pPr>
        <w:pStyle w:val="NormalWeb"/>
        <w:numPr>
          <w:ilvl w:val="4"/>
          <w:numId w:val="7"/>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complies with any reasonable instructions notified to it in advance by the Customer with respect to the processing of the Personal Data;</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at</w:t>
      </w:r>
      <w:proofErr w:type="gramEnd"/>
      <w:r w:rsidRPr="00755293">
        <w:rPr>
          <w:rFonts w:ascii="Arial" w:hAnsi="Arial" w:cs="Arial"/>
          <w:color w:val="000000"/>
          <w:sz w:val="22"/>
          <w:szCs w:val="22"/>
        </w:rPr>
        <w:t xml:space="preserve"> the written direction of the Customer, delete or return Personal Data (and any copies of it) to the Customer on termination of the Call-Off Contract unless the Supplier is required by Law to retain the Personal Data.</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Subject to clause 34.7.6, the Supplier shall notify the Customer immediately if it:</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receives a Data Subject Access Request (or purported Data Subject Access Request);</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receives a request to rectify, block or erase any Personal Data;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receives any other request, complaint or communication relating to either Party's obligations under the Data Protection Legislation;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receives any communication from the Information Commissioner or any other regulatory Customer in connection with Personal Data processed under this Call-Off Contract;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receives a request from any third party for disclosure of Personal Data where compliance with such request is required or purported to be required by Law; or</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becomes</w:t>
      </w:r>
      <w:proofErr w:type="gramEnd"/>
      <w:r w:rsidRPr="00755293">
        <w:rPr>
          <w:rFonts w:ascii="Arial" w:hAnsi="Arial" w:cs="Arial"/>
          <w:color w:val="000000"/>
          <w:sz w:val="22"/>
          <w:szCs w:val="22"/>
        </w:rPr>
        <w:t xml:space="preserve"> aware of a Data Loss Event.</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Supplier’s obligation to notify under clause 34.7.5 shall include the provision of further information to the Customer in phases, as details become available. </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Taking into account the nature of the processing, the Supplier shall provide the Customer with full assistance  in relation to either party's obligations under Data Protection Legislation and any complaint, communication or request made under Clause 34.7.5 (and insofar as possible within the timescales reasonably required by the Customer) including by promptly providing:</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Customer with full details and copies of the complaint, communication or request;</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such assistance as is reasonably requested by the Customer to enable the Customer to comply with a Data Subject Access Request within the relevant timescales set out in the Data Protection Legislation;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Customer, at its request, with any Personal Data it holds in relation to a Data Subject;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lastRenderedPageBreak/>
        <w:t xml:space="preserve">assistance as requested by the Customer following any Data Loss Event;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assistance</w:t>
      </w:r>
      <w:proofErr w:type="gramEnd"/>
      <w:r w:rsidRPr="00755293">
        <w:rPr>
          <w:rFonts w:ascii="Arial" w:hAnsi="Arial" w:cs="Arial"/>
          <w:color w:val="000000"/>
          <w:sz w:val="22"/>
          <w:szCs w:val="22"/>
        </w:rPr>
        <w:t xml:space="preserve"> as requested by the Customer with respect to any request from the Information Commissioner’s Office, or any consultation by the Customer with the Information Commissioner's Office.</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shall maintain complete and accurate records and information to demonstrate its compliance with this clause. This requirement does not apply where the Supplier employs fewer than 250 staff, unless:</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Customer determines that the processing is not occasional;</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Customer determines the processing includes special categories of data as referred to in Article 9(1) of the </w:t>
      </w:r>
      <w:proofErr w:type="spellStart"/>
      <w:r w:rsidRPr="00755293">
        <w:rPr>
          <w:rFonts w:ascii="Arial" w:hAnsi="Arial" w:cs="Arial"/>
          <w:color w:val="000000"/>
          <w:sz w:val="22"/>
          <w:szCs w:val="22"/>
        </w:rPr>
        <w:t>GDPR</w:t>
      </w:r>
      <w:proofErr w:type="spellEnd"/>
      <w:r w:rsidRPr="00755293">
        <w:rPr>
          <w:rFonts w:ascii="Arial" w:hAnsi="Arial" w:cs="Arial"/>
          <w:color w:val="000000"/>
          <w:sz w:val="22"/>
          <w:szCs w:val="22"/>
        </w:rPr>
        <w:t xml:space="preserve"> or Personal Data relating to criminal convictions and offences referred to in Article 10 of the </w:t>
      </w:r>
      <w:proofErr w:type="spellStart"/>
      <w:r w:rsidRPr="00755293">
        <w:rPr>
          <w:rFonts w:ascii="Arial" w:hAnsi="Arial" w:cs="Arial"/>
          <w:color w:val="000000"/>
          <w:sz w:val="22"/>
          <w:szCs w:val="22"/>
        </w:rPr>
        <w:t>GDPR</w:t>
      </w:r>
      <w:proofErr w:type="spellEnd"/>
      <w:r w:rsidRPr="00755293">
        <w:rPr>
          <w:rFonts w:ascii="Arial" w:hAnsi="Arial" w:cs="Arial"/>
          <w:color w:val="000000"/>
          <w:sz w:val="22"/>
          <w:szCs w:val="22"/>
        </w:rPr>
        <w:t xml:space="preserve">; and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the</w:t>
      </w:r>
      <w:proofErr w:type="gramEnd"/>
      <w:r w:rsidRPr="00755293">
        <w:rPr>
          <w:rFonts w:ascii="Arial" w:hAnsi="Arial" w:cs="Arial"/>
          <w:color w:val="000000"/>
          <w:sz w:val="22"/>
          <w:szCs w:val="22"/>
        </w:rPr>
        <w:t xml:space="preserve"> Customer determines that the processing is likely to result in a risk to the rights and freedoms of Data Subjects.</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Supplier shall allow for audits of its Data Processing activity by the Customer or the </w:t>
      </w:r>
      <w:proofErr w:type="gramStart"/>
      <w:r w:rsidRPr="00755293">
        <w:rPr>
          <w:rFonts w:ascii="Arial" w:hAnsi="Arial" w:cs="Arial"/>
          <w:color w:val="000000"/>
          <w:sz w:val="22"/>
          <w:szCs w:val="22"/>
        </w:rPr>
        <w:t>Customer’s</w:t>
      </w:r>
      <w:proofErr w:type="gramEnd"/>
      <w:r w:rsidRPr="00755293">
        <w:rPr>
          <w:rFonts w:ascii="Arial" w:hAnsi="Arial" w:cs="Arial"/>
          <w:color w:val="000000"/>
          <w:sz w:val="22"/>
          <w:szCs w:val="22"/>
        </w:rPr>
        <w:t xml:space="preserve"> designated auditor.</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Supplier shall designate a Data Protection Officer if required by the Data Protection Legislation. </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Before allowing any Sub-processor to process any Personal Data related to this Call-Off Contract, the Supplier must:</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notify the Customer in writing of the intended Sub-processor and processing;</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obtain the written consent of the Customer;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enter into a written agreement with the Sub-processor which give effect to the terms set out in this clause 34.7 such that they apply to the Sub-processor; and</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provide</w:t>
      </w:r>
      <w:proofErr w:type="gramEnd"/>
      <w:r w:rsidRPr="00755293">
        <w:rPr>
          <w:rFonts w:ascii="Arial" w:hAnsi="Arial" w:cs="Arial"/>
          <w:color w:val="000000"/>
          <w:sz w:val="22"/>
          <w:szCs w:val="22"/>
        </w:rPr>
        <w:t xml:space="preserve"> the Customer with such information regarding the Sub-processor as the Customer may reasonably require.</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shall remain fully liable for all acts or omissions of any Sub-processor.</w:t>
      </w:r>
    </w:p>
    <w:p w:rsidR="00675F73" w:rsidRPr="00F64328" w:rsidRDefault="00675F73" w:rsidP="00675F73">
      <w:pPr>
        <w:pStyle w:val="NormalWeb"/>
        <w:numPr>
          <w:ilvl w:val="2"/>
          <w:numId w:val="8"/>
        </w:numPr>
        <w:spacing w:before="280" w:beforeAutospacing="0" w:after="120" w:afterAutospacing="0"/>
        <w:jc w:val="both"/>
        <w:textAlignment w:val="baseline"/>
        <w:rPr>
          <w:rFonts w:ascii="Arial" w:hAnsi="Arial" w:cs="Arial"/>
          <w:sz w:val="20"/>
          <w:szCs w:val="20"/>
        </w:rPr>
      </w:pPr>
      <w:r w:rsidRPr="00755293">
        <w:rPr>
          <w:rFonts w:ascii="Arial" w:hAnsi="Arial" w:cs="Arial"/>
          <w:color w:val="000000"/>
          <w:sz w:val="22"/>
          <w:szCs w:val="22"/>
        </w:rPr>
        <w:t>The Customer may, at any time on not less than 30 Working Days’ notice, revise this clause by replacing it with any applicable controller to processor standard clauses or</w:t>
      </w:r>
      <w:r w:rsidRPr="00F64328">
        <w:rPr>
          <w:rFonts w:ascii="Arial" w:hAnsi="Arial" w:cs="Arial"/>
          <w:color w:val="000000"/>
          <w:sz w:val="20"/>
          <w:szCs w:val="20"/>
        </w:rPr>
        <w:t xml:space="preserve"> similar terms forming part of an applicable certification scheme (which shall apply when incorporated by attachment to this Call-Off Contract).</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sz w:val="22"/>
          <w:szCs w:val="22"/>
        </w:rPr>
      </w:pPr>
      <w:r w:rsidRPr="00755293">
        <w:rPr>
          <w:rFonts w:ascii="Arial" w:hAnsi="Arial" w:cs="Arial"/>
          <w:color w:val="000000"/>
          <w:sz w:val="22"/>
          <w:szCs w:val="22"/>
        </w:rPr>
        <w:t xml:space="preserve">The Parties agree to take account of any non-mandatory guidance issued by the Information Commissioner’s Office publishes guidance. The Customer </w:t>
      </w:r>
      <w:proofErr w:type="gramStart"/>
      <w:r w:rsidRPr="00755293">
        <w:rPr>
          <w:rFonts w:ascii="Arial" w:hAnsi="Arial" w:cs="Arial"/>
          <w:color w:val="000000"/>
          <w:sz w:val="22"/>
          <w:szCs w:val="22"/>
        </w:rPr>
        <w:t>may on not less than 30 Working Days’ notice to the Supplier amend</w:t>
      </w:r>
      <w:proofErr w:type="gramEnd"/>
      <w:r w:rsidRPr="00755293">
        <w:rPr>
          <w:rFonts w:ascii="Arial" w:hAnsi="Arial" w:cs="Arial"/>
          <w:color w:val="000000"/>
          <w:sz w:val="22"/>
          <w:szCs w:val="22"/>
        </w:rPr>
        <w:t xml:space="preserve"> this Call-Off Contract to ensure that it complies with any guidance issued by the Information Commissioner’s Officer. </w:t>
      </w:r>
      <w:r w:rsidRPr="00755293">
        <w:rPr>
          <w:rFonts w:ascii="Arial" w:hAnsi="Arial" w:cs="Arial"/>
          <w:sz w:val="22"/>
          <w:szCs w:val="22"/>
        </w:rPr>
        <w:t xml:space="preserve"> </w:t>
      </w:r>
    </w:p>
    <w:p w:rsidR="00675F73" w:rsidRPr="00D74C7F" w:rsidRDefault="00675F73" w:rsidP="00675F73">
      <w:pPr>
        <w:pStyle w:val="Heading3"/>
        <w:keepNext/>
        <w:spacing w:before="240" w:after="60"/>
        <w:ind w:left="360"/>
        <w:jc w:val="left"/>
        <w:rPr>
          <w:rFonts w:cs="Arial"/>
          <w:b/>
          <w:sz w:val="22"/>
          <w:szCs w:val="22"/>
          <w:u w:val="single"/>
        </w:rPr>
      </w:pPr>
    </w:p>
    <w:p w:rsidR="00675F73" w:rsidRPr="00E1321F" w:rsidRDefault="00675F73" w:rsidP="00675F73">
      <w:pPr>
        <w:ind w:right="84"/>
        <w:rPr>
          <w:rFonts w:ascii="Tahoma" w:hAnsi="Tahoma" w:cs="Tahoma"/>
        </w:rPr>
      </w:pPr>
    </w:p>
    <w:p w:rsidR="00675F73" w:rsidRPr="00E1321F" w:rsidRDefault="00675F73" w:rsidP="00675F73">
      <w:pPr>
        <w:ind w:right="84"/>
        <w:rPr>
          <w:rFonts w:ascii="Tahoma" w:hAnsi="Tahoma" w:cs="Tahoma"/>
        </w:rPr>
      </w:pPr>
    </w:p>
    <w:p w:rsidR="00675F73" w:rsidRPr="00AB7A93" w:rsidRDefault="00675F73" w:rsidP="00675F73">
      <w:pPr>
        <w:ind w:left="785"/>
        <w:rPr>
          <w:rFonts w:cs="Arial"/>
        </w:rPr>
      </w:pPr>
    </w:p>
    <w:p w:rsidR="00675F73" w:rsidRPr="000242E6" w:rsidRDefault="00675F73" w:rsidP="00675F73">
      <w:pPr>
        <w:ind w:left="1069"/>
        <w:rPr>
          <w:rFonts w:cs="Arial"/>
        </w:rPr>
      </w:pPr>
    </w:p>
    <w:p w:rsidR="00675F73" w:rsidRPr="000242E6" w:rsidRDefault="00675F73" w:rsidP="00675F73">
      <w:pPr>
        <w:rPr>
          <w:rFonts w:cs="Arial"/>
        </w:rPr>
      </w:pPr>
      <w:r w:rsidRPr="000242E6">
        <w:rPr>
          <w:rFonts w:cs="Arial"/>
          <w:b/>
          <w:color w:val="000000"/>
          <w:u w:val="single"/>
        </w:rPr>
        <w:t xml:space="preserve">  </w:t>
      </w:r>
    </w:p>
    <w:p w:rsidR="00675F73" w:rsidRDefault="00675F73" w:rsidP="00675F73">
      <w:pPr>
        <w:spacing w:after="240"/>
        <w:jc w:val="left"/>
      </w:pPr>
    </w:p>
    <w:p w:rsidR="00675F73" w:rsidRDefault="00675F73" w:rsidP="00675F73">
      <w:pPr>
        <w:spacing w:after="240"/>
        <w:jc w:val="left"/>
      </w:pPr>
    </w:p>
    <w:p w:rsidR="00675F73" w:rsidRDefault="00675F73" w:rsidP="00675F73">
      <w:pPr>
        <w:spacing w:after="240"/>
        <w:jc w:val="left"/>
        <w:rPr>
          <w:rFonts w:eastAsia="Times New Roman" w:cs="Arial"/>
          <w:b/>
          <w:lang w:eastAsia="en-GB"/>
        </w:rPr>
      </w:pPr>
    </w:p>
    <w:p w:rsidR="008E2E0C" w:rsidRDefault="008E2E0C"/>
    <w:sectPr w:rsidR="008E2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7D4"/>
    <w:multiLevelType w:val="multilevel"/>
    <w:tmpl w:val="2E445D7C"/>
    <w:lvl w:ilvl="0">
      <w:start w:val="1"/>
      <w:numFmt w:val="decimal"/>
      <w:pStyle w:val="Level1"/>
      <w:lvlText w:val="%1."/>
      <w:lvlJc w:val="left"/>
      <w:pPr>
        <w:tabs>
          <w:tab w:val="num" w:pos="850"/>
        </w:tabs>
        <w:ind w:left="850" w:hanging="850"/>
      </w:pPr>
      <w:rPr>
        <w:rFonts w:cs="Times New Roman"/>
        <w:b/>
        <w:i w:val="0"/>
        <w:caps w:val="0"/>
        <w:smallCaps w:val="0"/>
        <w:strike w:val="0"/>
        <w:dstrike w:val="0"/>
        <w:vanish w:val="0"/>
        <w:webHidden w:val="0"/>
        <w:color w:val="000000"/>
        <w:sz w:val="24"/>
        <w:szCs w:val="24"/>
        <w:u w:val="none"/>
        <w:effect w:val="none"/>
        <w:vertAlign w:val="baseline"/>
        <w:specVanish w:val="0"/>
      </w:rPr>
    </w:lvl>
    <w:lvl w:ilvl="1">
      <w:start w:val="1"/>
      <w:numFmt w:val="decimal"/>
      <w:pStyle w:val="Level2"/>
      <w:lvlText w:val="%1.%2"/>
      <w:lvlJc w:val="left"/>
      <w:pPr>
        <w:tabs>
          <w:tab w:val="num" w:pos="1560"/>
        </w:tabs>
        <w:ind w:left="1560" w:hanging="850"/>
      </w:pPr>
      <w:rPr>
        <w:rFonts w:cs="Times New Roman"/>
        <w:b/>
        <w:i w:val="0"/>
        <w:caps w:val="0"/>
        <w:smallCaps w:val="0"/>
        <w:strike w:val="0"/>
        <w:dstrike w:val="0"/>
        <w:vanish w:val="0"/>
        <w:webHidden w:val="0"/>
        <w:color w:val="000000"/>
        <w:sz w:val="22"/>
        <w:szCs w:val="22"/>
        <w:u w:val="none"/>
        <w:effect w:val="none"/>
        <w:vertAlign w:val="baseline"/>
        <w:specVanish w:val="0"/>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webHidden w:val="0"/>
        <w:color w:val="000000"/>
        <w:u w:val="none"/>
        <w:effect w:val="none"/>
        <w:vertAlign w:val="baseline"/>
        <w:specVanish w:val="0"/>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webHidden w:val="0"/>
        <w:color w:val="000000"/>
        <w:u w:val="none"/>
        <w:effect w:val="none"/>
        <w:vertAlign w:val="baseline"/>
        <w:specVanish w:val="0"/>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webHidden w:val="0"/>
        <w:color w:val="000000"/>
        <w:u w:val="none"/>
        <w:effect w:val="none"/>
        <w:vertAlign w:val="baseline"/>
        <w:specVanish w:val="0"/>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rPr>
    </w:lvl>
  </w:abstractNum>
  <w:abstractNum w:abstractNumId="1" w15:restartNumberingAfterBreak="0">
    <w:nsid w:val="157B3DB2"/>
    <w:multiLevelType w:val="multilevel"/>
    <w:tmpl w:val="CEEA7BD0"/>
    <w:lvl w:ilvl="0">
      <w:start w:val="1"/>
      <w:numFmt w:val="decimal"/>
      <w:lvlText w:val="%1."/>
      <w:lvlJc w:val="left"/>
      <w:pPr>
        <w:ind w:left="360" w:hanging="360"/>
      </w:pPr>
      <w:rPr>
        <w:b/>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375D31"/>
    <w:multiLevelType w:val="hybridMultilevel"/>
    <w:tmpl w:val="DAD6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E30CD3"/>
    <w:multiLevelType w:val="multilevel"/>
    <w:tmpl w:val="988CB8E4"/>
    <w:lvl w:ilvl="0">
      <w:start w:val="34"/>
      <w:numFmt w:val="decimal"/>
      <w:lvlText w:val="%1"/>
      <w:lvlJc w:val="left"/>
      <w:pPr>
        <w:ind w:left="570" w:hanging="570"/>
      </w:pPr>
      <w:rPr>
        <w:rFonts w:hint="default"/>
        <w:color w:val="auto"/>
      </w:rPr>
    </w:lvl>
    <w:lvl w:ilvl="1">
      <w:start w:val="7"/>
      <w:numFmt w:val="decimal"/>
      <w:lvlText w:val="%1.%2"/>
      <w:lvlJc w:val="left"/>
      <w:pPr>
        <w:ind w:left="1470" w:hanging="570"/>
      </w:pPr>
      <w:rPr>
        <w:rFonts w:hint="default"/>
        <w:color w:val="auto"/>
      </w:rPr>
    </w:lvl>
    <w:lvl w:ilvl="2">
      <w:start w:val="1"/>
      <w:numFmt w:val="upperLetter"/>
      <w:lvlText w:val="%3."/>
      <w:lvlJc w:val="left"/>
      <w:pPr>
        <w:ind w:left="1146" w:hanging="720"/>
      </w:pPr>
      <w:rPr>
        <w:rFonts w:hint="default"/>
        <w:color w:val="auto"/>
      </w:rPr>
    </w:lvl>
    <w:lvl w:ilvl="3">
      <w:start w:val="1"/>
      <w:numFmt w:val="upperRoman"/>
      <w:lvlText w:val="%4."/>
      <w:lvlJc w:val="right"/>
      <w:pPr>
        <w:ind w:left="228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4" w15:restartNumberingAfterBreak="0">
    <w:nsid w:val="20964637"/>
    <w:multiLevelType w:val="multilevel"/>
    <w:tmpl w:val="9F982E6C"/>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487"/>
        </w:tabs>
        <w:ind w:left="2487"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36645B9"/>
    <w:multiLevelType w:val="hybridMultilevel"/>
    <w:tmpl w:val="DF6CC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D67B5"/>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345"/>
        </w:tabs>
        <w:ind w:left="2345"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F865AA3"/>
    <w:multiLevelType w:val="hybridMultilevel"/>
    <w:tmpl w:val="89ECB584"/>
    <w:lvl w:ilvl="0" w:tplc="17D213A4">
      <w:start w:val="1"/>
      <w:numFmt w:val="lowerRoman"/>
      <w:lvlText w:val="%1."/>
      <w:lvlJc w:val="left"/>
      <w:pPr>
        <w:ind w:left="1996" w:hanging="720"/>
      </w:pPr>
      <w:rPr>
        <w:rFonts w:ascii="Arial" w:eastAsia="Times New Roman" w:hAnsi="Arial" w:cs="Arial"/>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4C0D5AFB"/>
    <w:multiLevelType w:val="multilevel"/>
    <w:tmpl w:val="22FA2C08"/>
    <w:lvl w:ilvl="0">
      <w:start w:val="1"/>
      <w:numFmt w:val="decimal"/>
      <w:lvlText w:val="%1)"/>
      <w:lvlJc w:val="left"/>
      <w:pPr>
        <w:tabs>
          <w:tab w:val="left" w:pos="2160"/>
        </w:tabs>
        <w:ind w:left="216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E479AD"/>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628"/>
        </w:tabs>
        <w:ind w:left="2628"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2"/>
  </w:num>
  <w:num w:numId="3">
    <w:abstractNumId w:val="5"/>
  </w:num>
  <w:num w:numId="4">
    <w:abstractNumId w:val="4"/>
  </w:num>
  <w:num w:numId="5">
    <w:abstractNumId w:val="9"/>
  </w:num>
  <w:num w:numId="6">
    <w:abstractNumId w:val="7"/>
  </w:num>
  <w:num w:numId="7">
    <w:abstractNumId w:val="6"/>
  </w:num>
  <w:num w:numId="8">
    <w:abstractNumId w:val="3"/>
  </w:num>
  <w:num w:numId="9">
    <w:abstractNumId w:val="8"/>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73"/>
    <w:rsid w:val="0003783B"/>
    <w:rsid w:val="00393E76"/>
    <w:rsid w:val="003E3471"/>
    <w:rsid w:val="004570EE"/>
    <w:rsid w:val="00542FCC"/>
    <w:rsid w:val="00675F73"/>
    <w:rsid w:val="007E5F06"/>
    <w:rsid w:val="007F569B"/>
    <w:rsid w:val="008E2E0C"/>
    <w:rsid w:val="009B56A4"/>
    <w:rsid w:val="00D7567B"/>
    <w:rsid w:val="00D77CC8"/>
    <w:rsid w:val="00E86C5D"/>
    <w:rsid w:val="00F70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1543"/>
  <w15:chartTrackingRefBased/>
  <w15:docId w15:val="{64CCB4DC-10D5-42DE-8424-3285E30C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F73"/>
    <w:pPr>
      <w:spacing w:after="0" w:line="240" w:lineRule="auto"/>
      <w:jc w:val="both"/>
    </w:pPr>
    <w:rPr>
      <w:rFonts w:ascii="Arial" w:hAnsi="Arial"/>
      <w:sz w:val="20"/>
      <w:szCs w:val="20"/>
    </w:rPr>
  </w:style>
  <w:style w:type="paragraph" w:styleId="Heading1">
    <w:name w:val="heading 1"/>
    <w:basedOn w:val="Normal"/>
    <w:next w:val="Normal"/>
    <w:link w:val="Heading1Char"/>
    <w:uiPriority w:val="9"/>
    <w:qFormat/>
    <w:rsid w:val="00393E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5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MCheading3"/>
    <w:link w:val="Heading3Char"/>
    <w:uiPriority w:val="1"/>
    <w:qFormat/>
    <w:rsid w:val="00675F73"/>
    <w:pPr>
      <w:spacing w:after="240" w:line="240" w:lineRule="auto"/>
      <w:jc w:val="both"/>
      <w:outlineLvl w:val="2"/>
    </w:pPr>
    <w:rPr>
      <w:rFonts w:ascii="Arial" w:eastAsia="Times New Roman" w:hAnsi="Arial" w:cs="Times New Roman"/>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Cheading3 Char"/>
    <w:basedOn w:val="DefaultParagraphFont"/>
    <w:link w:val="Heading3"/>
    <w:uiPriority w:val="1"/>
    <w:rsid w:val="00675F73"/>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675F73"/>
    <w:rPr>
      <w:color w:val="0563C1" w:themeColor="hyperlink"/>
      <w:u w:val="single"/>
    </w:rPr>
  </w:style>
  <w:style w:type="paragraph" w:styleId="NormalWeb">
    <w:name w:val="Normal (Web)"/>
    <w:basedOn w:val="Normal"/>
    <w:uiPriority w:val="99"/>
    <w:unhideWhenUsed/>
    <w:rsid w:val="00675F73"/>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MRNumberedHeading2">
    <w:name w:val="M&amp;R Numbered Heading 2"/>
    <w:basedOn w:val="Normal"/>
    <w:rsid w:val="00675F73"/>
    <w:pPr>
      <w:spacing w:before="240"/>
      <w:outlineLvl w:val="1"/>
    </w:pPr>
    <w:rPr>
      <w:rFonts w:eastAsia="Times New Roman" w:cs="Times New Roman"/>
      <w:szCs w:val="24"/>
      <w:lang w:eastAsia="en-GB"/>
    </w:rPr>
  </w:style>
  <w:style w:type="paragraph" w:styleId="ListParagraph">
    <w:name w:val="List Paragraph"/>
    <w:aliases w:val="Text"/>
    <w:basedOn w:val="Normal"/>
    <w:uiPriority w:val="99"/>
    <w:unhideWhenUsed/>
    <w:qFormat/>
    <w:rsid w:val="00675F73"/>
    <w:pPr>
      <w:ind w:left="720"/>
      <w:contextualSpacing/>
    </w:pPr>
  </w:style>
  <w:style w:type="paragraph" w:styleId="BodyText">
    <w:name w:val="Body Text"/>
    <w:basedOn w:val="Normal"/>
    <w:link w:val="BodyTextChar"/>
    <w:uiPriority w:val="99"/>
    <w:semiHidden/>
    <w:unhideWhenUsed/>
    <w:rsid w:val="00675F73"/>
    <w:pPr>
      <w:spacing w:after="120"/>
    </w:pPr>
  </w:style>
  <w:style w:type="character" w:customStyle="1" w:styleId="BodyTextChar">
    <w:name w:val="Body Text Char"/>
    <w:basedOn w:val="DefaultParagraphFont"/>
    <w:link w:val="BodyText"/>
    <w:uiPriority w:val="99"/>
    <w:semiHidden/>
    <w:rsid w:val="00675F73"/>
    <w:rPr>
      <w:rFonts w:ascii="Arial" w:hAnsi="Arial"/>
      <w:sz w:val="20"/>
      <w:szCs w:val="20"/>
    </w:rPr>
  </w:style>
  <w:style w:type="character" w:customStyle="1" w:styleId="Heading2Char">
    <w:name w:val="Heading 2 Char"/>
    <w:basedOn w:val="DefaultParagraphFont"/>
    <w:link w:val="Heading2"/>
    <w:uiPriority w:val="9"/>
    <w:rsid w:val="00675F7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675F7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3E76"/>
    <w:rPr>
      <w:rFonts w:asciiTheme="majorHAnsi" w:eastAsiaTheme="majorEastAsia" w:hAnsiTheme="majorHAnsi" w:cstheme="majorBidi"/>
      <w:color w:val="2E74B5" w:themeColor="accent1" w:themeShade="BF"/>
      <w:sz w:val="32"/>
      <w:szCs w:val="32"/>
    </w:rPr>
  </w:style>
  <w:style w:type="paragraph" w:customStyle="1" w:styleId="Level1">
    <w:name w:val="Level 1"/>
    <w:basedOn w:val="Normal"/>
    <w:uiPriority w:val="99"/>
    <w:rsid w:val="00542FCC"/>
    <w:pPr>
      <w:numPr>
        <w:numId w:val="10"/>
      </w:numPr>
      <w:spacing w:after="240"/>
      <w:outlineLvl w:val="0"/>
    </w:pPr>
    <w:rPr>
      <w:rFonts w:eastAsia="Times New Roman" w:cs="Arial"/>
      <w:b/>
      <w:color w:val="0070C0"/>
      <w:sz w:val="24"/>
      <w:u w:color="000000"/>
    </w:rPr>
  </w:style>
  <w:style w:type="paragraph" w:customStyle="1" w:styleId="Level2">
    <w:name w:val="Level 2"/>
    <w:basedOn w:val="Normal"/>
    <w:uiPriority w:val="99"/>
    <w:rsid w:val="00542FCC"/>
    <w:pPr>
      <w:numPr>
        <w:ilvl w:val="1"/>
        <w:numId w:val="10"/>
      </w:numPr>
      <w:spacing w:after="240"/>
      <w:outlineLvl w:val="1"/>
    </w:pPr>
    <w:rPr>
      <w:rFonts w:eastAsia="Times New Roman" w:cs="Arial"/>
      <w:sz w:val="24"/>
      <w:u w:color="000000"/>
    </w:rPr>
  </w:style>
  <w:style w:type="paragraph" w:customStyle="1" w:styleId="Level3">
    <w:name w:val="Level 3"/>
    <w:basedOn w:val="Normal"/>
    <w:rsid w:val="00542FCC"/>
    <w:pPr>
      <w:numPr>
        <w:ilvl w:val="2"/>
        <w:numId w:val="10"/>
      </w:numPr>
      <w:spacing w:after="240"/>
      <w:outlineLvl w:val="2"/>
    </w:pPr>
    <w:rPr>
      <w:rFonts w:eastAsia="Times New Roman" w:cs="Arial"/>
      <w:sz w:val="24"/>
      <w:u w:color="000000"/>
    </w:rPr>
  </w:style>
  <w:style w:type="paragraph" w:customStyle="1" w:styleId="Level4">
    <w:name w:val="Level 4"/>
    <w:basedOn w:val="Normal"/>
    <w:uiPriority w:val="99"/>
    <w:rsid w:val="00542FCC"/>
    <w:pPr>
      <w:numPr>
        <w:ilvl w:val="3"/>
        <w:numId w:val="10"/>
      </w:numPr>
      <w:spacing w:after="240"/>
      <w:outlineLvl w:val="3"/>
    </w:pPr>
    <w:rPr>
      <w:rFonts w:eastAsia="Times New Roman" w:cs="Arial"/>
      <w:u w:color="000000"/>
    </w:rPr>
  </w:style>
  <w:style w:type="paragraph" w:customStyle="1" w:styleId="Level5">
    <w:name w:val="Level 5"/>
    <w:basedOn w:val="Normal"/>
    <w:uiPriority w:val="99"/>
    <w:rsid w:val="00542FCC"/>
    <w:pPr>
      <w:numPr>
        <w:ilvl w:val="4"/>
        <w:numId w:val="10"/>
      </w:numPr>
      <w:spacing w:after="240"/>
      <w:outlineLvl w:val="4"/>
    </w:pPr>
    <w:rPr>
      <w:rFonts w:eastAsia="Times New Roman" w:cs="Arial"/>
      <w:u w:color="000000"/>
    </w:rPr>
  </w:style>
  <w:style w:type="paragraph" w:customStyle="1" w:styleId="Level6">
    <w:name w:val="Level 6"/>
    <w:basedOn w:val="Normal"/>
    <w:uiPriority w:val="99"/>
    <w:rsid w:val="00542FCC"/>
    <w:pPr>
      <w:numPr>
        <w:ilvl w:val="5"/>
        <w:numId w:val="10"/>
      </w:numPr>
      <w:spacing w:after="240"/>
      <w:outlineLvl w:val="5"/>
    </w:pPr>
    <w:rPr>
      <w:rFonts w:eastAsia="Times New Roman" w:cs="Arial"/>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Bushell</dc:creator>
  <cp:keywords/>
  <dc:description/>
  <cp:lastModifiedBy>Gemma Bushell</cp:lastModifiedBy>
  <cp:revision>5</cp:revision>
  <dcterms:created xsi:type="dcterms:W3CDTF">2019-09-13T07:23:00Z</dcterms:created>
  <dcterms:modified xsi:type="dcterms:W3CDTF">2019-09-19T09:55:00Z</dcterms:modified>
</cp:coreProperties>
</file>