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9F37" w14:textId="0FC3614A" w:rsidR="00B43A6A" w:rsidRPr="00ED4A81" w:rsidRDefault="00B43A6A" w:rsidP="00457A39">
      <w:pPr>
        <w:pStyle w:val="GPSSchTitleandNumber"/>
        <w:tabs>
          <w:tab w:val="left" w:pos="5715"/>
        </w:tabs>
        <w:spacing w:after="200" w:line="276" w:lineRule="auto"/>
        <w:jc w:val="left"/>
        <w:rPr>
          <w:rFonts w:cs="Arial" w:hint="eastAsia"/>
          <w:caps w:val="0"/>
          <w:sz w:val="36"/>
          <w:szCs w:val="36"/>
        </w:rPr>
      </w:pPr>
      <w:r w:rsidRPr="00ED4A81">
        <w:rPr>
          <w:rFonts w:cs="Arial"/>
          <w:caps w:val="0"/>
          <w:sz w:val="36"/>
          <w:szCs w:val="36"/>
        </w:rPr>
        <w:t xml:space="preserve">Schedule </w:t>
      </w:r>
      <w:r w:rsidR="002E2AB2">
        <w:rPr>
          <w:rFonts w:cs="Arial"/>
          <w:caps w:val="0"/>
          <w:sz w:val="36"/>
          <w:szCs w:val="36"/>
        </w:rPr>
        <w:t>6</w:t>
      </w:r>
      <w:r w:rsidR="00A534F6">
        <w:rPr>
          <w:rFonts w:cs="Arial"/>
          <w:caps w:val="0"/>
          <w:sz w:val="36"/>
          <w:szCs w:val="36"/>
        </w:rPr>
        <w:t xml:space="preserve"> </w:t>
      </w:r>
      <w:r w:rsidRPr="00ED4A81">
        <w:rPr>
          <w:rFonts w:cs="Arial"/>
          <w:caps w:val="0"/>
          <w:sz w:val="36"/>
          <w:szCs w:val="36"/>
        </w:rPr>
        <w:t>(Transparency Reports)</w:t>
      </w:r>
    </w:p>
    <w:p w14:paraId="0585B369" w14:textId="0FD33EA4" w:rsidR="006F181E" w:rsidRPr="00B43A6A" w:rsidRDefault="00A044CC" w:rsidP="00457A39">
      <w:pPr>
        <w:pStyle w:val="GPSL2Numbered"/>
        <w:rPr>
          <w:rFonts w:eastAsia="Calibri"/>
          <w:color w:val="000000"/>
        </w:rPr>
      </w:pPr>
      <w:r w:rsidRPr="00B43A6A">
        <w:rPr>
          <w:rFonts w:eastAsia="Calibri"/>
          <w:color w:val="000000"/>
        </w:rPr>
        <w:t>The Supplier recognises that the Buyer is subject to PPN 01/17 (Updates to transparency principles v1.1 (</w:t>
      </w:r>
      <w:hyperlink r:id="rId11" w:history="1">
        <w:r w:rsidRPr="00B43A6A">
          <w:rPr>
            <w:rStyle w:val="Hyperlink"/>
            <w:rFonts w:eastAsia="Calibri"/>
            <w:szCs w:val="24"/>
            <w:lang w:eastAsia="en-GB"/>
          </w:rPr>
          <w:t>https://www.gov.uk/government/publications/procurement-policy-note-0117-update-to-transparency-principles</w:t>
        </w:r>
      </w:hyperlink>
      <w:r w:rsidRPr="00B43A6A">
        <w:rPr>
          <w:rFonts w:eastAsia="Calibri"/>
          <w:color w:val="000000"/>
        </w:rPr>
        <w:t>). The Supplier shall comply with the provisions of this Schedule in order to assist the Buyer with its compliance with its obligations under that PPN.</w:t>
      </w:r>
    </w:p>
    <w:p w14:paraId="467AD345" w14:textId="50CA4CDF" w:rsidR="006F181E" w:rsidRPr="00B43A6A" w:rsidRDefault="00A044CC" w:rsidP="00457A39">
      <w:pPr>
        <w:pStyle w:val="GPSL2Numbered"/>
        <w:rPr>
          <w:rFonts w:eastAsia="Calibri"/>
        </w:rPr>
      </w:pPr>
      <w:r w:rsidRPr="00B43A6A">
        <w:rPr>
          <w:rFonts w:eastAsia="Calibri"/>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6ECDEC" w14:textId="62185EE2" w:rsidR="006F181E" w:rsidRPr="00B43A6A" w:rsidRDefault="00A044CC" w:rsidP="00457A39">
      <w:pPr>
        <w:pStyle w:val="GPSL2Numbered"/>
        <w:rPr>
          <w:rFonts w:eastAsia="Calibri"/>
        </w:rPr>
      </w:pPr>
      <w:r w:rsidRPr="00B43A6A">
        <w:rPr>
          <w:rFonts w:eastAsia="Calibri"/>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D794575" w14:textId="4E8647D4" w:rsidR="00ED4A81" w:rsidRDefault="00A044CC" w:rsidP="00457A39">
      <w:pPr>
        <w:pStyle w:val="GPSL2Numbered"/>
        <w:rPr>
          <w:rFonts w:eastAsia="Calibri"/>
        </w:rPr>
      </w:pPr>
      <w:r w:rsidRPr="00B43A6A">
        <w:rPr>
          <w:rFonts w:eastAsia="Calibri"/>
        </w:rPr>
        <w:t>The Supplier shall provide accurate and up-to-date versions of each Transparency Report to the Buyer at the frequency referred to in the Annex of this Schedule.</w:t>
      </w:r>
    </w:p>
    <w:p w14:paraId="506A4C61"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10E352E2" w14:textId="77777777" w:rsidR="006F181E" w:rsidRPr="004E540A" w:rsidRDefault="004E540A" w:rsidP="00457A39">
      <w:pPr>
        <w:pStyle w:val="TSOLScheduleAnnexName"/>
        <w:keepNext/>
        <w:spacing w:after="200" w:line="276" w:lineRule="auto"/>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72"/>
        <w:gridCol w:w="1929"/>
        <w:gridCol w:w="2248"/>
      </w:tblGrid>
      <w:tr w:rsidR="006F181E" w:rsidRPr="00B43A6A" w14:paraId="73C19BAD" w14:textId="77777777" w:rsidTr="00DD4ACE">
        <w:trPr>
          <w:trHeight w:val="123"/>
        </w:trPr>
        <w:tc>
          <w:tcPr>
            <w:tcW w:w="2943" w:type="dxa"/>
            <w:tcBorders>
              <w:top w:val="single" w:sz="4" w:space="0" w:color="auto"/>
              <w:left w:val="single" w:sz="4" w:space="0" w:color="auto"/>
              <w:bottom w:val="single" w:sz="4" w:space="0" w:color="auto"/>
              <w:right w:val="single" w:sz="4" w:space="0" w:color="auto"/>
            </w:tcBorders>
          </w:tcPr>
          <w:p w14:paraId="7BEF69A9"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872" w:type="dxa"/>
            <w:tcBorders>
              <w:top w:val="single" w:sz="4" w:space="0" w:color="auto"/>
              <w:left w:val="single" w:sz="4" w:space="0" w:color="auto"/>
              <w:bottom w:val="single" w:sz="4" w:space="0" w:color="auto"/>
              <w:right w:val="single" w:sz="4" w:space="0" w:color="auto"/>
            </w:tcBorders>
          </w:tcPr>
          <w:p w14:paraId="2AB57620"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1929" w:type="dxa"/>
            <w:tcBorders>
              <w:top w:val="single" w:sz="4" w:space="0" w:color="auto"/>
              <w:left w:val="single" w:sz="4" w:space="0" w:color="auto"/>
              <w:bottom w:val="single" w:sz="4" w:space="0" w:color="auto"/>
              <w:right w:val="single" w:sz="4" w:space="0" w:color="auto"/>
            </w:tcBorders>
          </w:tcPr>
          <w:p w14:paraId="0E817BA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8724B5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72580301" w14:textId="77777777" w:rsidTr="00DD4ACE">
        <w:trPr>
          <w:trHeight w:val="214"/>
        </w:trPr>
        <w:tc>
          <w:tcPr>
            <w:tcW w:w="2943" w:type="dxa"/>
            <w:tcBorders>
              <w:top w:val="single" w:sz="4" w:space="0" w:color="auto"/>
              <w:left w:val="single" w:sz="4" w:space="0" w:color="auto"/>
              <w:bottom w:val="single" w:sz="4" w:space="0" w:color="auto"/>
              <w:right w:val="single" w:sz="4" w:space="0" w:color="auto"/>
            </w:tcBorders>
          </w:tcPr>
          <w:p w14:paraId="657E2FD6" w14:textId="1A0C9580" w:rsidR="006F181E" w:rsidRPr="00DD4ACE" w:rsidRDefault="00DD4ACE" w:rsidP="00457A39">
            <w:pPr>
              <w:tabs>
                <w:tab w:val="left" w:pos="3380"/>
              </w:tabs>
              <w:spacing w:before="120" w:after="120" w:line="240" w:lineRule="auto"/>
              <w:rPr>
                <w:rFonts w:ascii="Arial" w:eastAsia="Calibri" w:hAnsi="Arial" w:cs="Arial"/>
                <w:sz w:val="20"/>
                <w:szCs w:val="20"/>
                <w:lang w:eastAsia="en-GB"/>
              </w:rPr>
            </w:pPr>
            <w:r w:rsidRPr="00DD4ACE">
              <w:rPr>
                <w:rFonts w:ascii="Arial" w:hAnsi="Arial" w:cs="Arial"/>
                <w:sz w:val="20"/>
                <w:szCs w:val="20"/>
              </w:rPr>
              <w:t xml:space="preserve">Performance management and monitoring </w:t>
            </w:r>
          </w:p>
        </w:tc>
        <w:tc>
          <w:tcPr>
            <w:tcW w:w="1872" w:type="dxa"/>
            <w:tcBorders>
              <w:top w:val="single" w:sz="4" w:space="0" w:color="auto"/>
              <w:left w:val="single" w:sz="4" w:space="0" w:color="auto"/>
              <w:bottom w:val="single" w:sz="4" w:space="0" w:color="auto"/>
              <w:right w:val="single" w:sz="4" w:space="0" w:color="auto"/>
            </w:tcBorders>
          </w:tcPr>
          <w:p w14:paraId="1024DFE8" w14:textId="6B8E4E3B" w:rsidR="006F181E" w:rsidRPr="00DD4ACE" w:rsidRDefault="00DD4ACE" w:rsidP="00457A39">
            <w:pPr>
              <w:spacing w:before="120" w:after="120" w:line="240" w:lineRule="auto"/>
              <w:rPr>
                <w:rFonts w:ascii="Arial" w:eastAsia="Calibri" w:hAnsi="Arial" w:cs="Arial"/>
                <w:sz w:val="20"/>
                <w:szCs w:val="20"/>
                <w:lang w:eastAsia="en-GB"/>
              </w:rPr>
            </w:pPr>
            <w:r w:rsidRPr="00DD4ACE">
              <w:rPr>
                <w:rFonts w:ascii="Arial" w:hAnsi="Arial" w:cs="Arial"/>
                <w:sz w:val="20"/>
                <w:szCs w:val="20"/>
              </w:rPr>
              <w:t>General coverage will be focused on performance adherence, but exact content to be agreed between the Parties during delivery of the Services.</w:t>
            </w:r>
          </w:p>
        </w:tc>
        <w:tc>
          <w:tcPr>
            <w:tcW w:w="1929" w:type="dxa"/>
            <w:tcBorders>
              <w:top w:val="single" w:sz="4" w:space="0" w:color="auto"/>
              <w:left w:val="single" w:sz="4" w:space="0" w:color="auto"/>
              <w:bottom w:val="single" w:sz="4" w:space="0" w:color="auto"/>
              <w:right w:val="single" w:sz="4" w:space="0" w:color="auto"/>
            </w:tcBorders>
          </w:tcPr>
          <w:p w14:paraId="4E436F2A" w14:textId="40537215" w:rsidR="006F181E" w:rsidRPr="00DD4ACE" w:rsidRDefault="00DD4ACE" w:rsidP="00457A39">
            <w:pPr>
              <w:spacing w:before="120" w:after="120" w:line="240" w:lineRule="auto"/>
              <w:rPr>
                <w:rFonts w:ascii="Arial" w:eastAsia="Calibri" w:hAnsi="Arial" w:cs="Arial"/>
                <w:sz w:val="20"/>
                <w:szCs w:val="20"/>
                <w:lang w:eastAsia="en-GB"/>
              </w:rPr>
            </w:pPr>
            <w:r w:rsidRPr="00DD4ACE">
              <w:rPr>
                <w:rFonts w:ascii="Arial" w:hAnsi="Arial" w:cs="Arial"/>
                <w:sz w:val="20"/>
                <w:szCs w:val="20"/>
              </w:rPr>
              <w:t>To be agreed between the Parties during delivery of the Services.</w:t>
            </w:r>
          </w:p>
        </w:tc>
        <w:tc>
          <w:tcPr>
            <w:tcW w:w="2248" w:type="dxa"/>
            <w:tcBorders>
              <w:top w:val="single" w:sz="4" w:space="0" w:color="auto"/>
              <w:left w:val="single" w:sz="4" w:space="0" w:color="auto"/>
              <w:bottom w:val="single" w:sz="4" w:space="0" w:color="auto"/>
              <w:right w:val="single" w:sz="4" w:space="0" w:color="auto"/>
            </w:tcBorders>
          </w:tcPr>
          <w:p w14:paraId="567C1C56" w14:textId="00F7DFDA" w:rsidR="006F181E" w:rsidRPr="00DD4ACE" w:rsidRDefault="00DD4ACE" w:rsidP="00457A39">
            <w:pPr>
              <w:spacing w:before="120" w:after="120" w:line="240" w:lineRule="auto"/>
              <w:rPr>
                <w:rFonts w:ascii="Arial" w:eastAsia="Calibri" w:hAnsi="Arial" w:cs="Arial"/>
                <w:sz w:val="20"/>
                <w:szCs w:val="20"/>
                <w:lang w:eastAsia="en-GB"/>
              </w:rPr>
            </w:pPr>
            <w:r w:rsidRPr="00DD4ACE">
              <w:rPr>
                <w:rFonts w:ascii="Arial" w:hAnsi="Arial" w:cs="Arial"/>
                <w:sz w:val="20"/>
                <w:szCs w:val="20"/>
              </w:rPr>
              <w:t>Fortnightly</w:t>
            </w:r>
          </w:p>
        </w:tc>
      </w:tr>
      <w:tr w:rsidR="006F181E" w:rsidRPr="00B43A6A" w14:paraId="04D9A8D5" w14:textId="77777777" w:rsidTr="00DD4ACE">
        <w:trPr>
          <w:trHeight w:val="155"/>
        </w:trPr>
        <w:tc>
          <w:tcPr>
            <w:tcW w:w="2943" w:type="dxa"/>
            <w:tcBorders>
              <w:top w:val="single" w:sz="4" w:space="0" w:color="auto"/>
              <w:left w:val="single" w:sz="4" w:space="0" w:color="auto"/>
              <w:bottom w:val="single" w:sz="4" w:space="0" w:color="auto"/>
              <w:right w:val="single" w:sz="4" w:space="0" w:color="auto"/>
            </w:tcBorders>
          </w:tcPr>
          <w:p w14:paraId="35782F8E" w14:textId="7617914B" w:rsidR="006F181E" w:rsidRPr="000D3047" w:rsidRDefault="000D3047" w:rsidP="00457A39">
            <w:pPr>
              <w:spacing w:before="120" w:after="120" w:line="240" w:lineRule="auto"/>
              <w:rPr>
                <w:rFonts w:ascii="Arial" w:eastAsia="Calibri" w:hAnsi="Arial" w:cs="Arial"/>
                <w:color w:val="000000"/>
                <w:sz w:val="24"/>
                <w:szCs w:val="24"/>
                <w:lang w:eastAsia="en-GB"/>
              </w:rPr>
            </w:pPr>
            <w:r w:rsidRPr="000D3047">
              <w:rPr>
                <w:rFonts w:ascii="Arial" w:eastAsia="Calibri" w:hAnsi="Arial" w:cs="Arial"/>
                <w:color w:val="000000"/>
                <w:sz w:val="20"/>
                <w:szCs w:val="20"/>
                <w:lang w:eastAsia="en-GB"/>
              </w:rPr>
              <w:t>Invoicing</w:t>
            </w:r>
          </w:p>
        </w:tc>
        <w:tc>
          <w:tcPr>
            <w:tcW w:w="1872" w:type="dxa"/>
            <w:tcBorders>
              <w:top w:val="single" w:sz="4" w:space="0" w:color="auto"/>
              <w:left w:val="single" w:sz="4" w:space="0" w:color="auto"/>
              <w:bottom w:val="single" w:sz="4" w:space="0" w:color="auto"/>
              <w:right w:val="single" w:sz="4" w:space="0" w:color="auto"/>
            </w:tcBorders>
          </w:tcPr>
          <w:p w14:paraId="4D70972B" w14:textId="3CE827A9" w:rsidR="006F181E" w:rsidRPr="000D3047" w:rsidRDefault="00DD4ACE" w:rsidP="00457A39">
            <w:pPr>
              <w:spacing w:before="120" w:after="120" w:line="240" w:lineRule="auto"/>
              <w:rPr>
                <w:rFonts w:ascii="Arial" w:eastAsia="Calibri" w:hAnsi="Arial" w:cs="Arial"/>
                <w:color w:val="000000"/>
                <w:sz w:val="24"/>
                <w:szCs w:val="24"/>
                <w:lang w:eastAsia="en-GB"/>
              </w:rPr>
            </w:pPr>
            <w:r>
              <w:rPr>
                <w:rFonts w:ascii="Arial" w:eastAsia="Calibri" w:hAnsi="Arial" w:cs="Arial"/>
                <w:color w:val="000000"/>
                <w:sz w:val="20"/>
                <w:szCs w:val="20"/>
                <w:lang w:eastAsia="en-GB"/>
              </w:rPr>
              <w:t>A</w:t>
            </w:r>
            <w:r w:rsidR="000D3047" w:rsidRPr="000D3047">
              <w:rPr>
                <w:rFonts w:ascii="Arial" w:eastAsia="Calibri" w:hAnsi="Arial" w:cs="Arial"/>
                <w:color w:val="000000"/>
                <w:sz w:val="20"/>
                <w:szCs w:val="20"/>
                <w:lang w:eastAsia="en-GB"/>
              </w:rPr>
              <w:t>ccurate billing information</w:t>
            </w:r>
            <w:r w:rsidR="000D3047" w:rsidRPr="000D3047">
              <w:rPr>
                <w:rFonts w:ascii="Arial" w:eastAsia="Calibri" w:hAnsi="Arial" w:cs="Arial"/>
                <w:color w:val="000000"/>
                <w:sz w:val="24"/>
                <w:szCs w:val="24"/>
                <w:lang w:eastAsia="en-GB"/>
              </w:rPr>
              <w:t xml:space="preserve"> </w:t>
            </w:r>
          </w:p>
        </w:tc>
        <w:tc>
          <w:tcPr>
            <w:tcW w:w="1929" w:type="dxa"/>
            <w:tcBorders>
              <w:top w:val="single" w:sz="4" w:space="0" w:color="auto"/>
              <w:left w:val="single" w:sz="4" w:space="0" w:color="auto"/>
              <w:bottom w:val="single" w:sz="4" w:space="0" w:color="auto"/>
              <w:right w:val="single" w:sz="4" w:space="0" w:color="auto"/>
            </w:tcBorders>
          </w:tcPr>
          <w:p w14:paraId="63669713" w14:textId="27467998" w:rsidR="006F181E" w:rsidRPr="000D3047" w:rsidRDefault="000D3047" w:rsidP="00457A39">
            <w:pPr>
              <w:spacing w:before="120" w:after="120" w:line="240" w:lineRule="auto"/>
              <w:rPr>
                <w:rFonts w:ascii="Arial" w:eastAsia="Calibri" w:hAnsi="Arial" w:cs="Arial"/>
                <w:color w:val="000000"/>
                <w:sz w:val="24"/>
                <w:szCs w:val="24"/>
                <w:lang w:eastAsia="en-GB"/>
              </w:rPr>
            </w:pPr>
            <w:r w:rsidRPr="000D3047">
              <w:rPr>
                <w:rFonts w:ascii="Arial" w:eastAsia="Calibri" w:hAnsi="Arial" w:cs="Arial"/>
                <w:color w:val="000000"/>
                <w:sz w:val="20"/>
                <w:szCs w:val="20"/>
                <w:lang w:eastAsia="en-GB"/>
              </w:rPr>
              <w:t>Monthly invoicing in arrears</w:t>
            </w:r>
            <w:r w:rsidRPr="000D3047">
              <w:rPr>
                <w:rFonts w:ascii="Arial" w:eastAsia="Calibri" w:hAnsi="Arial" w:cs="Arial"/>
                <w:color w:val="000000"/>
                <w:sz w:val="24"/>
                <w:szCs w:val="24"/>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36C37E86" w14:textId="2F84AAC0" w:rsidR="006F181E" w:rsidRPr="000D3047" w:rsidRDefault="000D3047" w:rsidP="00457A39">
            <w:pPr>
              <w:spacing w:before="120" w:after="120" w:line="240" w:lineRule="auto"/>
              <w:rPr>
                <w:rFonts w:ascii="Arial" w:eastAsia="Calibri" w:hAnsi="Arial" w:cs="Arial"/>
                <w:color w:val="000000"/>
                <w:sz w:val="24"/>
                <w:szCs w:val="24"/>
                <w:lang w:eastAsia="en-GB"/>
              </w:rPr>
            </w:pPr>
            <w:r w:rsidRPr="000D3047">
              <w:rPr>
                <w:rFonts w:ascii="Arial" w:eastAsia="Calibri" w:hAnsi="Arial" w:cs="Arial"/>
                <w:color w:val="000000"/>
                <w:sz w:val="20"/>
                <w:szCs w:val="20"/>
                <w:lang w:eastAsia="en-GB"/>
              </w:rPr>
              <w:t xml:space="preserve">Monthly </w:t>
            </w:r>
          </w:p>
        </w:tc>
      </w:tr>
      <w:tr w:rsidR="006F181E" w:rsidRPr="00B43A6A" w14:paraId="0C734F64" w14:textId="77777777" w:rsidTr="00DD4ACE">
        <w:trPr>
          <w:trHeight w:val="155"/>
        </w:trPr>
        <w:tc>
          <w:tcPr>
            <w:tcW w:w="2943" w:type="dxa"/>
            <w:tcBorders>
              <w:top w:val="single" w:sz="4" w:space="0" w:color="auto"/>
              <w:left w:val="single" w:sz="4" w:space="0" w:color="auto"/>
              <w:bottom w:val="single" w:sz="4" w:space="0" w:color="auto"/>
              <w:right w:val="single" w:sz="4" w:space="0" w:color="auto"/>
            </w:tcBorders>
          </w:tcPr>
          <w:p w14:paraId="2D2EB82A" w14:textId="6B447D57" w:rsidR="006F181E" w:rsidRPr="000D3047" w:rsidRDefault="006F181E" w:rsidP="00457A39">
            <w:pPr>
              <w:spacing w:before="120" w:after="120" w:line="240" w:lineRule="auto"/>
              <w:rPr>
                <w:rFonts w:ascii="Arial" w:eastAsia="Calibri" w:hAnsi="Arial" w:cs="Arial"/>
                <w:color w:val="000000"/>
                <w:sz w:val="20"/>
                <w:szCs w:val="20"/>
                <w:lang w:eastAsia="en-GB"/>
              </w:rPr>
            </w:pPr>
          </w:p>
        </w:tc>
        <w:tc>
          <w:tcPr>
            <w:tcW w:w="1872" w:type="dxa"/>
            <w:tcBorders>
              <w:top w:val="single" w:sz="4" w:space="0" w:color="auto"/>
              <w:left w:val="single" w:sz="4" w:space="0" w:color="auto"/>
              <w:bottom w:val="single" w:sz="4" w:space="0" w:color="auto"/>
              <w:right w:val="single" w:sz="4" w:space="0" w:color="auto"/>
            </w:tcBorders>
          </w:tcPr>
          <w:p w14:paraId="0693CA92" w14:textId="44256FF2" w:rsidR="006F181E" w:rsidRPr="000D3047" w:rsidRDefault="006F181E" w:rsidP="00457A39">
            <w:pPr>
              <w:spacing w:before="120" w:after="120" w:line="240" w:lineRule="auto"/>
              <w:rPr>
                <w:rFonts w:ascii="Arial" w:eastAsia="Calibri" w:hAnsi="Arial" w:cs="Arial"/>
                <w:color w:val="000000"/>
                <w:sz w:val="20"/>
                <w:szCs w:val="20"/>
                <w:lang w:eastAsia="en-GB"/>
              </w:rPr>
            </w:pPr>
          </w:p>
        </w:tc>
        <w:tc>
          <w:tcPr>
            <w:tcW w:w="1929" w:type="dxa"/>
            <w:tcBorders>
              <w:top w:val="single" w:sz="4" w:space="0" w:color="auto"/>
              <w:left w:val="single" w:sz="4" w:space="0" w:color="auto"/>
              <w:bottom w:val="single" w:sz="4" w:space="0" w:color="auto"/>
              <w:right w:val="single" w:sz="4" w:space="0" w:color="auto"/>
            </w:tcBorders>
          </w:tcPr>
          <w:p w14:paraId="148EFABB" w14:textId="4939A96C" w:rsidR="006F181E" w:rsidRPr="000D3047" w:rsidRDefault="006F181E" w:rsidP="00457A39">
            <w:pPr>
              <w:spacing w:before="120" w:after="120" w:line="240" w:lineRule="auto"/>
              <w:rPr>
                <w:rFonts w:ascii="Arial" w:eastAsia="Calibri" w:hAnsi="Arial" w:cs="Arial"/>
                <w:color w:val="000000"/>
                <w:sz w:val="20"/>
                <w:szCs w:val="20"/>
                <w:lang w:eastAsia="en-GB"/>
              </w:rPr>
            </w:pPr>
          </w:p>
        </w:tc>
        <w:tc>
          <w:tcPr>
            <w:tcW w:w="2248" w:type="dxa"/>
            <w:tcBorders>
              <w:top w:val="single" w:sz="4" w:space="0" w:color="auto"/>
              <w:left w:val="single" w:sz="4" w:space="0" w:color="auto"/>
              <w:bottom w:val="single" w:sz="4" w:space="0" w:color="auto"/>
              <w:right w:val="single" w:sz="4" w:space="0" w:color="auto"/>
            </w:tcBorders>
          </w:tcPr>
          <w:p w14:paraId="4079670E" w14:textId="08FF67B1" w:rsidR="006F181E" w:rsidRPr="000D3047" w:rsidRDefault="006F181E" w:rsidP="00457A39">
            <w:pPr>
              <w:spacing w:before="120" w:after="120" w:line="240" w:lineRule="auto"/>
              <w:rPr>
                <w:rFonts w:ascii="Arial" w:eastAsia="Calibri" w:hAnsi="Arial" w:cs="Arial"/>
                <w:color w:val="000000"/>
                <w:sz w:val="20"/>
                <w:szCs w:val="20"/>
                <w:lang w:eastAsia="en-GB"/>
              </w:rPr>
            </w:pPr>
          </w:p>
        </w:tc>
      </w:tr>
      <w:tr w:rsidR="006F181E" w:rsidRPr="00B43A6A" w14:paraId="0B195870" w14:textId="77777777" w:rsidTr="00DD4ACE">
        <w:trPr>
          <w:trHeight w:val="155"/>
        </w:trPr>
        <w:tc>
          <w:tcPr>
            <w:tcW w:w="2943" w:type="dxa"/>
            <w:tcBorders>
              <w:top w:val="single" w:sz="4" w:space="0" w:color="auto"/>
              <w:left w:val="single" w:sz="4" w:space="0" w:color="auto"/>
              <w:bottom w:val="single" w:sz="4" w:space="0" w:color="auto"/>
              <w:right w:val="single" w:sz="4" w:space="0" w:color="auto"/>
            </w:tcBorders>
          </w:tcPr>
          <w:p w14:paraId="3EB977DC" w14:textId="0E7ABEB6" w:rsidR="006F181E" w:rsidRPr="00B43A6A" w:rsidRDefault="006F181E" w:rsidP="00457A39">
            <w:pPr>
              <w:spacing w:before="120" w:after="120" w:line="240" w:lineRule="auto"/>
              <w:rPr>
                <w:rFonts w:ascii="Arial" w:eastAsia="Calibri" w:hAnsi="Arial" w:cs="Arial"/>
                <w:color w:val="000000"/>
                <w:sz w:val="24"/>
                <w:szCs w:val="24"/>
                <w:highlight w:val="yellow"/>
                <w:lang w:eastAsia="en-GB"/>
              </w:rPr>
            </w:pPr>
          </w:p>
        </w:tc>
        <w:tc>
          <w:tcPr>
            <w:tcW w:w="1872" w:type="dxa"/>
            <w:tcBorders>
              <w:top w:val="single" w:sz="4" w:space="0" w:color="auto"/>
              <w:left w:val="single" w:sz="4" w:space="0" w:color="auto"/>
              <w:bottom w:val="single" w:sz="4" w:space="0" w:color="auto"/>
              <w:right w:val="single" w:sz="4" w:space="0" w:color="auto"/>
            </w:tcBorders>
          </w:tcPr>
          <w:p w14:paraId="3C5171E5" w14:textId="15F30477" w:rsidR="006F181E" w:rsidRPr="00B43A6A" w:rsidRDefault="006F181E" w:rsidP="00457A39">
            <w:pPr>
              <w:spacing w:before="120" w:after="120" w:line="240" w:lineRule="auto"/>
              <w:rPr>
                <w:rFonts w:ascii="Arial" w:eastAsia="Calibri" w:hAnsi="Arial" w:cs="Arial"/>
                <w:color w:val="000000"/>
                <w:sz w:val="24"/>
                <w:szCs w:val="24"/>
                <w:highlight w:val="yellow"/>
                <w:lang w:eastAsia="en-GB"/>
              </w:rPr>
            </w:pPr>
          </w:p>
        </w:tc>
        <w:tc>
          <w:tcPr>
            <w:tcW w:w="1929" w:type="dxa"/>
            <w:tcBorders>
              <w:top w:val="single" w:sz="4" w:space="0" w:color="auto"/>
              <w:left w:val="single" w:sz="4" w:space="0" w:color="auto"/>
              <w:bottom w:val="single" w:sz="4" w:space="0" w:color="auto"/>
              <w:right w:val="single" w:sz="4" w:space="0" w:color="auto"/>
            </w:tcBorders>
          </w:tcPr>
          <w:p w14:paraId="43C1014F" w14:textId="26FF137C" w:rsidR="006F181E" w:rsidRPr="00B43A6A" w:rsidRDefault="006F181E" w:rsidP="00457A39">
            <w:pPr>
              <w:spacing w:before="120" w:after="120" w:line="240" w:lineRule="auto"/>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099A9A2D" w14:textId="229B561D" w:rsidR="006F181E" w:rsidRPr="00B43A6A" w:rsidRDefault="006F181E" w:rsidP="00457A39">
            <w:pPr>
              <w:spacing w:before="120" w:after="120" w:line="240" w:lineRule="auto"/>
              <w:rPr>
                <w:rFonts w:ascii="Arial" w:eastAsia="Calibri" w:hAnsi="Arial" w:cs="Arial"/>
                <w:color w:val="000000"/>
                <w:sz w:val="24"/>
                <w:szCs w:val="24"/>
                <w:lang w:eastAsia="en-GB"/>
              </w:rPr>
            </w:pPr>
          </w:p>
        </w:tc>
      </w:tr>
      <w:tr w:rsidR="006F181E" w:rsidRPr="00B43A6A" w14:paraId="1F6F22DB" w14:textId="77777777" w:rsidTr="00DD4ACE">
        <w:trPr>
          <w:trHeight w:val="214"/>
        </w:trPr>
        <w:tc>
          <w:tcPr>
            <w:tcW w:w="2943" w:type="dxa"/>
            <w:tcBorders>
              <w:top w:val="single" w:sz="4" w:space="0" w:color="auto"/>
              <w:left w:val="single" w:sz="4" w:space="0" w:color="auto"/>
              <w:bottom w:val="single" w:sz="4" w:space="0" w:color="auto"/>
              <w:right w:val="single" w:sz="4" w:space="0" w:color="auto"/>
            </w:tcBorders>
          </w:tcPr>
          <w:p w14:paraId="66627AFB" w14:textId="3C4356C0" w:rsidR="006F181E" w:rsidRPr="00B43A6A" w:rsidRDefault="006F181E" w:rsidP="00457A39">
            <w:pPr>
              <w:spacing w:before="120" w:after="120" w:line="240" w:lineRule="auto"/>
              <w:rPr>
                <w:rFonts w:ascii="Arial" w:eastAsia="Calibri" w:hAnsi="Arial" w:cs="Arial"/>
                <w:color w:val="000000"/>
                <w:sz w:val="24"/>
                <w:szCs w:val="24"/>
                <w:highlight w:val="yellow"/>
                <w:lang w:eastAsia="en-GB"/>
              </w:rPr>
            </w:pPr>
          </w:p>
        </w:tc>
        <w:tc>
          <w:tcPr>
            <w:tcW w:w="1872" w:type="dxa"/>
            <w:tcBorders>
              <w:top w:val="single" w:sz="4" w:space="0" w:color="auto"/>
              <w:left w:val="single" w:sz="4" w:space="0" w:color="auto"/>
              <w:bottom w:val="single" w:sz="4" w:space="0" w:color="auto"/>
              <w:right w:val="single" w:sz="4" w:space="0" w:color="auto"/>
            </w:tcBorders>
          </w:tcPr>
          <w:p w14:paraId="194267E7" w14:textId="7E63D0C6" w:rsidR="006F181E" w:rsidRPr="00B43A6A" w:rsidRDefault="006F181E" w:rsidP="00457A39">
            <w:pPr>
              <w:spacing w:before="120" w:after="120" w:line="240" w:lineRule="auto"/>
              <w:rPr>
                <w:rFonts w:ascii="Arial" w:eastAsia="Calibri" w:hAnsi="Arial" w:cs="Arial"/>
                <w:color w:val="000000"/>
                <w:sz w:val="24"/>
                <w:szCs w:val="24"/>
                <w:highlight w:val="yellow"/>
                <w:lang w:eastAsia="en-GB"/>
              </w:rPr>
            </w:pPr>
          </w:p>
        </w:tc>
        <w:tc>
          <w:tcPr>
            <w:tcW w:w="1929" w:type="dxa"/>
            <w:tcBorders>
              <w:top w:val="single" w:sz="4" w:space="0" w:color="auto"/>
              <w:left w:val="single" w:sz="4" w:space="0" w:color="auto"/>
              <w:bottom w:val="single" w:sz="4" w:space="0" w:color="auto"/>
              <w:right w:val="single" w:sz="4" w:space="0" w:color="auto"/>
            </w:tcBorders>
          </w:tcPr>
          <w:p w14:paraId="38DE9991" w14:textId="564D31A4" w:rsidR="006F181E" w:rsidRPr="00B43A6A" w:rsidRDefault="006F181E" w:rsidP="00457A39">
            <w:pPr>
              <w:spacing w:before="120" w:after="120" w:line="240" w:lineRule="auto"/>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3C04CE67" w14:textId="6A764834" w:rsidR="006F181E" w:rsidRPr="00B43A6A" w:rsidRDefault="006F181E" w:rsidP="00457A39">
            <w:pPr>
              <w:spacing w:before="120" w:after="120" w:line="240" w:lineRule="auto"/>
              <w:rPr>
                <w:rFonts w:ascii="Arial" w:eastAsia="Calibri" w:hAnsi="Arial" w:cs="Arial"/>
                <w:color w:val="000000"/>
                <w:sz w:val="24"/>
                <w:szCs w:val="24"/>
                <w:lang w:eastAsia="en-GB"/>
              </w:rPr>
            </w:pPr>
          </w:p>
        </w:tc>
      </w:tr>
    </w:tbl>
    <w:p w14:paraId="1CA2BC60" w14:textId="1F44ECCF" w:rsidR="00457A39" w:rsidRDefault="00457A39" w:rsidP="00C24E46">
      <w:pPr>
        <w:tabs>
          <w:tab w:val="left" w:pos="1251"/>
        </w:tabs>
        <w:rPr>
          <w:rFonts w:ascii="Arial" w:hAnsi="Arial" w:cs="Arial"/>
          <w:sz w:val="24"/>
          <w:szCs w:val="24"/>
        </w:rPr>
      </w:pPr>
    </w:p>
    <w:p w14:paraId="323D9079" w14:textId="77777777" w:rsidR="00457A39" w:rsidRDefault="00457A39" w:rsidP="00C24E46">
      <w:pPr>
        <w:tabs>
          <w:tab w:val="left" w:pos="1251"/>
        </w:tabs>
        <w:rPr>
          <w:rFonts w:ascii="Arial" w:hAnsi="Arial" w:cs="Arial"/>
          <w:sz w:val="24"/>
          <w:szCs w:val="24"/>
        </w:rPr>
      </w:pPr>
    </w:p>
    <w:p w14:paraId="626A12F4" w14:textId="1A660C62" w:rsidR="00457A39" w:rsidRDefault="00457A39" w:rsidP="00C24E46">
      <w:pPr>
        <w:tabs>
          <w:tab w:val="left" w:pos="1251"/>
        </w:tabs>
        <w:rPr>
          <w:rFonts w:ascii="Arial" w:hAnsi="Arial" w:cs="Arial"/>
          <w:sz w:val="24"/>
          <w:szCs w:val="24"/>
        </w:rPr>
      </w:pPr>
    </w:p>
    <w:p w14:paraId="57F5DB19" w14:textId="2E922CB6" w:rsidR="00457A39" w:rsidRPr="00B43A6A" w:rsidRDefault="00457A39" w:rsidP="00C24E46">
      <w:pPr>
        <w:tabs>
          <w:tab w:val="left" w:pos="1251"/>
        </w:tabs>
        <w:rPr>
          <w:rFonts w:ascii="Arial" w:hAnsi="Arial" w:cs="Arial"/>
          <w:sz w:val="24"/>
          <w:szCs w:val="24"/>
        </w:rPr>
      </w:pPr>
    </w:p>
    <w:sectPr w:rsidR="00457A39" w:rsidRPr="00B43A6A" w:rsidSect="001F46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3AF2" w14:textId="77777777" w:rsidR="00FA0672" w:rsidRDefault="00FA0672">
      <w:pPr>
        <w:spacing w:after="0" w:line="240" w:lineRule="auto"/>
      </w:pPr>
      <w:r>
        <w:separator/>
      </w:r>
    </w:p>
  </w:endnote>
  <w:endnote w:type="continuationSeparator" w:id="0">
    <w:p w14:paraId="4CCC3218" w14:textId="77777777" w:rsidR="00FA0672" w:rsidRDefault="00F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B963" w14:textId="77777777" w:rsidR="00A32D21" w:rsidRDefault="00A32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A84" w14:textId="5865988A" w:rsidR="00C24E46" w:rsidRDefault="007A580F" w:rsidP="00C24E46">
    <w:pPr>
      <w:tabs>
        <w:tab w:val="center" w:pos="4513"/>
        <w:tab w:val="right" w:pos="9026"/>
      </w:tabs>
      <w:spacing w:after="0"/>
      <w:rPr>
        <w:rFonts w:ascii="Arial" w:hAnsi="Arial"/>
        <w:color w:val="BFBFBF" w:themeColor="background1" w:themeShade="BF"/>
        <w:sz w:val="20"/>
        <w:szCs w:val="20"/>
      </w:rPr>
    </w:pPr>
    <w:r>
      <w:rPr>
        <w:rFonts w:ascii="Arial" w:hAnsi="Arial"/>
        <w:noProof/>
        <w:color w:val="BFBFBF" w:themeColor="background1" w:themeShade="BF"/>
        <w:sz w:val="20"/>
        <w:szCs w:val="20"/>
      </w:rPr>
      <mc:AlternateContent>
        <mc:Choice Requires="wps">
          <w:drawing>
            <wp:anchor distT="0" distB="0" distL="114300" distR="114300" simplePos="0" relativeHeight="251659264" behindDoc="0" locked="0" layoutInCell="0" allowOverlap="1" wp14:anchorId="4C99BD46" wp14:editId="7A1693EB">
              <wp:simplePos x="0" y="0"/>
              <wp:positionH relativeFrom="page">
                <wp:posOffset>0</wp:posOffset>
              </wp:positionH>
              <wp:positionV relativeFrom="page">
                <wp:posOffset>10227945</wp:posOffset>
              </wp:positionV>
              <wp:extent cx="7560310" cy="273050"/>
              <wp:effectExtent l="0" t="0" r="0" b="12700"/>
              <wp:wrapNone/>
              <wp:docPr id="1" name="MSIPCM1ddf49a9b681981ec112a13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8EEB2" w14:textId="18523423" w:rsidR="007A580F" w:rsidRPr="007A580F" w:rsidRDefault="007A580F" w:rsidP="007A580F">
                          <w:pPr>
                            <w:spacing w:after="0"/>
                            <w:jc w:val="center"/>
                            <w:rPr>
                              <w:rFonts w:ascii="Calibri" w:hAnsi="Calibri" w:cs="Calibri"/>
                              <w:color w:val="000000"/>
                              <w:sz w:val="20"/>
                            </w:rPr>
                          </w:pPr>
                          <w:r w:rsidRPr="007A580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99BD46" id="_x0000_t202" coordsize="21600,21600" o:spt="202" path="m,l,21600r21600,l21600,xe">
              <v:stroke joinstyle="miter"/>
              <v:path gradientshapeok="t" o:connecttype="rect"/>
            </v:shapetype>
            <v:shape id="MSIPCM1ddf49a9b681981ec112a139"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B18EEB2" w14:textId="18523423" w:rsidR="007A580F" w:rsidRPr="007A580F" w:rsidRDefault="007A580F" w:rsidP="007A580F">
                    <w:pPr>
                      <w:spacing w:after="0"/>
                      <w:jc w:val="center"/>
                      <w:rPr>
                        <w:rFonts w:ascii="Calibri" w:hAnsi="Calibri" w:cs="Calibri"/>
                        <w:color w:val="000000"/>
                        <w:sz w:val="20"/>
                      </w:rPr>
                    </w:pPr>
                    <w:r w:rsidRPr="007A580F">
                      <w:rPr>
                        <w:rFonts w:ascii="Calibri" w:hAnsi="Calibri" w:cs="Calibri"/>
                        <w:color w:val="000000"/>
                        <w:sz w:val="20"/>
                      </w:rPr>
                      <w:t>OFFICIAL</w:t>
                    </w:r>
                  </w:p>
                </w:txbxContent>
              </v:textbox>
              <w10:wrap anchorx="page" anchory="page"/>
            </v:shape>
          </w:pict>
        </mc:Fallback>
      </mc:AlternateContent>
    </w:r>
  </w:p>
  <w:p w14:paraId="093A4FF5" w14:textId="3B7C4279" w:rsidR="00C24E46" w:rsidRPr="00D40EC0" w:rsidRDefault="00C24E46" w:rsidP="00C24E46">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p>
  <w:p w14:paraId="1D1A0DAC" w14:textId="1CA657CF" w:rsidR="00C24E46" w:rsidRPr="00D40EC0" w:rsidRDefault="00C24E46" w:rsidP="00C24E46">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w:t>
    </w:r>
    <w:r w:rsidR="008E01CB">
      <w:rPr>
        <w:rFonts w:ascii="Arial" w:hAnsi="Arial"/>
        <w:color w:val="BFBFBF" w:themeColor="background1" w:themeShade="BF"/>
        <w:sz w:val="20"/>
        <w:szCs w:val="20"/>
      </w:rPr>
      <w:t>2</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D40EC0">
      <w:rPr>
        <w:rFonts w:ascii="Arial" w:hAnsi="Arial"/>
        <w:noProof/>
        <w:color w:val="BFBFBF" w:themeColor="background1" w:themeShade="BF"/>
        <w:sz w:val="20"/>
        <w:szCs w:val="20"/>
      </w:rPr>
      <w:fldChar w:fldCharType="end"/>
    </w:r>
  </w:p>
  <w:p w14:paraId="5774D373" w14:textId="34836EE0" w:rsidR="00E94CEF" w:rsidRPr="00457A39" w:rsidRDefault="00C24E46" w:rsidP="00F20D66">
    <w:pPr>
      <w:tabs>
        <w:tab w:val="center" w:pos="4513"/>
        <w:tab w:val="right" w:pos="9026"/>
      </w:tabs>
      <w:spacing w:after="0"/>
      <w:rPr>
        <w:rFonts w:ascii="Arial" w:hAnsi="Arial" w:cs="Arial"/>
        <w:sz w:val="20"/>
      </w:rPr>
    </w:pPr>
    <w:r>
      <w:rPr>
        <w:rFonts w:ascii="Arial" w:hAnsi="Arial"/>
        <w:color w:val="BFBFBF" w:themeColor="background1" w:themeShade="BF"/>
        <w:sz w:val="20"/>
        <w:szCs w:val="20"/>
      </w:rPr>
      <w:t>Model Version: v1</w:t>
    </w:r>
    <w:r w:rsidRPr="00D40EC0">
      <w:rPr>
        <w:rFonts w:ascii="Arial" w:hAnsi="Arial"/>
        <w:color w:val="BFBFBF" w:themeColor="background1" w:themeShade="BF"/>
        <w:sz w:val="20"/>
        <w:szCs w:val="20"/>
      </w:rPr>
      <w:t>.</w:t>
    </w:r>
    <w:r w:rsidR="008E01CB">
      <w:rPr>
        <w:rFonts w:ascii="Arial" w:hAnsi="Arial"/>
        <w:color w:val="BFBFBF" w:themeColor="background1" w:themeShade="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D686"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p>
  <w:p w14:paraId="72729391"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3094070E" w14:textId="77777777" w:rsidR="00E94CEF" w:rsidRPr="004E540A" w:rsidRDefault="00E94CEF"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39DF74C9" w14:textId="77777777" w:rsidR="00E94CEF" w:rsidRPr="004E540A" w:rsidRDefault="00E94CEF"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D28B" w14:textId="77777777" w:rsidR="00FA0672" w:rsidRDefault="00FA0672">
      <w:pPr>
        <w:spacing w:after="0" w:line="240" w:lineRule="auto"/>
      </w:pPr>
      <w:r>
        <w:separator/>
      </w:r>
    </w:p>
  </w:footnote>
  <w:footnote w:type="continuationSeparator" w:id="0">
    <w:p w14:paraId="6C5B94FD" w14:textId="77777777" w:rsidR="00FA0672" w:rsidRDefault="00FA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6F12" w14:textId="77777777" w:rsidR="00A32D21" w:rsidRDefault="00A32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255D" w14:textId="45494570" w:rsidR="00E94CEF" w:rsidRPr="00C24E46" w:rsidRDefault="00E94CEF">
    <w:pPr>
      <w:pStyle w:val="Header"/>
      <w:rPr>
        <w:rFonts w:ascii="Arial" w:hAnsi="Arial" w:cs="Arial"/>
        <w:sz w:val="20"/>
        <w:szCs w:val="20"/>
      </w:rPr>
    </w:pPr>
    <w:r w:rsidRPr="00C24E46">
      <w:rPr>
        <w:rFonts w:ascii="Arial" w:hAnsi="Arial" w:cs="Arial"/>
        <w:b/>
        <w:sz w:val="20"/>
        <w:szCs w:val="20"/>
      </w:rPr>
      <w:t xml:space="preserve">Schedule </w:t>
    </w:r>
    <w:r w:rsidR="00C24E46" w:rsidRPr="00C24E46">
      <w:rPr>
        <w:rFonts w:ascii="Arial" w:hAnsi="Arial" w:cs="Arial"/>
        <w:b/>
        <w:sz w:val="20"/>
        <w:szCs w:val="20"/>
      </w:rPr>
      <w:t>6</w:t>
    </w:r>
    <w:r w:rsidRPr="00C24E46">
      <w:rPr>
        <w:rFonts w:ascii="Arial" w:hAnsi="Arial" w:cs="Arial"/>
        <w:b/>
        <w:sz w:val="20"/>
        <w:szCs w:val="20"/>
      </w:rPr>
      <w:t xml:space="preserve"> (Transparency Reports)</w:t>
    </w:r>
  </w:p>
  <w:p w14:paraId="2E4C3104" w14:textId="2A0F0101" w:rsidR="00E94CEF" w:rsidRPr="00457A39" w:rsidRDefault="00E94CEF">
    <w:pPr>
      <w:pStyle w:val="Header"/>
      <w:rPr>
        <w:rFonts w:ascii="Arial" w:hAnsi="Arial" w:cs="Arial"/>
        <w:sz w:val="20"/>
        <w:szCs w:val="20"/>
      </w:rPr>
    </w:pPr>
    <w:r w:rsidRPr="00C24E46">
      <w:rPr>
        <w:rFonts w:ascii="Arial" w:hAnsi="Arial" w:cs="Arial"/>
        <w:sz w:val="20"/>
        <w:szCs w:val="20"/>
      </w:rPr>
      <w:t>Crown Copyright</w:t>
    </w:r>
    <w:r w:rsidRPr="00C24E46">
      <w:rPr>
        <w:rFonts w:ascii="Arial" w:hAnsi="Arial" w:cs="Arial"/>
        <w:sz w:val="20"/>
        <w:szCs w:val="20"/>
        <w:lang w:eastAsia="en-GB"/>
      </w:rPr>
      <w:t xml:space="preserve"> 20</w:t>
    </w:r>
    <w:r w:rsidR="00E67AA9">
      <w:rPr>
        <w:rFonts w:ascii="Arial" w:hAnsi="Arial" w:cs="Arial"/>
        <w:sz w:val="20"/>
        <w:szCs w:val="20"/>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69A6" w14:textId="77777777" w:rsidR="00E94CEF" w:rsidRDefault="00E94CEF">
    <w:pPr>
      <w:pStyle w:val="Header"/>
      <w:rPr>
        <w:rFonts w:ascii="Arial" w:hAnsi="Arial" w:cs="Arial"/>
        <w:sz w:val="20"/>
        <w:szCs w:val="20"/>
      </w:rPr>
    </w:pPr>
    <w:r>
      <w:rPr>
        <w:rFonts w:ascii="Arial" w:hAnsi="Arial" w:cs="Arial"/>
        <w:b/>
        <w:sz w:val="20"/>
        <w:szCs w:val="20"/>
      </w:rPr>
      <w:t>Call-Off Schedule 1 (Transparency Reports)</w:t>
    </w:r>
  </w:p>
  <w:p w14:paraId="2D71D7BA" w14:textId="77777777" w:rsidR="00E94CEF" w:rsidRDefault="00E94CEF">
    <w:pPr>
      <w:pStyle w:val="Header"/>
      <w:rPr>
        <w:rFonts w:ascii="Arial" w:hAnsi="Arial" w:cs="Arial"/>
        <w:sz w:val="20"/>
        <w:szCs w:val="20"/>
      </w:rPr>
    </w:pPr>
    <w:r>
      <w:rPr>
        <w:rFonts w:ascii="Arial" w:hAnsi="Arial" w:cs="Arial"/>
        <w:sz w:val="20"/>
        <w:szCs w:val="20"/>
      </w:rPr>
      <w:t xml:space="preserve">Call-Off Ref: </w:t>
    </w:r>
  </w:p>
  <w:p w14:paraId="036DCCEC" w14:textId="77777777" w:rsidR="00E94CEF" w:rsidRPr="00012DB9" w:rsidRDefault="00E94CEF">
    <w:pPr>
      <w:pStyle w:val="Header"/>
      <w:rPr>
        <w:rFonts w:ascii="Arial" w:hAnsi="Arial" w:cs="Arial"/>
        <w:sz w:val="20"/>
        <w:szCs w:val="20"/>
      </w:rPr>
    </w:pPr>
    <w:r>
      <w:rPr>
        <w:rFonts w:ascii="Arial" w:hAnsi="Arial" w:cs="Arial"/>
        <w:sz w:val="20"/>
        <w:szCs w:val="20"/>
      </w:rPr>
      <w:t>Crown Copyright 2018</w:t>
    </w:r>
  </w:p>
  <w:p w14:paraId="265B1EC0" w14:textId="77777777" w:rsidR="00E94CEF" w:rsidRDefault="00E94CEF">
    <w:pPr>
      <w:pStyle w:val="Header"/>
      <w:rPr>
        <w:rStyle w:val="Emphasis"/>
        <w:noProof/>
        <w:lang w:eastAsia="en-GB"/>
      </w:rPr>
    </w:pPr>
  </w:p>
  <w:p w14:paraId="10B77B41" w14:textId="77777777" w:rsidR="00E94CEF" w:rsidRDefault="00E9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B11AD"/>
    <w:multiLevelType w:val="multilevel"/>
    <w:tmpl w:val="336071C4"/>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85094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9:09" w:val="V1 ?"/>
    <w:docVar w:name="gemDN2|BANKSC|18 June 2020 11:59:13" w:val="V2 Amend (TRK)"/>
    <w:docVar w:name="gemDocNotesCount" w:val="2"/>
    <w:docVar w:name="gemVerNotesCount" w:val="2"/>
    <w:docVar w:name="gemVN1|BANKSC|18 June 2020 11:59:08" w:val="1|1"/>
    <w:docVar w:name="gemVN2|BANKSC|18 June 2020 11:59:12" w:val="1|2"/>
  </w:docVars>
  <w:rsids>
    <w:rsidRoot w:val="006F181E"/>
    <w:rsid w:val="00012DB9"/>
    <w:rsid w:val="000864AE"/>
    <w:rsid w:val="000D3047"/>
    <w:rsid w:val="00111292"/>
    <w:rsid w:val="001F464D"/>
    <w:rsid w:val="002E2AB2"/>
    <w:rsid w:val="00316403"/>
    <w:rsid w:val="00323F14"/>
    <w:rsid w:val="00397685"/>
    <w:rsid w:val="00457A39"/>
    <w:rsid w:val="00484512"/>
    <w:rsid w:val="004901B0"/>
    <w:rsid w:val="004E468B"/>
    <w:rsid w:val="004E540A"/>
    <w:rsid w:val="004F51B1"/>
    <w:rsid w:val="005E2B6D"/>
    <w:rsid w:val="00671FE9"/>
    <w:rsid w:val="006F181E"/>
    <w:rsid w:val="006F4A58"/>
    <w:rsid w:val="00726562"/>
    <w:rsid w:val="007420EC"/>
    <w:rsid w:val="007A3F07"/>
    <w:rsid w:val="007A580F"/>
    <w:rsid w:val="007C6AA9"/>
    <w:rsid w:val="0083290D"/>
    <w:rsid w:val="008347F2"/>
    <w:rsid w:val="00874232"/>
    <w:rsid w:val="00882CAC"/>
    <w:rsid w:val="008C6C15"/>
    <w:rsid w:val="008E01CB"/>
    <w:rsid w:val="009414E6"/>
    <w:rsid w:val="00A044CC"/>
    <w:rsid w:val="00A32D21"/>
    <w:rsid w:val="00A534F6"/>
    <w:rsid w:val="00A571AE"/>
    <w:rsid w:val="00A91395"/>
    <w:rsid w:val="00AB3243"/>
    <w:rsid w:val="00B20ABD"/>
    <w:rsid w:val="00B43A6A"/>
    <w:rsid w:val="00BA531C"/>
    <w:rsid w:val="00BA665E"/>
    <w:rsid w:val="00C149AA"/>
    <w:rsid w:val="00C24E46"/>
    <w:rsid w:val="00C77BC3"/>
    <w:rsid w:val="00D26111"/>
    <w:rsid w:val="00D953E4"/>
    <w:rsid w:val="00DD4ACE"/>
    <w:rsid w:val="00DE106A"/>
    <w:rsid w:val="00E149D4"/>
    <w:rsid w:val="00E24044"/>
    <w:rsid w:val="00E67AA9"/>
    <w:rsid w:val="00E94CEF"/>
    <w:rsid w:val="00EA61BF"/>
    <w:rsid w:val="00ED3DEB"/>
    <w:rsid w:val="00ED4A81"/>
    <w:rsid w:val="00F20D66"/>
    <w:rsid w:val="00F42B75"/>
    <w:rsid w:val="00FA0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1"/>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1"/>
      </w:numPr>
    </w:pPr>
  </w:style>
  <w:style w:type="paragraph" w:customStyle="1" w:styleId="GPSL3numberedclause">
    <w:name w:val="GPS L3 numbered clause"/>
    <w:basedOn w:val="Normal"/>
    <w:rsid w:val="00457A39"/>
    <w:pPr>
      <w:numPr>
        <w:ilvl w:val="2"/>
        <w:numId w:val="1"/>
      </w:numPr>
    </w:pPr>
  </w:style>
  <w:style w:type="paragraph" w:customStyle="1" w:styleId="GPSL4numberedclause">
    <w:name w:val="GPS L4 numbered clause"/>
    <w:basedOn w:val="Normal"/>
    <w:rsid w:val="00457A39"/>
    <w:pPr>
      <w:numPr>
        <w:ilvl w:val="3"/>
        <w:numId w:val="1"/>
      </w:numPr>
    </w:pPr>
  </w:style>
  <w:style w:type="paragraph" w:customStyle="1" w:styleId="GPSL5numberedclause">
    <w:name w:val="GPS L5 numbered clause"/>
    <w:basedOn w:val="Normal"/>
    <w:rsid w:val="00457A39"/>
    <w:pPr>
      <w:numPr>
        <w:ilvl w:val="4"/>
        <w:numId w:val="1"/>
      </w:numPr>
    </w:pPr>
  </w:style>
  <w:style w:type="paragraph" w:customStyle="1" w:styleId="GPSL6numbered">
    <w:name w:val="GPS L6 numbered"/>
    <w:basedOn w:val="Normal"/>
    <w:rsid w:val="00457A39"/>
    <w:pPr>
      <w:numPr>
        <w:ilvl w:val="5"/>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 U K M A T T E R S ! 1 0 4 4 2 8 1 5 3 . 1 < / d o c u m e n t i d >  
     < s e n d e r i d > C L I F F M < / s e n d e r i d >  
     < s e n d e r e m a i l > M A T T H E W . C L I F F @ D L A P I P E R . C O M < / s e n d e r e m a i l >  
     < l a s t m o d i f i e d > 2 0 2 0 - 0 7 - 2 2 T 1 2 : 1 2 : 0 0 . 0 0 0 0 0 0 0 + 0 1 : 0 0 < / l a s t m o d i f i e d >  
     < d a t a b a s e > U K M A T T E R S 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1335D-0BAC-4136-9EFD-12EC54D1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99D9C-2DE9-4054-AD79-BA7799091D8E}">
  <ds:schemaRefs>
    <ds:schemaRef ds:uri="http://www.imanage.com/work/xmlschema"/>
  </ds:schemaRefs>
</ds:datastoreItem>
</file>

<file path=customXml/itemProps3.xml><?xml version="1.0" encoding="utf-8"?>
<ds:datastoreItem xmlns:ds="http://schemas.openxmlformats.org/officeDocument/2006/customXml" ds:itemID="{15634BA2-2B3A-442D-A34F-FAB84D035F66}">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4.xml><?xml version="1.0" encoding="utf-8"?>
<ds:datastoreItem xmlns:ds="http://schemas.openxmlformats.org/officeDocument/2006/customXml" ds:itemID="{C149923D-A59D-4621-9FB2-AD2507E39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2023-11-03T08:52:00Z</dcterms:created>
  <dcterms:modified xsi:type="dcterms:W3CDTF">2023-11-03T08:52:00Z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a2003828-33ae-4b56-84b5-51ecdd6451ab</vt:lpwstr>
  </property>
  <property fmtid="{D5CDD505-2E9C-101B-9397-08002B2CF9AE}" pid="4" name="ContentTypeId">
    <vt:lpwstr>0x0101002A47F7D66B22864199C169A1267677C1</vt:lpwstr>
  </property>
  <property fmtid="{D5CDD505-2E9C-101B-9397-08002B2CF9AE}" pid="5" name="Order">
    <vt:r8>5060900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2023-03-03T12:51:49Z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41605b20-e3c3-4b8e-9ce6-3eb4ae2591ca</vt:lpwstr>
  </property>
  <property fmtid="{D5CDD505-2E9C-101B-9397-08002B2CF9AE}" pid="18" name="MSIP_Label_f9af038e-07b4-4369-a678-c835687cb272_ContentBits">
    <vt:lpwstr>2</vt:lpwstr>
  </property>
</Properties>
</file>