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7D0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68417FA0" wp14:editId="68417FA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17D07" w14:textId="77777777" w:rsidR="008D7A7D" w:rsidRPr="0093723A" w:rsidRDefault="008D7A7D" w:rsidP="00E65F5D">
      <w:pPr>
        <w:rPr>
          <w:rFonts w:ascii="Arial" w:hAnsi="Arial" w:cs="Arial"/>
          <w:szCs w:val="22"/>
        </w:rPr>
      </w:pPr>
    </w:p>
    <w:p w14:paraId="68417D08" w14:textId="77777777" w:rsidR="00031189" w:rsidRPr="0093723A" w:rsidRDefault="00031189" w:rsidP="00E65F5D">
      <w:pPr>
        <w:jc w:val="both"/>
        <w:rPr>
          <w:rFonts w:ascii="Arial" w:hAnsi="Arial" w:cs="Arial"/>
          <w:szCs w:val="22"/>
        </w:rPr>
      </w:pPr>
    </w:p>
    <w:p w14:paraId="68417D09" w14:textId="77777777" w:rsidR="00031189" w:rsidRPr="0093723A" w:rsidRDefault="00031189" w:rsidP="00E65F5D">
      <w:pPr>
        <w:jc w:val="both"/>
        <w:rPr>
          <w:rFonts w:ascii="Arial" w:hAnsi="Arial" w:cs="Arial"/>
          <w:szCs w:val="22"/>
        </w:rPr>
      </w:pPr>
    </w:p>
    <w:p w14:paraId="68417D0A" w14:textId="77777777" w:rsidR="00031189" w:rsidRPr="0093723A" w:rsidRDefault="00031189" w:rsidP="00E65F5D">
      <w:pPr>
        <w:jc w:val="both"/>
        <w:rPr>
          <w:rFonts w:ascii="Arial" w:hAnsi="Arial" w:cs="Arial"/>
          <w:szCs w:val="22"/>
        </w:rPr>
      </w:pPr>
    </w:p>
    <w:p w14:paraId="68417D0B" w14:textId="77777777" w:rsidR="00031189" w:rsidRPr="0093723A" w:rsidRDefault="00031189" w:rsidP="00E65F5D">
      <w:pPr>
        <w:jc w:val="both"/>
        <w:rPr>
          <w:rFonts w:ascii="Arial" w:hAnsi="Arial" w:cs="Arial"/>
          <w:szCs w:val="22"/>
        </w:rPr>
      </w:pPr>
    </w:p>
    <w:p w14:paraId="68417D0C" w14:textId="77777777" w:rsidR="00031189" w:rsidRPr="0093723A" w:rsidRDefault="00031189" w:rsidP="00E65F5D">
      <w:pPr>
        <w:jc w:val="both"/>
        <w:rPr>
          <w:rFonts w:ascii="Arial" w:hAnsi="Arial" w:cs="Arial"/>
          <w:szCs w:val="22"/>
        </w:rPr>
      </w:pPr>
    </w:p>
    <w:p w14:paraId="68417D0D" w14:textId="77777777" w:rsidR="000A352F" w:rsidRPr="0093723A" w:rsidRDefault="000A352F" w:rsidP="00E65F5D">
      <w:pPr>
        <w:jc w:val="both"/>
        <w:rPr>
          <w:rFonts w:ascii="Arial" w:hAnsi="Arial" w:cs="Arial"/>
          <w:szCs w:val="22"/>
        </w:rPr>
      </w:pPr>
    </w:p>
    <w:p w14:paraId="68417D0E" w14:textId="77777777" w:rsidR="008113C3" w:rsidRPr="0093723A" w:rsidRDefault="008113C3" w:rsidP="00E65F5D">
      <w:pPr>
        <w:jc w:val="both"/>
        <w:rPr>
          <w:rFonts w:ascii="Arial" w:hAnsi="Arial" w:cs="Arial"/>
          <w:szCs w:val="22"/>
        </w:rPr>
      </w:pPr>
    </w:p>
    <w:p w14:paraId="68417D0F" w14:textId="77777777" w:rsidR="008113C3" w:rsidRPr="0093723A" w:rsidRDefault="008113C3" w:rsidP="00E65F5D">
      <w:pPr>
        <w:jc w:val="both"/>
        <w:rPr>
          <w:rFonts w:ascii="Arial" w:hAnsi="Arial" w:cs="Arial"/>
          <w:szCs w:val="22"/>
        </w:rPr>
      </w:pPr>
    </w:p>
    <w:p w14:paraId="68417D10"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68417D11"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68417D12" w14:textId="77777777" w:rsidR="00031189" w:rsidRPr="0093723A" w:rsidRDefault="00031189" w:rsidP="00E65F5D">
      <w:pPr>
        <w:jc w:val="both"/>
        <w:rPr>
          <w:rFonts w:ascii="Arial" w:hAnsi="Arial" w:cs="Arial"/>
          <w:szCs w:val="22"/>
        </w:rPr>
      </w:pPr>
    </w:p>
    <w:p w14:paraId="68417D13" w14:textId="199590D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553C7">
        <w:rPr>
          <w:rFonts w:ascii="Arial" w:hAnsi="Arial" w:cs="Arial"/>
          <w:szCs w:val="22"/>
        </w:rPr>
        <w:t>22 August 2022</w:t>
      </w:r>
    </w:p>
    <w:p w14:paraId="68417D14" w14:textId="77777777" w:rsidR="00031189" w:rsidRPr="0093723A" w:rsidRDefault="00031189" w:rsidP="00E65F5D">
      <w:pPr>
        <w:jc w:val="both"/>
        <w:rPr>
          <w:rFonts w:ascii="Arial" w:hAnsi="Arial" w:cs="Arial"/>
          <w:szCs w:val="22"/>
        </w:rPr>
      </w:pPr>
    </w:p>
    <w:p w14:paraId="68417D15" w14:textId="77777777" w:rsidR="00031189" w:rsidRPr="0093723A" w:rsidRDefault="00031189" w:rsidP="00E65F5D">
      <w:pPr>
        <w:jc w:val="both"/>
        <w:rPr>
          <w:rFonts w:ascii="Arial" w:hAnsi="Arial" w:cs="Arial"/>
          <w:szCs w:val="22"/>
        </w:rPr>
      </w:pPr>
    </w:p>
    <w:p w14:paraId="68417D16" w14:textId="473D3C70"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7553C7">
        <w:rPr>
          <w:rFonts w:ascii="Arial" w:hAnsi="Arial" w:cs="Arial"/>
          <w:szCs w:val="22"/>
        </w:rPr>
        <w:t>Sir/Madam,</w:t>
      </w:r>
    </w:p>
    <w:p w14:paraId="68417D17" w14:textId="77777777" w:rsidR="00031189" w:rsidRPr="0093723A" w:rsidRDefault="00031189" w:rsidP="00E65F5D">
      <w:pPr>
        <w:jc w:val="both"/>
        <w:rPr>
          <w:rFonts w:ascii="Arial" w:hAnsi="Arial" w:cs="Arial"/>
          <w:szCs w:val="22"/>
        </w:rPr>
      </w:pPr>
    </w:p>
    <w:p w14:paraId="68417D18" w14:textId="066E5FEA" w:rsidR="00031189" w:rsidRPr="007553C7" w:rsidRDefault="000878DD" w:rsidP="00E65F5D">
      <w:pPr>
        <w:jc w:val="both"/>
        <w:rPr>
          <w:rFonts w:ascii="Arial" w:hAnsi="Arial" w:cs="Arial"/>
          <w:b/>
          <w:szCs w:val="22"/>
        </w:rPr>
      </w:pPr>
      <w:r w:rsidRPr="007553C7">
        <w:rPr>
          <w:rFonts w:ascii="Arial" w:hAnsi="Arial" w:cs="Arial"/>
          <w:b/>
          <w:szCs w:val="22"/>
        </w:rPr>
        <w:t xml:space="preserve">Contract </w:t>
      </w:r>
      <w:r w:rsidR="00031189" w:rsidRPr="007553C7">
        <w:rPr>
          <w:rFonts w:ascii="Arial" w:hAnsi="Arial" w:cs="Arial"/>
          <w:b/>
          <w:szCs w:val="22"/>
        </w:rPr>
        <w:t>Ref:</w:t>
      </w:r>
      <w:r w:rsidR="00031189" w:rsidRPr="007553C7">
        <w:rPr>
          <w:rFonts w:ascii="Arial" w:hAnsi="Arial" w:cs="Arial"/>
          <w:b/>
          <w:szCs w:val="22"/>
        </w:rPr>
        <w:tab/>
      </w:r>
      <w:bookmarkStart w:id="0" w:name="_Hlk104976964"/>
      <w:r w:rsidR="007553C7" w:rsidRPr="007553C7">
        <w:rPr>
          <w:rFonts w:ascii="Arial" w:hAnsi="Arial" w:cs="Arial"/>
          <w:b/>
        </w:rPr>
        <w:t xml:space="preserve">ENV6005704R task </w:t>
      </w:r>
      <w:bookmarkEnd w:id="0"/>
      <w:r w:rsidR="007553C7" w:rsidRPr="007553C7">
        <w:rPr>
          <w:rFonts w:ascii="Arial" w:hAnsi="Arial" w:cs="Arial"/>
          <w:b/>
        </w:rPr>
        <w:t>1</w:t>
      </w:r>
    </w:p>
    <w:p w14:paraId="68417D19" w14:textId="4B99A3C1" w:rsidR="00031189" w:rsidRPr="007553C7" w:rsidRDefault="000878DD" w:rsidP="00E65F5D">
      <w:pPr>
        <w:jc w:val="both"/>
        <w:rPr>
          <w:rFonts w:ascii="Arial" w:hAnsi="Arial" w:cs="Arial"/>
          <w:b/>
          <w:szCs w:val="22"/>
        </w:rPr>
      </w:pPr>
      <w:r w:rsidRPr="007553C7">
        <w:rPr>
          <w:rFonts w:ascii="Arial" w:hAnsi="Arial" w:cs="Arial"/>
          <w:b/>
          <w:szCs w:val="22"/>
        </w:rPr>
        <w:t xml:space="preserve">Contract </w:t>
      </w:r>
      <w:r w:rsidR="00031189" w:rsidRPr="007553C7">
        <w:rPr>
          <w:rFonts w:ascii="Arial" w:hAnsi="Arial" w:cs="Arial"/>
          <w:b/>
          <w:szCs w:val="22"/>
        </w:rPr>
        <w:t>Title:</w:t>
      </w:r>
      <w:r w:rsidR="00031189" w:rsidRPr="007553C7">
        <w:rPr>
          <w:rFonts w:ascii="Arial" w:hAnsi="Arial" w:cs="Arial"/>
          <w:b/>
          <w:szCs w:val="22"/>
        </w:rPr>
        <w:tab/>
      </w:r>
      <w:r w:rsidR="007553C7" w:rsidRPr="007553C7">
        <w:rPr>
          <w:rFonts w:ascii="Arial" w:hAnsi="Arial" w:cs="Arial"/>
          <w:b/>
        </w:rPr>
        <w:t>Viability of developing a screening tool to assess non-standard bioaccumulation potential of chemical substances in aquatic and terrestrial wildlife</w:t>
      </w:r>
    </w:p>
    <w:p w14:paraId="68417D1A" w14:textId="77777777" w:rsidR="00031189" w:rsidRPr="0093723A" w:rsidRDefault="00031189" w:rsidP="00E65F5D">
      <w:pPr>
        <w:ind w:left="720" w:hanging="720"/>
        <w:jc w:val="both"/>
        <w:rPr>
          <w:rFonts w:ascii="Arial" w:hAnsi="Arial" w:cs="Arial"/>
          <w:szCs w:val="22"/>
        </w:rPr>
      </w:pPr>
    </w:p>
    <w:p w14:paraId="68417D1B"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68417D1C" w14:textId="77777777" w:rsidR="00050B8F" w:rsidRDefault="00050B8F" w:rsidP="00E65F5D">
      <w:pPr>
        <w:rPr>
          <w:rFonts w:ascii="Arial" w:hAnsi="Arial" w:cs="Arial"/>
          <w:szCs w:val="22"/>
        </w:rPr>
      </w:pPr>
    </w:p>
    <w:p w14:paraId="68417D1D"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68417D1E" w14:textId="77777777" w:rsidR="00031189" w:rsidRPr="0093723A" w:rsidRDefault="00031189" w:rsidP="00E65F5D">
      <w:pPr>
        <w:rPr>
          <w:rFonts w:ascii="Arial" w:hAnsi="Arial" w:cs="Arial"/>
          <w:szCs w:val="22"/>
        </w:rPr>
      </w:pPr>
    </w:p>
    <w:p w14:paraId="68417D1F" w14:textId="6F7A75E9"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w:t>
      </w:r>
      <w:r w:rsidR="007553C7">
        <w:rPr>
          <w:rFonts w:ascii="Arial" w:hAnsi="Arial" w:cs="Arial"/>
          <w:szCs w:val="22"/>
        </w:rPr>
        <w:t xml:space="preserve"> </w:t>
      </w:r>
      <w:hyperlink r:id="rId13" w:history="1">
        <w:r w:rsidR="007553C7" w:rsidRPr="004C06AE">
          <w:rPr>
            <w:rStyle w:val="Hyperlink"/>
            <w:rFonts w:ascii="Arial" w:hAnsi="Arial" w:cs="Arial"/>
            <w:szCs w:val="22"/>
          </w:rPr>
          <w:t>Estelle.nma@environment-agency.gov.uk</w:t>
        </w:r>
      </w:hyperlink>
      <w:r w:rsidR="007553C7">
        <w:rPr>
          <w:rFonts w:ascii="Arial" w:hAnsi="Arial" w:cs="Arial"/>
          <w:szCs w:val="22"/>
        </w:rPr>
        <w:t xml:space="preserve"> b</w:t>
      </w:r>
      <w:r w:rsidRPr="0093723A">
        <w:rPr>
          <w:rFonts w:ascii="Arial" w:hAnsi="Arial" w:cs="Arial"/>
          <w:szCs w:val="22"/>
        </w:rPr>
        <w:t xml:space="preserve">y </w:t>
      </w:r>
      <w:r w:rsidR="007553C7">
        <w:rPr>
          <w:rFonts w:ascii="Arial" w:hAnsi="Arial" w:cs="Arial"/>
          <w:szCs w:val="22"/>
        </w:rPr>
        <w:t xml:space="preserve">Friday </w:t>
      </w:r>
      <w:r w:rsidR="00F13B5E">
        <w:rPr>
          <w:rFonts w:ascii="Arial" w:hAnsi="Arial" w:cs="Arial"/>
          <w:szCs w:val="22"/>
        </w:rPr>
        <w:t>16</w:t>
      </w:r>
      <w:r w:rsidR="007553C7" w:rsidRPr="007553C7">
        <w:rPr>
          <w:rFonts w:ascii="Arial" w:hAnsi="Arial" w:cs="Arial"/>
          <w:szCs w:val="22"/>
          <w:vertAlign w:val="superscript"/>
        </w:rPr>
        <w:t>th</w:t>
      </w:r>
      <w:r w:rsidR="007553C7">
        <w:rPr>
          <w:rFonts w:ascii="Arial" w:hAnsi="Arial" w:cs="Arial"/>
          <w:szCs w:val="22"/>
        </w:rPr>
        <w:t xml:space="preserve"> September 2022</w:t>
      </w:r>
      <w:r w:rsidR="00AB6556" w:rsidRPr="001C31F6">
        <w:rPr>
          <w:rFonts w:ascii="Arial" w:hAnsi="Arial" w:cs="Arial"/>
          <w:color w:val="FF0000"/>
          <w:szCs w:val="22"/>
        </w:rPr>
        <w:t xml:space="preserve"> </w:t>
      </w:r>
    </w:p>
    <w:p w14:paraId="68417D20" w14:textId="77777777" w:rsidR="007D26D8" w:rsidRPr="0093723A" w:rsidRDefault="007D26D8" w:rsidP="00E65F5D">
      <w:pPr>
        <w:rPr>
          <w:rFonts w:ascii="Arial" w:hAnsi="Arial" w:cs="Arial"/>
          <w:szCs w:val="22"/>
        </w:rPr>
      </w:pPr>
    </w:p>
    <w:p w14:paraId="68417D23"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68417D24" w14:textId="77777777" w:rsidR="00031189" w:rsidRPr="0093723A" w:rsidRDefault="00031189" w:rsidP="00E65F5D">
      <w:pPr>
        <w:rPr>
          <w:rFonts w:ascii="Arial" w:hAnsi="Arial" w:cs="Arial"/>
          <w:szCs w:val="22"/>
        </w:rPr>
      </w:pPr>
    </w:p>
    <w:p w14:paraId="68417D2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68417D26" w14:textId="77777777" w:rsidR="00031189" w:rsidRPr="0093723A" w:rsidRDefault="00031189" w:rsidP="00E65F5D">
      <w:pPr>
        <w:rPr>
          <w:rFonts w:ascii="Arial" w:hAnsi="Arial" w:cs="Arial"/>
          <w:szCs w:val="22"/>
        </w:rPr>
      </w:pPr>
    </w:p>
    <w:p w14:paraId="68417D27" w14:textId="77777777" w:rsidR="00031189" w:rsidRPr="0093723A" w:rsidRDefault="00031189" w:rsidP="00E65F5D">
      <w:pPr>
        <w:rPr>
          <w:rFonts w:ascii="Arial" w:hAnsi="Arial" w:cs="Arial"/>
          <w:szCs w:val="22"/>
        </w:rPr>
      </w:pPr>
    </w:p>
    <w:p w14:paraId="68417D28"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8417D29" w14:textId="77777777" w:rsidR="00031189" w:rsidRPr="0093723A" w:rsidRDefault="00031189" w:rsidP="00E65F5D">
      <w:pPr>
        <w:ind w:left="720" w:hanging="720"/>
        <w:jc w:val="both"/>
        <w:rPr>
          <w:rFonts w:ascii="Arial" w:hAnsi="Arial" w:cs="Arial"/>
          <w:szCs w:val="22"/>
        </w:rPr>
      </w:pPr>
    </w:p>
    <w:p w14:paraId="68417D2A" w14:textId="77777777" w:rsidR="00031189" w:rsidRPr="0093723A" w:rsidRDefault="00031189" w:rsidP="00E65F5D">
      <w:pPr>
        <w:ind w:left="720" w:hanging="720"/>
        <w:jc w:val="both"/>
        <w:rPr>
          <w:rFonts w:ascii="Arial" w:hAnsi="Arial" w:cs="Arial"/>
          <w:szCs w:val="22"/>
        </w:rPr>
      </w:pPr>
    </w:p>
    <w:p w14:paraId="68417D2B" w14:textId="77777777" w:rsidR="00031189" w:rsidRPr="0093723A" w:rsidRDefault="00031189" w:rsidP="00E65F5D">
      <w:pPr>
        <w:jc w:val="both"/>
        <w:rPr>
          <w:rFonts w:ascii="Arial" w:hAnsi="Arial" w:cs="Arial"/>
          <w:szCs w:val="22"/>
        </w:rPr>
      </w:pPr>
    </w:p>
    <w:p w14:paraId="7D96D119" w14:textId="77777777" w:rsidR="007553C7" w:rsidRPr="007553C7" w:rsidRDefault="007553C7" w:rsidP="00E65F5D">
      <w:pPr>
        <w:ind w:left="720" w:hanging="720"/>
        <w:jc w:val="both"/>
        <w:rPr>
          <w:rFonts w:ascii="Arial" w:hAnsi="Arial" w:cs="Arial"/>
          <w:szCs w:val="22"/>
        </w:rPr>
      </w:pPr>
      <w:r w:rsidRPr="007553C7">
        <w:rPr>
          <w:rFonts w:ascii="Arial" w:hAnsi="Arial" w:cs="Arial"/>
          <w:szCs w:val="22"/>
        </w:rPr>
        <w:t>Estelle Nma</w:t>
      </w:r>
    </w:p>
    <w:p w14:paraId="68417D2D" w14:textId="2F1430C0" w:rsidR="00031189" w:rsidRPr="007553C7" w:rsidRDefault="007553C7" w:rsidP="00E65F5D">
      <w:pPr>
        <w:ind w:left="720" w:hanging="720"/>
        <w:jc w:val="both"/>
        <w:rPr>
          <w:rFonts w:ascii="Arial" w:hAnsi="Arial" w:cs="Arial"/>
          <w:szCs w:val="22"/>
        </w:rPr>
      </w:pPr>
      <w:r w:rsidRPr="007553C7">
        <w:rPr>
          <w:rFonts w:ascii="Arial" w:hAnsi="Arial" w:cs="Arial"/>
          <w:szCs w:val="22"/>
        </w:rPr>
        <w:t>Programme Delivery Advisor</w:t>
      </w:r>
    </w:p>
    <w:p w14:paraId="68417D2E" w14:textId="77777777" w:rsidR="00031189" w:rsidRPr="0093723A" w:rsidRDefault="00031189" w:rsidP="00E65F5D">
      <w:pPr>
        <w:ind w:left="720" w:hanging="720"/>
        <w:jc w:val="both"/>
        <w:rPr>
          <w:rFonts w:ascii="Arial" w:hAnsi="Arial" w:cs="Arial"/>
          <w:color w:val="0000FF"/>
          <w:szCs w:val="22"/>
        </w:rPr>
      </w:pPr>
    </w:p>
    <w:p w14:paraId="68417D2F" w14:textId="1FF0A0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proofErr w:type="spellStart"/>
      <w:r w:rsidR="007553C7">
        <w:rPr>
          <w:rFonts w:ascii="Arial" w:hAnsi="Arial" w:cs="Arial"/>
          <w:szCs w:val="22"/>
        </w:rPr>
        <w:t>estelle.nma</w:t>
      </w:r>
      <w:proofErr w:type="spellEnd"/>
      <w:r w:rsidR="007553C7">
        <w:rPr>
          <w:rFonts w:ascii="Arial" w:hAnsi="Arial" w:cs="Arial"/>
          <w:szCs w:val="22"/>
        </w:rPr>
        <w:t>@</w:t>
      </w:r>
      <w:r w:rsidRPr="0093723A">
        <w:rPr>
          <w:rFonts w:ascii="Arial" w:hAnsi="Arial" w:cs="Arial"/>
          <w:szCs w:val="22"/>
        </w:rPr>
        <w:t>@environment-agency.gov.uk</w:t>
      </w:r>
    </w:p>
    <w:p w14:paraId="68417D30" w14:textId="0E22E6D6"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7553C7" w:rsidRPr="007553C7">
        <w:rPr>
          <w:rFonts w:ascii="Arial" w:hAnsi="Arial" w:cs="Arial"/>
          <w:szCs w:val="22"/>
        </w:rPr>
        <w:t xml:space="preserve"> </w:t>
      </w:r>
      <w:r w:rsidR="007553C7" w:rsidRPr="007553C7">
        <w:rPr>
          <w:rFonts w:ascii="Arial" w:hAnsi="Arial" w:cs="Arial"/>
          <w:szCs w:val="22"/>
        </w:rPr>
        <w:t>+44 (0) 7385348499</w:t>
      </w:r>
    </w:p>
    <w:p w14:paraId="68417D31" w14:textId="77777777" w:rsidR="00031189" w:rsidRPr="0093723A" w:rsidRDefault="00031189" w:rsidP="00E65F5D">
      <w:pPr>
        <w:ind w:left="720" w:hanging="720"/>
        <w:jc w:val="both"/>
        <w:rPr>
          <w:rFonts w:ascii="Arial" w:hAnsi="Arial" w:cs="Arial"/>
          <w:szCs w:val="22"/>
        </w:rPr>
      </w:pPr>
    </w:p>
    <w:p w14:paraId="68417D32" w14:textId="77777777" w:rsidR="00031189" w:rsidRPr="0093723A" w:rsidRDefault="00031189" w:rsidP="00E65F5D">
      <w:pPr>
        <w:ind w:left="720" w:hanging="720"/>
        <w:jc w:val="both"/>
        <w:rPr>
          <w:rFonts w:ascii="Arial" w:hAnsi="Arial" w:cs="Arial"/>
          <w:szCs w:val="22"/>
        </w:rPr>
      </w:pPr>
    </w:p>
    <w:p w14:paraId="68417D33" w14:textId="77777777" w:rsidR="00031189" w:rsidRPr="0093723A" w:rsidRDefault="00031189" w:rsidP="00E65F5D">
      <w:pPr>
        <w:ind w:left="720" w:hanging="720"/>
        <w:jc w:val="both"/>
        <w:rPr>
          <w:rFonts w:ascii="Arial" w:hAnsi="Arial" w:cs="Arial"/>
          <w:szCs w:val="22"/>
        </w:rPr>
      </w:pPr>
    </w:p>
    <w:p w14:paraId="68417D36" w14:textId="77777777" w:rsidR="00031189" w:rsidRPr="0093723A" w:rsidRDefault="00031189" w:rsidP="00E65F5D">
      <w:pPr>
        <w:jc w:val="both"/>
        <w:rPr>
          <w:rFonts w:ascii="Arial" w:hAnsi="Arial" w:cs="Arial"/>
          <w:b/>
          <w:szCs w:val="22"/>
        </w:rPr>
      </w:pPr>
    </w:p>
    <w:p w14:paraId="68417D37" w14:textId="77777777" w:rsidR="00FE42D1" w:rsidRPr="0093723A" w:rsidRDefault="00FE42D1" w:rsidP="00E65F5D">
      <w:pPr>
        <w:jc w:val="both"/>
        <w:rPr>
          <w:rFonts w:ascii="Arial" w:hAnsi="Arial" w:cs="Arial"/>
          <w:b/>
          <w:szCs w:val="22"/>
        </w:rPr>
      </w:pPr>
    </w:p>
    <w:p w14:paraId="68417D38" w14:textId="3AE4001C" w:rsidR="00A573AA" w:rsidRPr="007553C7" w:rsidRDefault="00FE42D1" w:rsidP="00A573AA">
      <w:pPr>
        <w:jc w:val="center"/>
        <w:rPr>
          <w:rFonts w:ascii="Arial" w:hAnsi="Arial" w:cs="Arial"/>
          <w:b/>
          <w:sz w:val="28"/>
          <w:szCs w:val="28"/>
          <w:u w:val="single"/>
        </w:rPr>
      </w:pPr>
      <w:r w:rsidRPr="0093723A">
        <w:rPr>
          <w:rFonts w:ascii="Arial" w:hAnsi="Arial" w:cs="Arial"/>
          <w:b/>
          <w:szCs w:val="22"/>
        </w:rPr>
        <w:br w:type="page"/>
      </w:r>
    </w:p>
    <w:p w14:paraId="68417D58" w14:textId="5199F448" w:rsidR="00050B8F" w:rsidRPr="000878DD" w:rsidRDefault="000878DD" w:rsidP="00E65F5D">
      <w:pPr>
        <w:spacing w:before="240"/>
        <w:rPr>
          <w:rFonts w:ascii="Arial" w:hAnsi="Arial" w:cs="Arial"/>
          <w:b/>
          <w:color w:val="FF0000"/>
          <w:sz w:val="28"/>
          <w:szCs w:val="28"/>
        </w:rPr>
      </w:pPr>
      <w:r w:rsidRPr="007553C7">
        <w:rPr>
          <w:rFonts w:ascii="Arial" w:hAnsi="Arial" w:cs="Arial"/>
          <w:b/>
          <w:sz w:val="28"/>
          <w:szCs w:val="28"/>
          <w:u w:val="single"/>
        </w:rPr>
        <w:lastRenderedPageBreak/>
        <w:t>Request for Quot</w:t>
      </w:r>
      <w:r w:rsidR="00B94CDD" w:rsidRPr="007553C7">
        <w:rPr>
          <w:rFonts w:ascii="Arial" w:hAnsi="Arial" w:cs="Arial"/>
          <w:b/>
          <w:sz w:val="28"/>
          <w:szCs w:val="28"/>
          <w:u w:val="single"/>
        </w:rPr>
        <w:t>ation</w:t>
      </w:r>
    </w:p>
    <w:p w14:paraId="2E952A0E" w14:textId="77777777" w:rsidR="007553C7" w:rsidRDefault="007553C7" w:rsidP="007553C7">
      <w:pPr>
        <w:jc w:val="both"/>
        <w:rPr>
          <w:rFonts w:ascii="Arial" w:hAnsi="Arial" w:cs="Arial"/>
          <w:b/>
          <w:szCs w:val="22"/>
        </w:rPr>
      </w:pPr>
    </w:p>
    <w:p w14:paraId="5636179B" w14:textId="47915C77" w:rsidR="007553C7" w:rsidRPr="007553C7" w:rsidRDefault="007553C7" w:rsidP="007553C7">
      <w:pPr>
        <w:jc w:val="both"/>
        <w:rPr>
          <w:rFonts w:ascii="Arial" w:hAnsi="Arial" w:cs="Arial"/>
          <w:b/>
          <w:szCs w:val="22"/>
        </w:rPr>
      </w:pPr>
      <w:r w:rsidRPr="007553C7">
        <w:rPr>
          <w:rFonts w:ascii="Arial" w:hAnsi="Arial" w:cs="Arial"/>
          <w:b/>
          <w:szCs w:val="22"/>
        </w:rPr>
        <w:t>Contract Ref:</w:t>
      </w:r>
      <w:r w:rsidRPr="007553C7">
        <w:rPr>
          <w:rFonts w:ascii="Arial" w:hAnsi="Arial" w:cs="Arial"/>
          <w:b/>
          <w:szCs w:val="22"/>
        </w:rPr>
        <w:tab/>
      </w:r>
      <w:r w:rsidRPr="007553C7">
        <w:rPr>
          <w:rFonts w:ascii="Arial" w:hAnsi="Arial" w:cs="Arial"/>
          <w:b/>
        </w:rPr>
        <w:t>ENV6005704R task 1</w:t>
      </w:r>
    </w:p>
    <w:p w14:paraId="74346B2C" w14:textId="77777777" w:rsidR="007553C7" w:rsidRPr="007553C7" w:rsidRDefault="007553C7" w:rsidP="007553C7">
      <w:pPr>
        <w:jc w:val="both"/>
        <w:rPr>
          <w:rFonts w:ascii="Arial" w:hAnsi="Arial" w:cs="Arial"/>
          <w:b/>
          <w:szCs w:val="22"/>
        </w:rPr>
      </w:pPr>
      <w:r w:rsidRPr="007553C7">
        <w:rPr>
          <w:rFonts w:ascii="Arial" w:hAnsi="Arial" w:cs="Arial"/>
          <w:b/>
          <w:szCs w:val="22"/>
        </w:rPr>
        <w:t>Contract Title:</w:t>
      </w:r>
      <w:r w:rsidRPr="007553C7">
        <w:rPr>
          <w:rFonts w:ascii="Arial" w:hAnsi="Arial" w:cs="Arial"/>
          <w:b/>
          <w:szCs w:val="22"/>
        </w:rPr>
        <w:tab/>
      </w:r>
      <w:r w:rsidRPr="007553C7">
        <w:rPr>
          <w:rFonts w:ascii="Arial" w:hAnsi="Arial" w:cs="Arial"/>
          <w:b/>
        </w:rPr>
        <w:t>Viability of developing a screening tool to assess non-standard bioaccumulation potential of chemical substances in aquatic and terrestrial wildlife</w:t>
      </w:r>
    </w:p>
    <w:p w14:paraId="68417D5B" w14:textId="77777777" w:rsidR="005700D8" w:rsidRPr="0093723A" w:rsidRDefault="005700D8" w:rsidP="00E65F5D">
      <w:pPr>
        <w:jc w:val="both"/>
        <w:rPr>
          <w:rFonts w:ascii="Arial" w:hAnsi="Arial" w:cs="Arial"/>
          <w:szCs w:val="22"/>
        </w:rPr>
      </w:pPr>
    </w:p>
    <w:p w14:paraId="68417D5C"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68417D5D" w14:textId="77777777" w:rsidR="003014F2" w:rsidRPr="0093723A" w:rsidRDefault="003014F2" w:rsidP="00E65F5D">
      <w:pPr>
        <w:rPr>
          <w:rFonts w:ascii="Arial" w:hAnsi="Arial" w:cs="Arial"/>
          <w:b/>
          <w:szCs w:val="22"/>
          <w:u w:val="single"/>
        </w:rPr>
      </w:pPr>
    </w:p>
    <w:p w14:paraId="68417D5E"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68417D5F"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68417D60" w14:textId="77777777" w:rsidR="00491B79" w:rsidRPr="0093723A" w:rsidRDefault="00491B79" w:rsidP="00E65F5D">
      <w:pPr>
        <w:widowControl w:val="0"/>
        <w:rPr>
          <w:rFonts w:ascii="Arial" w:hAnsi="Arial" w:cs="Arial"/>
          <w:szCs w:val="22"/>
        </w:rPr>
      </w:pPr>
    </w:p>
    <w:p w14:paraId="68417D6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68417D62" w14:textId="77777777" w:rsidR="00491B79" w:rsidRPr="0093723A" w:rsidRDefault="00491B79" w:rsidP="00E65F5D">
      <w:pPr>
        <w:widowControl w:val="0"/>
        <w:rPr>
          <w:rFonts w:ascii="Arial" w:hAnsi="Arial" w:cs="Arial"/>
          <w:szCs w:val="22"/>
        </w:rPr>
      </w:pPr>
    </w:p>
    <w:p w14:paraId="68417D63" w14:textId="77777777" w:rsidR="00491B79" w:rsidRPr="0093723A" w:rsidRDefault="001C2C25"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8417D64" w14:textId="77777777" w:rsidR="00491B79" w:rsidRPr="0093723A" w:rsidRDefault="00491B79" w:rsidP="00E65F5D">
      <w:pPr>
        <w:widowControl w:val="0"/>
        <w:rPr>
          <w:rFonts w:ascii="Arial" w:hAnsi="Arial" w:cs="Arial"/>
          <w:b/>
          <w:szCs w:val="22"/>
          <w:u w:val="single"/>
        </w:rPr>
      </w:pPr>
    </w:p>
    <w:p w14:paraId="68417D6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68417D66"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8417D67" w14:textId="77777777" w:rsidR="00491B79" w:rsidRPr="0093723A" w:rsidRDefault="00491B79" w:rsidP="00E65F5D">
      <w:pPr>
        <w:widowControl w:val="0"/>
        <w:rPr>
          <w:rFonts w:ascii="Arial" w:hAnsi="Arial" w:cs="Arial"/>
          <w:szCs w:val="22"/>
        </w:rPr>
      </w:pPr>
    </w:p>
    <w:p w14:paraId="68417D68"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68417D69"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ICT and Telecommunications</w:t>
      </w:r>
    </w:p>
    <w:p w14:paraId="68417D6A"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Vehicles and Plant</w:t>
      </w:r>
    </w:p>
    <w:p w14:paraId="68417D6B"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68417D6C"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Temporary Staff and Contractors</w:t>
      </w:r>
    </w:p>
    <w:p w14:paraId="68417D6D"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8417D6E" w14:textId="77777777" w:rsidR="00491B79" w:rsidRPr="0093723A" w:rsidRDefault="00491B79" w:rsidP="009D7616">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68417D6F" w14:textId="77777777" w:rsidR="00491B79" w:rsidRPr="0093723A" w:rsidRDefault="00491B79" w:rsidP="00E65F5D">
      <w:pPr>
        <w:widowControl w:val="0"/>
        <w:rPr>
          <w:rFonts w:ascii="Arial" w:hAnsi="Arial" w:cs="Arial"/>
          <w:b/>
          <w:szCs w:val="22"/>
        </w:rPr>
      </w:pPr>
    </w:p>
    <w:p w14:paraId="68417D7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8417D7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68417D72" w14:textId="77777777" w:rsidR="00491B79" w:rsidRPr="0093723A" w:rsidRDefault="00491B79" w:rsidP="00E65F5D">
      <w:pPr>
        <w:widowControl w:val="0"/>
        <w:rPr>
          <w:rFonts w:ascii="Arial" w:hAnsi="Arial" w:cs="Arial"/>
          <w:szCs w:val="22"/>
        </w:rPr>
      </w:pPr>
    </w:p>
    <w:p w14:paraId="68417D73"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8417D74" w14:textId="77777777" w:rsidR="00AD6F35" w:rsidRDefault="00AD6F35" w:rsidP="00E65F5D">
      <w:pPr>
        <w:widowControl w:val="0"/>
        <w:rPr>
          <w:rFonts w:ascii="Arial" w:hAnsi="Arial" w:cs="Arial"/>
          <w:szCs w:val="22"/>
        </w:rPr>
      </w:pPr>
    </w:p>
    <w:p w14:paraId="68417D75" w14:textId="77777777" w:rsidR="00491B79" w:rsidRPr="0093723A" w:rsidRDefault="001C2C25"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68417D76" w14:textId="77777777" w:rsidR="00A323E2" w:rsidRPr="0093723A" w:rsidRDefault="00A323E2" w:rsidP="00E65F5D">
      <w:pPr>
        <w:widowControl w:val="0"/>
        <w:rPr>
          <w:rFonts w:ascii="Arial" w:hAnsi="Arial" w:cs="Arial"/>
          <w:color w:val="8DB3E2"/>
          <w:szCs w:val="22"/>
        </w:rPr>
      </w:pPr>
    </w:p>
    <w:p w14:paraId="68417D7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68417D78"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68417D79" w14:textId="77777777" w:rsidR="00491B79" w:rsidRPr="0093723A" w:rsidRDefault="00491B79" w:rsidP="00E65F5D">
      <w:pPr>
        <w:widowControl w:val="0"/>
        <w:rPr>
          <w:rFonts w:ascii="Arial" w:hAnsi="Arial" w:cs="Arial"/>
          <w:szCs w:val="22"/>
        </w:rPr>
      </w:pPr>
    </w:p>
    <w:p w14:paraId="68417D7A" w14:textId="77777777" w:rsidR="00491B79" w:rsidRPr="0093723A" w:rsidRDefault="001C2C25"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8417D7B" w14:textId="77777777" w:rsidR="00491B79" w:rsidRPr="0093723A" w:rsidRDefault="00491B79" w:rsidP="00E65F5D">
      <w:pPr>
        <w:widowControl w:val="0"/>
        <w:rPr>
          <w:rFonts w:ascii="Arial" w:hAnsi="Arial" w:cs="Arial"/>
          <w:szCs w:val="22"/>
        </w:rPr>
      </w:pPr>
    </w:p>
    <w:p w14:paraId="68417D7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68417D7D" w14:textId="77777777" w:rsidR="00491B79" w:rsidRPr="0093723A" w:rsidRDefault="00491B79" w:rsidP="00E65F5D">
      <w:pPr>
        <w:shd w:val="clear" w:color="auto" w:fill="FFFFFF"/>
        <w:rPr>
          <w:rFonts w:ascii="Arial" w:hAnsi="Arial" w:cs="Arial"/>
          <w:szCs w:val="22"/>
        </w:rPr>
      </w:pPr>
    </w:p>
    <w:p w14:paraId="68417D7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68417D7F"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68417D80" w14:textId="77777777" w:rsidR="00491B79" w:rsidRPr="0093723A" w:rsidRDefault="00491B79" w:rsidP="00E65F5D">
      <w:pPr>
        <w:shd w:val="clear" w:color="auto" w:fill="FFFFFF"/>
        <w:rPr>
          <w:rFonts w:ascii="Arial" w:hAnsi="Arial" w:cs="Arial"/>
          <w:szCs w:val="22"/>
        </w:rPr>
      </w:pPr>
    </w:p>
    <w:p w14:paraId="68417D81" w14:textId="77777777" w:rsidR="00491B79" w:rsidRPr="0093723A" w:rsidRDefault="001C2C25"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8417D82"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68417D83" w14:textId="77777777" w:rsidR="00491B79" w:rsidRPr="0093723A" w:rsidRDefault="00491B79" w:rsidP="00E65F5D">
      <w:pPr>
        <w:rPr>
          <w:rFonts w:ascii="Arial" w:hAnsi="Arial" w:cs="Arial"/>
          <w:szCs w:val="22"/>
        </w:rPr>
      </w:pPr>
    </w:p>
    <w:p w14:paraId="68417D84"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68417D85" w14:textId="77777777" w:rsidR="00491B79" w:rsidRPr="0093723A" w:rsidRDefault="00491B79" w:rsidP="00E65F5D">
      <w:pPr>
        <w:rPr>
          <w:rFonts w:ascii="Arial" w:hAnsi="Arial" w:cs="Arial"/>
          <w:szCs w:val="22"/>
        </w:rPr>
      </w:pPr>
    </w:p>
    <w:p w14:paraId="68417D86"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68417D87"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8417D88" w14:textId="77777777" w:rsidR="00EA6FE1" w:rsidRPr="0093723A" w:rsidRDefault="00EA6FE1" w:rsidP="00E65F5D">
      <w:pPr>
        <w:jc w:val="both"/>
        <w:rPr>
          <w:rFonts w:ascii="Arial" w:hAnsi="Arial" w:cs="Arial"/>
          <w:b/>
          <w:szCs w:val="22"/>
          <w:u w:val="single"/>
        </w:rPr>
      </w:pPr>
    </w:p>
    <w:p w14:paraId="68417D89"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68417D8A" w14:textId="77777777" w:rsidR="00D92EC1" w:rsidRPr="0093723A" w:rsidRDefault="00D92EC1" w:rsidP="00E65F5D">
      <w:pPr>
        <w:jc w:val="both"/>
        <w:rPr>
          <w:rFonts w:ascii="Arial" w:hAnsi="Arial" w:cs="Arial"/>
          <w:szCs w:val="22"/>
        </w:rPr>
      </w:pPr>
    </w:p>
    <w:p w14:paraId="68417D8B"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68417D8C" w14:textId="77777777" w:rsidR="00C24614" w:rsidRPr="0093723A" w:rsidRDefault="00C24614" w:rsidP="00E65F5D">
      <w:pPr>
        <w:jc w:val="both"/>
        <w:rPr>
          <w:rFonts w:ascii="Arial" w:hAnsi="Arial" w:cs="Arial"/>
          <w:b/>
          <w:szCs w:val="22"/>
          <w:u w:val="single"/>
        </w:rPr>
      </w:pPr>
    </w:p>
    <w:p w14:paraId="68417D8D"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8417D8E" w14:textId="77777777" w:rsidR="003C74EF" w:rsidRPr="0093723A" w:rsidRDefault="003C74EF" w:rsidP="00E65F5D">
      <w:pPr>
        <w:jc w:val="both"/>
        <w:rPr>
          <w:rFonts w:ascii="Arial" w:hAnsi="Arial" w:cs="Arial"/>
          <w:b/>
          <w:szCs w:val="22"/>
          <w:u w:val="single"/>
        </w:rPr>
      </w:pPr>
    </w:p>
    <w:p w14:paraId="52747A80" w14:textId="77777777" w:rsidR="00B554E0" w:rsidRDefault="00B554E0" w:rsidP="00B554E0">
      <w:pPr>
        <w:pStyle w:val="Style3"/>
        <w:spacing w:before="0"/>
        <w:rPr>
          <w:rStyle w:val="BlockText1"/>
          <w:rFonts w:cs="Arial"/>
          <w:b w:val="0"/>
          <w:sz w:val="20"/>
          <w:szCs w:val="20"/>
        </w:rPr>
      </w:pPr>
      <w:r w:rsidRPr="00F658FC">
        <w:rPr>
          <w:rFonts w:ascii="Arial" w:hAnsi="Arial" w:cs="Arial"/>
          <w:b w:val="0"/>
          <w:bCs w:val="0"/>
          <w:sz w:val="20"/>
          <w:szCs w:val="20"/>
        </w:rPr>
        <w:t>The Chemical Assessment Unit (</w:t>
      </w:r>
      <w:r>
        <w:rPr>
          <w:rFonts w:ascii="Arial" w:hAnsi="Arial" w:cs="Arial"/>
          <w:b w:val="0"/>
          <w:bCs w:val="0"/>
          <w:sz w:val="20"/>
          <w:szCs w:val="20"/>
        </w:rPr>
        <w:t xml:space="preserve">CAU; </w:t>
      </w:r>
      <w:r w:rsidRPr="00F658FC">
        <w:rPr>
          <w:rFonts w:ascii="Arial" w:hAnsi="Arial" w:cs="Arial"/>
          <w:b w:val="0"/>
          <w:bCs w:val="0"/>
          <w:sz w:val="20"/>
          <w:szCs w:val="20"/>
        </w:rPr>
        <w:t>Chief Scientist</w:t>
      </w:r>
      <w:r>
        <w:rPr>
          <w:rFonts w:ascii="Arial" w:hAnsi="Arial" w:cs="Arial"/>
          <w:b w:val="0"/>
          <w:bCs w:val="0"/>
          <w:sz w:val="20"/>
          <w:szCs w:val="20"/>
        </w:rPr>
        <w:t>’</w:t>
      </w:r>
      <w:r w:rsidRPr="00F658FC">
        <w:rPr>
          <w:rFonts w:ascii="Arial" w:hAnsi="Arial" w:cs="Arial"/>
          <w:b w:val="0"/>
          <w:bCs w:val="0"/>
          <w:sz w:val="20"/>
          <w:szCs w:val="20"/>
        </w:rPr>
        <w:t xml:space="preserve">s Group – Research, Environment and Business Directorate, Environment Agency) </w:t>
      </w:r>
      <w:r>
        <w:rPr>
          <w:rFonts w:ascii="Arial" w:hAnsi="Arial" w:cs="Arial"/>
          <w:b w:val="0"/>
          <w:bCs w:val="0"/>
          <w:sz w:val="20"/>
          <w:szCs w:val="20"/>
        </w:rPr>
        <w:t>supports the UK Chemicals Agency</w:t>
      </w:r>
      <w:r w:rsidRPr="00CD2431">
        <w:rPr>
          <w:rFonts w:ascii="Arial" w:hAnsi="Arial" w:cs="Arial"/>
          <w:b w:val="0"/>
          <w:bCs w:val="0"/>
          <w:sz w:val="20"/>
          <w:szCs w:val="20"/>
        </w:rPr>
        <w:t xml:space="preserve"> (the Health and Safety Executive, HSE)</w:t>
      </w:r>
      <w:r w:rsidRPr="00F658FC">
        <w:rPr>
          <w:rFonts w:ascii="Arial" w:hAnsi="Arial" w:cs="Arial"/>
          <w:b w:val="0"/>
          <w:bCs w:val="0"/>
          <w:sz w:val="20"/>
          <w:szCs w:val="20"/>
        </w:rPr>
        <w:t xml:space="preserve"> </w:t>
      </w:r>
      <w:r>
        <w:rPr>
          <w:rFonts w:ascii="Arial" w:hAnsi="Arial" w:cs="Arial"/>
          <w:b w:val="0"/>
          <w:bCs w:val="0"/>
          <w:sz w:val="20"/>
          <w:szCs w:val="20"/>
        </w:rPr>
        <w:t>on</w:t>
      </w:r>
      <w:r w:rsidRPr="00F658FC">
        <w:rPr>
          <w:rFonts w:ascii="Arial" w:hAnsi="Arial" w:cs="Arial"/>
          <w:b w:val="0"/>
          <w:bCs w:val="0"/>
          <w:sz w:val="20"/>
          <w:szCs w:val="20"/>
        </w:rPr>
        <w:t xml:space="preserve"> the environmental aspects of </w:t>
      </w:r>
      <w:r>
        <w:rPr>
          <w:rFonts w:ascii="Arial" w:hAnsi="Arial" w:cs="Arial"/>
          <w:b w:val="0"/>
          <w:bCs w:val="0"/>
          <w:sz w:val="20"/>
          <w:szCs w:val="20"/>
        </w:rPr>
        <w:t xml:space="preserve">the </w:t>
      </w:r>
      <w:r w:rsidRPr="00F658FC">
        <w:rPr>
          <w:rFonts w:ascii="Arial" w:hAnsi="Arial" w:cs="Arial"/>
          <w:b w:val="0"/>
          <w:bCs w:val="0"/>
          <w:sz w:val="20"/>
          <w:szCs w:val="20"/>
        </w:rPr>
        <w:t xml:space="preserve">UK Registration, Evaluation, </w:t>
      </w:r>
      <w:proofErr w:type="gramStart"/>
      <w:r w:rsidRPr="00F658FC">
        <w:rPr>
          <w:rFonts w:ascii="Arial" w:hAnsi="Arial" w:cs="Arial"/>
          <w:b w:val="0"/>
          <w:bCs w:val="0"/>
          <w:sz w:val="20"/>
          <w:szCs w:val="20"/>
        </w:rPr>
        <w:t>Authorisation</w:t>
      </w:r>
      <w:proofErr w:type="gramEnd"/>
      <w:r w:rsidRPr="00F658FC">
        <w:rPr>
          <w:rFonts w:ascii="Arial" w:hAnsi="Arial" w:cs="Arial"/>
          <w:b w:val="0"/>
          <w:bCs w:val="0"/>
          <w:sz w:val="20"/>
          <w:szCs w:val="20"/>
        </w:rPr>
        <w:t xml:space="preserve"> and </w:t>
      </w:r>
      <w:r>
        <w:rPr>
          <w:rFonts w:ascii="Arial" w:hAnsi="Arial" w:cs="Arial"/>
          <w:b w:val="0"/>
          <w:bCs w:val="0"/>
          <w:sz w:val="20"/>
          <w:szCs w:val="20"/>
        </w:rPr>
        <w:t>r</w:t>
      </w:r>
      <w:r w:rsidRPr="00F658FC">
        <w:rPr>
          <w:rFonts w:ascii="Arial" w:hAnsi="Arial" w:cs="Arial"/>
          <w:b w:val="0"/>
          <w:bCs w:val="0"/>
          <w:sz w:val="20"/>
          <w:szCs w:val="20"/>
        </w:rPr>
        <w:t>estriction of Chemicals (REACH</w:t>
      </w:r>
      <w:r>
        <w:rPr>
          <w:rFonts w:ascii="Arial" w:hAnsi="Arial" w:cs="Arial"/>
          <w:b w:val="0"/>
          <w:bCs w:val="0"/>
          <w:sz w:val="20"/>
          <w:szCs w:val="20"/>
        </w:rPr>
        <w:t>)</w:t>
      </w:r>
      <w:r w:rsidRPr="00F658FC">
        <w:rPr>
          <w:rFonts w:ascii="Arial" w:hAnsi="Arial" w:cs="Arial"/>
          <w:b w:val="0"/>
          <w:bCs w:val="0"/>
          <w:sz w:val="20"/>
          <w:szCs w:val="20"/>
        </w:rPr>
        <w:t xml:space="preserve"> legislation.</w:t>
      </w:r>
      <w:r w:rsidRPr="00A57CAD">
        <w:rPr>
          <w:rFonts w:ascii="Arial" w:hAnsi="Arial" w:cs="Arial"/>
          <w:b w:val="0"/>
          <w:bCs w:val="0"/>
          <w:sz w:val="20"/>
          <w:szCs w:val="20"/>
        </w:rPr>
        <w:t xml:space="preserve"> </w:t>
      </w:r>
      <w:r w:rsidRPr="001244CF">
        <w:rPr>
          <w:rStyle w:val="BlockText1"/>
          <w:rFonts w:cs="Arial"/>
          <w:b w:val="0"/>
          <w:sz w:val="20"/>
          <w:szCs w:val="20"/>
        </w:rPr>
        <w:t xml:space="preserve">A crucial part of our work </w:t>
      </w:r>
      <w:r>
        <w:rPr>
          <w:rStyle w:val="BlockText1"/>
          <w:rFonts w:cs="Arial"/>
          <w:b w:val="0"/>
          <w:sz w:val="20"/>
          <w:szCs w:val="20"/>
        </w:rPr>
        <w:t>is</w:t>
      </w:r>
      <w:r w:rsidRPr="001244CF">
        <w:rPr>
          <w:rStyle w:val="BlockText1"/>
          <w:rFonts w:cs="Arial"/>
          <w:b w:val="0"/>
          <w:sz w:val="20"/>
          <w:szCs w:val="20"/>
        </w:rPr>
        <w:t xml:space="preserve"> hazard assessment of industrial and consumer chemicals</w:t>
      </w:r>
      <w:r>
        <w:rPr>
          <w:rStyle w:val="BlockText1"/>
          <w:rFonts w:cs="Arial"/>
          <w:b w:val="0"/>
          <w:sz w:val="20"/>
          <w:szCs w:val="20"/>
        </w:rPr>
        <w:t xml:space="preserve">, and the correct assignment of </w:t>
      </w:r>
      <w:r w:rsidRPr="004A24A8">
        <w:rPr>
          <w:rStyle w:val="BlockText1"/>
          <w:rFonts w:cs="Arial"/>
          <w:b w:val="0"/>
          <w:sz w:val="20"/>
          <w:szCs w:val="20"/>
        </w:rPr>
        <w:t>b</w:t>
      </w:r>
      <w:r w:rsidRPr="00A57CAD">
        <w:rPr>
          <w:rStyle w:val="BlockText1"/>
          <w:rFonts w:cs="Arial"/>
          <w:b w:val="0"/>
          <w:sz w:val="20"/>
          <w:szCs w:val="20"/>
        </w:rPr>
        <w:t xml:space="preserve">ioaccumulation </w:t>
      </w:r>
      <w:r>
        <w:rPr>
          <w:rStyle w:val="BlockText1"/>
          <w:rFonts w:cs="Arial"/>
          <w:b w:val="0"/>
          <w:sz w:val="20"/>
          <w:szCs w:val="20"/>
        </w:rPr>
        <w:t>potential</w:t>
      </w:r>
      <w:r w:rsidRPr="00A57CAD">
        <w:rPr>
          <w:rStyle w:val="BlockText1"/>
          <w:rFonts w:cs="Arial"/>
          <w:b w:val="0"/>
          <w:sz w:val="20"/>
          <w:szCs w:val="20"/>
        </w:rPr>
        <w:t xml:space="preserve"> is</w:t>
      </w:r>
      <w:r>
        <w:rPr>
          <w:rStyle w:val="BlockText1"/>
          <w:rFonts w:cs="Arial"/>
          <w:b w:val="0"/>
          <w:sz w:val="20"/>
          <w:szCs w:val="20"/>
        </w:rPr>
        <w:t xml:space="preserve"> a</w:t>
      </w:r>
      <w:r w:rsidRPr="00A57CAD">
        <w:rPr>
          <w:rStyle w:val="BlockText1"/>
          <w:rFonts w:cs="Arial"/>
          <w:b w:val="0"/>
          <w:sz w:val="20"/>
          <w:szCs w:val="20"/>
        </w:rPr>
        <w:t xml:space="preserve"> fundamental</w:t>
      </w:r>
      <w:r>
        <w:rPr>
          <w:rStyle w:val="BlockText1"/>
          <w:rFonts w:cs="Arial"/>
          <w:b w:val="0"/>
          <w:sz w:val="20"/>
          <w:szCs w:val="20"/>
        </w:rPr>
        <w:t xml:space="preserve"> component of such assessments</w:t>
      </w:r>
      <w:r w:rsidRPr="00A57CAD">
        <w:rPr>
          <w:rStyle w:val="BlockText1"/>
          <w:rFonts w:cs="Arial"/>
          <w:b w:val="0"/>
          <w:sz w:val="20"/>
          <w:szCs w:val="20"/>
        </w:rPr>
        <w:t>.</w:t>
      </w:r>
    </w:p>
    <w:p w14:paraId="73F6E203" w14:textId="6149831A" w:rsidR="00B554E0" w:rsidRDefault="00B554E0" w:rsidP="00B554E0">
      <w:pPr>
        <w:jc w:val="both"/>
        <w:rPr>
          <w:rFonts w:ascii="Arial" w:hAnsi="Arial" w:cs="Arial"/>
          <w:szCs w:val="22"/>
        </w:rPr>
      </w:pPr>
    </w:p>
    <w:p w14:paraId="68417D9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68417D97" w14:textId="77777777" w:rsidR="005700D8" w:rsidRPr="0093723A" w:rsidRDefault="005700D8" w:rsidP="00E65F5D">
      <w:pPr>
        <w:rPr>
          <w:rFonts w:ascii="Arial" w:hAnsi="Arial" w:cs="Arial"/>
          <w:szCs w:val="22"/>
        </w:rPr>
      </w:pPr>
    </w:p>
    <w:p w14:paraId="68417D98" w14:textId="42ED1EAE"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6E5B2A">
        <w:rPr>
          <w:rFonts w:ascii="Arial" w:hAnsi="Arial" w:cs="Arial"/>
          <w:szCs w:val="22"/>
        </w:rPr>
        <w:t>20</w:t>
      </w:r>
      <w:r w:rsidR="00816191">
        <w:rPr>
          <w:rFonts w:ascii="Arial" w:hAnsi="Arial" w:cs="Arial"/>
          <w:szCs w:val="22"/>
        </w:rPr>
        <w:t xml:space="preserve"> weeks</w:t>
      </w:r>
      <w:r w:rsidRPr="0093723A">
        <w:rPr>
          <w:rFonts w:ascii="Arial" w:hAnsi="Arial" w:cs="Arial"/>
          <w:color w:val="FF0000"/>
          <w:szCs w:val="22"/>
        </w:rPr>
        <w:t xml:space="preserve"> </w:t>
      </w:r>
      <w:r w:rsidRPr="0093723A">
        <w:rPr>
          <w:rFonts w:ascii="Arial" w:hAnsi="Arial" w:cs="Arial"/>
          <w:szCs w:val="22"/>
        </w:rPr>
        <w:t xml:space="preserve">to end no later than </w:t>
      </w:r>
      <w:r w:rsidR="006E5B2A">
        <w:rPr>
          <w:rFonts w:ascii="Arial" w:hAnsi="Arial" w:cs="Arial"/>
          <w:szCs w:val="22"/>
        </w:rPr>
        <w:t>24</w:t>
      </w:r>
      <w:r w:rsidR="00816191">
        <w:rPr>
          <w:rFonts w:ascii="Arial" w:hAnsi="Arial" w:cs="Arial"/>
          <w:szCs w:val="22"/>
        </w:rPr>
        <w:t>/02/23.</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68417D99" w14:textId="77777777" w:rsidR="00AB6556" w:rsidRPr="0093723A" w:rsidRDefault="00AB6556" w:rsidP="00E65F5D">
      <w:pPr>
        <w:rPr>
          <w:rFonts w:ascii="Arial" w:hAnsi="Arial" w:cs="Arial"/>
          <w:szCs w:val="22"/>
        </w:rPr>
      </w:pPr>
    </w:p>
    <w:p w14:paraId="68417D9A" w14:textId="5ABA1ECE"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816191">
        <w:rPr>
          <w:rFonts w:ascii="Arial" w:hAnsi="Arial" w:cs="Arial"/>
          <w:szCs w:val="22"/>
        </w:rPr>
        <w:t>Research</w:t>
      </w:r>
      <w:r w:rsidR="002F4C87" w:rsidRPr="00816191">
        <w:rPr>
          <w:rFonts w:ascii="Arial" w:hAnsi="Arial" w:cs="Arial"/>
          <w:szCs w:val="22"/>
        </w:rPr>
        <w:t xml:space="preserve"> (Appendix C</w:t>
      </w:r>
      <w:r w:rsidR="00296D92" w:rsidRPr="00816191">
        <w:rPr>
          <w:rFonts w:ascii="Arial" w:hAnsi="Arial" w:cs="Arial"/>
          <w:szCs w:val="22"/>
        </w:rPr>
        <w:t>)</w:t>
      </w:r>
      <w:r w:rsidRPr="00816191">
        <w:rPr>
          <w:rFonts w:ascii="Arial" w:hAnsi="Arial" w:cs="Arial"/>
          <w:szCs w:val="22"/>
        </w:rPr>
        <w:t xml:space="preserve"> shall </w:t>
      </w:r>
      <w:r w:rsidRPr="0093723A">
        <w:rPr>
          <w:rFonts w:ascii="Arial" w:hAnsi="Arial" w:cs="Arial"/>
          <w:szCs w:val="22"/>
        </w:rPr>
        <w:t xml:space="preserve">apply to this contract. </w:t>
      </w:r>
    </w:p>
    <w:p w14:paraId="68417D9B" w14:textId="77777777" w:rsidR="00296D92" w:rsidRDefault="00296D92" w:rsidP="00E65F5D">
      <w:pPr>
        <w:rPr>
          <w:rFonts w:ascii="Arial" w:hAnsi="Arial" w:cs="Arial"/>
          <w:szCs w:val="22"/>
        </w:rPr>
      </w:pPr>
    </w:p>
    <w:p w14:paraId="68417D9E" w14:textId="1128F4B8" w:rsidR="00F7147C" w:rsidRPr="00816191" w:rsidRDefault="00F7147C" w:rsidP="00E65F5D">
      <w:pPr>
        <w:pStyle w:val="CcList"/>
        <w:rPr>
          <w:rFonts w:cs="Arial"/>
          <w:bCs/>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16191" w:rsidRPr="00816191">
        <w:rPr>
          <w:rFonts w:cs="Arial"/>
          <w:bCs/>
          <w:sz w:val="20"/>
          <w:szCs w:val="22"/>
        </w:rPr>
        <w:t>Estelle Nma, Estelle.nma@environment-agency.gov.uk</w:t>
      </w:r>
    </w:p>
    <w:p w14:paraId="68417D9F" w14:textId="77777777" w:rsidR="005700D8" w:rsidRPr="0093723A" w:rsidRDefault="005700D8" w:rsidP="00E65F5D">
      <w:pPr>
        <w:rPr>
          <w:rFonts w:ascii="Arial" w:hAnsi="Arial" w:cs="Arial"/>
          <w:szCs w:val="22"/>
        </w:rPr>
      </w:pPr>
    </w:p>
    <w:p w14:paraId="68417DA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68417DA1" w14:textId="77777777" w:rsidR="00296D92" w:rsidRDefault="00296D92" w:rsidP="00296D92"/>
    <w:p w14:paraId="68417DA2" w14:textId="101DC90A" w:rsidR="00296D92" w:rsidRDefault="00816191" w:rsidP="00296D92">
      <w:pPr>
        <w:ind w:right="-21"/>
        <w:rPr>
          <w:rFonts w:ascii="Arial" w:hAnsi="Arial" w:cs="Arial"/>
          <w:szCs w:val="22"/>
        </w:rPr>
      </w:pPr>
      <w:r w:rsidRPr="00816191">
        <w:rPr>
          <w:rFonts w:ascii="Arial" w:hAnsi="Arial" w:cs="Arial"/>
          <w:szCs w:val="22"/>
        </w:rPr>
        <w:t>Estelle Nma</w:t>
      </w:r>
      <w:r w:rsidR="00296D92" w:rsidRPr="00816191">
        <w:rPr>
          <w:rFonts w:ascii="Arial" w:hAnsi="Arial" w:cs="Arial"/>
          <w:szCs w:val="22"/>
        </w:rPr>
        <w:t xml:space="preserve"> will </w:t>
      </w:r>
      <w:r w:rsidR="00296D92" w:rsidRPr="0093723A">
        <w:rPr>
          <w:rFonts w:ascii="Arial" w:hAnsi="Arial" w:cs="Arial"/>
          <w:szCs w:val="22"/>
        </w:rPr>
        <w:t>be your contact for any questions linked to the content of the quote pack or the process. Please submit any questions by email and note that both the question and the response will be circulated to all tenderers.</w:t>
      </w:r>
      <w:r>
        <w:rPr>
          <w:rFonts w:ascii="Arial" w:hAnsi="Arial" w:cs="Arial"/>
          <w:szCs w:val="22"/>
        </w:rPr>
        <w:t xml:space="preserve"> Deadline for clarification questions is Friday 09 September 2022.</w:t>
      </w:r>
    </w:p>
    <w:p w14:paraId="61B645E5" w14:textId="087FD976" w:rsidR="00816191" w:rsidRDefault="00816191" w:rsidP="00296D92">
      <w:pPr>
        <w:ind w:right="-21"/>
        <w:rPr>
          <w:rFonts w:ascii="Arial" w:hAnsi="Arial" w:cs="Arial"/>
          <w:szCs w:val="22"/>
        </w:rPr>
      </w:pPr>
    </w:p>
    <w:p w14:paraId="2BC62D74" w14:textId="3ACCDC9C" w:rsidR="00816191" w:rsidRPr="00816191" w:rsidRDefault="00816191" w:rsidP="00296D92">
      <w:pPr>
        <w:ind w:right="-21"/>
        <w:rPr>
          <w:rFonts w:ascii="Arial" w:hAnsi="Arial" w:cs="Arial"/>
          <w:szCs w:val="22"/>
        </w:rPr>
      </w:pPr>
      <w:r w:rsidRPr="00816191">
        <w:rPr>
          <w:rFonts w:ascii="Arial" w:hAnsi="Arial" w:cs="Arial"/>
          <w:szCs w:val="22"/>
        </w:rPr>
        <w:t xml:space="preserve">All queries should be sent to </w:t>
      </w:r>
      <w:hyperlink r:id="rId20" w:history="1">
        <w:r w:rsidRPr="00816191">
          <w:rPr>
            <w:rStyle w:val="Hyperlink"/>
            <w:rFonts w:ascii="Arial" w:hAnsi="Arial" w:cs="Arial"/>
            <w:szCs w:val="22"/>
          </w:rPr>
          <w:t>Estelle.nma@environment-agency.gov.uk</w:t>
        </w:r>
      </w:hyperlink>
      <w:r w:rsidRPr="00816191">
        <w:rPr>
          <w:rFonts w:ascii="Arial" w:hAnsi="Arial" w:cs="Arial"/>
          <w:szCs w:val="22"/>
        </w:rPr>
        <w:t xml:space="preserve"> and cc. </w:t>
      </w:r>
      <w:hyperlink r:id="rId21" w:history="1">
        <w:r w:rsidRPr="00816191">
          <w:rPr>
            <w:rStyle w:val="Hyperlink"/>
            <w:rFonts w:ascii="Arial" w:hAnsi="Arial" w:cs="Arial"/>
            <w:lang w:val="en-US"/>
          </w:rPr>
          <w:t>Pippa.CurtisJackson@environment-agency.gov.uk</w:t>
        </w:r>
      </w:hyperlink>
    </w:p>
    <w:p w14:paraId="68417DA3" w14:textId="77777777" w:rsidR="00296D92" w:rsidRPr="0093723A" w:rsidRDefault="00296D92" w:rsidP="00296D92">
      <w:pPr>
        <w:ind w:right="-21"/>
        <w:rPr>
          <w:rFonts w:ascii="Arial" w:hAnsi="Arial" w:cs="Arial"/>
          <w:szCs w:val="22"/>
        </w:rPr>
      </w:pPr>
    </w:p>
    <w:p w14:paraId="68417DA8"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68417DA9"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68417DAC" w14:textId="77777777" w:rsidTr="000D1CA8">
        <w:tc>
          <w:tcPr>
            <w:tcW w:w="6062" w:type="dxa"/>
          </w:tcPr>
          <w:p w14:paraId="68417DAA"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68417DA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8417DAF" w14:textId="77777777" w:rsidTr="000D1CA8">
        <w:tc>
          <w:tcPr>
            <w:tcW w:w="6062" w:type="dxa"/>
          </w:tcPr>
          <w:p w14:paraId="68417DAD"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68417DAE" w14:textId="7257B1AE" w:rsidR="00296D92" w:rsidRPr="00816191" w:rsidRDefault="00816191" w:rsidP="00B54C10">
            <w:pPr>
              <w:rPr>
                <w:rFonts w:ascii="Arial" w:hAnsi="Arial" w:cs="Arial"/>
                <w:szCs w:val="22"/>
              </w:rPr>
            </w:pPr>
            <w:r w:rsidRPr="00816191">
              <w:rPr>
                <w:rFonts w:ascii="Arial" w:hAnsi="Arial" w:cs="Arial"/>
                <w:szCs w:val="22"/>
              </w:rPr>
              <w:t>16 September 2022 at 17:00</w:t>
            </w:r>
          </w:p>
        </w:tc>
      </w:tr>
      <w:tr w:rsidR="00296D92" w:rsidRPr="000D1CA8" w14:paraId="68417DB2" w14:textId="77777777" w:rsidTr="000D1CA8">
        <w:tc>
          <w:tcPr>
            <w:tcW w:w="6062" w:type="dxa"/>
          </w:tcPr>
          <w:p w14:paraId="68417DB0"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68417DB1" w14:textId="419726BE" w:rsidR="00296D92" w:rsidRPr="00816191" w:rsidRDefault="00816191" w:rsidP="00296D92">
            <w:pPr>
              <w:rPr>
                <w:rFonts w:ascii="Arial" w:hAnsi="Arial" w:cs="Arial"/>
                <w:szCs w:val="22"/>
              </w:rPr>
            </w:pPr>
            <w:r w:rsidRPr="00816191">
              <w:rPr>
                <w:rFonts w:ascii="Arial" w:hAnsi="Arial" w:cs="Arial"/>
                <w:szCs w:val="22"/>
              </w:rPr>
              <w:t>23 September 2022</w:t>
            </w:r>
          </w:p>
        </w:tc>
      </w:tr>
      <w:tr w:rsidR="00296D92" w:rsidRPr="000D1CA8" w14:paraId="68417DB5" w14:textId="77777777" w:rsidTr="000D1CA8">
        <w:tc>
          <w:tcPr>
            <w:tcW w:w="6062" w:type="dxa"/>
          </w:tcPr>
          <w:p w14:paraId="68417DB3"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68417DB4" w14:textId="7C11C98A" w:rsidR="00296D92" w:rsidRPr="00816191" w:rsidRDefault="00816191" w:rsidP="00296D92">
            <w:pPr>
              <w:rPr>
                <w:rFonts w:ascii="Arial" w:hAnsi="Arial" w:cs="Arial"/>
                <w:szCs w:val="22"/>
              </w:rPr>
            </w:pPr>
            <w:r w:rsidRPr="00816191">
              <w:rPr>
                <w:rFonts w:ascii="Arial" w:hAnsi="Arial" w:cs="Arial"/>
                <w:szCs w:val="22"/>
              </w:rPr>
              <w:t>7 October 2022</w:t>
            </w:r>
          </w:p>
        </w:tc>
      </w:tr>
      <w:tr w:rsidR="00411E0E" w:rsidRPr="000D1CA8" w14:paraId="68417DB8" w14:textId="77777777" w:rsidTr="000D1CA8">
        <w:tc>
          <w:tcPr>
            <w:tcW w:w="6062" w:type="dxa"/>
          </w:tcPr>
          <w:p w14:paraId="68417DB6"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68417DB7" w14:textId="6ABB0E84" w:rsidR="00411E0E" w:rsidRPr="00816191" w:rsidRDefault="006E5B2A" w:rsidP="00296D92">
            <w:pPr>
              <w:rPr>
                <w:rFonts w:ascii="Arial" w:hAnsi="Arial" w:cs="Arial"/>
                <w:szCs w:val="22"/>
              </w:rPr>
            </w:pPr>
            <w:r>
              <w:rPr>
                <w:rFonts w:ascii="Arial" w:hAnsi="Arial" w:cs="Arial"/>
                <w:szCs w:val="22"/>
              </w:rPr>
              <w:t>24</w:t>
            </w:r>
            <w:r w:rsidR="00816191" w:rsidRPr="00816191">
              <w:rPr>
                <w:rFonts w:ascii="Arial" w:hAnsi="Arial" w:cs="Arial"/>
                <w:szCs w:val="22"/>
              </w:rPr>
              <w:t xml:space="preserve"> February 2023</w:t>
            </w:r>
          </w:p>
        </w:tc>
      </w:tr>
    </w:tbl>
    <w:p w14:paraId="68417DB9" w14:textId="77777777" w:rsidR="00296D92" w:rsidRPr="0093723A" w:rsidRDefault="00296D92" w:rsidP="00296D92">
      <w:pPr>
        <w:rPr>
          <w:rFonts w:ascii="Arial" w:hAnsi="Arial" w:cs="Arial"/>
          <w:szCs w:val="22"/>
        </w:rPr>
      </w:pPr>
    </w:p>
    <w:p w14:paraId="68417DB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8417DBB" w14:textId="77777777" w:rsidR="00296D92" w:rsidRDefault="00296D92" w:rsidP="00E65F5D">
      <w:pPr>
        <w:pStyle w:val="Heading2"/>
        <w:numPr>
          <w:ilvl w:val="0"/>
          <w:numId w:val="0"/>
        </w:numPr>
        <w:rPr>
          <w:rFonts w:cs="Arial"/>
          <w:sz w:val="20"/>
          <w:szCs w:val="22"/>
        </w:rPr>
      </w:pPr>
    </w:p>
    <w:p w14:paraId="68417DBC"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8417DBD" w14:textId="77777777" w:rsidR="00C11EBA" w:rsidRPr="00C11EBA" w:rsidRDefault="00C11EBA" w:rsidP="00C11EBA"/>
    <w:p w14:paraId="68417DBE"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8417DBF" w14:textId="77777777" w:rsidR="00BD6C51" w:rsidRPr="0093723A" w:rsidRDefault="00BD6C51" w:rsidP="00E65F5D">
      <w:pPr>
        <w:ind w:right="-21"/>
        <w:rPr>
          <w:rFonts w:ascii="Arial" w:hAnsi="Arial" w:cs="Arial"/>
          <w:szCs w:val="22"/>
        </w:rPr>
      </w:pPr>
    </w:p>
    <w:p w14:paraId="68417DC0"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68417DC1" w14:textId="77777777" w:rsidR="005700D8" w:rsidRPr="0093723A" w:rsidRDefault="005700D8" w:rsidP="00E65F5D">
      <w:pPr>
        <w:rPr>
          <w:rFonts w:ascii="Arial" w:hAnsi="Arial" w:cs="Arial"/>
          <w:szCs w:val="22"/>
        </w:rPr>
      </w:pPr>
    </w:p>
    <w:p w14:paraId="68417DC2" w14:textId="5357E9E3" w:rsidR="00E71837" w:rsidRPr="007553C7"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7553C7" w:rsidRPr="007553C7">
        <w:rPr>
          <w:rFonts w:ascii="Arial" w:hAnsi="Arial" w:cs="Arial"/>
          <w:szCs w:val="22"/>
        </w:rPr>
        <w:t>4</w:t>
      </w:r>
      <w:r w:rsidR="00C87218" w:rsidRPr="007553C7">
        <w:rPr>
          <w:rFonts w:ascii="Arial" w:hAnsi="Arial" w:cs="Arial"/>
          <w:szCs w:val="22"/>
        </w:rPr>
        <w:t>0%</w:t>
      </w:r>
    </w:p>
    <w:p w14:paraId="68417DC3" w14:textId="77777777" w:rsidR="00E71837" w:rsidRPr="007553C7" w:rsidRDefault="00E71837" w:rsidP="00E65F5D">
      <w:pPr>
        <w:rPr>
          <w:rFonts w:ascii="Arial" w:hAnsi="Arial" w:cs="Arial"/>
          <w:szCs w:val="22"/>
        </w:rPr>
      </w:pPr>
    </w:p>
    <w:p w14:paraId="68417DC4" w14:textId="1F1B0DA1" w:rsidR="005700D8" w:rsidRPr="0093723A" w:rsidRDefault="00E71837" w:rsidP="00E65F5D">
      <w:pPr>
        <w:numPr>
          <w:ilvl w:val="0"/>
          <w:numId w:val="1"/>
        </w:numPr>
        <w:rPr>
          <w:rFonts w:ascii="Arial" w:hAnsi="Arial" w:cs="Arial"/>
          <w:szCs w:val="22"/>
        </w:rPr>
      </w:pPr>
      <w:r w:rsidRPr="007553C7">
        <w:rPr>
          <w:rFonts w:ascii="Arial" w:hAnsi="Arial" w:cs="Arial"/>
          <w:szCs w:val="22"/>
        </w:rPr>
        <w:t xml:space="preserve">Quality – </w:t>
      </w:r>
      <w:r w:rsidR="007553C7" w:rsidRPr="007553C7">
        <w:rPr>
          <w:rFonts w:ascii="Arial" w:hAnsi="Arial" w:cs="Arial"/>
          <w:szCs w:val="22"/>
        </w:rPr>
        <w:t>6</w:t>
      </w:r>
      <w:r w:rsidRPr="007553C7">
        <w:rPr>
          <w:rFonts w:ascii="Arial" w:hAnsi="Arial" w:cs="Arial"/>
          <w:szCs w:val="22"/>
        </w:rPr>
        <w:t>0%</w:t>
      </w:r>
      <w:r w:rsidR="005700D8" w:rsidRPr="0093723A">
        <w:rPr>
          <w:rFonts w:ascii="Arial" w:hAnsi="Arial" w:cs="Arial"/>
          <w:szCs w:val="22"/>
        </w:rPr>
        <w:br/>
      </w:r>
    </w:p>
    <w:p w14:paraId="68417DC6" w14:textId="77777777" w:rsidR="00921556" w:rsidRPr="0093723A" w:rsidRDefault="00921556" w:rsidP="00E65F5D">
      <w:pPr>
        <w:rPr>
          <w:rFonts w:ascii="Arial" w:hAnsi="Arial" w:cs="Arial"/>
          <w:color w:val="FF0000"/>
          <w:szCs w:val="22"/>
        </w:rPr>
      </w:pPr>
    </w:p>
    <w:p w14:paraId="68417DC7" w14:textId="271EBFC8"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1B02C21" w14:textId="3E99CAFA" w:rsidR="007553C7" w:rsidRDefault="007553C7" w:rsidP="00E65F5D">
      <w:pPr>
        <w:rPr>
          <w:rFonts w:ascii="Arial" w:hAnsi="Arial" w:cs="Arial"/>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195"/>
        <w:gridCol w:w="1166"/>
        <w:gridCol w:w="899"/>
      </w:tblGrid>
      <w:tr w:rsidR="007553C7" w:rsidRPr="007553C7" w14:paraId="75562D90" w14:textId="77777777" w:rsidTr="007553C7">
        <w:trPr>
          <w:trHeight w:val="315"/>
        </w:trPr>
        <w:tc>
          <w:tcPr>
            <w:tcW w:w="5000" w:type="pct"/>
            <w:gridSpan w:val="3"/>
            <w:tcBorders>
              <w:top w:val="single" w:sz="18" w:space="0" w:color="auto"/>
              <w:left w:val="single" w:sz="18" w:space="0" w:color="auto"/>
              <w:bottom w:val="single" w:sz="8" w:space="0" w:color="auto"/>
              <w:right w:val="single" w:sz="18" w:space="0" w:color="auto"/>
            </w:tcBorders>
            <w:shd w:val="clear" w:color="auto" w:fill="auto"/>
            <w:vAlign w:val="center"/>
          </w:tcPr>
          <w:p w14:paraId="72CB1E4C" w14:textId="77777777" w:rsidR="007553C7" w:rsidRPr="007553C7" w:rsidRDefault="007553C7" w:rsidP="00471BC6">
            <w:pPr>
              <w:rPr>
                <w:rFonts w:ascii="Arial" w:hAnsi="Arial" w:cs="Arial"/>
                <w:b/>
                <w:bCs/>
              </w:rPr>
            </w:pPr>
            <w:r w:rsidRPr="007553C7">
              <w:rPr>
                <w:rFonts w:ascii="Arial" w:hAnsi="Arial" w:cs="Arial"/>
                <w:b/>
                <w:bCs/>
              </w:rPr>
              <w:t>Quality Sub-Criteria Weightings:</w:t>
            </w:r>
          </w:p>
        </w:tc>
      </w:tr>
      <w:tr w:rsidR="007553C7" w:rsidRPr="007553C7" w14:paraId="49C881C8" w14:textId="77777777" w:rsidTr="007553C7">
        <w:trPr>
          <w:trHeight w:val="476"/>
        </w:trPr>
        <w:tc>
          <w:tcPr>
            <w:tcW w:w="3750" w:type="pct"/>
            <w:tcBorders>
              <w:left w:val="single" w:sz="18" w:space="0" w:color="auto"/>
            </w:tcBorders>
            <w:shd w:val="clear" w:color="auto" w:fill="auto"/>
            <w:vAlign w:val="center"/>
          </w:tcPr>
          <w:p w14:paraId="061ED325" w14:textId="77777777" w:rsidR="007553C7" w:rsidRPr="007553C7" w:rsidRDefault="007553C7" w:rsidP="00471BC6">
            <w:pPr>
              <w:pStyle w:val="Roundbullet"/>
              <w:numPr>
                <w:ilvl w:val="0"/>
                <w:numId w:val="0"/>
              </w:numPr>
              <w:ind w:left="340" w:hanging="340"/>
              <w:rPr>
                <w:rFonts w:cs="Arial"/>
                <w:sz w:val="20"/>
                <w:szCs w:val="20"/>
              </w:rPr>
            </w:pPr>
            <w:r w:rsidRPr="007553C7">
              <w:rPr>
                <w:rFonts w:cs="Arial"/>
                <w:sz w:val="20"/>
                <w:szCs w:val="20"/>
              </w:rPr>
              <w:t>Approach &amp; Methodology</w:t>
            </w:r>
          </w:p>
          <w:p w14:paraId="6796E038" w14:textId="52464302" w:rsidR="007553C7" w:rsidRPr="007553C7" w:rsidRDefault="007553C7" w:rsidP="00471BC6">
            <w:pPr>
              <w:pStyle w:val="Roundbullet"/>
              <w:numPr>
                <w:ilvl w:val="0"/>
                <w:numId w:val="0"/>
              </w:numPr>
              <w:ind w:left="340" w:hanging="340"/>
              <w:rPr>
                <w:rFonts w:cs="Arial"/>
                <w:i/>
                <w:sz w:val="20"/>
                <w:szCs w:val="20"/>
              </w:rPr>
            </w:pPr>
            <w:r w:rsidRPr="007553C7">
              <w:rPr>
                <w:rFonts w:cs="Arial"/>
                <w:i/>
                <w:sz w:val="20"/>
                <w:szCs w:val="20"/>
              </w:rPr>
              <w:t>(minimum score threshold 4 will apply</w:t>
            </w:r>
          </w:p>
        </w:tc>
        <w:tc>
          <w:tcPr>
            <w:tcW w:w="706" w:type="pct"/>
            <w:shd w:val="clear" w:color="auto" w:fill="auto"/>
          </w:tcPr>
          <w:p w14:paraId="2224C3E0" w14:textId="77777777" w:rsidR="007553C7" w:rsidRPr="007553C7" w:rsidRDefault="007553C7" w:rsidP="00471BC6">
            <w:pPr>
              <w:rPr>
                <w:rFonts w:ascii="Arial" w:hAnsi="Arial" w:cs="Arial"/>
                <w:b/>
                <w:bCs/>
                <w:color w:val="FF0000"/>
              </w:rPr>
            </w:pPr>
          </w:p>
        </w:tc>
        <w:tc>
          <w:tcPr>
            <w:tcW w:w="544" w:type="pct"/>
            <w:tcBorders>
              <w:right w:val="single" w:sz="18" w:space="0" w:color="auto"/>
            </w:tcBorders>
            <w:shd w:val="clear" w:color="auto" w:fill="auto"/>
          </w:tcPr>
          <w:p w14:paraId="777B21B1" w14:textId="77777777" w:rsidR="007553C7" w:rsidRPr="007553C7" w:rsidRDefault="007553C7" w:rsidP="00471BC6">
            <w:pPr>
              <w:rPr>
                <w:rFonts w:ascii="Arial" w:hAnsi="Arial" w:cs="Arial"/>
                <w:b/>
                <w:bCs/>
              </w:rPr>
            </w:pPr>
            <w:r w:rsidRPr="007553C7">
              <w:rPr>
                <w:rFonts w:ascii="Arial" w:hAnsi="Arial" w:cs="Arial"/>
                <w:b/>
                <w:bCs/>
              </w:rPr>
              <w:t>40%</w:t>
            </w:r>
          </w:p>
        </w:tc>
      </w:tr>
      <w:tr w:rsidR="007553C7" w:rsidRPr="007553C7" w14:paraId="0E0E6C96" w14:textId="77777777" w:rsidTr="007553C7">
        <w:trPr>
          <w:trHeight w:val="258"/>
        </w:trPr>
        <w:tc>
          <w:tcPr>
            <w:tcW w:w="3750" w:type="pct"/>
            <w:tcBorders>
              <w:left w:val="single" w:sz="18" w:space="0" w:color="auto"/>
            </w:tcBorders>
            <w:shd w:val="clear" w:color="auto" w:fill="auto"/>
            <w:vAlign w:val="center"/>
          </w:tcPr>
          <w:p w14:paraId="2C27A083" w14:textId="77777777" w:rsidR="007553C7" w:rsidRPr="007553C7" w:rsidRDefault="007553C7" w:rsidP="00471BC6">
            <w:pPr>
              <w:rPr>
                <w:rFonts w:ascii="Arial" w:hAnsi="Arial" w:cs="Arial"/>
              </w:rPr>
            </w:pPr>
            <w:r w:rsidRPr="007553C7">
              <w:rPr>
                <w:rFonts w:ascii="Arial" w:hAnsi="Arial" w:cs="Arial"/>
              </w:rPr>
              <w:t>Proposed Staff (</w:t>
            </w:r>
            <w:proofErr w:type="spellStart"/>
            <w:r w:rsidRPr="007553C7">
              <w:rPr>
                <w:rFonts w:ascii="Arial" w:hAnsi="Arial" w:cs="Arial"/>
              </w:rPr>
              <w:t>inc</w:t>
            </w:r>
            <w:proofErr w:type="spellEnd"/>
            <w:r w:rsidRPr="007553C7">
              <w:rPr>
                <w:rFonts w:ascii="Arial" w:hAnsi="Arial" w:cs="Arial"/>
              </w:rPr>
              <w:t xml:space="preserve"> CV's)</w:t>
            </w:r>
          </w:p>
          <w:p w14:paraId="074586AD" w14:textId="1BB1B831" w:rsidR="007553C7" w:rsidRPr="007553C7" w:rsidRDefault="007553C7" w:rsidP="00471BC6">
            <w:pPr>
              <w:rPr>
                <w:rFonts w:ascii="Arial" w:hAnsi="Arial" w:cs="Arial"/>
                <w:b/>
                <w:bCs/>
                <w:color w:val="FF0000"/>
              </w:rPr>
            </w:pPr>
            <w:r w:rsidRPr="007553C7">
              <w:rPr>
                <w:rFonts w:ascii="Arial" w:hAnsi="Arial" w:cs="Arial"/>
                <w:i/>
              </w:rPr>
              <w:t xml:space="preserve">minimum score threshold 4 will apply </w:t>
            </w:r>
          </w:p>
        </w:tc>
        <w:tc>
          <w:tcPr>
            <w:tcW w:w="706" w:type="pct"/>
            <w:shd w:val="clear" w:color="auto" w:fill="auto"/>
          </w:tcPr>
          <w:p w14:paraId="114C6076" w14:textId="77777777" w:rsidR="007553C7" w:rsidRPr="007553C7" w:rsidRDefault="007553C7" w:rsidP="00471BC6">
            <w:pPr>
              <w:rPr>
                <w:rFonts w:ascii="Arial" w:hAnsi="Arial" w:cs="Arial"/>
                <w:b/>
                <w:bCs/>
                <w:color w:val="FF0000"/>
              </w:rPr>
            </w:pPr>
          </w:p>
        </w:tc>
        <w:tc>
          <w:tcPr>
            <w:tcW w:w="544" w:type="pct"/>
            <w:tcBorders>
              <w:right w:val="single" w:sz="18" w:space="0" w:color="auto"/>
            </w:tcBorders>
            <w:shd w:val="clear" w:color="auto" w:fill="auto"/>
          </w:tcPr>
          <w:p w14:paraId="3A1D3887" w14:textId="77777777" w:rsidR="007553C7" w:rsidRPr="007553C7" w:rsidRDefault="007553C7" w:rsidP="00471BC6">
            <w:pPr>
              <w:rPr>
                <w:rFonts w:ascii="Arial" w:hAnsi="Arial" w:cs="Arial"/>
                <w:b/>
                <w:bCs/>
              </w:rPr>
            </w:pPr>
            <w:r w:rsidRPr="007553C7">
              <w:rPr>
                <w:rFonts w:ascii="Arial" w:hAnsi="Arial" w:cs="Arial"/>
                <w:b/>
                <w:bCs/>
              </w:rPr>
              <w:t>30%</w:t>
            </w:r>
          </w:p>
        </w:tc>
      </w:tr>
      <w:tr w:rsidR="007553C7" w:rsidRPr="007553C7" w14:paraId="3AAFAE9B" w14:textId="77777777" w:rsidTr="007553C7">
        <w:trPr>
          <w:trHeight w:val="305"/>
        </w:trPr>
        <w:tc>
          <w:tcPr>
            <w:tcW w:w="3750" w:type="pct"/>
            <w:tcBorders>
              <w:left w:val="single" w:sz="18" w:space="0" w:color="auto"/>
              <w:bottom w:val="single" w:sz="18" w:space="0" w:color="auto"/>
            </w:tcBorders>
            <w:shd w:val="clear" w:color="auto" w:fill="auto"/>
            <w:vAlign w:val="center"/>
          </w:tcPr>
          <w:p w14:paraId="5A686C4A" w14:textId="77777777" w:rsidR="007553C7" w:rsidRPr="007553C7" w:rsidRDefault="007553C7" w:rsidP="00471BC6">
            <w:pPr>
              <w:pStyle w:val="Roundbullet"/>
              <w:numPr>
                <w:ilvl w:val="0"/>
                <w:numId w:val="0"/>
              </w:numPr>
              <w:ind w:left="340" w:hanging="340"/>
              <w:rPr>
                <w:rFonts w:cs="Arial"/>
                <w:sz w:val="20"/>
                <w:szCs w:val="20"/>
              </w:rPr>
            </w:pPr>
            <w:r w:rsidRPr="007553C7">
              <w:rPr>
                <w:rFonts w:cs="Arial"/>
                <w:sz w:val="20"/>
                <w:szCs w:val="20"/>
              </w:rPr>
              <w:t>Project Management (including project plan)</w:t>
            </w:r>
          </w:p>
          <w:p w14:paraId="730F3CC1" w14:textId="6941C645" w:rsidR="007553C7" w:rsidRPr="007553C7" w:rsidRDefault="007553C7" w:rsidP="00471BC6">
            <w:pPr>
              <w:rPr>
                <w:rFonts w:ascii="Arial" w:hAnsi="Arial" w:cs="Arial"/>
                <w:b/>
                <w:bCs/>
                <w:i/>
                <w:iCs/>
                <w:color w:val="FF0000"/>
              </w:rPr>
            </w:pPr>
            <w:r w:rsidRPr="007553C7">
              <w:rPr>
                <w:rFonts w:ascii="Arial" w:hAnsi="Arial" w:cs="Arial"/>
                <w:i/>
              </w:rPr>
              <w:t>minimum score threshold 4 will apply</w:t>
            </w:r>
          </w:p>
        </w:tc>
        <w:tc>
          <w:tcPr>
            <w:tcW w:w="706" w:type="pct"/>
            <w:tcBorders>
              <w:bottom w:val="single" w:sz="18" w:space="0" w:color="auto"/>
            </w:tcBorders>
            <w:shd w:val="clear" w:color="auto" w:fill="auto"/>
            <w:vAlign w:val="center"/>
          </w:tcPr>
          <w:p w14:paraId="2A9AAB34" w14:textId="77777777" w:rsidR="007553C7" w:rsidRPr="007553C7" w:rsidRDefault="007553C7" w:rsidP="00471BC6">
            <w:pPr>
              <w:rPr>
                <w:rFonts w:ascii="Arial" w:hAnsi="Arial" w:cs="Arial"/>
                <w:b/>
                <w:bCs/>
                <w:i/>
                <w:iCs/>
                <w:color w:val="FF0000"/>
              </w:rPr>
            </w:pPr>
          </w:p>
        </w:tc>
        <w:tc>
          <w:tcPr>
            <w:tcW w:w="544" w:type="pct"/>
            <w:tcBorders>
              <w:bottom w:val="single" w:sz="18" w:space="0" w:color="auto"/>
              <w:right w:val="single" w:sz="18" w:space="0" w:color="auto"/>
            </w:tcBorders>
            <w:shd w:val="clear" w:color="auto" w:fill="auto"/>
            <w:vAlign w:val="center"/>
          </w:tcPr>
          <w:p w14:paraId="0AA6C3BC" w14:textId="77777777" w:rsidR="007553C7" w:rsidRPr="007553C7" w:rsidRDefault="007553C7" w:rsidP="00471BC6">
            <w:pPr>
              <w:rPr>
                <w:rFonts w:ascii="Arial" w:hAnsi="Arial" w:cs="Arial"/>
                <w:b/>
                <w:bCs/>
              </w:rPr>
            </w:pPr>
            <w:r w:rsidRPr="007553C7">
              <w:rPr>
                <w:rFonts w:ascii="Arial" w:hAnsi="Arial" w:cs="Arial"/>
                <w:b/>
                <w:bCs/>
              </w:rPr>
              <w:t>30%</w:t>
            </w:r>
          </w:p>
        </w:tc>
      </w:tr>
    </w:tbl>
    <w:p w14:paraId="2D0C9C42" w14:textId="57D355BC" w:rsidR="007553C7" w:rsidRDefault="007553C7" w:rsidP="00E65F5D">
      <w:pPr>
        <w:rPr>
          <w:rFonts w:ascii="Arial" w:hAnsi="Arial" w:cs="Arial"/>
          <w:szCs w:val="22"/>
        </w:rPr>
      </w:pPr>
    </w:p>
    <w:p w14:paraId="68417DD5"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8417DD6"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68417DDA"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17DD7"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68417DD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417DD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68417DDD"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17DD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7DD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68417DE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17D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7DD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68417DE3"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17DE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7DE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68417DE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17DE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7D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8417DE9"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17DE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7DE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8417DEC"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17DE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7DE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68417DED" w14:textId="77777777" w:rsidR="00734DA1" w:rsidRDefault="00734DA1" w:rsidP="00E65F5D">
      <w:pPr>
        <w:pStyle w:val="BodyText"/>
        <w:spacing w:after="0"/>
        <w:rPr>
          <w:rFonts w:ascii="Arial" w:hAnsi="Arial" w:cs="Arial"/>
          <w:b/>
          <w:color w:val="FF0000"/>
          <w:sz w:val="22"/>
          <w:szCs w:val="22"/>
        </w:rPr>
      </w:pPr>
    </w:p>
    <w:p w14:paraId="68417DF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68417DF1" w14:textId="77777777" w:rsidR="000D2F4D" w:rsidRPr="0093723A" w:rsidRDefault="000D2F4D" w:rsidP="000D2F4D">
      <w:pPr>
        <w:ind w:right="-1"/>
        <w:jc w:val="both"/>
        <w:rPr>
          <w:rFonts w:ascii="Arial" w:hAnsi="Arial" w:cs="Arial"/>
          <w:b/>
          <w:szCs w:val="22"/>
          <w:u w:val="single"/>
        </w:rPr>
      </w:pPr>
    </w:p>
    <w:p w14:paraId="68417DF2"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8417DF3" w14:textId="77777777" w:rsidR="000D2F4D" w:rsidRPr="0093723A" w:rsidRDefault="000D2F4D" w:rsidP="000D2F4D">
      <w:pPr>
        <w:ind w:right="-1"/>
        <w:jc w:val="both"/>
        <w:rPr>
          <w:rFonts w:ascii="Arial" w:hAnsi="Arial" w:cs="Arial"/>
          <w:szCs w:val="22"/>
        </w:rPr>
      </w:pPr>
    </w:p>
    <w:p w14:paraId="68417DF4"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68417DF5" w14:textId="77777777" w:rsidR="000D2F4D" w:rsidRPr="0093723A" w:rsidRDefault="000D2F4D" w:rsidP="000D2F4D">
      <w:pPr>
        <w:jc w:val="both"/>
        <w:rPr>
          <w:rFonts w:ascii="Arial" w:hAnsi="Arial" w:cs="Arial"/>
          <w:szCs w:val="22"/>
        </w:rPr>
      </w:pPr>
    </w:p>
    <w:p w14:paraId="68417DF6"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lastRenderedPageBreak/>
        <w:t>Please complete and return the following information:</w:t>
      </w:r>
    </w:p>
    <w:p w14:paraId="68417DF7" w14:textId="77777777" w:rsidR="000D2F4D" w:rsidRPr="0093723A" w:rsidRDefault="000D2F4D" w:rsidP="009D7616">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68417DF8" w14:textId="77777777" w:rsidR="000D2F4D" w:rsidRPr="0093723A" w:rsidRDefault="000D2F4D" w:rsidP="009D7616">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68417DF9" w14:textId="77777777" w:rsidR="000D2F4D" w:rsidRPr="0093723A" w:rsidRDefault="000D2F4D" w:rsidP="009D7616">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68417DFE" w14:textId="77777777" w:rsidR="000D2F4D" w:rsidRPr="006E5B2A" w:rsidRDefault="000D2F4D" w:rsidP="009D7616">
      <w:pPr>
        <w:pStyle w:val="BodyText"/>
        <w:numPr>
          <w:ilvl w:val="0"/>
          <w:numId w:val="5"/>
        </w:numPr>
        <w:spacing w:after="0"/>
        <w:rPr>
          <w:rFonts w:ascii="Arial" w:hAnsi="Arial" w:cs="Arial"/>
          <w:szCs w:val="22"/>
        </w:rPr>
      </w:pPr>
      <w:r w:rsidRPr="006E5B2A">
        <w:rPr>
          <w:rFonts w:ascii="Arial" w:hAnsi="Arial" w:cs="Arial"/>
          <w:szCs w:val="22"/>
        </w:rPr>
        <w:t xml:space="preserve">details of the personnel you are proposing to carry out the service, including </w:t>
      </w:r>
      <w:proofErr w:type="gramStart"/>
      <w:r w:rsidRPr="006E5B2A">
        <w:rPr>
          <w:rFonts w:ascii="Arial" w:hAnsi="Arial" w:cs="Arial"/>
          <w:szCs w:val="22"/>
        </w:rPr>
        <w:t>CV’s</w:t>
      </w:r>
      <w:proofErr w:type="gramEnd"/>
      <w:r w:rsidRPr="006E5B2A">
        <w:rPr>
          <w:rFonts w:ascii="Arial" w:hAnsi="Arial" w:cs="Arial"/>
          <w:szCs w:val="22"/>
        </w:rPr>
        <w:t xml:space="preserve"> of your key personnel; </w:t>
      </w:r>
    </w:p>
    <w:p w14:paraId="68417E00" w14:textId="2B89CBB7" w:rsidR="000D2F4D" w:rsidRPr="006E5B2A" w:rsidRDefault="000D2F4D" w:rsidP="009D7616">
      <w:pPr>
        <w:pStyle w:val="BodyText3"/>
        <w:numPr>
          <w:ilvl w:val="0"/>
          <w:numId w:val="5"/>
        </w:numPr>
        <w:spacing w:after="0"/>
        <w:rPr>
          <w:rFonts w:ascii="Arial" w:hAnsi="Arial" w:cs="Arial"/>
          <w:sz w:val="20"/>
          <w:szCs w:val="22"/>
        </w:rPr>
      </w:pPr>
      <w:r w:rsidRPr="006E5B2A">
        <w:rPr>
          <w:rFonts w:ascii="Arial" w:hAnsi="Arial" w:cs="Arial"/>
          <w:sz w:val="20"/>
          <w:szCs w:val="22"/>
        </w:rPr>
        <w:t xml:space="preserve">details of proposed </w:t>
      </w:r>
      <w:r w:rsidR="007707C8" w:rsidRPr="006E5B2A">
        <w:rPr>
          <w:rFonts w:ascii="Arial" w:hAnsi="Arial" w:cs="Arial"/>
          <w:sz w:val="20"/>
          <w:szCs w:val="22"/>
        </w:rPr>
        <w:t xml:space="preserve">approach and </w:t>
      </w:r>
      <w:r w:rsidRPr="006E5B2A">
        <w:rPr>
          <w:rFonts w:ascii="Arial" w:hAnsi="Arial" w:cs="Arial"/>
          <w:sz w:val="20"/>
          <w:szCs w:val="22"/>
        </w:rPr>
        <w:t>methodology</w:t>
      </w:r>
    </w:p>
    <w:p w14:paraId="68417E02" w14:textId="4AAA5F95" w:rsidR="000D2F4D" w:rsidRPr="006E5B2A" w:rsidRDefault="000D2F4D" w:rsidP="009D7616">
      <w:pPr>
        <w:pStyle w:val="BodyText3"/>
        <w:numPr>
          <w:ilvl w:val="0"/>
          <w:numId w:val="5"/>
        </w:numPr>
        <w:spacing w:after="0"/>
        <w:rPr>
          <w:rFonts w:ascii="Arial" w:hAnsi="Arial" w:cs="Arial"/>
          <w:szCs w:val="22"/>
        </w:rPr>
      </w:pPr>
      <w:r w:rsidRPr="006E5B2A">
        <w:rPr>
          <w:rFonts w:ascii="Arial" w:hAnsi="Arial" w:cs="Arial"/>
          <w:sz w:val="20"/>
          <w:szCs w:val="22"/>
        </w:rPr>
        <w:t xml:space="preserve">details of </w:t>
      </w:r>
      <w:r w:rsidR="007707C8" w:rsidRPr="006E5B2A">
        <w:rPr>
          <w:rFonts w:ascii="Arial" w:hAnsi="Arial" w:cs="Arial"/>
          <w:sz w:val="20"/>
          <w:szCs w:val="22"/>
        </w:rPr>
        <w:t>how you will manage the project including your project plan</w:t>
      </w:r>
      <w:r w:rsidR="00B554E0">
        <w:rPr>
          <w:rFonts w:ascii="Arial" w:hAnsi="Arial" w:cs="Arial"/>
          <w:sz w:val="20"/>
          <w:szCs w:val="22"/>
        </w:rPr>
        <w:t xml:space="preserve"> and how you propose to maintain continuity of personnel.</w:t>
      </w:r>
    </w:p>
    <w:p w14:paraId="68417E03" w14:textId="77777777" w:rsidR="003A6912" w:rsidRDefault="003A6912" w:rsidP="00E65F5D">
      <w:pPr>
        <w:pStyle w:val="BodyText"/>
        <w:spacing w:after="0"/>
        <w:rPr>
          <w:rFonts w:ascii="Arial" w:hAnsi="Arial" w:cs="Arial"/>
          <w:b/>
          <w:sz w:val="22"/>
          <w:szCs w:val="22"/>
          <w:u w:val="single"/>
        </w:rPr>
      </w:pPr>
    </w:p>
    <w:p w14:paraId="68417E0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8417E05" w14:textId="77777777" w:rsidR="003C74EF" w:rsidRPr="0093723A" w:rsidRDefault="003C74EF" w:rsidP="003C74EF">
      <w:pPr>
        <w:pStyle w:val="BodyText"/>
        <w:spacing w:after="0"/>
        <w:rPr>
          <w:rFonts w:ascii="Arial" w:hAnsi="Arial" w:cs="Arial"/>
          <w:b/>
          <w:szCs w:val="22"/>
          <w:u w:val="single"/>
        </w:rPr>
      </w:pPr>
    </w:p>
    <w:p w14:paraId="68417E08"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68417E09" w14:textId="77777777" w:rsidR="003C74EF" w:rsidRPr="0093723A" w:rsidRDefault="003C74EF" w:rsidP="00E65F5D">
      <w:pPr>
        <w:pStyle w:val="BodyText"/>
        <w:spacing w:after="0"/>
        <w:rPr>
          <w:rFonts w:ascii="Arial" w:hAnsi="Arial" w:cs="Arial"/>
          <w:b/>
          <w:szCs w:val="22"/>
          <w:u w:val="single"/>
        </w:rPr>
      </w:pPr>
    </w:p>
    <w:p w14:paraId="68417E0A" w14:textId="77777777" w:rsidR="00E65F5D" w:rsidRPr="0093723A" w:rsidRDefault="00E65F5D" w:rsidP="00E65F5D">
      <w:pPr>
        <w:spacing w:line="276" w:lineRule="auto"/>
        <w:ind w:left="720"/>
        <w:rPr>
          <w:rFonts w:ascii="Arial" w:hAnsi="Arial" w:cs="Arial"/>
          <w:szCs w:val="22"/>
        </w:rPr>
      </w:pPr>
    </w:p>
    <w:p w14:paraId="68417E0B" w14:textId="77777777" w:rsidR="00C24614" w:rsidRPr="0093723A" w:rsidRDefault="00C24614" w:rsidP="009D7616">
      <w:pPr>
        <w:pStyle w:val="Heading1"/>
        <w:numPr>
          <w:ilvl w:val="0"/>
          <w:numId w:val="8"/>
        </w:numPr>
        <w:rPr>
          <w:rFonts w:cs="Arial"/>
          <w:sz w:val="20"/>
          <w:szCs w:val="22"/>
          <w:u w:val="single"/>
        </w:rPr>
      </w:pPr>
      <w:r w:rsidRPr="0093723A">
        <w:rPr>
          <w:rFonts w:cs="Arial"/>
          <w:sz w:val="20"/>
          <w:szCs w:val="22"/>
          <w:u w:val="single"/>
        </w:rPr>
        <w:t>Background to the Requirement</w:t>
      </w:r>
    </w:p>
    <w:p w14:paraId="68417E0C" w14:textId="77777777" w:rsidR="00C24614" w:rsidRPr="0093723A" w:rsidRDefault="00C24614" w:rsidP="00E65F5D">
      <w:pPr>
        <w:ind w:left="720"/>
        <w:rPr>
          <w:rFonts w:ascii="Arial" w:hAnsi="Arial" w:cs="Arial"/>
          <w:color w:val="FF0000"/>
          <w:szCs w:val="22"/>
        </w:rPr>
      </w:pPr>
    </w:p>
    <w:p w14:paraId="412E0537" w14:textId="77777777" w:rsidR="007553C7" w:rsidRPr="007553C7" w:rsidRDefault="007553C7" w:rsidP="007553C7">
      <w:pPr>
        <w:jc w:val="both"/>
        <w:rPr>
          <w:rFonts w:ascii="Arial" w:hAnsi="Arial" w:cs="Arial"/>
        </w:rPr>
      </w:pPr>
      <w:r w:rsidRPr="007553C7">
        <w:rPr>
          <w:rFonts w:ascii="Arial" w:hAnsi="Arial" w:cs="Arial"/>
        </w:rPr>
        <w:t>The n-octanol-water partition co-efficient (log K</w:t>
      </w:r>
      <w:r w:rsidRPr="007553C7">
        <w:rPr>
          <w:rFonts w:ascii="Arial" w:hAnsi="Arial" w:cs="Arial"/>
          <w:vertAlign w:val="subscript"/>
        </w:rPr>
        <w:t>OW</w:t>
      </w:r>
      <w:r w:rsidRPr="007553C7">
        <w:rPr>
          <w:rFonts w:ascii="Arial" w:hAnsi="Arial" w:cs="Arial"/>
        </w:rPr>
        <w:t>) is a widely accepted parameter used to screen for the bioaccumulation potential of a chemical substance in aquatic organisms, with the n-octanol-air partition co-efficient (log K</w:t>
      </w:r>
      <w:r w:rsidRPr="007553C7">
        <w:rPr>
          <w:rFonts w:ascii="Arial" w:hAnsi="Arial" w:cs="Arial"/>
          <w:vertAlign w:val="subscript"/>
        </w:rPr>
        <w:t>OA</w:t>
      </w:r>
      <w:r w:rsidRPr="007553C7">
        <w:rPr>
          <w:rFonts w:ascii="Arial" w:hAnsi="Arial" w:cs="Arial"/>
        </w:rPr>
        <w:t>) used in addition for terrestrial organisms. The log K</w:t>
      </w:r>
      <w:r w:rsidRPr="007553C7">
        <w:rPr>
          <w:rFonts w:ascii="Arial" w:hAnsi="Arial" w:cs="Arial"/>
          <w:vertAlign w:val="subscript"/>
        </w:rPr>
        <w:t>OW</w:t>
      </w:r>
      <w:r w:rsidRPr="007553C7">
        <w:rPr>
          <w:rFonts w:ascii="Arial" w:hAnsi="Arial" w:cs="Arial"/>
        </w:rPr>
        <w:t xml:space="preserve"> is used as an indicator that a substance has a greater affinity for lipid-rich tissues than water-based ones (like blood) and may accumulate over the lifetime of an organism. Two OECD test guidelines (Nos. 117 and 123) can be used to generate data for this parameter (OECD, 2022 a. and b., respectively). Both test guidelines describe study designs that have different applicability domains for different substance types (ECHA, 2017).</w:t>
      </w:r>
    </w:p>
    <w:p w14:paraId="1D8AE201" w14:textId="77777777" w:rsidR="007553C7" w:rsidRPr="007553C7" w:rsidRDefault="007553C7" w:rsidP="007553C7">
      <w:pPr>
        <w:jc w:val="both"/>
        <w:rPr>
          <w:rFonts w:ascii="Arial" w:hAnsi="Arial" w:cs="Arial"/>
        </w:rPr>
      </w:pPr>
    </w:p>
    <w:p w14:paraId="740CFDBA" w14:textId="77777777" w:rsidR="007553C7" w:rsidRPr="007553C7" w:rsidRDefault="007553C7" w:rsidP="007553C7">
      <w:pPr>
        <w:jc w:val="both"/>
        <w:rPr>
          <w:rFonts w:ascii="Arial" w:hAnsi="Arial" w:cs="Arial"/>
        </w:rPr>
      </w:pPr>
      <w:r w:rsidRPr="007553C7">
        <w:rPr>
          <w:rFonts w:ascii="Arial" w:hAnsi="Arial" w:cs="Arial"/>
        </w:rPr>
        <w:t>The correlation between log K</w:t>
      </w:r>
      <w:r w:rsidRPr="007553C7">
        <w:rPr>
          <w:rFonts w:ascii="Arial" w:hAnsi="Arial" w:cs="Arial"/>
          <w:vertAlign w:val="subscript"/>
        </w:rPr>
        <w:t>OW</w:t>
      </w:r>
      <w:r w:rsidRPr="007553C7">
        <w:rPr>
          <w:rFonts w:ascii="Arial" w:hAnsi="Arial" w:cs="Arial"/>
        </w:rPr>
        <w:t xml:space="preserve"> and lipid-driven accumulation for neutral lipophilic organic compounds (NLOCs) is well studied. However, for substances that are not NLOCs, data from wildlife monitoring and regulatory studies have indicated that the accepted metrics for bioaccumulation screening need to be reconsidered. Industrial chemicals that bioaccumulate but do not screen as such based on their log K</w:t>
      </w:r>
      <w:r w:rsidRPr="007553C7">
        <w:rPr>
          <w:rFonts w:ascii="Arial" w:hAnsi="Arial" w:cs="Arial"/>
          <w:vertAlign w:val="subscript"/>
        </w:rPr>
        <w:t>OW</w:t>
      </w:r>
      <w:r w:rsidRPr="007553C7">
        <w:rPr>
          <w:rFonts w:ascii="Arial" w:hAnsi="Arial" w:cs="Arial"/>
        </w:rPr>
        <w:t xml:space="preserve">, include per- and polyfluorinated alkyl substances (De Silva </w:t>
      </w:r>
      <w:r w:rsidRPr="007553C7">
        <w:rPr>
          <w:rFonts w:ascii="Arial" w:hAnsi="Arial" w:cs="Arial"/>
          <w:i/>
          <w:iCs/>
        </w:rPr>
        <w:t>et al</w:t>
      </w:r>
      <w:r w:rsidRPr="007553C7">
        <w:rPr>
          <w:rFonts w:ascii="Arial" w:hAnsi="Arial" w:cs="Arial"/>
        </w:rPr>
        <w:t xml:space="preserve">., 2021). This has also been noted in the chemistries of pharmaceuticals, </w:t>
      </w:r>
      <w:proofErr w:type="gramStart"/>
      <w:r w:rsidRPr="007553C7">
        <w:rPr>
          <w:rFonts w:ascii="Arial" w:hAnsi="Arial" w:cs="Arial"/>
        </w:rPr>
        <w:t>biocides</w:t>
      </w:r>
      <w:proofErr w:type="gramEnd"/>
      <w:r w:rsidRPr="007553C7">
        <w:rPr>
          <w:rFonts w:ascii="Arial" w:hAnsi="Arial" w:cs="Arial"/>
        </w:rPr>
        <w:t xml:space="preserve"> and plant protection products (Karlsson </w:t>
      </w:r>
      <w:r w:rsidRPr="007553C7">
        <w:rPr>
          <w:rFonts w:ascii="Arial" w:hAnsi="Arial" w:cs="Arial"/>
          <w:i/>
          <w:iCs/>
        </w:rPr>
        <w:t>et al.</w:t>
      </w:r>
      <w:r w:rsidRPr="007553C7">
        <w:rPr>
          <w:rFonts w:ascii="Arial" w:hAnsi="Arial" w:cs="Arial"/>
        </w:rPr>
        <w:t xml:space="preserve">, 2017 and </w:t>
      </w:r>
      <w:proofErr w:type="spellStart"/>
      <w:r w:rsidRPr="007553C7">
        <w:rPr>
          <w:rFonts w:ascii="Arial" w:hAnsi="Arial" w:cs="Arial"/>
        </w:rPr>
        <w:t>Kaserzon</w:t>
      </w:r>
      <w:proofErr w:type="spellEnd"/>
      <w:r w:rsidRPr="007553C7">
        <w:rPr>
          <w:rFonts w:ascii="Arial" w:hAnsi="Arial" w:cs="Arial"/>
        </w:rPr>
        <w:t xml:space="preserve"> </w:t>
      </w:r>
      <w:r w:rsidRPr="007553C7">
        <w:rPr>
          <w:rFonts w:ascii="Arial" w:hAnsi="Arial" w:cs="Arial"/>
          <w:i/>
          <w:iCs/>
        </w:rPr>
        <w:t>et al</w:t>
      </w:r>
      <w:r w:rsidRPr="007553C7">
        <w:rPr>
          <w:rFonts w:ascii="Arial" w:hAnsi="Arial" w:cs="Arial"/>
        </w:rPr>
        <w:t xml:space="preserve">., 2014). </w:t>
      </w:r>
    </w:p>
    <w:p w14:paraId="316EBFB5" w14:textId="77777777" w:rsidR="007553C7" w:rsidRPr="007553C7" w:rsidRDefault="007553C7" w:rsidP="007553C7">
      <w:pPr>
        <w:jc w:val="both"/>
        <w:rPr>
          <w:rFonts w:ascii="Arial" w:hAnsi="Arial" w:cs="Arial"/>
        </w:rPr>
      </w:pPr>
    </w:p>
    <w:p w14:paraId="00BD5567" w14:textId="77777777" w:rsidR="007553C7" w:rsidRPr="007553C7" w:rsidRDefault="007553C7" w:rsidP="007553C7">
      <w:pPr>
        <w:jc w:val="both"/>
        <w:rPr>
          <w:rFonts w:ascii="Arial" w:hAnsi="Arial" w:cs="Arial"/>
        </w:rPr>
      </w:pPr>
      <w:r w:rsidRPr="007553C7">
        <w:rPr>
          <w:rFonts w:ascii="Arial" w:eastAsia="Calibri" w:hAnsi="Arial" w:cs="Arial"/>
        </w:rPr>
        <w:t xml:space="preserve">The processes governing the uptake and partitioning of substances that fall outside of the definition of NLOCs are not well understood. They sometimes contradict contemporary understanding, for example that a substance in its ionic form is less bioavailable than the electronically neutral form (Armitage </w:t>
      </w:r>
      <w:r w:rsidRPr="007553C7">
        <w:rPr>
          <w:rFonts w:ascii="Arial" w:eastAsia="Calibri" w:hAnsi="Arial" w:cs="Arial"/>
          <w:i/>
          <w:iCs/>
        </w:rPr>
        <w:t>et al.</w:t>
      </w:r>
      <w:r w:rsidRPr="007553C7">
        <w:rPr>
          <w:rFonts w:ascii="Arial" w:eastAsia="Calibri" w:hAnsi="Arial" w:cs="Arial"/>
        </w:rPr>
        <w:t>, 2017)</w:t>
      </w:r>
      <w:r w:rsidRPr="007553C7">
        <w:rPr>
          <w:rFonts w:ascii="Arial" w:hAnsi="Arial" w:cs="Arial"/>
        </w:rPr>
        <w:t xml:space="preserve">. However, </w:t>
      </w:r>
      <w:proofErr w:type="spellStart"/>
      <w:r w:rsidRPr="007553C7">
        <w:rPr>
          <w:rFonts w:ascii="Arial" w:hAnsi="Arial" w:cs="Arial"/>
        </w:rPr>
        <w:t>perfluorocarboxylic</w:t>
      </w:r>
      <w:proofErr w:type="spellEnd"/>
      <w:r w:rsidRPr="007553C7">
        <w:rPr>
          <w:rFonts w:ascii="Arial" w:hAnsi="Arial" w:cs="Arial"/>
        </w:rPr>
        <w:t xml:space="preserve"> acids (PFCAs) and </w:t>
      </w:r>
      <w:proofErr w:type="spellStart"/>
      <w:r w:rsidRPr="007553C7">
        <w:rPr>
          <w:rFonts w:ascii="Arial" w:hAnsi="Arial" w:cs="Arial"/>
        </w:rPr>
        <w:t>perfluorosulfonic</w:t>
      </w:r>
      <w:proofErr w:type="spellEnd"/>
      <w:r w:rsidRPr="007553C7">
        <w:rPr>
          <w:rFonts w:ascii="Arial" w:hAnsi="Arial" w:cs="Arial"/>
        </w:rPr>
        <w:t xml:space="preserve"> acids (PFSAs) are permanently ionised under environmental conditions, highly polar and amphiphilic (exhibiting both hydrophobic and lipophobic properties</w:t>
      </w:r>
      <w:proofErr w:type="gramStart"/>
      <w:r w:rsidRPr="007553C7">
        <w:rPr>
          <w:rFonts w:ascii="Arial" w:hAnsi="Arial" w:cs="Arial"/>
        </w:rPr>
        <w:t>), and</w:t>
      </w:r>
      <w:proofErr w:type="gramEnd"/>
      <w:r w:rsidRPr="007553C7">
        <w:rPr>
          <w:rFonts w:ascii="Arial" w:hAnsi="Arial" w:cs="Arial"/>
        </w:rPr>
        <w:t xml:space="preserve"> are also bioavailable. Accumulation is observed within both lipid- and protein-dominant tissues for long chain PCFAs (≥ 7 perfluorocarbons) and long chain PFSAs (≥ 6 perfluorocarbons). Specific examples include perfluorooctanoic acid (PFOA), </w:t>
      </w:r>
      <w:proofErr w:type="spellStart"/>
      <w:r w:rsidRPr="007553C7">
        <w:rPr>
          <w:rFonts w:ascii="Arial" w:hAnsi="Arial" w:cs="Arial"/>
        </w:rPr>
        <w:t>perfluorooctane</w:t>
      </w:r>
      <w:proofErr w:type="spellEnd"/>
      <w:r w:rsidRPr="007553C7">
        <w:rPr>
          <w:rFonts w:ascii="Arial" w:hAnsi="Arial" w:cs="Arial"/>
        </w:rPr>
        <w:t xml:space="preserve"> sulfonic acid (PFOS) and </w:t>
      </w:r>
      <w:proofErr w:type="spellStart"/>
      <w:r w:rsidRPr="007553C7">
        <w:rPr>
          <w:rFonts w:ascii="Arial" w:hAnsi="Arial" w:cs="Arial"/>
        </w:rPr>
        <w:t>perfluorohexane</w:t>
      </w:r>
      <w:proofErr w:type="spellEnd"/>
      <w:r w:rsidRPr="007553C7">
        <w:rPr>
          <w:rFonts w:ascii="Arial" w:hAnsi="Arial" w:cs="Arial"/>
        </w:rPr>
        <w:t xml:space="preserve"> sulfonic acid (</w:t>
      </w:r>
      <w:proofErr w:type="spellStart"/>
      <w:r w:rsidRPr="007553C7">
        <w:rPr>
          <w:rFonts w:ascii="Arial" w:hAnsi="Arial" w:cs="Arial"/>
        </w:rPr>
        <w:t>PFHxS</w:t>
      </w:r>
      <w:proofErr w:type="spellEnd"/>
      <w:r w:rsidRPr="007553C7">
        <w:rPr>
          <w:rFonts w:ascii="Arial" w:hAnsi="Arial" w:cs="Arial"/>
        </w:rPr>
        <w:t xml:space="preserve">). As the perfluorocarbon chain length decreases accumulation is associated less with lipid-rich and more with protein-rich tissues (De Silva </w:t>
      </w:r>
      <w:r w:rsidRPr="007553C7">
        <w:rPr>
          <w:rFonts w:ascii="Arial" w:hAnsi="Arial" w:cs="Arial"/>
          <w:i/>
          <w:iCs/>
        </w:rPr>
        <w:t>et al</w:t>
      </w:r>
      <w:r w:rsidRPr="007553C7">
        <w:rPr>
          <w:rFonts w:ascii="Arial" w:hAnsi="Arial" w:cs="Arial"/>
        </w:rPr>
        <w:t xml:space="preserve">., 2021). </w:t>
      </w:r>
    </w:p>
    <w:p w14:paraId="7A82114D" w14:textId="77777777" w:rsidR="007553C7" w:rsidRPr="007553C7" w:rsidRDefault="007553C7" w:rsidP="007553C7">
      <w:pPr>
        <w:jc w:val="both"/>
        <w:rPr>
          <w:rFonts w:ascii="Arial" w:hAnsi="Arial" w:cs="Arial"/>
        </w:rPr>
      </w:pPr>
    </w:p>
    <w:p w14:paraId="6ADEC2B6" w14:textId="77777777" w:rsidR="007553C7" w:rsidRPr="007553C7" w:rsidRDefault="007553C7" w:rsidP="007553C7">
      <w:pPr>
        <w:jc w:val="both"/>
        <w:rPr>
          <w:rFonts w:ascii="Arial" w:hAnsi="Arial" w:cs="Arial"/>
        </w:rPr>
      </w:pPr>
      <w:r w:rsidRPr="007553C7">
        <w:rPr>
          <w:rFonts w:ascii="Arial" w:hAnsi="Arial" w:cs="Arial"/>
        </w:rPr>
        <w:t xml:space="preserve">There are no current validated test guidelines or methods to screen for chemicals that bioaccumulate preferentially in tissues other than lipids. We are seeking to identify what alternative tests are available or could be developed and used to screen for this form of bioaccumulation as a regulatory requirement under UK REACH (specifically in relation to PBT assessment and exposure modelling). </w:t>
      </w:r>
    </w:p>
    <w:p w14:paraId="7EE0C2B7" w14:textId="77777777" w:rsidR="007553C7" w:rsidRPr="007553C7" w:rsidRDefault="007553C7" w:rsidP="007553C7">
      <w:pPr>
        <w:jc w:val="both"/>
        <w:rPr>
          <w:rFonts w:ascii="Arial" w:hAnsi="Arial" w:cs="Arial"/>
        </w:rPr>
      </w:pPr>
    </w:p>
    <w:p w14:paraId="0F9AD767" w14:textId="77777777" w:rsidR="007553C7" w:rsidRPr="007553C7" w:rsidRDefault="007553C7" w:rsidP="007553C7">
      <w:pPr>
        <w:jc w:val="both"/>
        <w:rPr>
          <w:rFonts w:ascii="Arial" w:hAnsi="Arial" w:cs="Arial"/>
        </w:rPr>
      </w:pPr>
      <w:r w:rsidRPr="007553C7">
        <w:rPr>
          <w:rFonts w:ascii="Arial" w:hAnsi="Arial" w:cs="Arial"/>
        </w:rPr>
        <w:t xml:space="preserve">If suitable methods can be identified, we would like to understand how they would trigger the determination of bioconcentration factors (or other bioaccumulation metrics) in aquatic and dietary exposure studies. </w:t>
      </w:r>
    </w:p>
    <w:p w14:paraId="68417E11" w14:textId="77777777" w:rsidR="00C24614" w:rsidRPr="0093723A" w:rsidRDefault="00C24614" w:rsidP="00E65F5D">
      <w:pPr>
        <w:rPr>
          <w:rFonts w:ascii="Arial" w:hAnsi="Arial" w:cs="Arial"/>
          <w:sz w:val="18"/>
        </w:rPr>
      </w:pPr>
    </w:p>
    <w:p w14:paraId="68417E12" w14:textId="77777777" w:rsidR="006739AF" w:rsidRPr="0093723A" w:rsidRDefault="006739AF" w:rsidP="009D7616">
      <w:pPr>
        <w:pStyle w:val="Heading1"/>
        <w:numPr>
          <w:ilvl w:val="0"/>
          <w:numId w:val="8"/>
        </w:numPr>
        <w:rPr>
          <w:rFonts w:cs="Arial"/>
          <w:sz w:val="20"/>
          <w:szCs w:val="22"/>
          <w:u w:val="single"/>
        </w:rPr>
      </w:pPr>
      <w:r w:rsidRPr="0093723A">
        <w:rPr>
          <w:rFonts w:cs="Arial"/>
          <w:sz w:val="20"/>
          <w:szCs w:val="22"/>
          <w:u w:val="single"/>
        </w:rPr>
        <w:lastRenderedPageBreak/>
        <w:t>Specific Objectives/Deliverables</w:t>
      </w:r>
    </w:p>
    <w:p w14:paraId="68417E13" w14:textId="77777777" w:rsidR="006739AF" w:rsidRPr="0093723A" w:rsidRDefault="006739AF" w:rsidP="00E65F5D">
      <w:pPr>
        <w:pStyle w:val="Heading1"/>
        <w:numPr>
          <w:ilvl w:val="0"/>
          <w:numId w:val="0"/>
        </w:numPr>
        <w:rPr>
          <w:rFonts w:cs="Arial"/>
          <w:sz w:val="20"/>
          <w:szCs w:val="22"/>
        </w:rPr>
      </w:pPr>
    </w:p>
    <w:p w14:paraId="6F29907D" w14:textId="20F5F2EC" w:rsidR="007553C7" w:rsidRPr="007553C7" w:rsidRDefault="007553C7" w:rsidP="007553C7">
      <w:pPr>
        <w:pStyle w:val="CommentText"/>
        <w:rPr>
          <w:rFonts w:ascii="Arial" w:hAnsi="Arial" w:cs="Arial"/>
        </w:rPr>
      </w:pPr>
      <w:r w:rsidRPr="007553C7">
        <w:rPr>
          <w:rFonts w:ascii="Arial" w:hAnsi="Arial" w:cs="Arial"/>
        </w:rPr>
        <w:t xml:space="preserve">The </w:t>
      </w:r>
      <w:r w:rsidR="007707C8">
        <w:rPr>
          <w:rFonts w:ascii="Arial" w:hAnsi="Arial" w:cs="Arial"/>
        </w:rPr>
        <w:t xml:space="preserve">deliverable will be </w:t>
      </w:r>
      <w:r w:rsidRPr="007553C7">
        <w:rPr>
          <w:rFonts w:ascii="Arial" w:hAnsi="Arial" w:cs="Arial"/>
        </w:rPr>
        <w:t>a report providing relevant up-to-date evidence and understanding on the types of study that could inform non-standard accumulation processes in aquatic and terrestrial wildlife. It should provide a critical review of current understanding and contemporary methods, identifying uncertainties in generated data and the applicability of methods to different substance types. The report should address the following specific objectives through a targeted literature search:</w:t>
      </w:r>
    </w:p>
    <w:p w14:paraId="2898FD61" w14:textId="77777777" w:rsidR="007553C7" w:rsidRPr="007553C7" w:rsidRDefault="007553C7" w:rsidP="007553C7">
      <w:pPr>
        <w:jc w:val="both"/>
        <w:rPr>
          <w:rFonts w:ascii="Arial" w:hAnsi="Arial" w:cs="Arial"/>
        </w:rPr>
      </w:pPr>
    </w:p>
    <w:p w14:paraId="103D305B" w14:textId="77777777" w:rsidR="007553C7" w:rsidRPr="007553C7" w:rsidRDefault="007553C7" w:rsidP="009D7616">
      <w:pPr>
        <w:numPr>
          <w:ilvl w:val="0"/>
          <w:numId w:val="10"/>
        </w:numPr>
        <w:ind w:left="438"/>
        <w:jc w:val="both"/>
        <w:rPr>
          <w:rFonts w:ascii="Arial" w:hAnsi="Arial" w:cs="Arial"/>
        </w:rPr>
      </w:pPr>
      <w:r w:rsidRPr="007553C7">
        <w:rPr>
          <w:rFonts w:ascii="Arial" w:hAnsi="Arial" w:cs="Arial"/>
        </w:rPr>
        <w:t xml:space="preserve">Identification and description of non-standard accumulation processes that could be encountered for aquatic and terrestrial wildlife, and their significance. Relevant publications include Armitage </w:t>
      </w:r>
      <w:r w:rsidRPr="007553C7">
        <w:rPr>
          <w:rFonts w:ascii="Arial" w:hAnsi="Arial" w:cs="Arial"/>
          <w:i/>
          <w:iCs/>
        </w:rPr>
        <w:t>et al</w:t>
      </w:r>
      <w:r w:rsidRPr="007553C7">
        <w:rPr>
          <w:rFonts w:ascii="Arial" w:hAnsi="Arial" w:cs="Arial"/>
        </w:rPr>
        <w:t xml:space="preserve">. (2017), Endo </w:t>
      </w:r>
      <w:r w:rsidRPr="007553C7">
        <w:rPr>
          <w:rFonts w:ascii="Arial" w:hAnsi="Arial" w:cs="Arial"/>
          <w:i/>
          <w:iCs/>
        </w:rPr>
        <w:t xml:space="preserve">et al. </w:t>
      </w:r>
      <w:r w:rsidRPr="007553C7">
        <w:rPr>
          <w:rFonts w:ascii="Arial" w:hAnsi="Arial" w:cs="Arial"/>
        </w:rPr>
        <w:t>(2011, 2013 and 2016) and van der Heijden (2015).</w:t>
      </w:r>
    </w:p>
    <w:p w14:paraId="1674DCCA" w14:textId="77777777" w:rsidR="007553C7" w:rsidRPr="007553C7" w:rsidRDefault="007553C7" w:rsidP="009D7616">
      <w:pPr>
        <w:numPr>
          <w:ilvl w:val="0"/>
          <w:numId w:val="10"/>
        </w:numPr>
        <w:ind w:left="438"/>
        <w:jc w:val="both"/>
        <w:rPr>
          <w:rFonts w:ascii="Arial" w:hAnsi="Arial" w:cs="Arial"/>
        </w:rPr>
      </w:pPr>
      <w:r w:rsidRPr="007553C7">
        <w:rPr>
          <w:rFonts w:ascii="Arial" w:hAnsi="Arial" w:cs="Arial"/>
        </w:rPr>
        <w:t xml:space="preserve">Identification of different surrogates for partition co-efficient determination. There is not a widely accepted or suitable model protein that could represent aquatic and mammalian wildlife. Serum albumin – a globular blood protein – is often used but there are drawbacks, for example NLOC substances undergo stronger sorption to albumin than structural proteins such as muscle tissues (Endo </w:t>
      </w:r>
      <w:r w:rsidRPr="007553C7">
        <w:rPr>
          <w:rFonts w:ascii="Arial" w:hAnsi="Arial" w:cs="Arial"/>
          <w:i/>
          <w:iCs/>
        </w:rPr>
        <w:t xml:space="preserve">et al., </w:t>
      </w:r>
      <w:r w:rsidRPr="007553C7">
        <w:rPr>
          <w:rFonts w:ascii="Arial" w:hAnsi="Arial" w:cs="Arial"/>
        </w:rPr>
        <w:t xml:space="preserve">2013). Bovine Serum Albumin (BSA) should not be recommended due to animal welfare concerns; however, for completeness, it should be addressed in the evaluation and discussion. Publications of relevance include Armitage </w:t>
      </w:r>
      <w:r w:rsidRPr="007553C7">
        <w:rPr>
          <w:rFonts w:ascii="Arial" w:hAnsi="Arial" w:cs="Arial"/>
          <w:i/>
          <w:iCs/>
        </w:rPr>
        <w:t>et al</w:t>
      </w:r>
      <w:r w:rsidRPr="007553C7">
        <w:rPr>
          <w:rFonts w:ascii="Arial" w:hAnsi="Arial" w:cs="Arial"/>
        </w:rPr>
        <w:t xml:space="preserve">. (2017) where preserved proteins common to both fish and mammals are discussed, and Chen </w:t>
      </w:r>
      <w:r w:rsidRPr="007553C7">
        <w:rPr>
          <w:rFonts w:ascii="Arial" w:hAnsi="Arial" w:cs="Arial"/>
          <w:i/>
          <w:iCs/>
        </w:rPr>
        <w:t>et al</w:t>
      </w:r>
      <w:r w:rsidRPr="007553C7">
        <w:rPr>
          <w:rFonts w:ascii="Arial" w:hAnsi="Arial" w:cs="Arial"/>
        </w:rPr>
        <w:t>. (2019) where liver proteins are assessed.</w:t>
      </w:r>
    </w:p>
    <w:p w14:paraId="1C470109" w14:textId="77777777" w:rsidR="007553C7" w:rsidRPr="007553C7" w:rsidRDefault="007553C7" w:rsidP="009D7616">
      <w:pPr>
        <w:numPr>
          <w:ilvl w:val="0"/>
          <w:numId w:val="10"/>
        </w:numPr>
        <w:ind w:left="438"/>
        <w:jc w:val="both"/>
        <w:rPr>
          <w:rFonts w:ascii="Arial" w:hAnsi="Arial" w:cs="Arial"/>
        </w:rPr>
      </w:pPr>
      <w:r w:rsidRPr="007553C7">
        <w:rPr>
          <w:rFonts w:ascii="Arial" w:hAnsi="Arial" w:cs="Arial"/>
        </w:rPr>
        <w:t>The relevance of plant proteins (or specific proteins preserved across a wide range of taxa) shall be considered.</w:t>
      </w:r>
    </w:p>
    <w:p w14:paraId="6AFF6CF7" w14:textId="77777777" w:rsidR="007553C7" w:rsidRPr="007553C7" w:rsidRDefault="007553C7" w:rsidP="009D7616">
      <w:pPr>
        <w:numPr>
          <w:ilvl w:val="0"/>
          <w:numId w:val="10"/>
        </w:numPr>
        <w:ind w:left="438"/>
        <w:jc w:val="both"/>
        <w:rPr>
          <w:rFonts w:ascii="Arial" w:hAnsi="Arial" w:cs="Arial"/>
        </w:rPr>
      </w:pPr>
      <w:r w:rsidRPr="007553C7">
        <w:rPr>
          <w:rFonts w:ascii="Arial" w:hAnsi="Arial" w:cs="Arial"/>
        </w:rPr>
        <w:t>Identification and description of screening methods, such as those used in the pharmaceutical industry to assess protein affinity, and whether these could be exploited as screening studies for non-standard accumulation processes. This should include a discussion of endpoints (</w:t>
      </w:r>
      <w:proofErr w:type="gramStart"/>
      <w:r w:rsidRPr="007553C7">
        <w:rPr>
          <w:rFonts w:ascii="Arial" w:hAnsi="Arial" w:cs="Arial"/>
        </w:rPr>
        <w:t>e.g.</w:t>
      </w:r>
      <w:proofErr w:type="gramEnd"/>
      <w:r w:rsidRPr="007553C7">
        <w:rPr>
          <w:rFonts w:ascii="Arial" w:hAnsi="Arial" w:cs="Arial"/>
        </w:rPr>
        <w:t xml:space="preserve"> binding and rate constants of interaction) and a critique of suitability. Relevant publications include </w:t>
      </w:r>
      <w:proofErr w:type="spellStart"/>
      <w:r w:rsidRPr="007553C7">
        <w:rPr>
          <w:rFonts w:ascii="Arial" w:hAnsi="Arial" w:cs="Arial"/>
        </w:rPr>
        <w:t>Hage</w:t>
      </w:r>
      <w:proofErr w:type="spellEnd"/>
      <w:r w:rsidRPr="007553C7">
        <w:rPr>
          <w:rFonts w:ascii="Arial" w:hAnsi="Arial" w:cs="Arial"/>
        </w:rPr>
        <w:t xml:space="preserve"> </w:t>
      </w:r>
      <w:r w:rsidRPr="007553C7">
        <w:rPr>
          <w:rFonts w:ascii="Arial" w:hAnsi="Arial" w:cs="Arial"/>
          <w:i/>
          <w:iCs/>
        </w:rPr>
        <w:t>et al</w:t>
      </w:r>
      <w:r w:rsidRPr="007553C7">
        <w:rPr>
          <w:rFonts w:ascii="Arial" w:hAnsi="Arial" w:cs="Arial"/>
        </w:rPr>
        <w:t xml:space="preserve">. (2011), </w:t>
      </w:r>
      <w:proofErr w:type="spellStart"/>
      <w:r w:rsidRPr="007553C7">
        <w:rPr>
          <w:rFonts w:ascii="Arial" w:hAnsi="Arial" w:cs="Arial"/>
        </w:rPr>
        <w:t>Beeram</w:t>
      </w:r>
      <w:proofErr w:type="spellEnd"/>
      <w:r w:rsidRPr="007553C7">
        <w:rPr>
          <w:rFonts w:ascii="Arial" w:hAnsi="Arial" w:cs="Arial"/>
        </w:rPr>
        <w:t xml:space="preserve"> </w:t>
      </w:r>
      <w:r w:rsidRPr="007553C7">
        <w:rPr>
          <w:rFonts w:ascii="Arial" w:hAnsi="Arial" w:cs="Arial"/>
          <w:i/>
          <w:iCs/>
        </w:rPr>
        <w:t>et al</w:t>
      </w:r>
      <w:r w:rsidRPr="007553C7">
        <w:rPr>
          <w:rFonts w:ascii="Arial" w:hAnsi="Arial" w:cs="Arial"/>
        </w:rPr>
        <w:t xml:space="preserve">. (2018), </w:t>
      </w:r>
      <w:proofErr w:type="spellStart"/>
      <w:r w:rsidRPr="007553C7">
        <w:rPr>
          <w:rFonts w:ascii="Arial" w:hAnsi="Arial" w:cs="Arial"/>
        </w:rPr>
        <w:t>Obradović</w:t>
      </w:r>
      <w:proofErr w:type="spellEnd"/>
      <w:r w:rsidRPr="007553C7">
        <w:rPr>
          <w:rFonts w:ascii="Arial" w:hAnsi="Arial" w:cs="Arial"/>
        </w:rPr>
        <w:t xml:space="preserve"> </w:t>
      </w:r>
      <w:r w:rsidRPr="007553C7">
        <w:rPr>
          <w:rFonts w:ascii="Arial" w:hAnsi="Arial" w:cs="Arial"/>
          <w:i/>
          <w:iCs/>
        </w:rPr>
        <w:t>et al</w:t>
      </w:r>
      <w:r w:rsidRPr="007553C7">
        <w:rPr>
          <w:rFonts w:ascii="Arial" w:hAnsi="Arial" w:cs="Arial"/>
        </w:rPr>
        <w:t xml:space="preserve">. (2022), and </w:t>
      </w:r>
      <w:proofErr w:type="spellStart"/>
      <w:r w:rsidRPr="007553C7">
        <w:rPr>
          <w:rFonts w:ascii="Arial" w:hAnsi="Arial" w:cs="Arial"/>
        </w:rPr>
        <w:t>Tsopelas</w:t>
      </w:r>
      <w:proofErr w:type="spellEnd"/>
      <w:r w:rsidRPr="007553C7">
        <w:rPr>
          <w:rFonts w:ascii="Arial" w:hAnsi="Arial" w:cs="Arial"/>
        </w:rPr>
        <w:t xml:space="preserve"> </w:t>
      </w:r>
      <w:r w:rsidRPr="007553C7">
        <w:rPr>
          <w:rFonts w:ascii="Arial" w:hAnsi="Arial" w:cs="Arial"/>
          <w:i/>
          <w:iCs/>
        </w:rPr>
        <w:t>et al</w:t>
      </w:r>
      <w:r w:rsidRPr="007553C7">
        <w:rPr>
          <w:rFonts w:ascii="Arial" w:hAnsi="Arial" w:cs="Arial"/>
        </w:rPr>
        <w:t>. (2017).</w:t>
      </w:r>
    </w:p>
    <w:p w14:paraId="6404307F" w14:textId="77777777" w:rsidR="007553C7" w:rsidRPr="007553C7" w:rsidRDefault="007553C7" w:rsidP="009D7616">
      <w:pPr>
        <w:numPr>
          <w:ilvl w:val="0"/>
          <w:numId w:val="10"/>
        </w:numPr>
        <w:ind w:left="438"/>
        <w:jc w:val="both"/>
        <w:rPr>
          <w:rFonts w:ascii="Arial" w:hAnsi="Arial" w:cs="Arial"/>
        </w:rPr>
      </w:pPr>
      <w:r w:rsidRPr="007553C7">
        <w:rPr>
          <w:rFonts w:ascii="Arial" w:hAnsi="Arial" w:cs="Arial"/>
        </w:rPr>
        <w:t>Consideration of the variability and relevance of any method.</w:t>
      </w:r>
    </w:p>
    <w:p w14:paraId="0FC56037" w14:textId="77777777" w:rsidR="007553C7" w:rsidRPr="007553C7" w:rsidRDefault="007553C7" w:rsidP="009D7616">
      <w:pPr>
        <w:numPr>
          <w:ilvl w:val="0"/>
          <w:numId w:val="10"/>
        </w:numPr>
        <w:ind w:left="438"/>
        <w:jc w:val="both"/>
        <w:rPr>
          <w:rFonts w:ascii="Arial" w:hAnsi="Arial" w:cs="Arial"/>
          <w:b/>
          <w:bCs/>
          <w:u w:val="single"/>
        </w:rPr>
      </w:pPr>
      <w:r w:rsidRPr="007553C7">
        <w:rPr>
          <w:rFonts w:ascii="Arial" w:hAnsi="Arial" w:cs="Arial"/>
        </w:rPr>
        <w:t>The practicality of any identified methods, taking account of animal welfare concerns for any material sources, test duration, availability, and likely cost</w:t>
      </w:r>
    </w:p>
    <w:p w14:paraId="2208DCEC" w14:textId="77777777" w:rsidR="007553C7" w:rsidRPr="007553C7" w:rsidRDefault="007553C7" w:rsidP="009D7616">
      <w:pPr>
        <w:numPr>
          <w:ilvl w:val="0"/>
          <w:numId w:val="10"/>
        </w:numPr>
        <w:ind w:left="438"/>
        <w:jc w:val="both"/>
        <w:rPr>
          <w:rFonts w:ascii="Arial" w:hAnsi="Arial" w:cs="Arial"/>
          <w:b/>
          <w:bCs/>
          <w:u w:val="single"/>
        </w:rPr>
      </w:pPr>
      <w:r w:rsidRPr="007553C7">
        <w:rPr>
          <w:rFonts w:ascii="Arial" w:hAnsi="Arial" w:cs="Arial"/>
        </w:rPr>
        <w:t>Provide an indication of a suitable cut-off value for B/</w:t>
      </w:r>
      <w:proofErr w:type="spellStart"/>
      <w:r w:rsidRPr="007553C7">
        <w:rPr>
          <w:rFonts w:ascii="Arial" w:hAnsi="Arial" w:cs="Arial"/>
        </w:rPr>
        <w:t>vB</w:t>
      </w:r>
      <w:proofErr w:type="spellEnd"/>
      <w:r w:rsidRPr="007553C7">
        <w:rPr>
          <w:rFonts w:ascii="Arial" w:hAnsi="Arial" w:cs="Arial"/>
        </w:rPr>
        <w:t xml:space="preserve"> screening (in accordance with Annex 13 of the REACH Regulation) if this is possible from the information analysed. Provide a recommendation of potential screening tests and benchmark substances that could be used in the development of a new test guideline. </w:t>
      </w:r>
    </w:p>
    <w:p w14:paraId="49101363" w14:textId="77777777" w:rsidR="007553C7" w:rsidRPr="007553C7" w:rsidRDefault="007553C7" w:rsidP="007553C7">
      <w:pPr>
        <w:jc w:val="both"/>
        <w:rPr>
          <w:rFonts w:ascii="Arial" w:hAnsi="Arial" w:cs="Arial"/>
        </w:rPr>
      </w:pPr>
    </w:p>
    <w:p w14:paraId="08C4AC03" w14:textId="77777777" w:rsidR="007553C7" w:rsidRPr="007553C7" w:rsidRDefault="007553C7" w:rsidP="007553C7">
      <w:pPr>
        <w:jc w:val="both"/>
        <w:rPr>
          <w:rFonts w:ascii="Arial" w:hAnsi="Arial" w:cs="Arial"/>
        </w:rPr>
      </w:pPr>
      <w:r w:rsidRPr="007553C7">
        <w:rPr>
          <w:rFonts w:ascii="Arial" w:hAnsi="Arial" w:cs="Arial"/>
        </w:rPr>
        <w:t xml:space="preserve">The report should be suitable for publication and/or external dissemination, </w:t>
      </w:r>
      <w:proofErr w:type="gramStart"/>
      <w:r w:rsidRPr="007553C7">
        <w:rPr>
          <w:rFonts w:ascii="Arial" w:hAnsi="Arial" w:cs="Arial"/>
        </w:rPr>
        <w:t>e.g.</w:t>
      </w:r>
      <w:proofErr w:type="gramEnd"/>
      <w:r w:rsidRPr="007553C7">
        <w:rPr>
          <w:rFonts w:ascii="Arial" w:hAnsi="Arial" w:cs="Arial"/>
        </w:rPr>
        <w:t xml:space="preserve"> to support OECD test guideline development or for use in regulatory guidance.</w:t>
      </w:r>
    </w:p>
    <w:p w14:paraId="56AABD35" w14:textId="52EF4DAE" w:rsidR="007553C7" w:rsidRPr="007553C7" w:rsidRDefault="007553C7" w:rsidP="00E65F5D">
      <w:pPr>
        <w:rPr>
          <w:rFonts w:ascii="Arial" w:hAnsi="Arial" w:cs="Arial"/>
          <w:b/>
          <w:color w:val="FF0000"/>
          <w:u w:val="single"/>
        </w:rPr>
      </w:pPr>
    </w:p>
    <w:p w14:paraId="4183F93B" w14:textId="7EFD3149" w:rsidR="007553C7" w:rsidRPr="007553C7" w:rsidRDefault="007553C7" w:rsidP="00E65F5D">
      <w:pPr>
        <w:rPr>
          <w:rFonts w:ascii="Arial" w:hAnsi="Arial" w:cs="Arial"/>
          <w:b/>
          <w:color w:val="FF0000"/>
          <w:u w:val="single"/>
        </w:rPr>
      </w:pPr>
    </w:p>
    <w:p w14:paraId="2E8215D7" w14:textId="77777777" w:rsidR="007553C7" w:rsidRPr="007553C7" w:rsidRDefault="007553C7" w:rsidP="007553C7">
      <w:pPr>
        <w:rPr>
          <w:rFonts w:ascii="Arial" w:hAnsi="Arial" w:cs="Arial"/>
          <w:b/>
          <w:bCs/>
          <w:u w:val="single"/>
        </w:rPr>
      </w:pPr>
      <w:r w:rsidRPr="007553C7">
        <w:rPr>
          <w:rFonts w:ascii="Arial" w:hAnsi="Arial" w:cs="Arial"/>
          <w:b/>
          <w:bCs/>
          <w:u w:val="single"/>
        </w:rPr>
        <w:t>References</w:t>
      </w:r>
    </w:p>
    <w:p w14:paraId="4F8C98A5" w14:textId="77777777" w:rsidR="007553C7" w:rsidRPr="007553C7" w:rsidRDefault="007553C7" w:rsidP="007553C7">
      <w:pPr>
        <w:rPr>
          <w:rFonts w:ascii="Arial" w:hAnsi="Arial" w:cs="Arial"/>
        </w:rPr>
      </w:pPr>
    </w:p>
    <w:p w14:paraId="5FC8CCFA" w14:textId="77777777" w:rsidR="007553C7" w:rsidRPr="007553C7" w:rsidRDefault="007553C7" w:rsidP="007553C7">
      <w:pPr>
        <w:rPr>
          <w:rFonts w:ascii="Arial" w:hAnsi="Arial" w:cs="Arial"/>
        </w:rPr>
      </w:pPr>
      <w:r w:rsidRPr="007553C7">
        <w:rPr>
          <w:rFonts w:ascii="Arial" w:hAnsi="Arial" w:cs="Arial"/>
        </w:rPr>
        <w:t>Armitage, J. M., Erickson, R. J., Luckenbach, T., Ng, C. A., Prosser, R. S., Arnot, J. A., Schirmer, K., &amp; Nichols, J. W. (2017). Assessing the bioaccumulation potential of ionizable organic compounds: Current knowledge and research priorities. </w:t>
      </w:r>
      <w:r w:rsidRPr="007553C7">
        <w:rPr>
          <w:rFonts w:ascii="Arial" w:hAnsi="Arial" w:cs="Arial"/>
          <w:i/>
          <w:iCs/>
        </w:rPr>
        <w:t>Environmental Toxicology and Chemistry</w:t>
      </w:r>
      <w:r w:rsidRPr="007553C7">
        <w:rPr>
          <w:rFonts w:ascii="Arial" w:hAnsi="Arial" w:cs="Arial"/>
        </w:rPr>
        <w:t>, </w:t>
      </w:r>
      <w:r w:rsidRPr="007553C7">
        <w:rPr>
          <w:rFonts w:ascii="Arial" w:hAnsi="Arial" w:cs="Arial"/>
          <w:i/>
          <w:iCs/>
        </w:rPr>
        <w:t>36</w:t>
      </w:r>
      <w:r w:rsidRPr="007553C7">
        <w:rPr>
          <w:rFonts w:ascii="Arial" w:hAnsi="Arial" w:cs="Arial"/>
        </w:rPr>
        <w:t xml:space="preserve">(4), 882–897. </w:t>
      </w:r>
    </w:p>
    <w:p w14:paraId="356C8743" w14:textId="77777777" w:rsidR="007553C7" w:rsidRPr="007553C7" w:rsidRDefault="007553C7" w:rsidP="007553C7">
      <w:pPr>
        <w:rPr>
          <w:rFonts w:ascii="Arial" w:hAnsi="Arial" w:cs="Arial"/>
        </w:rPr>
      </w:pPr>
    </w:p>
    <w:p w14:paraId="1F8DD328" w14:textId="77777777" w:rsidR="007553C7" w:rsidRPr="007553C7" w:rsidRDefault="007553C7" w:rsidP="007553C7">
      <w:pPr>
        <w:rPr>
          <w:rFonts w:ascii="Arial" w:hAnsi="Arial" w:cs="Arial"/>
        </w:rPr>
      </w:pPr>
      <w:r w:rsidRPr="007553C7">
        <w:rPr>
          <w:rFonts w:ascii="Arial" w:hAnsi="Arial" w:cs="Arial"/>
        </w:rPr>
        <w:t xml:space="preserve">Bernardo, F., Alves, A., &amp; </w:t>
      </w:r>
      <w:proofErr w:type="spellStart"/>
      <w:r w:rsidRPr="007553C7">
        <w:rPr>
          <w:rFonts w:ascii="Arial" w:hAnsi="Arial" w:cs="Arial"/>
        </w:rPr>
        <w:t>Homem</w:t>
      </w:r>
      <w:proofErr w:type="spellEnd"/>
      <w:r w:rsidRPr="007553C7">
        <w:rPr>
          <w:rFonts w:ascii="Arial" w:hAnsi="Arial" w:cs="Arial"/>
        </w:rPr>
        <w:t xml:space="preserve">, V. (2022). A review of bioaccumulation of volatile </w:t>
      </w:r>
      <w:proofErr w:type="spellStart"/>
      <w:r w:rsidRPr="007553C7">
        <w:rPr>
          <w:rFonts w:ascii="Arial" w:hAnsi="Arial" w:cs="Arial"/>
        </w:rPr>
        <w:t>methylsiloxanes</w:t>
      </w:r>
      <w:proofErr w:type="spellEnd"/>
      <w:r w:rsidRPr="007553C7">
        <w:rPr>
          <w:rFonts w:ascii="Arial" w:hAnsi="Arial" w:cs="Arial"/>
        </w:rPr>
        <w:t xml:space="preserve"> in aquatic ecosystems. </w:t>
      </w:r>
      <w:r w:rsidRPr="007553C7">
        <w:rPr>
          <w:rFonts w:ascii="Arial" w:hAnsi="Arial" w:cs="Arial"/>
          <w:i/>
          <w:iCs/>
        </w:rPr>
        <w:t>The Science of the Total Environment</w:t>
      </w:r>
      <w:r w:rsidRPr="007553C7">
        <w:rPr>
          <w:rFonts w:ascii="Arial" w:hAnsi="Arial" w:cs="Arial"/>
        </w:rPr>
        <w:t>, </w:t>
      </w:r>
      <w:r w:rsidRPr="007553C7">
        <w:rPr>
          <w:rFonts w:ascii="Arial" w:hAnsi="Arial" w:cs="Arial"/>
          <w:i/>
          <w:iCs/>
        </w:rPr>
        <w:t>824</w:t>
      </w:r>
      <w:r w:rsidRPr="007553C7">
        <w:rPr>
          <w:rFonts w:ascii="Arial" w:hAnsi="Arial" w:cs="Arial"/>
        </w:rPr>
        <w:t xml:space="preserve">, 153821. </w:t>
      </w:r>
    </w:p>
    <w:p w14:paraId="1EEA79C1" w14:textId="77777777" w:rsidR="007553C7" w:rsidRPr="007553C7" w:rsidRDefault="007553C7" w:rsidP="007553C7">
      <w:pPr>
        <w:rPr>
          <w:rFonts w:ascii="Arial" w:hAnsi="Arial" w:cs="Arial"/>
        </w:rPr>
      </w:pPr>
    </w:p>
    <w:p w14:paraId="244D9AE3" w14:textId="77777777" w:rsidR="007553C7" w:rsidRPr="007553C7" w:rsidRDefault="007553C7" w:rsidP="007553C7">
      <w:pPr>
        <w:rPr>
          <w:rFonts w:ascii="Arial" w:hAnsi="Arial" w:cs="Arial"/>
        </w:rPr>
      </w:pPr>
      <w:proofErr w:type="spellStart"/>
      <w:r w:rsidRPr="007553C7">
        <w:rPr>
          <w:rFonts w:ascii="Arial" w:hAnsi="Arial" w:cs="Arial"/>
        </w:rPr>
        <w:t>Beeram</w:t>
      </w:r>
      <w:proofErr w:type="spellEnd"/>
      <w:r w:rsidRPr="007553C7">
        <w:rPr>
          <w:rFonts w:ascii="Arial" w:hAnsi="Arial" w:cs="Arial"/>
        </w:rPr>
        <w:t xml:space="preserve">, S. R., Zheng, X., Suh, K., &amp; </w:t>
      </w:r>
      <w:proofErr w:type="spellStart"/>
      <w:r w:rsidRPr="007553C7">
        <w:rPr>
          <w:rFonts w:ascii="Arial" w:hAnsi="Arial" w:cs="Arial"/>
        </w:rPr>
        <w:t>Hage</w:t>
      </w:r>
      <w:proofErr w:type="spellEnd"/>
      <w:r w:rsidRPr="007553C7">
        <w:rPr>
          <w:rFonts w:ascii="Arial" w:hAnsi="Arial" w:cs="Arial"/>
        </w:rPr>
        <w:t>, D. S. (2018). Characterization of solution-phase drug-protein interactions by ultrafast affinity extraction. </w:t>
      </w:r>
      <w:r w:rsidRPr="007553C7">
        <w:rPr>
          <w:rFonts w:ascii="Arial" w:hAnsi="Arial" w:cs="Arial"/>
          <w:i/>
          <w:iCs/>
        </w:rPr>
        <w:t>Methods (San Diego, Calif.)</w:t>
      </w:r>
      <w:r w:rsidRPr="007553C7">
        <w:rPr>
          <w:rFonts w:ascii="Arial" w:hAnsi="Arial" w:cs="Arial"/>
        </w:rPr>
        <w:t>, </w:t>
      </w:r>
      <w:r w:rsidRPr="007553C7">
        <w:rPr>
          <w:rFonts w:ascii="Arial" w:hAnsi="Arial" w:cs="Arial"/>
          <w:i/>
          <w:iCs/>
        </w:rPr>
        <w:t>146</w:t>
      </w:r>
      <w:r w:rsidRPr="007553C7">
        <w:rPr>
          <w:rFonts w:ascii="Arial" w:hAnsi="Arial" w:cs="Arial"/>
        </w:rPr>
        <w:t xml:space="preserve">, 46–57. </w:t>
      </w:r>
    </w:p>
    <w:p w14:paraId="503BABAA" w14:textId="77777777" w:rsidR="007553C7" w:rsidRPr="007553C7" w:rsidRDefault="007553C7" w:rsidP="007553C7">
      <w:pPr>
        <w:rPr>
          <w:rFonts w:ascii="Arial" w:hAnsi="Arial" w:cs="Arial"/>
        </w:rPr>
      </w:pPr>
    </w:p>
    <w:p w14:paraId="1C357140" w14:textId="77777777" w:rsidR="007553C7" w:rsidRPr="007553C7" w:rsidRDefault="007553C7" w:rsidP="007553C7">
      <w:pPr>
        <w:rPr>
          <w:rFonts w:ascii="Arial" w:hAnsi="Arial" w:cs="Arial"/>
        </w:rPr>
      </w:pPr>
      <w:r w:rsidRPr="007553C7">
        <w:rPr>
          <w:rFonts w:ascii="Arial" w:hAnsi="Arial" w:cs="Arial"/>
        </w:rPr>
        <w:t>Cheng, W., &amp; Ng, C. A. (2018). Predicting Relative Protein Affinity of Novel Per- and Polyfluoroalkyl Substances (PFASs) by An Efficient Molecular Dynamics Approach. </w:t>
      </w:r>
      <w:r w:rsidRPr="007553C7">
        <w:rPr>
          <w:rFonts w:ascii="Arial" w:hAnsi="Arial" w:cs="Arial"/>
          <w:i/>
          <w:iCs/>
        </w:rPr>
        <w:t>Environmental science &amp; technology</w:t>
      </w:r>
      <w:r w:rsidRPr="007553C7">
        <w:rPr>
          <w:rFonts w:ascii="Arial" w:hAnsi="Arial" w:cs="Arial"/>
        </w:rPr>
        <w:t>, </w:t>
      </w:r>
      <w:r w:rsidRPr="007553C7">
        <w:rPr>
          <w:rFonts w:ascii="Arial" w:hAnsi="Arial" w:cs="Arial"/>
          <w:i/>
          <w:iCs/>
        </w:rPr>
        <w:t>52</w:t>
      </w:r>
      <w:r w:rsidRPr="007553C7">
        <w:rPr>
          <w:rFonts w:ascii="Arial" w:hAnsi="Arial" w:cs="Arial"/>
        </w:rPr>
        <w:t>(14), 7972–7980.</w:t>
      </w:r>
    </w:p>
    <w:p w14:paraId="49466B95" w14:textId="77777777" w:rsidR="007553C7" w:rsidRPr="007553C7" w:rsidRDefault="007553C7" w:rsidP="007553C7">
      <w:pPr>
        <w:rPr>
          <w:rFonts w:ascii="Arial" w:hAnsi="Arial" w:cs="Arial"/>
        </w:rPr>
      </w:pPr>
    </w:p>
    <w:p w14:paraId="2D9A09F9" w14:textId="77777777" w:rsidR="007553C7" w:rsidRPr="007553C7" w:rsidRDefault="007553C7" w:rsidP="007553C7">
      <w:pPr>
        <w:rPr>
          <w:rFonts w:ascii="Arial" w:hAnsi="Arial" w:cs="Arial"/>
        </w:rPr>
      </w:pPr>
      <w:r w:rsidRPr="007553C7">
        <w:rPr>
          <w:rFonts w:ascii="Arial" w:hAnsi="Arial" w:cs="Arial"/>
        </w:rPr>
        <w:lastRenderedPageBreak/>
        <w:t xml:space="preserve">De Silva, A. O., Armitage, J. M., Bruton, T. A., </w:t>
      </w:r>
      <w:proofErr w:type="spellStart"/>
      <w:r w:rsidRPr="007553C7">
        <w:rPr>
          <w:rFonts w:ascii="Arial" w:hAnsi="Arial" w:cs="Arial"/>
        </w:rPr>
        <w:t>Dassuncao</w:t>
      </w:r>
      <w:proofErr w:type="spellEnd"/>
      <w:r w:rsidRPr="007553C7">
        <w:rPr>
          <w:rFonts w:ascii="Arial" w:hAnsi="Arial" w:cs="Arial"/>
        </w:rPr>
        <w:t xml:space="preserve">, C., </w:t>
      </w:r>
      <w:proofErr w:type="spellStart"/>
      <w:r w:rsidRPr="007553C7">
        <w:rPr>
          <w:rFonts w:ascii="Arial" w:hAnsi="Arial" w:cs="Arial"/>
        </w:rPr>
        <w:t>Heiger</w:t>
      </w:r>
      <w:proofErr w:type="spellEnd"/>
      <w:r w:rsidRPr="007553C7">
        <w:rPr>
          <w:rFonts w:ascii="Arial" w:hAnsi="Arial" w:cs="Arial"/>
        </w:rPr>
        <w:t xml:space="preserve">-Bernays, W., Hu, X. C., </w:t>
      </w:r>
      <w:proofErr w:type="spellStart"/>
      <w:r w:rsidRPr="007553C7">
        <w:rPr>
          <w:rFonts w:ascii="Arial" w:hAnsi="Arial" w:cs="Arial"/>
        </w:rPr>
        <w:t>Kärrman</w:t>
      </w:r>
      <w:proofErr w:type="spellEnd"/>
      <w:r w:rsidRPr="007553C7">
        <w:rPr>
          <w:rFonts w:ascii="Arial" w:hAnsi="Arial" w:cs="Arial"/>
        </w:rPr>
        <w:t xml:space="preserve">, A., Kelly, B., Ng, C., </w:t>
      </w:r>
      <w:proofErr w:type="spellStart"/>
      <w:r w:rsidRPr="007553C7">
        <w:rPr>
          <w:rFonts w:ascii="Arial" w:hAnsi="Arial" w:cs="Arial"/>
        </w:rPr>
        <w:t>Robuck</w:t>
      </w:r>
      <w:proofErr w:type="spellEnd"/>
      <w:r w:rsidRPr="007553C7">
        <w:rPr>
          <w:rFonts w:ascii="Arial" w:hAnsi="Arial" w:cs="Arial"/>
        </w:rPr>
        <w:t>, A., Sun, M., Webster, T. F., &amp; Sunderland, E. M. (2021). PFAS exposure pathways for humans and wildlife: a synthesis of current knowledge and key gaps in understanding. </w:t>
      </w:r>
      <w:r w:rsidRPr="007553C7">
        <w:rPr>
          <w:rFonts w:ascii="Arial" w:hAnsi="Arial" w:cs="Arial"/>
          <w:i/>
          <w:iCs/>
        </w:rPr>
        <w:t>Environmental Toxicology and Chemistry</w:t>
      </w:r>
      <w:r w:rsidRPr="007553C7">
        <w:rPr>
          <w:rFonts w:ascii="Arial" w:hAnsi="Arial" w:cs="Arial"/>
        </w:rPr>
        <w:t>, </w:t>
      </w:r>
      <w:r w:rsidRPr="007553C7">
        <w:rPr>
          <w:rFonts w:ascii="Arial" w:hAnsi="Arial" w:cs="Arial"/>
          <w:i/>
          <w:iCs/>
        </w:rPr>
        <w:t>40</w:t>
      </w:r>
      <w:r w:rsidRPr="007553C7">
        <w:rPr>
          <w:rFonts w:ascii="Arial" w:hAnsi="Arial" w:cs="Arial"/>
        </w:rPr>
        <w:t xml:space="preserve">(3), 631–657. </w:t>
      </w:r>
    </w:p>
    <w:p w14:paraId="097D5CF1" w14:textId="77777777" w:rsidR="007553C7" w:rsidRPr="007553C7" w:rsidRDefault="007553C7" w:rsidP="007553C7">
      <w:pPr>
        <w:rPr>
          <w:rFonts w:ascii="Arial" w:hAnsi="Arial" w:cs="Arial"/>
        </w:rPr>
      </w:pPr>
    </w:p>
    <w:p w14:paraId="296347F8" w14:textId="77777777" w:rsidR="007553C7" w:rsidRPr="007553C7" w:rsidRDefault="007553C7" w:rsidP="007553C7">
      <w:pPr>
        <w:rPr>
          <w:rFonts w:ascii="Arial" w:hAnsi="Arial" w:cs="Arial"/>
        </w:rPr>
      </w:pPr>
      <w:r w:rsidRPr="007553C7">
        <w:rPr>
          <w:rFonts w:ascii="Arial" w:hAnsi="Arial" w:cs="Arial"/>
        </w:rPr>
        <w:t>ECHA. (2017a). Guidance on Information Requirements and Chemical Safety Assessment. Chapter R.11: PBT/</w:t>
      </w:r>
      <w:proofErr w:type="spellStart"/>
      <w:r w:rsidRPr="007553C7">
        <w:rPr>
          <w:rFonts w:ascii="Arial" w:hAnsi="Arial" w:cs="Arial"/>
        </w:rPr>
        <w:t>vPvB</w:t>
      </w:r>
      <w:proofErr w:type="spellEnd"/>
      <w:r w:rsidRPr="007553C7">
        <w:rPr>
          <w:rFonts w:ascii="Arial" w:hAnsi="Arial" w:cs="Arial"/>
        </w:rPr>
        <w:t xml:space="preserve"> Assessment. Version 3.0. June 2018.  European Chemicals Agency, Helsinki, Finland; </w:t>
      </w:r>
      <w:hyperlink r:id="rId22" w:history="1">
        <w:r w:rsidRPr="007553C7">
          <w:rPr>
            <w:rStyle w:val="Hyperlink"/>
            <w:rFonts w:ascii="Arial" w:hAnsi="Arial" w:cs="Arial"/>
          </w:rPr>
          <w:t>http://echa.europa.eu/web/ guest/guidance-documents/guidance-on-reach</w:t>
        </w:r>
      </w:hyperlink>
      <w:r w:rsidRPr="007553C7">
        <w:rPr>
          <w:rFonts w:ascii="Arial" w:hAnsi="Arial" w:cs="Arial"/>
        </w:rPr>
        <w:t xml:space="preserve"> </w:t>
      </w:r>
    </w:p>
    <w:p w14:paraId="60CCB455" w14:textId="77777777" w:rsidR="007553C7" w:rsidRPr="007553C7" w:rsidRDefault="007553C7" w:rsidP="007553C7">
      <w:pPr>
        <w:rPr>
          <w:rFonts w:ascii="Arial" w:hAnsi="Arial" w:cs="Arial"/>
        </w:rPr>
      </w:pPr>
    </w:p>
    <w:p w14:paraId="282F0669" w14:textId="77777777" w:rsidR="007553C7" w:rsidRPr="007553C7" w:rsidRDefault="007553C7" w:rsidP="007553C7">
      <w:pPr>
        <w:rPr>
          <w:rFonts w:ascii="Arial" w:hAnsi="Arial" w:cs="Arial"/>
        </w:rPr>
      </w:pPr>
      <w:r w:rsidRPr="007553C7">
        <w:rPr>
          <w:rFonts w:ascii="Arial" w:hAnsi="Arial" w:cs="Arial"/>
        </w:rPr>
        <w:t xml:space="preserve">ECHA (2017b). Guidance on Information Requirements and Chemical Safety Assessment. Chapter R.7a: Endpoint Specific Guidance. Version 6.0. July 2017.  European Chemicals Agency, Helsinki, Finland. </w:t>
      </w:r>
      <w:hyperlink r:id="rId23" w:history="1">
        <w:r w:rsidRPr="007553C7">
          <w:rPr>
            <w:rStyle w:val="Hyperlink"/>
            <w:rFonts w:ascii="Arial" w:hAnsi="Arial" w:cs="Arial"/>
          </w:rPr>
          <w:t>https://www.echa.europa.eu/documents/10162/13632 /information_requirements_r7a_en.pdf</w:t>
        </w:r>
      </w:hyperlink>
    </w:p>
    <w:p w14:paraId="2F15A258" w14:textId="77777777" w:rsidR="007553C7" w:rsidRPr="007553C7" w:rsidRDefault="007553C7" w:rsidP="007553C7">
      <w:pPr>
        <w:rPr>
          <w:rFonts w:ascii="Arial" w:hAnsi="Arial" w:cs="Arial"/>
        </w:rPr>
      </w:pPr>
    </w:p>
    <w:p w14:paraId="6C01C649" w14:textId="77777777" w:rsidR="007553C7" w:rsidRPr="007553C7" w:rsidRDefault="007553C7" w:rsidP="007553C7">
      <w:pPr>
        <w:rPr>
          <w:rFonts w:ascii="Arial" w:hAnsi="Arial" w:cs="Arial"/>
        </w:rPr>
      </w:pPr>
      <w:r w:rsidRPr="007553C7">
        <w:rPr>
          <w:rFonts w:ascii="Arial" w:hAnsi="Arial" w:cs="Arial"/>
        </w:rPr>
        <w:t xml:space="preserve">ECHA (2017c). Guidance on Information Requirements and Chemical Safety Assessment. Chapter R.7b: Endpoint Specific Guidance. Version 4.0. June 2017.  European Chemicals Agency, Helsinki, Finland. </w:t>
      </w:r>
      <w:hyperlink r:id="rId24" w:history="1">
        <w:r w:rsidRPr="007553C7">
          <w:rPr>
            <w:rStyle w:val="Hyperlink"/>
            <w:rFonts w:ascii="Arial" w:hAnsi="Arial" w:cs="Arial"/>
          </w:rPr>
          <w:t>https://echa.europa.eu/documents/10162/13632/ information_requirements_r7b_en.pdf</w:t>
        </w:r>
      </w:hyperlink>
    </w:p>
    <w:p w14:paraId="1B20C0D4" w14:textId="77777777" w:rsidR="007553C7" w:rsidRPr="007553C7" w:rsidRDefault="007553C7" w:rsidP="007553C7">
      <w:pPr>
        <w:rPr>
          <w:rFonts w:ascii="Arial" w:hAnsi="Arial" w:cs="Arial"/>
        </w:rPr>
      </w:pPr>
    </w:p>
    <w:p w14:paraId="5292447B" w14:textId="77777777" w:rsidR="007553C7" w:rsidRPr="007553C7" w:rsidRDefault="007553C7" w:rsidP="007553C7">
      <w:pPr>
        <w:rPr>
          <w:rFonts w:ascii="Arial" w:hAnsi="Arial" w:cs="Arial"/>
        </w:rPr>
      </w:pPr>
      <w:r w:rsidRPr="007553C7">
        <w:rPr>
          <w:rFonts w:ascii="Arial" w:hAnsi="Arial" w:cs="Arial"/>
        </w:rPr>
        <w:t xml:space="preserve">ECHA (2017d). Guidance on Information Requirements and Chemical Safety Assessment. Chapter R.7c: Endpoint Specific Guidance. Versions 3.0. June 2017.  European Chemicals Agency, Helsinki, Finland.  </w:t>
      </w:r>
      <w:hyperlink r:id="rId25" w:history="1">
        <w:r w:rsidRPr="007553C7">
          <w:rPr>
            <w:rStyle w:val="Hyperlink"/>
            <w:rFonts w:ascii="Arial" w:hAnsi="Arial" w:cs="Arial"/>
          </w:rPr>
          <w:t>https://echa.europa.eu/documents/10162/13632/information _requirements_r7c_en.pdf</w:t>
        </w:r>
      </w:hyperlink>
    </w:p>
    <w:p w14:paraId="5059F6C1" w14:textId="77777777" w:rsidR="007553C7" w:rsidRPr="007553C7" w:rsidRDefault="007553C7" w:rsidP="007553C7">
      <w:pPr>
        <w:rPr>
          <w:rFonts w:ascii="Arial" w:hAnsi="Arial" w:cs="Arial"/>
        </w:rPr>
      </w:pPr>
    </w:p>
    <w:p w14:paraId="265C1C50" w14:textId="77777777" w:rsidR="007553C7" w:rsidRPr="007553C7" w:rsidRDefault="007553C7" w:rsidP="007553C7">
      <w:pPr>
        <w:rPr>
          <w:rFonts w:ascii="Arial" w:hAnsi="Arial" w:cs="Arial"/>
        </w:rPr>
      </w:pPr>
      <w:r w:rsidRPr="007553C7">
        <w:rPr>
          <w:rFonts w:ascii="Arial" w:hAnsi="Arial" w:cs="Arial"/>
        </w:rPr>
        <w:t>Endo, S., Escher, B. I., &amp; Goss, K. U. (2011). Capacities of membrane lipids to accumulate neutral organic chemicals. </w:t>
      </w:r>
      <w:r w:rsidRPr="007553C7">
        <w:rPr>
          <w:rFonts w:ascii="Arial" w:hAnsi="Arial" w:cs="Arial"/>
          <w:i/>
          <w:iCs/>
        </w:rPr>
        <w:t>Environmental Science &amp; Technology</w:t>
      </w:r>
      <w:r w:rsidRPr="007553C7">
        <w:rPr>
          <w:rFonts w:ascii="Arial" w:hAnsi="Arial" w:cs="Arial"/>
        </w:rPr>
        <w:t>, </w:t>
      </w:r>
      <w:r w:rsidRPr="007553C7">
        <w:rPr>
          <w:rFonts w:ascii="Arial" w:hAnsi="Arial" w:cs="Arial"/>
          <w:i/>
          <w:iCs/>
        </w:rPr>
        <w:t>45</w:t>
      </w:r>
      <w:r w:rsidRPr="007553C7">
        <w:rPr>
          <w:rFonts w:ascii="Arial" w:hAnsi="Arial" w:cs="Arial"/>
        </w:rPr>
        <w:t>(14), 5912–5921.</w:t>
      </w:r>
    </w:p>
    <w:p w14:paraId="36B6E681" w14:textId="77777777" w:rsidR="007553C7" w:rsidRPr="007553C7" w:rsidRDefault="007553C7" w:rsidP="007553C7">
      <w:pPr>
        <w:rPr>
          <w:rFonts w:ascii="Arial" w:hAnsi="Arial" w:cs="Arial"/>
        </w:rPr>
      </w:pPr>
    </w:p>
    <w:p w14:paraId="21B5BA9B" w14:textId="77777777" w:rsidR="007553C7" w:rsidRPr="007553C7" w:rsidRDefault="007553C7" w:rsidP="007553C7">
      <w:pPr>
        <w:rPr>
          <w:rFonts w:ascii="Arial" w:hAnsi="Arial" w:cs="Arial"/>
        </w:rPr>
      </w:pPr>
      <w:r w:rsidRPr="007553C7">
        <w:rPr>
          <w:rFonts w:ascii="Arial" w:hAnsi="Arial" w:cs="Arial"/>
        </w:rPr>
        <w:t xml:space="preserve">Endo, S., Brown, T. N., &amp; Goss, K. U. (2013). General model for estimating partition coefficients to organisms and their tissues using the biological compositions and </w:t>
      </w:r>
      <w:proofErr w:type="spellStart"/>
      <w:r w:rsidRPr="007553C7">
        <w:rPr>
          <w:rFonts w:ascii="Arial" w:hAnsi="Arial" w:cs="Arial"/>
        </w:rPr>
        <w:t>polyparameter</w:t>
      </w:r>
      <w:proofErr w:type="spellEnd"/>
      <w:r w:rsidRPr="007553C7">
        <w:rPr>
          <w:rFonts w:ascii="Arial" w:hAnsi="Arial" w:cs="Arial"/>
        </w:rPr>
        <w:t xml:space="preserve"> linear free energy relationships. </w:t>
      </w:r>
      <w:r w:rsidRPr="007553C7">
        <w:rPr>
          <w:rFonts w:ascii="Arial" w:hAnsi="Arial" w:cs="Arial"/>
          <w:i/>
          <w:iCs/>
        </w:rPr>
        <w:t>Environmental science &amp; technology</w:t>
      </w:r>
      <w:r w:rsidRPr="007553C7">
        <w:rPr>
          <w:rFonts w:ascii="Arial" w:hAnsi="Arial" w:cs="Arial"/>
        </w:rPr>
        <w:t>, </w:t>
      </w:r>
      <w:r w:rsidRPr="007553C7">
        <w:rPr>
          <w:rFonts w:ascii="Arial" w:hAnsi="Arial" w:cs="Arial"/>
          <w:i/>
          <w:iCs/>
        </w:rPr>
        <w:t>47</w:t>
      </w:r>
      <w:r w:rsidRPr="007553C7">
        <w:rPr>
          <w:rFonts w:ascii="Arial" w:hAnsi="Arial" w:cs="Arial"/>
        </w:rPr>
        <w:t xml:space="preserve">(12), 6630–6639. </w:t>
      </w:r>
    </w:p>
    <w:p w14:paraId="53C49AAF" w14:textId="77777777" w:rsidR="007553C7" w:rsidRPr="007553C7" w:rsidRDefault="007553C7" w:rsidP="007553C7">
      <w:pPr>
        <w:rPr>
          <w:rFonts w:ascii="Arial" w:hAnsi="Arial" w:cs="Arial"/>
        </w:rPr>
      </w:pPr>
    </w:p>
    <w:p w14:paraId="386F0544" w14:textId="77777777" w:rsidR="007553C7" w:rsidRPr="007553C7" w:rsidRDefault="007553C7" w:rsidP="007553C7">
      <w:pPr>
        <w:rPr>
          <w:rFonts w:ascii="Arial" w:hAnsi="Arial" w:cs="Arial"/>
        </w:rPr>
      </w:pPr>
      <w:r w:rsidRPr="007553C7">
        <w:rPr>
          <w:rFonts w:ascii="Arial" w:hAnsi="Arial" w:cs="Arial"/>
        </w:rPr>
        <w:t>Endo S. (2016). Re-analysis of narcotic critical body residue data using the equilibrium distribution concept and refined partition coefficients. </w:t>
      </w:r>
      <w:r w:rsidRPr="007553C7">
        <w:rPr>
          <w:rFonts w:ascii="Arial" w:hAnsi="Arial" w:cs="Arial"/>
          <w:i/>
          <w:iCs/>
        </w:rPr>
        <w:t>Environmental Science. Processes &amp; Impacts</w:t>
      </w:r>
      <w:r w:rsidRPr="007553C7">
        <w:rPr>
          <w:rFonts w:ascii="Arial" w:hAnsi="Arial" w:cs="Arial"/>
        </w:rPr>
        <w:t>, </w:t>
      </w:r>
      <w:r w:rsidRPr="007553C7">
        <w:rPr>
          <w:rFonts w:ascii="Arial" w:hAnsi="Arial" w:cs="Arial"/>
          <w:i/>
          <w:iCs/>
        </w:rPr>
        <w:t>18</w:t>
      </w:r>
      <w:r w:rsidRPr="007553C7">
        <w:rPr>
          <w:rFonts w:ascii="Arial" w:hAnsi="Arial" w:cs="Arial"/>
        </w:rPr>
        <w:t xml:space="preserve">(8), 1024–1029. </w:t>
      </w:r>
    </w:p>
    <w:p w14:paraId="1629C571" w14:textId="77777777" w:rsidR="007553C7" w:rsidRPr="007553C7" w:rsidRDefault="007553C7" w:rsidP="007553C7">
      <w:pPr>
        <w:rPr>
          <w:rFonts w:ascii="Arial" w:hAnsi="Arial" w:cs="Arial"/>
        </w:rPr>
      </w:pPr>
    </w:p>
    <w:p w14:paraId="5B883B51" w14:textId="77777777" w:rsidR="007553C7" w:rsidRPr="007553C7" w:rsidRDefault="007553C7" w:rsidP="007553C7">
      <w:pPr>
        <w:rPr>
          <w:rFonts w:ascii="Arial" w:hAnsi="Arial" w:cs="Arial"/>
        </w:rPr>
      </w:pPr>
      <w:r w:rsidRPr="007553C7">
        <w:rPr>
          <w:rFonts w:ascii="Arial" w:hAnsi="Arial" w:cs="Arial"/>
        </w:rPr>
        <w:t xml:space="preserve">Erickson R. J., McKim J. M., Lien G. J., Hoffman A. D., Batterman S. L. (2006). Uptake and elimination of ionizable organic chemicals at fish gills: II. Observed and predicted effects of pH, alkalinity, and chemical properties. </w:t>
      </w:r>
      <w:r w:rsidRPr="007553C7">
        <w:rPr>
          <w:rFonts w:ascii="Arial" w:hAnsi="Arial" w:cs="Arial"/>
          <w:i/>
          <w:iCs/>
        </w:rPr>
        <w:t>Environmental Toxicology and Chemistry</w:t>
      </w:r>
      <w:r w:rsidRPr="007553C7">
        <w:rPr>
          <w:rFonts w:ascii="Arial" w:hAnsi="Arial" w:cs="Arial"/>
        </w:rPr>
        <w:t xml:space="preserve">, </w:t>
      </w:r>
      <w:r w:rsidRPr="007553C7">
        <w:rPr>
          <w:rFonts w:ascii="Arial" w:hAnsi="Arial" w:cs="Arial"/>
          <w:i/>
          <w:iCs/>
        </w:rPr>
        <w:t>25</w:t>
      </w:r>
      <w:r w:rsidRPr="007553C7">
        <w:rPr>
          <w:rFonts w:ascii="Arial" w:hAnsi="Arial" w:cs="Arial"/>
        </w:rPr>
        <w:t xml:space="preserve">(6), 1522-1532. </w:t>
      </w:r>
    </w:p>
    <w:p w14:paraId="14588645" w14:textId="77777777" w:rsidR="007553C7" w:rsidRPr="007553C7" w:rsidRDefault="007553C7" w:rsidP="007553C7">
      <w:pPr>
        <w:rPr>
          <w:rFonts w:ascii="Arial" w:hAnsi="Arial" w:cs="Arial"/>
        </w:rPr>
      </w:pPr>
    </w:p>
    <w:p w14:paraId="2323B180" w14:textId="77777777" w:rsidR="007553C7" w:rsidRPr="007553C7" w:rsidRDefault="007553C7" w:rsidP="007553C7">
      <w:pPr>
        <w:rPr>
          <w:rFonts w:ascii="Arial" w:hAnsi="Arial" w:cs="Arial"/>
        </w:rPr>
      </w:pPr>
      <w:proofErr w:type="spellStart"/>
      <w:r w:rsidRPr="007553C7">
        <w:rPr>
          <w:rFonts w:ascii="Arial" w:hAnsi="Arial" w:cs="Arial"/>
        </w:rPr>
        <w:t>Hage</w:t>
      </w:r>
      <w:proofErr w:type="spellEnd"/>
      <w:r w:rsidRPr="007553C7">
        <w:rPr>
          <w:rFonts w:ascii="Arial" w:hAnsi="Arial" w:cs="Arial"/>
        </w:rPr>
        <w:t xml:space="preserve">, D. S., </w:t>
      </w:r>
      <w:proofErr w:type="spellStart"/>
      <w:r w:rsidRPr="007553C7">
        <w:rPr>
          <w:rFonts w:ascii="Arial" w:hAnsi="Arial" w:cs="Arial"/>
        </w:rPr>
        <w:t>Anguizola</w:t>
      </w:r>
      <w:proofErr w:type="spellEnd"/>
      <w:r w:rsidRPr="007553C7">
        <w:rPr>
          <w:rFonts w:ascii="Arial" w:hAnsi="Arial" w:cs="Arial"/>
        </w:rPr>
        <w:t xml:space="preserve">, J., Barnaby, O., Jackson, A., </w:t>
      </w:r>
      <w:proofErr w:type="spellStart"/>
      <w:r w:rsidRPr="007553C7">
        <w:rPr>
          <w:rFonts w:ascii="Arial" w:hAnsi="Arial" w:cs="Arial"/>
        </w:rPr>
        <w:t>Yoo</w:t>
      </w:r>
      <w:proofErr w:type="spellEnd"/>
      <w:r w:rsidRPr="007553C7">
        <w:rPr>
          <w:rFonts w:ascii="Arial" w:hAnsi="Arial" w:cs="Arial"/>
        </w:rPr>
        <w:t xml:space="preserve">, M. J., </w:t>
      </w:r>
      <w:proofErr w:type="spellStart"/>
      <w:r w:rsidRPr="007553C7">
        <w:rPr>
          <w:rFonts w:ascii="Arial" w:hAnsi="Arial" w:cs="Arial"/>
        </w:rPr>
        <w:t>Papastavros</w:t>
      </w:r>
      <w:proofErr w:type="spellEnd"/>
      <w:r w:rsidRPr="007553C7">
        <w:rPr>
          <w:rFonts w:ascii="Arial" w:hAnsi="Arial" w:cs="Arial"/>
        </w:rPr>
        <w:t xml:space="preserve">, E., </w:t>
      </w:r>
      <w:proofErr w:type="spellStart"/>
      <w:r w:rsidRPr="007553C7">
        <w:rPr>
          <w:rFonts w:ascii="Arial" w:hAnsi="Arial" w:cs="Arial"/>
        </w:rPr>
        <w:t>Pfaunmiller</w:t>
      </w:r>
      <w:proofErr w:type="spellEnd"/>
      <w:r w:rsidRPr="007553C7">
        <w:rPr>
          <w:rFonts w:ascii="Arial" w:hAnsi="Arial" w:cs="Arial"/>
        </w:rPr>
        <w:t xml:space="preserve">, E., </w:t>
      </w:r>
      <w:proofErr w:type="spellStart"/>
      <w:r w:rsidRPr="007553C7">
        <w:rPr>
          <w:rFonts w:ascii="Arial" w:hAnsi="Arial" w:cs="Arial"/>
        </w:rPr>
        <w:t>Sobansky</w:t>
      </w:r>
      <w:proofErr w:type="spellEnd"/>
      <w:r w:rsidRPr="007553C7">
        <w:rPr>
          <w:rFonts w:ascii="Arial" w:hAnsi="Arial" w:cs="Arial"/>
        </w:rPr>
        <w:t>, M., &amp; Tong, Z. (2011). Characterization of drug interactions with serum proteins by using high-performance affinity chromatography. </w:t>
      </w:r>
      <w:r w:rsidRPr="007553C7">
        <w:rPr>
          <w:rFonts w:ascii="Arial" w:hAnsi="Arial" w:cs="Arial"/>
          <w:i/>
          <w:iCs/>
        </w:rPr>
        <w:t>Current Drug Metabolism</w:t>
      </w:r>
      <w:r w:rsidRPr="007553C7">
        <w:rPr>
          <w:rFonts w:ascii="Arial" w:hAnsi="Arial" w:cs="Arial"/>
        </w:rPr>
        <w:t>, </w:t>
      </w:r>
      <w:r w:rsidRPr="007553C7">
        <w:rPr>
          <w:rFonts w:ascii="Arial" w:hAnsi="Arial" w:cs="Arial"/>
          <w:i/>
          <w:iCs/>
        </w:rPr>
        <w:t>12</w:t>
      </w:r>
      <w:r w:rsidRPr="007553C7">
        <w:rPr>
          <w:rFonts w:ascii="Arial" w:hAnsi="Arial" w:cs="Arial"/>
        </w:rPr>
        <w:t xml:space="preserve">(4), 313–328. </w:t>
      </w:r>
    </w:p>
    <w:p w14:paraId="2B5D4A53" w14:textId="77777777" w:rsidR="007553C7" w:rsidRPr="007553C7" w:rsidRDefault="007553C7" w:rsidP="007553C7">
      <w:pPr>
        <w:rPr>
          <w:rFonts w:ascii="Arial" w:hAnsi="Arial" w:cs="Arial"/>
        </w:rPr>
      </w:pPr>
    </w:p>
    <w:p w14:paraId="34F92F4A" w14:textId="77777777" w:rsidR="007553C7" w:rsidRPr="007553C7" w:rsidRDefault="007553C7" w:rsidP="007553C7">
      <w:pPr>
        <w:rPr>
          <w:rFonts w:ascii="Arial" w:hAnsi="Arial" w:cs="Arial"/>
        </w:rPr>
      </w:pPr>
      <w:proofErr w:type="spellStart"/>
      <w:r w:rsidRPr="007553C7">
        <w:rPr>
          <w:rFonts w:ascii="Arial" w:hAnsi="Arial" w:cs="Arial"/>
        </w:rPr>
        <w:t>Kaserzon</w:t>
      </w:r>
      <w:proofErr w:type="spellEnd"/>
      <w:r w:rsidRPr="007553C7">
        <w:rPr>
          <w:rFonts w:ascii="Arial" w:hAnsi="Arial" w:cs="Arial"/>
        </w:rPr>
        <w:t xml:space="preserve">, S. L., Hawker, D. W., Kennedy, K., </w:t>
      </w:r>
      <w:proofErr w:type="spellStart"/>
      <w:r w:rsidRPr="007553C7">
        <w:rPr>
          <w:rFonts w:ascii="Arial" w:hAnsi="Arial" w:cs="Arial"/>
        </w:rPr>
        <w:t>Bartkow</w:t>
      </w:r>
      <w:proofErr w:type="spellEnd"/>
      <w:r w:rsidRPr="007553C7">
        <w:rPr>
          <w:rFonts w:ascii="Arial" w:hAnsi="Arial" w:cs="Arial"/>
        </w:rPr>
        <w:t xml:space="preserve">, M., Carter, S., </w:t>
      </w:r>
      <w:proofErr w:type="spellStart"/>
      <w:r w:rsidRPr="007553C7">
        <w:rPr>
          <w:rFonts w:ascii="Arial" w:hAnsi="Arial" w:cs="Arial"/>
        </w:rPr>
        <w:t>Booij</w:t>
      </w:r>
      <w:proofErr w:type="spellEnd"/>
      <w:r w:rsidRPr="007553C7">
        <w:rPr>
          <w:rFonts w:ascii="Arial" w:hAnsi="Arial" w:cs="Arial"/>
        </w:rPr>
        <w:t xml:space="preserve">, K., &amp; Mueller, J. F. (2014). Characterisation and comparison of the uptake of ionizable and polar pesticides, </w:t>
      </w:r>
      <w:proofErr w:type="gramStart"/>
      <w:r w:rsidRPr="007553C7">
        <w:rPr>
          <w:rFonts w:ascii="Arial" w:hAnsi="Arial" w:cs="Arial"/>
        </w:rPr>
        <w:t>pharmaceuticals</w:t>
      </w:r>
      <w:proofErr w:type="gramEnd"/>
      <w:r w:rsidRPr="007553C7">
        <w:rPr>
          <w:rFonts w:ascii="Arial" w:hAnsi="Arial" w:cs="Arial"/>
        </w:rPr>
        <w:t xml:space="preserve"> and personal care products by POCIS and </w:t>
      </w:r>
      <w:proofErr w:type="spellStart"/>
      <w:r w:rsidRPr="007553C7">
        <w:rPr>
          <w:rFonts w:ascii="Arial" w:hAnsi="Arial" w:cs="Arial"/>
        </w:rPr>
        <w:t>Chemcatchers</w:t>
      </w:r>
      <w:proofErr w:type="spellEnd"/>
      <w:r w:rsidRPr="007553C7">
        <w:rPr>
          <w:rFonts w:ascii="Arial" w:hAnsi="Arial" w:cs="Arial"/>
        </w:rPr>
        <w:t>. </w:t>
      </w:r>
      <w:r w:rsidRPr="007553C7">
        <w:rPr>
          <w:rFonts w:ascii="Arial" w:hAnsi="Arial" w:cs="Arial"/>
          <w:i/>
          <w:iCs/>
        </w:rPr>
        <w:t>Environmental Science. Processes &amp; Impacts</w:t>
      </w:r>
      <w:r w:rsidRPr="007553C7">
        <w:rPr>
          <w:rFonts w:ascii="Arial" w:hAnsi="Arial" w:cs="Arial"/>
        </w:rPr>
        <w:t>, </w:t>
      </w:r>
      <w:r w:rsidRPr="007553C7">
        <w:rPr>
          <w:rFonts w:ascii="Arial" w:hAnsi="Arial" w:cs="Arial"/>
          <w:i/>
          <w:iCs/>
        </w:rPr>
        <w:t>16</w:t>
      </w:r>
      <w:r w:rsidRPr="007553C7">
        <w:rPr>
          <w:rFonts w:ascii="Arial" w:hAnsi="Arial" w:cs="Arial"/>
        </w:rPr>
        <w:t xml:space="preserve">(11), 2517–2526. </w:t>
      </w:r>
    </w:p>
    <w:p w14:paraId="5697FB41" w14:textId="77777777" w:rsidR="007553C7" w:rsidRPr="007553C7" w:rsidRDefault="007553C7" w:rsidP="007553C7">
      <w:pPr>
        <w:rPr>
          <w:rFonts w:ascii="Arial" w:hAnsi="Arial" w:cs="Arial"/>
        </w:rPr>
      </w:pPr>
    </w:p>
    <w:p w14:paraId="1F8ED07F" w14:textId="77777777" w:rsidR="007553C7" w:rsidRPr="007553C7" w:rsidRDefault="007553C7" w:rsidP="007553C7">
      <w:pPr>
        <w:rPr>
          <w:rFonts w:ascii="Arial" w:hAnsi="Arial" w:cs="Arial"/>
        </w:rPr>
      </w:pPr>
      <w:proofErr w:type="spellStart"/>
      <w:r w:rsidRPr="007553C7">
        <w:rPr>
          <w:rFonts w:ascii="Arial" w:hAnsi="Arial" w:cs="Arial"/>
        </w:rPr>
        <w:t>Obradović</w:t>
      </w:r>
      <w:proofErr w:type="spellEnd"/>
      <w:r w:rsidRPr="007553C7">
        <w:rPr>
          <w:rFonts w:ascii="Arial" w:hAnsi="Arial" w:cs="Arial"/>
        </w:rPr>
        <w:t xml:space="preserve">, D., </w:t>
      </w:r>
      <w:proofErr w:type="spellStart"/>
      <w:r w:rsidRPr="007553C7">
        <w:rPr>
          <w:rFonts w:ascii="Arial" w:hAnsi="Arial" w:cs="Arial"/>
        </w:rPr>
        <w:t>Radan</w:t>
      </w:r>
      <w:proofErr w:type="spellEnd"/>
      <w:r w:rsidRPr="007553C7">
        <w:rPr>
          <w:rFonts w:ascii="Arial" w:hAnsi="Arial" w:cs="Arial"/>
        </w:rPr>
        <w:t xml:space="preserve">, M., </w:t>
      </w:r>
      <w:proofErr w:type="spellStart"/>
      <w:r w:rsidRPr="007553C7">
        <w:rPr>
          <w:rFonts w:ascii="Arial" w:hAnsi="Arial" w:cs="Arial"/>
        </w:rPr>
        <w:t>Đikić</w:t>
      </w:r>
      <w:proofErr w:type="spellEnd"/>
      <w:r w:rsidRPr="007553C7">
        <w:rPr>
          <w:rFonts w:ascii="Arial" w:hAnsi="Arial" w:cs="Arial"/>
        </w:rPr>
        <w:t xml:space="preserve">, T., </w:t>
      </w:r>
      <w:proofErr w:type="spellStart"/>
      <w:r w:rsidRPr="007553C7">
        <w:rPr>
          <w:rFonts w:ascii="Arial" w:hAnsi="Arial" w:cs="Arial"/>
        </w:rPr>
        <w:t>Nikolić</w:t>
      </w:r>
      <w:proofErr w:type="spellEnd"/>
      <w:r w:rsidRPr="007553C7">
        <w:rPr>
          <w:rFonts w:ascii="Arial" w:hAnsi="Arial" w:cs="Arial"/>
        </w:rPr>
        <w:t xml:space="preserve">, M. P., </w:t>
      </w:r>
      <w:proofErr w:type="spellStart"/>
      <w:r w:rsidRPr="007553C7">
        <w:rPr>
          <w:rFonts w:ascii="Arial" w:hAnsi="Arial" w:cs="Arial"/>
        </w:rPr>
        <w:t>Oljačić</w:t>
      </w:r>
      <w:proofErr w:type="spellEnd"/>
      <w:r w:rsidRPr="007553C7">
        <w:rPr>
          <w:rFonts w:ascii="Arial" w:hAnsi="Arial" w:cs="Arial"/>
        </w:rPr>
        <w:t xml:space="preserve">, S., &amp; </w:t>
      </w:r>
      <w:proofErr w:type="spellStart"/>
      <w:r w:rsidRPr="007553C7">
        <w:rPr>
          <w:rFonts w:ascii="Arial" w:hAnsi="Arial" w:cs="Arial"/>
        </w:rPr>
        <w:t>Nikolić</w:t>
      </w:r>
      <w:proofErr w:type="spellEnd"/>
      <w:r w:rsidRPr="007553C7">
        <w:rPr>
          <w:rFonts w:ascii="Arial" w:hAnsi="Arial" w:cs="Arial"/>
        </w:rPr>
        <w:t>, K. (2022). The evaluation of drug-plasma protein binding interaction on immobilized human serum albumin stationary phase, aided by different computational approaches. </w:t>
      </w:r>
      <w:r w:rsidRPr="007553C7">
        <w:rPr>
          <w:rFonts w:ascii="Arial" w:hAnsi="Arial" w:cs="Arial"/>
          <w:i/>
          <w:iCs/>
        </w:rPr>
        <w:t>Journal of Pharmaceutical and Biomedical Analysis</w:t>
      </w:r>
      <w:r w:rsidRPr="007553C7">
        <w:rPr>
          <w:rFonts w:ascii="Arial" w:hAnsi="Arial" w:cs="Arial"/>
        </w:rPr>
        <w:t>, </w:t>
      </w:r>
      <w:r w:rsidRPr="007553C7">
        <w:rPr>
          <w:rFonts w:ascii="Arial" w:hAnsi="Arial" w:cs="Arial"/>
          <w:i/>
          <w:iCs/>
        </w:rPr>
        <w:t>211</w:t>
      </w:r>
      <w:r w:rsidRPr="007553C7">
        <w:rPr>
          <w:rFonts w:ascii="Arial" w:hAnsi="Arial" w:cs="Arial"/>
        </w:rPr>
        <w:t xml:space="preserve">, 114593. </w:t>
      </w:r>
    </w:p>
    <w:p w14:paraId="44E1507C" w14:textId="77777777" w:rsidR="007553C7" w:rsidRPr="007553C7" w:rsidRDefault="007553C7" w:rsidP="007553C7">
      <w:pPr>
        <w:rPr>
          <w:rFonts w:ascii="Arial" w:hAnsi="Arial" w:cs="Arial"/>
        </w:rPr>
      </w:pPr>
    </w:p>
    <w:p w14:paraId="12D96F4E" w14:textId="77777777" w:rsidR="007553C7" w:rsidRPr="007553C7" w:rsidRDefault="007553C7" w:rsidP="007553C7">
      <w:pPr>
        <w:rPr>
          <w:rFonts w:ascii="Arial" w:hAnsi="Arial" w:cs="Arial"/>
        </w:rPr>
      </w:pPr>
      <w:r w:rsidRPr="007553C7">
        <w:rPr>
          <w:rFonts w:ascii="Arial" w:hAnsi="Arial" w:cs="Arial"/>
        </w:rPr>
        <w:t>OECD (2012). Test No. 305: Bioaccumulation in Fish: Aqueous and Dietary Exposure, OECD Guidelines for the Testing of Chemicals, Section 3, OECD Publishing, Paris</w:t>
      </w:r>
    </w:p>
    <w:p w14:paraId="3A8FB70A" w14:textId="77777777" w:rsidR="007553C7" w:rsidRPr="007553C7" w:rsidRDefault="007553C7" w:rsidP="007553C7">
      <w:pPr>
        <w:rPr>
          <w:rFonts w:ascii="Arial" w:hAnsi="Arial" w:cs="Arial"/>
        </w:rPr>
      </w:pPr>
    </w:p>
    <w:p w14:paraId="366DBAD9" w14:textId="77777777" w:rsidR="007553C7" w:rsidRPr="007553C7" w:rsidRDefault="007553C7" w:rsidP="007553C7">
      <w:pPr>
        <w:rPr>
          <w:rFonts w:ascii="Arial" w:hAnsi="Arial" w:cs="Arial"/>
        </w:rPr>
      </w:pPr>
      <w:r w:rsidRPr="007553C7">
        <w:rPr>
          <w:rFonts w:ascii="Arial" w:hAnsi="Arial" w:cs="Arial"/>
        </w:rPr>
        <w:lastRenderedPageBreak/>
        <w:t>OECD (2022a). Test No. 117: Partition Coefficient (n-octanol/water), HPLC Method, OECD Guidelines for the Testing of Chemicals, Section 1, OECD Publishing, Paris</w:t>
      </w:r>
    </w:p>
    <w:p w14:paraId="2AA5E3DC" w14:textId="77777777" w:rsidR="007553C7" w:rsidRPr="007553C7" w:rsidRDefault="007553C7" w:rsidP="007553C7">
      <w:pPr>
        <w:rPr>
          <w:rFonts w:ascii="Arial" w:hAnsi="Arial" w:cs="Arial"/>
        </w:rPr>
      </w:pPr>
    </w:p>
    <w:p w14:paraId="39233E46" w14:textId="77777777" w:rsidR="007553C7" w:rsidRPr="007553C7" w:rsidRDefault="007553C7" w:rsidP="007553C7">
      <w:pPr>
        <w:rPr>
          <w:rFonts w:ascii="Arial" w:hAnsi="Arial" w:cs="Arial"/>
        </w:rPr>
      </w:pPr>
      <w:r w:rsidRPr="007553C7">
        <w:rPr>
          <w:rFonts w:ascii="Arial" w:hAnsi="Arial" w:cs="Arial"/>
        </w:rPr>
        <w:t>OECD (2022b), Test No. 123: Partition Coefficient (1-Octanol/Water): Slow-Stirring Method, OECD Guidelines for the Testing of Chemicals, Section 1, OECD Publishing, Paris</w:t>
      </w:r>
    </w:p>
    <w:p w14:paraId="1818C49F" w14:textId="77777777" w:rsidR="007553C7" w:rsidRPr="007553C7" w:rsidRDefault="007553C7" w:rsidP="007553C7">
      <w:pPr>
        <w:rPr>
          <w:rFonts w:ascii="Arial" w:hAnsi="Arial" w:cs="Arial"/>
        </w:rPr>
      </w:pPr>
    </w:p>
    <w:p w14:paraId="093BBC4A" w14:textId="77777777" w:rsidR="007553C7" w:rsidRPr="007553C7" w:rsidRDefault="007553C7" w:rsidP="007553C7">
      <w:pPr>
        <w:rPr>
          <w:rFonts w:ascii="Arial" w:hAnsi="Arial" w:cs="Arial"/>
        </w:rPr>
      </w:pPr>
      <w:proofErr w:type="spellStart"/>
      <w:r w:rsidRPr="007553C7">
        <w:rPr>
          <w:rFonts w:ascii="Arial" w:hAnsi="Arial" w:cs="Arial"/>
        </w:rPr>
        <w:t>Tsopelas</w:t>
      </w:r>
      <w:proofErr w:type="spellEnd"/>
      <w:r w:rsidRPr="007553C7">
        <w:rPr>
          <w:rFonts w:ascii="Arial" w:hAnsi="Arial" w:cs="Arial"/>
        </w:rPr>
        <w:t xml:space="preserve">, F., </w:t>
      </w:r>
      <w:proofErr w:type="spellStart"/>
      <w:r w:rsidRPr="007553C7">
        <w:rPr>
          <w:rFonts w:ascii="Arial" w:hAnsi="Arial" w:cs="Arial"/>
        </w:rPr>
        <w:t>Giaginis</w:t>
      </w:r>
      <w:proofErr w:type="spellEnd"/>
      <w:r w:rsidRPr="007553C7">
        <w:rPr>
          <w:rFonts w:ascii="Arial" w:hAnsi="Arial" w:cs="Arial"/>
        </w:rPr>
        <w:t xml:space="preserve">, C., &amp; </w:t>
      </w:r>
      <w:proofErr w:type="spellStart"/>
      <w:r w:rsidRPr="007553C7">
        <w:rPr>
          <w:rFonts w:ascii="Arial" w:hAnsi="Arial" w:cs="Arial"/>
        </w:rPr>
        <w:t>Tsantili-Kakoulidou</w:t>
      </w:r>
      <w:proofErr w:type="spellEnd"/>
      <w:r w:rsidRPr="007553C7">
        <w:rPr>
          <w:rFonts w:ascii="Arial" w:hAnsi="Arial" w:cs="Arial"/>
        </w:rPr>
        <w:t>, A. (2017). Lipophilicity and biomimetic properties to support drug discovery. </w:t>
      </w:r>
      <w:r w:rsidRPr="007553C7">
        <w:rPr>
          <w:rFonts w:ascii="Arial" w:hAnsi="Arial" w:cs="Arial"/>
          <w:i/>
          <w:iCs/>
        </w:rPr>
        <w:t>Expert Opinion on Drug Discovery</w:t>
      </w:r>
      <w:r w:rsidRPr="007553C7">
        <w:rPr>
          <w:rFonts w:ascii="Arial" w:hAnsi="Arial" w:cs="Arial"/>
        </w:rPr>
        <w:t>, </w:t>
      </w:r>
      <w:r w:rsidRPr="007553C7">
        <w:rPr>
          <w:rFonts w:ascii="Arial" w:hAnsi="Arial" w:cs="Arial"/>
          <w:i/>
          <w:iCs/>
        </w:rPr>
        <w:t>12</w:t>
      </w:r>
      <w:r w:rsidRPr="007553C7">
        <w:rPr>
          <w:rFonts w:ascii="Arial" w:hAnsi="Arial" w:cs="Arial"/>
        </w:rPr>
        <w:t xml:space="preserve">(9), 885–896. </w:t>
      </w:r>
    </w:p>
    <w:p w14:paraId="53B32305" w14:textId="77777777" w:rsidR="007553C7" w:rsidRPr="007553C7" w:rsidRDefault="007553C7" w:rsidP="007553C7">
      <w:pPr>
        <w:rPr>
          <w:rFonts w:ascii="Arial" w:hAnsi="Arial" w:cs="Arial"/>
        </w:rPr>
      </w:pPr>
    </w:p>
    <w:p w14:paraId="1A53633E" w14:textId="77777777" w:rsidR="007553C7" w:rsidRPr="007553C7" w:rsidRDefault="007553C7" w:rsidP="007553C7">
      <w:pPr>
        <w:rPr>
          <w:rFonts w:ascii="Arial" w:hAnsi="Arial" w:cs="Arial"/>
        </w:rPr>
      </w:pPr>
      <w:r w:rsidRPr="007553C7">
        <w:rPr>
          <w:rFonts w:ascii="Arial" w:hAnsi="Arial" w:cs="Arial"/>
        </w:rPr>
        <w:t xml:space="preserve">van der Heijden, S. A., </w:t>
      </w:r>
      <w:proofErr w:type="spellStart"/>
      <w:r w:rsidRPr="007553C7">
        <w:rPr>
          <w:rFonts w:ascii="Arial" w:hAnsi="Arial" w:cs="Arial"/>
        </w:rPr>
        <w:t>Hermens</w:t>
      </w:r>
      <w:proofErr w:type="spellEnd"/>
      <w:r w:rsidRPr="007553C7">
        <w:rPr>
          <w:rFonts w:ascii="Arial" w:hAnsi="Arial" w:cs="Arial"/>
        </w:rPr>
        <w:t xml:space="preserve">, J. L., </w:t>
      </w:r>
      <w:proofErr w:type="spellStart"/>
      <w:r w:rsidRPr="007553C7">
        <w:rPr>
          <w:rFonts w:ascii="Arial" w:hAnsi="Arial" w:cs="Arial"/>
        </w:rPr>
        <w:t>Sinnige</w:t>
      </w:r>
      <w:proofErr w:type="spellEnd"/>
      <w:r w:rsidRPr="007553C7">
        <w:rPr>
          <w:rFonts w:ascii="Arial" w:hAnsi="Arial" w:cs="Arial"/>
        </w:rPr>
        <w:t>, T. L., Mayer, P., Gilbert, D., &amp; Jonker, M. T. (2015). Determining high-quality critical body residues for multiple species and chemicals by applying improved experimental design and data interpretation concepts. </w:t>
      </w:r>
      <w:r w:rsidRPr="007553C7">
        <w:rPr>
          <w:rFonts w:ascii="Arial" w:hAnsi="Arial" w:cs="Arial"/>
          <w:i/>
          <w:iCs/>
        </w:rPr>
        <w:t>Environmental Science &amp; Technology</w:t>
      </w:r>
      <w:r w:rsidRPr="007553C7">
        <w:rPr>
          <w:rFonts w:ascii="Arial" w:hAnsi="Arial" w:cs="Arial"/>
        </w:rPr>
        <w:t>, </w:t>
      </w:r>
      <w:r w:rsidRPr="007553C7">
        <w:rPr>
          <w:rFonts w:ascii="Arial" w:hAnsi="Arial" w:cs="Arial"/>
          <w:i/>
          <w:iCs/>
        </w:rPr>
        <w:t>49</w:t>
      </w:r>
      <w:r w:rsidRPr="007553C7">
        <w:rPr>
          <w:rFonts w:ascii="Arial" w:hAnsi="Arial" w:cs="Arial"/>
        </w:rPr>
        <w:t xml:space="preserve">(3), 1879–1887. </w:t>
      </w:r>
    </w:p>
    <w:p w14:paraId="5258AA17" w14:textId="77777777" w:rsidR="007553C7" w:rsidRPr="007553C7" w:rsidRDefault="007553C7" w:rsidP="00E65F5D">
      <w:pPr>
        <w:rPr>
          <w:rFonts w:ascii="Arial" w:hAnsi="Arial" w:cs="Arial"/>
          <w:b/>
          <w:color w:val="FF0000"/>
          <w:u w:val="single"/>
        </w:rPr>
      </w:pPr>
    </w:p>
    <w:p w14:paraId="7242CFC0" w14:textId="77777777" w:rsidR="007553C7" w:rsidRPr="007553C7" w:rsidRDefault="007553C7" w:rsidP="007553C7">
      <w:pPr>
        <w:jc w:val="both"/>
        <w:rPr>
          <w:rFonts w:ascii="Arial" w:hAnsi="Arial" w:cs="Arial"/>
          <w:b/>
          <w:bCs/>
          <w:u w:val="single"/>
        </w:rPr>
      </w:pPr>
      <w:r w:rsidRPr="007553C7">
        <w:rPr>
          <w:rFonts w:ascii="Arial" w:hAnsi="Arial" w:cs="Arial"/>
          <w:b/>
          <w:bCs/>
          <w:u w:val="single"/>
        </w:rPr>
        <w:t>Administrative</w:t>
      </w:r>
    </w:p>
    <w:p w14:paraId="0828FB47" w14:textId="77777777" w:rsidR="007553C7" w:rsidRPr="007553C7" w:rsidRDefault="007553C7" w:rsidP="007553C7">
      <w:pPr>
        <w:jc w:val="both"/>
        <w:rPr>
          <w:rFonts w:ascii="Arial" w:hAnsi="Arial" w:cs="Arial"/>
        </w:rPr>
      </w:pPr>
      <w:r w:rsidRPr="007553C7">
        <w:rPr>
          <w:rFonts w:ascii="Arial" w:hAnsi="Arial" w:cs="Arial"/>
        </w:rPr>
        <w:t>We will provide the following to the contractor:</w:t>
      </w:r>
    </w:p>
    <w:p w14:paraId="273C9674" w14:textId="77777777" w:rsidR="007553C7" w:rsidRPr="007553C7" w:rsidRDefault="007553C7" w:rsidP="007553C7">
      <w:pPr>
        <w:jc w:val="both"/>
        <w:rPr>
          <w:rFonts w:ascii="Arial" w:hAnsi="Arial" w:cs="Arial"/>
        </w:rPr>
      </w:pPr>
    </w:p>
    <w:p w14:paraId="5A64BACD" w14:textId="77777777" w:rsidR="007553C7" w:rsidRPr="007553C7" w:rsidRDefault="007553C7" w:rsidP="009D7616">
      <w:pPr>
        <w:numPr>
          <w:ilvl w:val="0"/>
          <w:numId w:val="11"/>
        </w:numPr>
        <w:spacing w:after="160" w:line="259" w:lineRule="auto"/>
        <w:jc w:val="both"/>
        <w:rPr>
          <w:rFonts w:ascii="Arial" w:hAnsi="Arial" w:cs="Arial"/>
        </w:rPr>
      </w:pPr>
      <w:r w:rsidRPr="007553C7">
        <w:rPr>
          <w:rFonts w:ascii="Arial" w:hAnsi="Arial" w:cs="Arial"/>
        </w:rPr>
        <w:t>Environment Agency Chief Scientist’s Group reporting template.</w:t>
      </w:r>
    </w:p>
    <w:p w14:paraId="655F426E" w14:textId="77777777" w:rsidR="007553C7" w:rsidRPr="007553C7" w:rsidRDefault="007553C7" w:rsidP="007553C7">
      <w:pPr>
        <w:jc w:val="both"/>
        <w:rPr>
          <w:rFonts w:ascii="Arial" w:hAnsi="Arial" w:cs="Arial"/>
        </w:rPr>
      </w:pPr>
      <w:r w:rsidRPr="007553C7">
        <w:rPr>
          <w:rFonts w:ascii="Arial" w:hAnsi="Arial" w:cs="Arial"/>
        </w:rPr>
        <w:t xml:space="preserve">Following receipt of a draft report, the technical </w:t>
      </w:r>
      <w:proofErr w:type="gramStart"/>
      <w:r w:rsidRPr="007553C7">
        <w:rPr>
          <w:rFonts w:ascii="Arial" w:hAnsi="Arial" w:cs="Arial"/>
        </w:rPr>
        <w:t>lead</w:t>
      </w:r>
      <w:proofErr w:type="gramEnd"/>
      <w:r w:rsidRPr="007553C7">
        <w:rPr>
          <w:rFonts w:ascii="Arial" w:hAnsi="Arial" w:cs="Arial"/>
        </w:rPr>
        <w:t xml:space="preserve"> and other regulatory reviewers (from UBA (Germany), the European Chemicals Agency and RIVM (the Netherlands) will provide comments to the contractor, who will make the appropriate changes and provide a final version by 15 January 2023. A monthly progress update should be provided to the Project Manager. </w:t>
      </w:r>
    </w:p>
    <w:p w14:paraId="12846EC0" w14:textId="77777777" w:rsidR="007553C7" w:rsidRPr="007553C7" w:rsidRDefault="007553C7" w:rsidP="007553C7">
      <w:pPr>
        <w:jc w:val="both"/>
        <w:rPr>
          <w:rFonts w:ascii="Arial" w:hAnsi="Arial" w:cs="Arial"/>
        </w:rPr>
      </w:pPr>
    </w:p>
    <w:p w14:paraId="7D9967BB" w14:textId="77777777" w:rsidR="007553C7" w:rsidRPr="007553C7" w:rsidRDefault="007553C7" w:rsidP="007553C7">
      <w:pPr>
        <w:jc w:val="both"/>
        <w:rPr>
          <w:rFonts w:ascii="Arial" w:hAnsi="Arial" w:cs="Arial"/>
        </w:rPr>
      </w:pPr>
      <w:r w:rsidRPr="007553C7">
        <w:rPr>
          <w:rFonts w:ascii="Arial" w:hAnsi="Arial" w:cs="Arial"/>
        </w:rPr>
        <w:t>You will be working for the Environment Agency’s Chemicals Assessment Unit (CAU), which sits within the Chief Scientist’s Group in the Environment &amp; Business Directorate. CAU assesses environmental hazards and risks from the manufacture, use and disposal of industrial and consumer chemicals, and produces formal regulatory documentation.</w:t>
      </w:r>
    </w:p>
    <w:p w14:paraId="452F567F" w14:textId="77777777" w:rsidR="007553C7" w:rsidRPr="007553C7" w:rsidRDefault="007553C7" w:rsidP="007553C7">
      <w:pPr>
        <w:jc w:val="both"/>
        <w:rPr>
          <w:rFonts w:ascii="Arial" w:hAnsi="Arial" w:cs="Arial"/>
        </w:rPr>
      </w:pPr>
    </w:p>
    <w:p w14:paraId="68417E1E" w14:textId="77777777" w:rsidR="006739AF" w:rsidRPr="0093723A" w:rsidRDefault="006739AF" w:rsidP="00E65F5D">
      <w:pPr>
        <w:pStyle w:val="Heading3"/>
        <w:numPr>
          <w:ilvl w:val="0"/>
          <w:numId w:val="0"/>
        </w:numPr>
        <w:rPr>
          <w:rFonts w:ascii="Arial" w:hAnsi="Arial" w:cs="Arial"/>
          <w:sz w:val="20"/>
          <w:szCs w:val="22"/>
        </w:rPr>
      </w:pPr>
    </w:p>
    <w:p w14:paraId="68417E1F" w14:textId="77777777" w:rsidR="006739AF" w:rsidRPr="0093723A" w:rsidRDefault="006739AF" w:rsidP="009D7616">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68417E20" w14:textId="5B2A1254" w:rsidR="006739AF" w:rsidRDefault="006739AF" w:rsidP="00E65F5D">
      <w:pPr>
        <w:rPr>
          <w:rFonts w:ascii="Arial" w:hAnsi="Arial" w:cs="Arial"/>
          <w:color w:val="FF0000"/>
          <w:szCs w:val="22"/>
        </w:rPr>
      </w:pPr>
    </w:p>
    <w:p w14:paraId="2A7D0E59" w14:textId="4F62B329" w:rsidR="006E5B2A" w:rsidRPr="00E829BA" w:rsidRDefault="006E5B2A" w:rsidP="006E5B2A">
      <w:pPr>
        <w:rPr>
          <w:rFonts w:ascii="Arial" w:hAnsi="Arial" w:cs="Arial"/>
          <w:szCs w:val="22"/>
        </w:rPr>
      </w:pPr>
      <w:r w:rsidRPr="003F1054">
        <w:rPr>
          <w:rFonts w:ascii="Arial" w:hAnsi="Arial" w:cs="Arial"/>
          <w:szCs w:val="22"/>
        </w:rPr>
        <w:t>This project needs to be complete</w:t>
      </w:r>
      <w:r>
        <w:rPr>
          <w:rFonts w:ascii="Arial" w:hAnsi="Arial" w:cs="Arial"/>
          <w:szCs w:val="22"/>
        </w:rPr>
        <w:t>d</w:t>
      </w:r>
      <w:r w:rsidRPr="003F1054">
        <w:rPr>
          <w:rFonts w:ascii="Arial" w:hAnsi="Arial" w:cs="Arial"/>
          <w:szCs w:val="22"/>
        </w:rPr>
        <w:t xml:space="preserve"> within the 202</w:t>
      </w:r>
      <w:r>
        <w:rPr>
          <w:rFonts w:ascii="Arial" w:hAnsi="Arial" w:cs="Arial"/>
          <w:szCs w:val="22"/>
        </w:rPr>
        <w:t>2</w:t>
      </w:r>
      <w:r w:rsidRPr="003F1054">
        <w:rPr>
          <w:rFonts w:ascii="Arial" w:hAnsi="Arial" w:cs="Arial"/>
          <w:szCs w:val="22"/>
        </w:rPr>
        <w:t>/2</w:t>
      </w:r>
      <w:r>
        <w:rPr>
          <w:rFonts w:ascii="Arial" w:hAnsi="Arial" w:cs="Arial"/>
          <w:szCs w:val="22"/>
        </w:rPr>
        <w:t>3</w:t>
      </w:r>
      <w:r w:rsidRPr="003F1054">
        <w:rPr>
          <w:rFonts w:ascii="Arial" w:hAnsi="Arial" w:cs="Arial"/>
          <w:szCs w:val="22"/>
        </w:rPr>
        <w:t xml:space="preserve"> financial year and a project completion date of </w:t>
      </w:r>
      <w:r>
        <w:rPr>
          <w:rFonts w:ascii="Arial" w:hAnsi="Arial" w:cs="Arial"/>
          <w:szCs w:val="22"/>
        </w:rPr>
        <w:t>2</w:t>
      </w:r>
      <w:r>
        <w:rPr>
          <w:rFonts w:ascii="Arial" w:hAnsi="Arial" w:cs="Arial"/>
          <w:szCs w:val="22"/>
        </w:rPr>
        <w:t>4</w:t>
      </w:r>
      <w:r>
        <w:rPr>
          <w:rFonts w:ascii="Arial" w:hAnsi="Arial" w:cs="Arial"/>
          <w:szCs w:val="22"/>
        </w:rPr>
        <w:t>/02/2023</w:t>
      </w:r>
      <w:r w:rsidRPr="003F1054">
        <w:rPr>
          <w:rFonts w:ascii="Arial" w:hAnsi="Arial" w:cs="Arial"/>
          <w:szCs w:val="22"/>
        </w:rPr>
        <w:t xml:space="preserve"> has been selected.  </w:t>
      </w:r>
    </w:p>
    <w:p w14:paraId="0F28C793" w14:textId="77777777" w:rsidR="006E5B2A" w:rsidRPr="0093723A" w:rsidRDefault="006E5B2A" w:rsidP="00E65F5D">
      <w:pPr>
        <w:rPr>
          <w:rFonts w:ascii="Arial" w:hAnsi="Arial" w:cs="Arial"/>
          <w:color w:val="FF0000"/>
          <w:szCs w:val="22"/>
        </w:rPr>
      </w:pPr>
    </w:p>
    <w:p w14:paraId="68417E22" w14:textId="77777777" w:rsidR="006739AF" w:rsidRPr="0093723A" w:rsidRDefault="006739AF" w:rsidP="00E65F5D">
      <w:pPr>
        <w:rPr>
          <w:rFonts w:ascii="Arial" w:hAnsi="Arial" w:cs="Arial"/>
          <w:szCs w:val="22"/>
        </w:rPr>
      </w:pPr>
    </w:p>
    <w:p w14:paraId="68417E23" w14:textId="77777777" w:rsidR="006739AF" w:rsidRPr="0093723A" w:rsidRDefault="006739AF" w:rsidP="009D7616">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68417E24" w14:textId="77777777" w:rsidR="006739AF" w:rsidRPr="0093723A" w:rsidRDefault="006739AF" w:rsidP="00E65F5D">
      <w:pPr>
        <w:rPr>
          <w:rFonts w:ascii="Arial" w:hAnsi="Arial" w:cs="Arial"/>
          <w:szCs w:val="22"/>
        </w:rPr>
      </w:pPr>
    </w:p>
    <w:p w14:paraId="5ADBDBF6" w14:textId="77777777" w:rsidR="007553C7" w:rsidRPr="007553C7" w:rsidRDefault="007553C7" w:rsidP="007553C7">
      <w:pPr>
        <w:rPr>
          <w:rFonts w:ascii="Arial" w:hAnsi="Arial" w:cs="Arial"/>
        </w:rPr>
      </w:pPr>
      <w:r w:rsidRPr="007553C7">
        <w:rPr>
          <w:rFonts w:ascii="Arial" w:hAnsi="Arial" w:cs="Arial"/>
        </w:rPr>
        <w:t xml:space="preserve">Please provide details of the key staff to be used highlighting their experience and skills relevant to this project. </w:t>
      </w:r>
    </w:p>
    <w:p w14:paraId="3F92600F" w14:textId="77777777" w:rsidR="007553C7" w:rsidRPr="007553C7" w:rsidRDefault="007553C7" w:rsidP="007553C7">
      <w:pPr>
        <w:rPr>
          <w:rFonts w:ascii="Arial" w:hAnsi="Arial" w:cs="Arial"/>
        </w:rPr>
      </w:pPr>
    </w:p>
    <w:p w14:paraId="6D7BE44E" w14:textId="77777777" w:rsidR="007553C7" w:rsidRPr="007553C7" w:rsidRDefault="007553C7" w:rsidP="007553C7">
      <w:pPr>
        <w:rPr>
          <w:rFonts w:ascii="Arial" w:hAnsi="Arial" w:cs="Arial"/>
        </w:rPr>
      </w:pPr>
      <w:r w:rsidRPr="007553C7">
        <w:rPr>
          <w:rFonts w:ascii="Arial" w:hAnsi="Arial" w:cs="Arial"/>
        </w:rPr>
        <w:t xml:space="preserve">The information provided should evidence the following skills: </w:t>
      </w:r>
    </w:p>
    <w:p w14:paraId="44F281C4" w14:textId="77777777" w:rsidR="007553C7" w:rsidRPr="007553C7" w:rsidRDefault="007553C7" w:rsidP="007553C7">
      <w:pPr>
        <w:rPr>
          <w:rFonts w:ascii="Arial" w:hAnsi="Arial" w:cs="Arial"/>
        </w:rPr>
      </w:pPr>
    </w:p>
    <w:p w14:paraId="266918BE" w14:textId="77777777" w:rsidR="007553C7" w:rsidRPr="007553C7" w:rsidRDefault="007553C7" w:rsidP="009D7616">
      <w:pPr>
        <w:numPr>
          <w:ilvl w:val="0"/>
          <w:numId w:val="12"/>
        </w:numPr>
        <w:spacing w:line="259" w:lineRule="auto"/>
        <w:ind w:left="714" w:hanging="357"/>
        <w:contextualSpacing/>
        <w:rPr>
          <w:rFonts w:ascii="Arial" w:hAnsi="Arial" w:cs="Arial"/>
        </w:rPr>
      </w:pPr>
      <w:r w:rsidRPr="007553C7">
        <w:rPr>
          <w:rFonts w:ascii="Arial" w:hAnsi="Arial" w:cs="Arial"/>
        </w:rPr>
        <w:t>Expertise in environmental bioaccumulation</w:t>
      </w:r>
    </w:p>
    <w:p w14:paraId="28E6F104" w14:textId="77777777" w:rsidR="007553C7" w:rsidRPr="007553C7" w:rsidRDefault="007553C7" w:rsidP="009D7616">
      <w:pPr>
        <w:numPr>
          <w:ilvl w:val="0"/>
          <w:numId w:val="12"/>
        </w:numPr>
        <w:spacing w:line="259" w:lineRule="auto"/>
        <w:ind w:left="714" w:hanging="357"/>
        <w:contextualSpacing/>
        <w:rPr>
          <w:rFonts w:ascii="Arial" w:hAnsi="Arial" w:cs="Arial"/>
        </w:rPr>
      </w:pPr>
      <w:r w:rsidRPr="007553C7">
        <w:rPr>
          <w:rFonts w:ascii="Arial" w:hAnsi="Arial" w:cs="Arial"/>
        </w:rPr>
        <w:t>An understanding of the OECD TG 117 and 123 (OECD, 2022a and 2022b)</w:t>
      </w:r>
    </w:p>
    <w:p w14:paraId="3EB8DE93" w14:textId="77777777" w:rsidR="007553C7" w:rsidRPr="007553C7" w:rsidRDefault="007553C7" w:rsidP="009D7616">
      <w:pPr>
        <w:numPr>
          <w:ilvl w:val="0"/>
          <w:numId w:val="12"/>
        </w:numPr>
        <w:spacing w:line="259" w:lineRule="auto"/>
        <w:ind w:left="714" w:hanging="357"/>
        <w:contextualSpacing/>
        <w:rPr>
          <w:rFonts w:ascii="Arial" w:hAnsi="Arial" w:cs="Arial"/>
        </w:rPr>
      </w:pPr>
      <w:r w:rsidRPr="007553C7">
        <w:rPr>
          <w:rFonts w:ascii="Arial" w:hAnsi="Arial" w:cs="Arial"/>
        </w:rPr>
        <w:t>An understanding of OECD TG 305 (OECD, 2012)</w:t>
      </w:r>
    </w:p>
    <w:p w14:paraId="553F891D" w14:textId="77777777" w:rsidR="007553C7" w:rsidRPr="007553C7" w:rsidRDefault="007553C7" w:rsidP="009D7616">
      <w:pPr>
        <w:numPr>
          <w:ilvl w:val="0"/>
          <w:numId w:val="12"/>
        </w:numPr>
        <w:spacing w:line="259" w:lineRule="auto"/>
        <w:ind w:left="714" w:hanging="357"/>
        <w:contextualSpacing/>
        <w:rPr>
          <w:rFonts w:ascii="Arial" w:hAnsi="Arial" w:cs="Arial"/>
        </w:rPr>
      </w:pPr>
      <w:r w:rsidRPr="007553C7">
        <w:rPr>
          <w:rFonts w:ascii="Arial" w:eastAsia="Calibri" w:hAnsi="Arial" w:cs="Arial"/>
        </w:rPr>
        <w:t>An understanding of bioaccumulation assessment as part of PBT assessment for UK REACH (R.7a and c and R.11, ECHA, 2017 a-d)</w:t>
      </w:r>
    </w:p>
    <w:p w14:paraId="017C03F7" w14:textId="77777777" w:rsidR="007553C7" w:rsidRPr="007553C7" w:rsidRDefault="007553C7" w:rsidP="009D7616">
      <w:pPr>
        <w:numPr>
          <w:ilvl w:val="0"/>
          <w:numId w:val="12"/>
        </w:numPr>
        <w:spacing w:line="259" w:lineRule="auto"/>
        <w:ind w:left="714" w:hanging="357"/>
        <w:contextualSpacing/>
        <w:rPr>
          <w:rFonts w:ascii="Arial" w:hAnsi="Arial" w:cs="Arial"/>
        </w:rPr>
      </w:pPr>
      <w:r w:rsidRPr="007553C7">
        <w:rPr>
          <w:rFonts w:ascii="Arial" w:eastAsia="Calibri" w:hAnsi="Arial" w:cs="Arial"/>
        </w:rPr>
        <w:t>An understanding of non-lipid driven bioaccumulation</w:t>
      </w:r>
    </w:p>
    <w:p w14:paraId="0DB0D9D3" w14:textId="77777777" w:rsidR="007553C7" w:rsidRPr="007553C7" w:rsidRDefault="007553C7" w:rsidP="007553C7">
      <w:pPr>
        <w:rPr>
          <w:rFonts w:ascii="Arial" w:hAnsi="Arial" w:cs="Arial"/>
        </w:rPr>
      </w:pPr>
    </w:p>
    <w:p w14:paraId="54A124E1" w14:textId="77777777" w:rsidR="007553C7" w:rsidRPr="007553C7" w:rsidRDefault="007553C7" w:rsidP="007553C7">
      <w:pPr>
        <w:rPr>
          <w:rFonts w:ascii="Arial" w:hAnsi="Arial" w:cs="Arial"/>
        </w:rPr>
      </w:pPr>
      <w:r w:rsidRPr="007553C7">
        <w:rPr>
          <w:rFonts w:ascii="Arial" w:hAnsi="Arial" w:cs="Arial"/>
        </w:rPr>
        <w:t xml:space="preserve">Please provide details on how the project will be managed that evidences a planned approach, </w:t>
      </w:r>
      <w:proofErr w:type="gramStart"/>
      <w:r w:rsidRPr="007553C7">
        <w:rPr>
          <w:rFonts w:ascii="Arial" w:hAnsi="Arial" w:cs="Arial"/>
        </w:rPr>
        <w:t>identification</w:t>
      </w:r>
      <w:proofErr w:type="gramEnd"/>
      <w:r w:rsidRPr="007553C7">
        <w:rPr>
          <w:rFonts w:ascii="Arial" w:hAnsi="Arial" w:cs="Arial"/>
        </w:rPr>
        <w:t xml:space="preserve"> and mitigation of key project risks (e.g., continuity) and the ability to deliver high quality outputs within the required timeframes. Your reply should include an overview of the quality assurance procedures you will apply to the project. </w:t>
      </w:r>
    </w:p>
    <w:p w14:paraId="4510BE0B" w14:textId="77777777" w:rsidR="007553C7" w:rsidRPr="007553C7" w:rsidRDefault="007553C7" w:rsidP="007553C7">
      <w:pPr>
        <w:rPr>
          <w:rFonts w:ascii="Arial" w:hAnsi="Arial" w:cs="Arial"/>
        </w:rPr>
      </w:pPr>
    </w:p>
    <w:p w14:paraId="2E57762D" w14:textId="77777777" w:rsidR="007553C7" w:rsidRPr="007553C7" w:rsidRDefault="007553C7" w:rsidP="007553C7">
      <w:pPr>
        <w:rPr>
          <w:rFonts w:ascii="Arial" w:hAnsi="Arial" w:cs="Arial"/>
        </w:rPr>
      </w:pPr>
      <w:r w:rsidRPr="007553C7">
        <w:rPr>
          <w:rFonts w:ascii="Arial" w:hAnsi="Arial" w:cs="Arial"/>
        </w:rPr>
        <w:t xml:space="preserve">A project team organisation diagram should be attached with your reply that provides a clear reporting structure. </w:t>
      </w:r>
    </w:p>
    <w:p w14:paraId="68417E2A" w14:textId="77777777" w:rsidR="003014F2" w:rsidRPr="0093723A" w:rsidRDefault="003014F2" w:rsidP="00E65F5D">
      <w:pPr>
        <w:pStyle w:val="BodyText"/>
        <w:spacing w:after="0"/>
        <w:rPr>
          <w:rFonts w:ascii="Arial" w:hAnsi="Arial" w:cs="Arial"/>
          <w:b/>
          <w:szCs w:val="22"/>
          <w:u w:val="single"/>
        </w:rPr>
      </w:pPr>
    </w:p>
    <w:p w14:paraId="68417E2B"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68417E2C" w14:textId="77777777" w:rsidR="00D557F7" w:rsidRPr="0093723A" w:rsidRDefault="00D557F7" w:rsidP="00E65F5D">
      <w:pPr>
        <w:jc w:val="both"/>
        <w:rPr>
          <w:rFonts w:ascii="Arial" w:hAnsi="Arial" w:cs="Arial"/>
          <w:b/>
          <w:szCs w:val="22"/>
          <w:u w:val="single"/>
        </w:rPr>
      </w:pPr>
    </w:p>
    <w:p w14:paraId="68417E2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lastRenderedPageBreak/>
        <w:t>Contract Management</w:t>
      </w:r>
    </w:p>
    <w:p w14:paraId="68417E2E" w14:textId="77777777" w:rsidR="00BC2742" w:rsidRPr="0093723A" w:rsidRDefault="00BC2742" w:rsidP="00E65F5D">
      <w:pPr>
        <w:jc w:val="both"/>
        <w:rPr>
          <w:rFonts w:ascii="Arial" w:hAnsi="Arial" w:cs="Arial"/>
          <w:b/>
          <w:szCs w:val="22"/>
          <w:u w:val="single"/>
        </w:rPr>
      </w:pPr>
    </w:p>
    <w:p w14:paraId="68417E2F" w14:textId="3EFB5A92"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006E5B2A">
        <w:rPr>
          <w:rFonts w:cs="Arial"/>
          <w:sz w:val="20"/>
          <w:szCs w:val="22"/>
        </w:rPr>
        <w:t xml:space="preserve"> Estelle Nma, Estelle.nma@environment-agency.gov.uk.</w:t>
      </w:r>
      <w:r w:rsidR="006E5B2A" w:rsidRPr="006E5B2A">
        <w:rPr>
          <w:rFonts w:cs="Arial"/>
          <w:sz w:val="20"/>
          <w:szCs w:val="22"/>
        </w:rPr>
        <w:t xml:space="preserve"> </w:t>
      </w:r>
      <w:r w:rsidR="006E5B2A" w:rsidRPr="00402207">
        <w:rPr>
          <w:rFonts w:cs="Arial"/>
          <w:sz w:val="20"/>
          <w:szCs w:val="22"/>
        </w:rPr>
        <w:t>Tel: 07385348499</w:t>
      </w:r>
    </w:p>
    <w:p w14:paraId="68417E30" w14:textId="77777777" w:rsidR="00FB55C7" w:rsidRPr="0093723A" w:rsidRDefault="00FB55C7" w:rsidP="00E65F5D">
      <w:pPr>
        <w:pStyle w:val="CcList"/>
        <w:rPr>
          <w:rFonts w:cs="Arial"/>
          <w:i/>
          <w:color w:val="FF0000"/>
          <w:sz w:val="20"/>
          <w:szCs w:val="22"/>
        </w:rPr>
      </w:pPr>
    </w:p>
    <w:p w14:paraId="5FF74784" w14:textId="2C7F8C6A" w:rsidR="006E5B2A" w:rsidRDefault="006E5B2A" w:rsidP="00E65F5D">
      <w:pPr>
        <w:rPr>
          <w:rFonts w:ascii="Arial" w:hAnsi="Arial" w:cs="Arial"/>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0"/>
        <w:gridCol w:w="1399"/>
        <w:gridCol w:w="1399"/>
      </w:tblGrid>
      <w:tr w:rsidR="006E5B2A" w:rsidRPr="006E5B2A" w14:paraId="78C50B74" w14:textId="77777777" w:rsidTr="00471BC6">
        <w:trPr>
          <w:trHeight w:val="54"/>
        </w:trPr>
        <w:tc>
          <w:tcPr>
            <w:tcW w:w="3309" w:type="pct"/>
          </w:tcPr>
          <w:p w14:paraId="43BA651F" w14:textId="301E0195" w:rsidR="006E5B2A" w:rsidRPr="006E5B2A" w:rsidRDefault="006E5B2A" w:rsidP="00471BC6">
            <w:pPr>
              <w:rPr>
                <w:rFonts w:ascii="Arial" w:hAnsi="Arial" w:cs="Arial"/>
                <w:b/>
              </w:rPr>
            </w:pPr>
            <w:r>
              <w:rPr>
                <w:rFonts w:ascii="Arial" w:hAnsi="Arial" w:cs="Arial"/>
                <w:b/>
              </w:rPr>
              <w:t xml:space="preserve">Activity </w:t>
            </w:r>
          </w:p>
        </w:tc>
        <w:tc>
          <w:tcPr>
            <w:tcW w:w="845" w:type="pct"/>
            <w:tcBorders>
              <w:right w:val="single" w:sz="4" w:space="0" w:color="auto"/>
            </w:tcBorders>
          </w:tcPr>
          <w:p w14:paraId="60C62921" w14:textId="77777777" w:rsidR="006E5B2A" w:rsidRPr="006E5B2A" w:rsidRDefault="006E5B2A" w:rsidP="00471BC6">
            <w:pPr>
              <w:rPr>
                <w:rFonts w:ascii="Arial" w:hAnsi="Arial" w:cs="Arial"/>
                <w:b/>
              </w:rPr>
            </w:pPr>
            <w:r w:rsidRPr="006E5B2A">
              <w:rPr>
                <w:rFonts w:ascii="Arial" w:hAnsi="Arial" w:cs="Arial"/>
                <w:b/>
              </w:rPr>
              <w:t>Completion date</w:t>
            </w:r>
          </w:p>
        </w:tc>
        <w:tc>
          <w:tcPr>
            <w:tcW w:w="845" w:type="pct"/>
            <w:tcBorders>
              <w:left w:val="single" w:sz="4" w:space="0" w:color="auto"/>
              <w:right w:val="single" w:sz="18" w:space="0" w:color="auto"/>
            </w:tcBorders>
          </w:tcPr>
          <w:p w14:paraId="2D24D325" w14:textId="77777777" w:rsidR="006E5B2A" w:rsidRPr="006E5B2A" w:rsidRDefault="006E5B2A" w:rsidP="00471BC6">
            <w:pPr>
              <w:rPr>
                <w:rFonts w:ascii="Arial" w:hAnsi="Arial" w:cs="Arial"/>
                <w:b/>
              </w:rPr>
            </w:pPr>
            <w:r w:rsidRPr="006E5B2A">
              <w:rPr>
                <w:rFonts w:ascii="Arial" w:hAnsi="Arial" w:cs="Arial"/>
                <w:b/>
              </w:rPr>
              <w:t xml:space="preserve">Payment schedule </w:t>
            </w:r>
          </w:p>
        </w:tc>
      </w:tr>
      <w:tr w:rsidR="006E5B2A" w:rsidRPr="006E5B2A" w14:paraId="13817677" w14:textId="77777777" w:rsidTr="00471BC6">
        <w:trPr>
          <w:trHeight w:val="54"/>
        </w:trPr>
        <w:tc>
          <w:tcPr>
            <w:tcW w:w="3309" w:type="pct"/>
          </w:tcPr>
          <w:p w14:paraId="3A555940" w14:textId="77777777" w:rsidR="006E5B2A" w:rsidRPr="006E5B2A" w:rsidRDefault="006E5B2A" w:rsidP="00471BC6">
            <w:pPr>
              <w:rPr>
                <w:rFonts w:ascii="Arial" w:hAnsi="Arial" w:cs="Arial"/>
              </w:rPr>
            </w:pPr>
            <w:r w:rsidRPr="006E5B2A">
              <w:rPr>
                <w:rFonts w:ascii="Arial" w:hAnsi="Arial" w:cs="Arial"/>
              </w:rPr>
              <w:t>Contract award</w:t>
            </w:r>
          </w:p>
        </w:tc>
        <w:tc>
          <w:tcPr>
            <w:tcW w:w="845" w:type="pct"/>
            <w:tcBorders>
              <w:right w:val="single" w:sz="4" w:space="0" w:color="auto"/>
            </w:tcBorders>
          </w:tcPr>
          <w:p w14:paraId="774DCCAE" w14:textId="77777777" w:rsidR="006E5B2A" w:rsidRPr="006E5B2A" w:rsidRDefault="006E5B2A" w:rsidP="00471BC6">
            <w:pPr>
              <w:rPr>
                <w:rFonts w:ascii="Arial" w:hAnsi="Arial" w:cs="Arial"/>
              </w:rPr>
            </w:pPr>
            <w:r w:rsidRPr="006E5B2A">
              <w:rPr>
                <w:rFonts w:ascii="Arial" w:hAnsi="Arial" w:cs="Arial"/>
              </w:rPr>
              <w:t>07/10/2022</w:t>
            </w:r>
          </w:p>
        </w:tc>
        <w:tc>
          <w:tcPr>
            <w:tcW w:w="845" w:type="pct"/>
            <w:tcBorders>
              <w:left w:val="single" w:sz="4" w:space="0" w:color="auto"/>
              <w:right w:val="single" w:sz="18" w:space="0" w:color="auto"/>
            </w:tcBorders>
          </w:tcPr>
          <w:p w14:paraId="7EB226A5" w14:textId="77777777" w:rsidR="006E5B2A" w:rsidRPr="006E5B2A" w:rsidRDefault="006E5B2A" w:rsidP="00471BC6">
            <w:pPr>
              <w:rPr>
                <w:rFonts w:ascii="Arial" w:hAnsi="Arial" w:cs="Arial"/>
              </w:rPr>
            </w:pPr>
          </w:p>
        </w:tc>
      </w:tr>
      <w:tr w:rsidR="006E5B2A" w:rsidRPr="006E5B2A" w14:paraId="21011D1A" w14:textId="77777777" w:rsidTr="00471BC6">
        <w:trPr>
          <w:trHeight w:val="54"/>
        </w:trPr>
        <w:tc>
          <w:tcPr>
            <w:tcW w:w="3309" w:type="pct"/>
          </w:tcPr>
          <w:p w14:paraId="68AA63B5" w14:textId="77777777" w:rsidR="006E5B2A" w:rsidRPr="006E5B2A" w:rsidRDefault="006E5B2A" w:rsidP="00471BC6">
            <w:pPr>
              <w:rPr>
                <w:rFonts w:ascii="Arial" w:hAnsi="Arial" w:cs="Arial"/>
              </w:rPr>
            </w:pPr>
            <w:r w:rsidRPr="006E5B2A">
              <w:rPr>
                <w:rFonts w:ascii="Arial" w:hAnsi="Arial" w:cs="Arial"/>
              </w:rPr>
              <w:t>Project initiation meeting</w:t>
            </w:r>
          </w:p>
        </w:tc>
        <w:tc>
          <w:tcPr>
            <w:tcW w:w="845" w:type="pct"/>
            <w:tcBorders>
              <w:right w:val="single" w:sz="4" w:space="0" w:color="auto"/>
            </w:tcBorders>
          </w:tcPr>
          <w:p w14:paraId="6BC00499" w14:textId="77777777" w:rsidR="006E5B2A" w:rsidRPr="006E5B2A" w:rsidRDefault="006E5B2A" w:rsidP="00471BC6">
            <w:pPr>
              <w:rPr>
                <w:rFonts w:ascii="Arial" w:hAnsi="Arial" w:cs="Arial"/>
              </w:rPr>
            </w:pPr>
            <w:r w:rsidRPr="006E5B2A">
              <w:rPr>
                <w:rFonts w:ascii="Arial" w:hAnsi="Arial" w:cs="Arial"/>
              </w:rPr>
              <w:t>14/10/2022</w:t>
            </w:r>
          </w:p>
        </w:tc>
        <w:tc>
          <w:tcPr>
            <w:tcW w:w="845" w:type="pct"/>
            <w:tcBorders>
              <w:left w:val="single" w:sz="4" w:space="0" w:color="auto"/>
              <w:right w:val="single" w:sz="18" w:space="0" w:color="auto"/>
            </w:tcBorders>
          </w:tcPr>
          <w:p w14:paraId="407D465C" w14:textId="77777777" w:rsidR="006E5B2A" w:rsidRPr="006E5B2A" w:rsidRDefault="006E5B2A" w:rsidP="00471BC6">
            <w:pPr>
              <w:rPr>
                <w:rFonts w:ascii="Arial" w:hAnsi="Arial" w:cs="Arial"/>
              </w:rPr>
            </w:pPr>
          </w:p>
        </w:tc>
      </w:tr>
      <w:tr w:rsidR="006E5B2A" w:rsidRPr="006E5B2A" w14:paraId="294A47B3" w14:textId="77777777" w:rsidTr="00471BC6">
        <w:trPr>
          <w:trHeight w:val="54"/>
        </w:trPr>
        <w:tc>
          <w:tcPr>
            <w:tcW w:w="3309" w:type="pct"/>
          </w:tcPr>
          <w:p w14:paraId="42C63494" w14:textId="77777777" w:rsidR="006E5B2A" w:rsidRPr="006E5B2A" w:rsidRDefault="006E5B2A" w:rsidP="00471BC6">
            <w:pPr>
              <w:rPr>
                <w:rFonts w:ascii="Arial" w:hAnsi="Arial" w:cs="Arial"/>
              </w:rPr>
            </w:pPr>
            <w:r w:rsidRPr="006E5B2A">
              <w:rPr>
                <w:rFonts w:ascii="Arial" w:hAnsi="Arial" w:cs="Arial"/>
              </w:rPr>
              <w:t>Short written progress update</w:t>
            </w:r>
          </w:p>
        </w:tc>
        <w:tc>
          <w:tcPr>
            <w:tcW w:w="845" w:type="pct"/>
            <w:tcBorders>
              <w:right w:val="single" w:sz="4" w:space="0" w:color="auto"/>
            </w:tcBorders>
          </w:tcPr>
          <w:p w14:paraId="48DBEC34" w14:textId="77777777" w:rsidR="006E5B2A" w:rsidRPr="006E5B2A" w:rsidRDefault="006E5B2A" w:rsidP="00471BC6">
            <w:pPr>
              <w:rPr>
                <w:rFonts w:ascii="Arial" w:hAnsi="Arial" w:cs="Arial"/>
              </w:rPr>
            </w:pPr>
            <w:r w:rsidRPr="006E5B2A">
              <w:rPr>
                <w:rFonts w:ascii="Arial" w:hAnsi="Arial" w:cs="Arial"/>
              </w:rPr>
              <w:t>monthly</w:t>
            </w:r>
          </w:p>
        </w:tc>
        <w:tc>
          <w:tcPr>
            <w:tcW w:w="845" w:type="pct"/>
            <w:tcBorders>
              <w:left w:val="single" w:sz="4" w:space="0" w:color="auto"/>
              <w:right w:val="single" w:sz="18" w:space="0" w:color="auto"/>
            </w:tcBorders>
          </w:tcPr>
          <w:p w14:paraId="380169F2" w14:textId="77777777" w:rsidR="006E5B2A" w:rsidRPr="006E5B2A" w:rsidRDefault="006E5B2A" w:rsidP="00471BC6">
            <w:pPr>
              <w:rPr>
                <w:rFonts w:ascii="Arial" w:hAnsi="Arial" w:cs="Arial"/>
              </w:rPr>
            </w:pPr>
          </w:p>
        </w:tc>
      </w:tr>
      <w:tr w:rsidR="006E5B2A" w:rsidRPr="006E5B2A" w14:paraId="3CE7FB9E" w14:textId="77777777" w:rsidTr="00471BC6">
        <w:trPr>
          <w:trHeight w:val="54"/>
        </w:trPr>
        <w:tc>
          <w:tcPr>
            <w:tcW w:w="3309" w:type="pct"/>
          </w:tcPr>
          <w:p w14:paraId="21AD6F40" w14:textId="77777777" w:rsidR="006E5B2A" w:rsidRPr="006E5B2A" w:rsidRDefault="006E5B2A" w:rsidP="00471BC6">
            <w:pPr>
              <w:rPr>
                <w:rFonts w:ascii="Arial" w:hAnsi="Arial" w:cs="Arial"/>
              </w:rPr>
            </w:pPr>
            <w:r w:rsidRPr="006E5B2A">
              <w:rPr>
                <w:rFonts w:ascii="Arial" w:hAnsi="Arial" w:cs="Arial"/>
              </w:rPr>
              <w:t>Progress meeting</w:t>
            </w:r>
          </w:p>
        </w:tc>
        <w:tc>
          <w:tcPr>
            <w:tcW w:w="845" w:type="pct"/>
            <w:tcBorders>
              <w:right w:val="single" w:sz="4" w:space="0" w:color="auto"/>
            </w:tcBorders>
          </w:tcPr>
          <w:p w14:paraId="1591C032" w14:textId="77777777" w:rsidR="006E5B2A" w:rsidRPr="006E5B2A" w:rsidRDefault="006E5B2A" w:rsidP="00471BC6">
            <w:pPr>
              <w:rPr>
                <w:rFonts w:ascii="Arial" w:hAnsi="Arial" w:cs="Arial"/>
              </w:rPr>
            </w:pPr>
            <w:r w:rsidRPr="006E5B2A">
              <w:rPr>
                <w:rFonts w:ascii="Arial" w:hAnsi="Arial" w:cs="Arial"/>
              </w:rPr>
              <w:t>Dec 2022</w:t>
            </w:r>
          </w:p>
        </w:tc>
        <w:tc>
          <w:tcPr>
            <w:tcW w:w="845" w:type="pct"/>
            <w:tcBorders>
              <w:left w:val="single" w:sz="4" w:space="0" w:color="auto"/>
              <w:right w:val="single" w:sz="18" w:space="0" w:color="auto"/>
            </w:tcBorders>
          </w:tcPr>
          <w:p w14:paraId="1386FEC1" w14:textId="77777777" w:rsidR="006E5B2A" w:rsidRPr="006E5B2A" w:rsidRDefault="006E5B2A" w:rsidP="00471BC6">
            <w:pPr>
              <w:rPr>
                <w:rFonts w:ascii="Arial" w:hAnsi="Arial" w:cs="Arial"/>
              </w:rPr>
            </w:pPr>
          </w:p>
        </w:tc>
      </w:tr>
      <w:tr w:rsidR="006E5B2A" w:rsidRPr="006E5B2A" w14:paraId="6A1DD675" w14:textId="77777777" w:rsidTr="00471BC6">
        <w:trPr>
          <w:trHeight w:val="54"/>
        </w:trPr>
        <w:tc>
          <w:tcPr>
            <w:tcW w:w="3309" w:type="pct"/>
          </w:tcPr>
          <w:p w14:paraId="2AACBD82" w14:textId="77777777" w:rsidR="006E5B2A" w:rsidRPr="006E5B2A" w:rsidRDefault="006E5B2A" w:rsidP="00471BC6">
            <w:pPr>
              <w:rPr>
                <w:rFonts w:ascii="Arial" w:hAnsi="Arial" w:cs="Arial"/>
              </w:rPr>
            </w:pPr>
            <w:r w:rsidRPr="006E5B2A">
              <w:rPr>
                <w:rFonts w:ascii="Arial" w:hAnsi="Arial" w:cs="Arial"/>
              </w:rPr>
              <w:t>Draft report</w:t>
            </w:r>
          </w:p>
        </w:tc>
        <w:tc>
          <w:tcPr>
            <w:tcW w:w="845" w:type="pct"/>
            <w:tcBorders>
              <w:right w:val="single" w:sz="4" w:space="0" w:color="auto"/>
            </w:tcBorders>
          </w:tcPr>
          <w:p w14:paraId="3FEEE74A" w14:textId="77777777" w:rsidR="006E5B2A" w:rsidRPr="006E5B2A" w:rsidRDefault="006E5B2A" w:rsidP="00471BC6">
            <w:pPr>
              <w:rPr>
                <w:rFonts w:ascii="Arial" w:hAnsi="Arial" w:cs="Arial"/>
              </w:rPr>
            </w:pPr>
            <w:r w:rsidRPr="006E5B2A">
              <w:rPr>
                <w:rFonts w:ascii="Arial" w:hAnsi="Arial" w:cs="Arial"/>
              </w:rPr>
              <w:t>06/01/2023</w:t>
            </w:r>
          </w:p>
        </w:tc>
        <w:tc>
          <w:tcPr>
            <w:tcW w:w="845" w:type="pct"/>
            <w:tcBorders>
              <w:left w:val="single" w:sz="4" w:space="0" w:color="auto"/>
              <w:right w:val="single" w:sz="18" w:space="0" w:color="auto"/>
            </w:tcBorders>
          </w:tcPr>
          <w:p w14:paraId="4B2BCB2A" w14:textId="77777777" w:rsidR="006E5B2A" w:rsidRPr="006E5B2A" w:rsidRDefault="006E5B2A" w:rsidP="00471BC6">
            <w:pPr>
              <w:rPr>
                <w:rFonts w:ascii="Arial" w:hAnsi="Arial" w:cs="Arial"/>
              </w:rPr>
            </w:pPr>
            <w:r w:rsidRPr="006E5B2A">
              <w:rPr>
                <w:rFonts w:ascii="Arial" w:hAnsi="Arial" w:cs="Arial"/>
              </w:rPr>
              <w:t>70% (agreed draft)</w:t>
            </w:r>
          </w:p>
        </w:tc>
      </w:tr>
      <w:tr w:rsidR="006E5B2A" w:rsidRPr="006E5B2A" w14:paraId="7AC87919" w14:textId="77777777" w:rsidTr="00471BC6">
        <w:trPr>
          <w:trHeight w:val="54"/>
        </w:trPr>
        <w:tc>
          <w:tcPr>
            <w:tcW w:w="3309" w:type="pct"/>
          </w:tcPr>
          <w:p w14:paraId="15B93C4B" w14:textId="77777777" w:rsidR="006E5B2A" w:rsidRPr="006E5B2A" w:rsidRDefault="006E5B2A" w:rsidP="00471BC6">
            <w:pPr>
              <w:rPr>
                <w:rFonts w:ascii="Arial" w:hAnsi="Arial" w:cs="Arial"/>
              </w:rPr>
            </w:pPr>
            <w:r w:rsidRPr="006E5B2A">
              <w:rPr>
                <w:rFonts w:ascii="Arial" w:hAnsi="Arial" w:cs="Arial"/>
              </w:rPr>
              <w:t>Comments (EA and other regulatory reviewers – UBA, ECA, &amp; RIVM</w:t>
            </w:r>
          </w:p>
        </w:tc>
        <w:tc>
          <w:tcPr>
            <w:tcW w:w="845" w:type="pct"/>
            <w:tcBorders>
              <w:right w:val="single" w:sz="4" w:space="0" w:color="auto"/>
            </w:tcBorders>
          </w:tcPr>
          <w:p w14:paraId="7E4AD166" w14:textId="77777777" w:rsidR="006E5B2A" w:rsidRPr="006E5B2A" w:rsidRDefault="006E5B2A" w:rsidP="00471BC6">
            <w:pPr>
              <w:rPr>
                <w:rFonts w:ascii="Arial" w:hAnsi="Arial" w:cs="Arial"/>
              </w:rPr>
            </w:pPr>
            <w:r w:rsidRPr="006E5B2A">
              <w:rPr>
                <w:rFonts w:ascii="Arial" w:hAnsi="Arial" w:cs="Arial"/>
              </w:rPr>
              <w:t>27/01/2023</w:t>
            </w:r>
          </w:p>
        </w:tc>
        <w:tc>
          <w:tcPr>
            <w:tcW w:w="845" w:type="pct"/>
            <w:tcBorders>
              <w:left w:val="single" w:sz="4" w:space="0" w:color="auto"/>
              <w:right w:val="single" w:sz="18" w:space="0" w:color="auto"/>
            </w:tcBorders>
          </w:tcPr>
          <w:p w14:paraId="17503330" w14:textId="77777777" w:rsidR="006E5B2A" w:rsidRPr="006E5B2A" w:rsidRDefault="006E5B2A" w:rsidP="00471BC6">
            <w:pPr>
              <w:rPr>
                <w:rFonts w:ascii="Arial" w:hAnsi="Arial" w:cs="Arial"/>
              </w:rPr>
            </w:pPr>
          </w:p>
        </w:tc>
      </w:tr>
      <w:tr w:rsidR="006E5B2A" w:rsidRPr="006E5B2A" w14:paraId="4EC35355" w14:textId="77777777" w:rsidTr="00471BC6">
        <w:trPr>
          <w:trHeight w:val="54"/>
        </w:trPr>
        <w:tc>
          <w:tcPr>
            <w:tcW w:w="3309" w:type="pct"/>
          </w:tcPr>
          <w:p w14:paraId="77DAAAEA" w14:textId="77777777" w:rsidR="006E5B2A" w:rsidRPr="006E5B2A" w:rsidRDefault="006E5B2A" w:rsidP="00471BC6">
            <w:pPr>
              <w:rPr>
                <w:rFonts w:ascii="Arial" w:hAnsi="Arial" w:cs="Arial"/>
              </w:rPr>
            </w:pPr>
            <w:r w:rsidRPr="006E5B2A">
              <w:rPr>
                <w:rFonts w:ascii="Arial" w:hAnsi="Arial" w:cs="Arial"/>
              </w:rPr>
              <w:t>Progress meeting</w:t>
            </w:r>
          </w:p>
        </w:tc>
        <w:tc>
          <w:tcPr>
            <w:tcW w:w="845" w:type="pct"/>
            <w:tcBorders>
              <w:right w:val="single" w:sz="4" w:space="0" w:color="auto"/>
            </w:tcBorders>
          </w:tcPr>
          <w:p w14:paraId="1ADBD682" w14:textId="77777777" w:rsidR="006E5B2A" w:rsidRPr="006E5B2A" w:rsidRDefault="006E5B2A" w:rsidP="00471BC6">
            <w:pPr>
              <w:rPr>
                <w:rFonts w:ascii="Arial" w:hAnsi="Arial" w:cs="Arial"/>
              </w:rPr>
            </w:pPr>
            <w:r w:rsidRPr="006E5B2A">
              <w:rPr>
                <w:rFonts w:ascii="Arial" w:hAnsi="Arial" w:cs="Arial"/>
              </w:rPr>
              <w:t>TBC</w:t>
            </w:r>
          </w:p>
        </w:tc>
        <w:tc>
          <w:tcPr>
            <w:tcW w:w="845" w:type="pct"/>
            <w:tcBorders>
              <w:left w:val="single" w:sz="4" w:space="0" w:color="auto"/>
              <w:right w:val="single" w:sz="18" w:space="0" w:color="auto"/>
            </w:tcBorders>
          </w:tcPr>
          <w:p w14:paraId="7EC10AAC" w14:textId="77777777" w:rsidR="006E5B2A" w:rsidRPr="006E5B2A" w:rsidRDefault="006E5B2A" w:rsidP="00471BC6">
            <w:pPr>
              <w:rPr>
                <w:rFonts w:ascii="Arial" w:hAnsi="Arial" w:cs="Arial"/>
              </w:rPr>
            </w:pPr>
          </w:p>
        </w:tc>
      </w:tr>
      <w:tr w:rsidR="006E5B2A" w:rsidRPr="006E5B2A" w14:paraId="208472A1" w14:textId="77777777" w:rsidTr="00471BC6">
        <w:trPr>
          <w:trHeight w:val="54"/>
        </w:trPr>
        <w:tc>
          <w:tcPr>
            <w:tcW w:w="3309" w:type="pct"/>
          </w:tcPr>
          <w:p w14:paraId="3660BE9E" w14:textId="77777777" w:rsidR="006E5B2A" w:rsidRPr="006E5B2A" w:rsidRDefault="006E5B2A" w:rsidP="00471BC6">
            <w:pPr>
              <w:rPr>
                <w:rFonts w:ascii="Arial" w:hAnsi="Arial" w:cs="Arial"/>
              </w:rPr>
            </w:pPr>
            <w:r w:rsidRPr="006E5B2A">
              <w:rPr>
                <w:rFonts w:ascii="Arial" w:hAnsi="Arial" w:cs="Arial"/>
              </w:rPr>
              <w:t>Draft academic paper (if selected)</w:t>
            </w:r>
          </w:p>
        </w:tc>
        <w:tc>
          <w:tcPr>
            <w:tcW w:w="845" w:type="pct"/>
            <w:tcBorders>
              <w:right w:val="single" w:sz="4" w:space="0" w:color="auto"/>
            </w:tcBorders>
          </w:tcPr>
          <w:p w14:paraId="387D8BF7" w14:textId="77777777" w:rsidR="006E5B2A" w:rsidRPr="006E5B2A" w:rsidRDefault="006E5B2A" w:rsidP="00471BC6">
            <w:pPr>
              <w:rPr>
                <w:rFonts w:ascii="Arial" w:hAnsi="Arial" w:cs="Arial"/>
              </w:rPr>
            </w:pPr>
            <w:r w:rsidRPr="006E5B2A">
              <w:rPr>
                <w:rFonts w:ascii="Arial" w:hAnsi="Arial" w:cs="Arial"/>
              </w:rPr>
              <w:t>03/01/2023</w:t>
            </w:r>
          </w:p>
        </w:tc>
        <w:tc>
          <w:tcPr>
            <w:tcW w:w="845" w:type="pct"/>
            <w:tcBorders>
              <w:left w:val="single" w:sz="4" w:space="0" w:color="auto"/>
              <w:right w:val="single" w:sz="18" w:space="0" w:color="auto"/>
            </w:tcBorders>
          </w:tcPr>
          <w:p w14:paraId="436F5108" w14:textId="77777777" w:rsidR="006E5B2A" w:rsidRPr="006E5B2A" w:rsidRDefault="006E5B2A" w:rsidP="00471BC6">
            <w:pPr>
              <w:rPr>
                <w:rFonts w:ascii="Arial" w:hAnsi="Arial" w:cs="Arial"/>
              </w:rPr>
            </w:pPr>
          </w:p>
        </w:tc>
      </w:tr>
      <w:tr w:rsidR="006E5B2A" w:rsidRPr="006E5B2A" w14:paraId="0327A095" w14:textId="77777777" w:rsidTr="00471BC6">
        <w:trPr>
          <w:trHeight w:val="54"/>
        </w:trPr>
        <w:tc>
          <w:tcPr>
            <w:tcW w:w="3309" w:type="pct"/>
            <w:tcBorders>
              <w:bottom w:val="single" w:sz="18" w:space="0" w:color="auto"/>
            </w:tcBorders>
          </w:tcPr>
          <w:p w14:paraId="142E5259" w14:textId="77777777" w:rsidR="006E5B2A" w:rsidRPr="006E5B2A" w:rsidRDefault="006E5B2A" w:rsidP="00471BC6">
            <w:pPr>
              <w:rPr>
                <w:rFonts w:ascii="Arial" w:hAnsi="Arial" w:cs="Arial"/>
              </w:rPr>
            </w:pPr>
            <w:r w:rsidRPr="006E5B2A">
              <w:rPr>
                <w:rFonts w:ascii="Arial" w:hAnsi="Arial" w:cs="Arial"/>
              </w:rPr>
              <w:t>Final output and project conclusion</w:t>
            </w:r>
          </w:p>
        </w:tc>
        <w:tc>
          <w:tcPr>
            <w:tcW w:w="845" w:type="pct"/>
            <w:tcBorders>
              <w:bottom w:val="single" w:sz="18" w:space="0" w:color="auto"/>
              <w:right w:val="single" w:sz="4" w:space="0" w:color="auto"/>
            </w:tcBorders>
          </w:tcPr>
          <w:p w14:paraId="5019DB3A" w14:textId="77777777" w:rsidR="006E5B2A" w:rsidRPr="006E5B2A" w:rsidRDefault="006E5B2A" w:rsidP="00471BC6">
            <w:pPr>
              <w:rPr>
                <w:rFonts w:ascii="Arial" w:hAnsi="Arial" w:cs="Arial"/>
              </w:rPr>
            </w:pPr>
            <w:r w:rsidRPr="006E5B2A">
              <w:rPr>
                <w:rFonts w:ascii="Arial" w:hAnsi="Arial" w:cs="Arial"/>
              </w:rPr>
              <w:t>24/02/2023</w:t>
            </w:r>
          </w:p>
        </w:tc>
        <w:tc>
          <w:tcPr>
            <w:tcW w:w="845" w:type="pct"/>
            <w:tcBorders>
              <w:left w:val="single" w:sz="4" w:space="0" w:color="auto"/>
              <w:bottom w:val="single" w:sz="18" w:space="0" w:color="auto"/>
              <w:right w:val="single" w:sz="18" w:space="0" w:color="auto"/>
            </w:tcBorders>
          </w:tcPr>
          <w:p w14:paraId="0AFC1112" w14:textId="77777777" w:rsidR="006E5B2A" w:rsidRPr="006E5B2A" w:rsidRDefault="006E5B2A" w:rsidP="00471BC6">
            <w:pPr>
              <w:rPr>
                <w:rFonts w:ascii="Arial" w:hAnsi="Arial" w:cs="Arial"/>
              </w:rPr>
            </w:pPr>
            <w:r w:rsidRPr="006E5B2A">
              <w:rPr>
                <w:rFonts w:ascii="Arial" w:hAnsi="Arial" w:cs="Arial"/>
              </w:rPr>
              <w:t>30% (agreed final report)</w:t>
            </w:r>
          </w:p>
        </w:tc>
      </w:tr>
    </w:tbl>
    <w:p w14:paraId="343A82D8" w14:textId="77777777" w:rsidR="006E5B2A" w:rsidRPr="0093723A" w:rsidRDefault="006E5B2A" w:rsidP="00E65F5D">
      <w:pPr>
        <w:rPr>
          <w:rFonts w:ascii="Arial" w:hAnsi="Arial" w:cs="Arial"/>
          <w:color w:val="FF0000"/>
          <w:szCs w:val="22"/>
        </w:rPr>
      </w:pPr>
    </w:p>
    <w:p w14:paraId="68417E32" w14:textId="77777777" w:rsidR="00EA6FE1" w:rsidRDefault="00EA6FE1" w:rsidP="00E65F5D">
      <w:pPr>
        <w:rPr>
          <w:rFonts w:ascii="Arial" w:hAnsi="Arial" w:cs="Arial"/>
          <w:color w:val="FF0000"/>
          <w:szCs w:val="22"/>
        </w:rPr>
      </w:pPr>
    </w:p>
    <w:p w14:paraId="68417E33"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68417E34" w14:textId="1D71510C" w:rsidR="00A946D1" w:rsidRDefault="00A946D1" w:rsidP="00E65F5D">
      <w:pPr>
        <w:rPr>
          <w:rFonts w:ascii="Arial" w:hAnsi="Arial" w:cs="Arial"/>
          <w:szCs w:val="22"/>
        </w:rPr>
      </w:pPr>
    </w:p>
    <w:p w14:paraId="1F3EEA24" w14:textId="125B3034" w:rsidR="006E5B2A" w:rsidRDefault="006E5B2A" w:rsidP="00E65F5D">
      <w:pPr>
        <w:rPr>
          <w:rFonts w:ascii="Arial" w:hAnsi="Arial" w:cs="Arial"/>
          <w:szCs w:val="22"/>
        </w:rPr>
      </w:pPr>
      <w:r>
        <w:rPr>
          <w:rFonts w:ascii="Arial" w:hAnsi="Arial" w:cs="Arial"/>
          <w:szCs w:val="22"/>
        </w:rPr>
        <w:t>The supplier should invoice based on the above payment schedule.</w:t>
      </w:r>
    </w:p>
    <w:p w14:paraId="68417E36" w14:textId="77777777" w:rsidR="00A946D1" w:rsidRDefault="00A946D1" w:rsidP="00E65F5D">
      <w:pPr>
        <w:rPr>
          <w:rFonts w:ascii="Arial" w:hAnsi="Arial" w:cs="Arial"/>
          <w:szCs w:val="22"/>
        </w:rPr>
      </w:pPr>
    </w:p>
    <w:p w14:paraId="68417E37"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68417E38" w14:textId="77777777" w:rsidR="006277E6" w:rsidRDefault="006277E6" w:rsidP="00E65F5D">
      <w:pPr>
        <w:rPr>
          <w:rFonts w:ascii="Arial" w:hAnsi="Arial" w:cs="Arial"/>
          <w:szCs w:val="22"/>
        </w:rPr>
      </w:pPr>
    </w:p>
    <w:p w14:paraId="68417E39"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68417E3A" w14:textId="77777777" w:rsidR="006D6FE0" w:rsidRDefault="006D6FE0" w:rsidP="00E65F5D">
      <w:pPr>
        <w:rPr>
          <w:rFonts w:ascii="Arial" w:hAnsi="Arial" w:cs="Arial"/>
          <w:szCs w:val="22"/>
        </w:rPr>
      </w:pPr>
    </w:p>
    <w:p w14:paraId="68417E3B" w14:textId="77777777" w:rsidR="006D6FE0" w:rsidRDefault="006D6FE0" w:rsidP="006D6FE0">
      <w:pPr>
        <w:rPr>
          <w:rFonts w:ascii="Arial" w:hAnsi="Arial" w:cs="Arial"/>
          <w:b/>
          <w:bCs/>
        </w:rPr>
      </w:pPr>
      <w:r>
        <w:rPr>
          <w:rFonts w:ascii="Arial" w:hAnsi="Arial" w:cs="Arial"/>
          <w:b/>
          <w:bCs/>
        </w:rPr>
        <w:t xml:space="preserve">Sustainability Considerations </w:t>
      </w:r>
    </w:p>
    <w:p w14:paraId="68417E3C"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68417E3D" w14:textId="77777777" w:rsidR="006D6FE0" w:rsidRDefault="006D6FE0" w:rsidP="006D6FE0">
      <w:pPr>
        <w:rPr>
          <w:rFonts w:ascii="Arial" w:hAnsi="Arial" w:cs="Arial"/>
        </w:rPr>
      </w:pPr>
    </w:p>
    <w:p w14:paraId="68417E3E"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8417E3F" w14:textId="77777777" w:rsidR="006D6FE0" w:rsidRDefault="006D6FE0" w:rsidP="006D6FE0">
      <w:pPr>
        <w:rPr>
          <w:rFonts w:ascii="Arial" w:hAnsi="Arial" w:cs="Arial"/>
        </w:rPr>
      </w:pPr>
    </w:p>
    <w:p w14:paraId="68417E4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8417E41" w14:textId="77777777" w:rsidR="006D6FE0" w:rsidRPr="006D6FE0" w:rsidRDefault="006D6FE0" w:rsidP="009D761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68417E42" w14:textId="77777777" w:rsidR="006D6FE0" w:rsidRPr="006D6FE0" w:rsidRDefault="006D6FE0" w:rsidP="009D761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68417E43" w14:textId="77777777" w:rsidR="006D6FE0" w:rsidRPr="006D6FE0" w:rsidRDefault="006D6FE0" w:rsidP="009D761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68417E44" w14:textId="77777777" w:rsidR="006D6FE0" w:rsidRPr="006D6FE0" w:rsidRDefault="006D6FE0" w:rsidP="009D761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8417E45" w14:textId="77777777" w:rsidR="006D6FE0" w:rsidRPr="006D6FE0" w:rsidRDefault="006D6FE0" w:rsidP="009D761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68417E46" w14:textId="77777777" w:rsidR="006D6FE0" w:rsidRPr="006D6FE0" w:rsidRDefault="006D6FE0" w:rsidP="009D761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Whilst on site, contractors should comply with the local environmental policy statement which will be made available to you in advance or on arrival. </w:t>
      </w:r>
    </w:p>
    <w:p w14:paraId="68417E47" w14:textId="77777777" w:rsidR="006D6FE0" w:rsidRDefault="006D6FE0" w:rsidP="006D6FE0">
      <w:pPr>
        <w:rPr>
          <w:rFonts w:ascii="Arial" w:hAnsi="Arial" w:cs="Arial"/>
        </w:rPr>
      </w:pPr>
    </w:p>
    <w:p w14:paraId="68417E48"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8417E49"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68417E4A" w14:textId="77777777" w:rsidR="006D6FE0" w:rsidRDefault="001C2C25" w:rsidP="006D6FE0">
      <w:pPr>
        <w:rPr>
          <w:rFonts w:ascii="Arial" w:hAnsi="Arial" w:cs="Arial"/>
        </w:rPr>
      </w:pPr>
      <w:hyperlink r:id="rId26" w:history="1">
        <w:r w:rsidR="006D6FE0">
          <w:rPr>
            <w:rStyle w:val="Hyperlink"/>
          </w:rPr>
          <w:t>https://www.gov.uk/government/organisations/environment-agency/about/equality-and-diversity</w:t>
        </w:r>
      </w:hyperlink>
    </w:p>
    <w:p w14:paraId="68417E4B" w14:textId="77777777" w:rsidR="006D6FE0" w:rsidRDefault="006D6FE0" w:rsidP="006D6FE0">
      <w:pPr>
        <w:rPr>
          <w:rFonts w:ascii="Arial" w:hAnsi="Arial" w:cs="Arial"/>
        </w:rPr>
      </w:pPr>
    </w:p>
    <w:p w14:paraId="68417E4C" w14:textId="77777777" w:rsidR="006D6FE0" w:rsidRDefault="006D6FE0" w:rsidP="006D6FE0">
      <w:pPr>
        <w:rPr>
          <w:rFonts w:ascii="Arial" w:hAnsi="Arial" w:cs="Arial"/>
          <w:b/>
          <w:bCs/>
        </w:rPr>
      </w:pPr>
      <w:r>
        <w:rPr>
          <w:rFonts w:ascii="Arial" w:hAnsi="Arial" w:cs="Arial"/>
          <w:b/>
          <w:bCs/>
        </w:rPr>
        <w:t xml:space="preserve">Health and Safety </w:t>
      </w:r>
    </w:p>
    <w:p w14:paraId="68417E4D"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8417E4E" w14:textId="77777777" w:rsidR="006D6FE0" w:rsidRDefault="006D6FE0" w:rsidP="006D6FE0">
      <w:pPr>
        <w:rPr>
          <w:rFonts w:ascii="Arial" w:hAnsi="Arial" w:cs="Arial"/>
          <w:color w:val="000000"/>
        </w:rPr>
      </w:pPr>
    </w:p>
    <w:p w14:paraId="68417E4F" w14:textId="77777777" w:rsidR="006D6FE0" w:rsidRDefault="006D6FE0" w:rsidP="006D6FE0">
      <w:pPr>
        <w:rPr>
          <w:rFonts w:ascii="Arial" w:hAnsi="Arial" w:cs="Arial"/>
          <w:color w:val="000000"/>
        </w:rPr>
      </w:pPr>
    </w:p>
    <w:p w14:paraId="68417E50"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8417E51" w14:textId="77777777" w:rsidR="006D6FE0" w:rsidRDefault="006D6FE0" w:rsidP="006D6FE0">
      <w:pPr>
        <w:rPr>
          <w:rFonts w:ascii="Arial" w:hAnsi="Arial" w:cs="Arial"/>
          <w:color w:val="000000"/>
        </w:rPr>
      </w:pPr>
    </w:p>
    <w:p w14:paraId="68417E52"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68417E53" w14:textId="77777777" w:rsidR="006D6FE0" w:rsidRDefault="006D6FE0" w:rsidP="006D6FE0">
      <w:pPr>
        <w:rPr>
          <w:rFonts w:ascii="Arial" w:eastAsia="Calibri" w:hAnsi="Arial" w:cs="Arial"/>
          <w:b/>
          <w:bCs/>
        </w:rPr>
      </w:pPr>
    </w:p>
    <w:p w14:paraId="68417E54"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8417E55" w14:textId="77777777" w:rsidR="006D6FE0" w:rsidRDefault="006D6FE0" w:rsidP="006D6FE0">
      <w:pPr>
        <w:rPr>
          <w:rFonts w:ascii="Arial" w:hAnsi="Arial" w:cs="Arial"/>
        </w:rPr>
      </w:pPr>
    </w:p>
    <w:p w14:paraId="68417E56" w14:textId="77777777" w:rsidR="006D6FE0" w:rsidRDefault="006D6FE0" w:rsidP="006D6FE0">
      <w:pPr>
        <w:rPr>
          <w:rFonts w:ascii="Arial" w:hAnsi="Arial" w:cs="Arial"/>
          <w:b/>
          <w:bCs/>
        </w:rPr>
      </w:pPr>
      <w:r>
        <w:rPr>
          <w:rFonts w:ascii="Arial" w:hAnsi="Arial" w:cs="Arial"/>
          <w:b/>
          <w:bCs/>
        </w:rPr>
        <w:t xml:space="preserve">Supply chain </w:t>
      </w:r>
    </w:p>
    <w:p w14:paraId="68417E57" w14:textId="77777777" w:rsidR="006D6FE0" w:rsidRDefault="006D6FE0" w:rsidP="006D6FE0">
      <w:pPr>
        <w:rPr>
          <w:rFonts w:ascii="Arial" w:hAnsi="Arial" w:cs="Arial"/>
        </w:rPr>
      </w:pPr>
    </w:p>
    <w:p w14:paraId="68417E58"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8417E59" w14:textId="77777777" w:rsidR="006D6FE0" w:rsidRDefault="006D6FE0" w:rsidP="006D6FE0">
      <w:pPr>
        <w:rPr>
          <w:rFonts w:ascii="Arial" w:hAnsi="Arial" w:cs="Arial"/>
        </w:rPr>
      </w:pPr>
    </w:p>
    <w:p w14:paraId="68417E5A"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8417E5B" w14:textId="77777777" w:rsidR="006D6FE0" w:rsidRDefault="006D6FE0" w:rsidP="006D6FE0">
      <w:pPr>
        <w:rPr>
          <w:rFonts w:ascii="Arial" w:hAnsi="Arial" w:cs="Arial"/>
        </w:rPr>
      </w:pPr>
    </w:p>
    <w:p w14:paraId="68417E5C"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68417E5D"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68417E5E" w14:textId="77777777" w:rsidR="006D6FE0" w:rsidRPr="00A946D1" w:rsidRDefault="006D6FE0" w:rsidP="00E65F5D">
      <w:pPr>
        <w:rPr>
          <w:rFonts w:ascii="Arial" w:hAnsi="Arial" w:cs="Arial"/>
          <w:szCs w:val="22"/>
        </w:rPr>
      </w:pPr>
    </w:p>
    <w:p w14:paraId="68417E5F" w14:textId="77777777" w:rsidR="00491B79" w:rsidRPr="0093723A" w:rsidRDefault="00491B79" w:rsidP="00E65F5D">
      <w:pPr>
        <w:pStyle w:val="BodyText"/>
        <w:spacing w:after="0"/>
        <w:jc w:val="both"/>
        <w:rPr>
          <w:rFonts w:ascii="Arial" w:hAnsi="Arial" w:cs="Arial"/>
          <w:szCs w:val="22"/>
        </w:rPr>
      </w:pPr>
    </w:p>
    <w:p w14:paraId="68417E60"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68417E61" w14:textId="77777777" w:rsidR="005700D8" w:rsidRPr="0093723A" w:rsidRDefault="005700D8" w:rsidP="00E65F5D">
      <w:pPr>
        <w:pStyle w:val="Heading2"/>
        <w:numPr>
          <w:ilvl w:val="0"/>
          <w:numId w:val="0"/>
        </w:numPr>
        <w:tabs>
          <w:tab w:val="left" w:pos="426"/>
        </w:tabs>
        <w:rPr>
          <w:rFonts w:cs="Arial"/>
          <w:sz w:val="20"/>
          <w:szCs w:val="22"/>
        </w:rPr>
      </w:pPr>
    </w:p>
    <w:p w14:paraId="68417E62"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8417E63" w14:textId="77777777" w:rsidR="005700D8" w:rsidRPr="0093723A" w:rsidRDefault="005700D8" w:rsidP="00E65F5D">
      <w:pPr>
        <w:pStyle w:val="Heading3"/>
        <w:numPr>
          <w:ilvl w:val="0"/>
          <w:numId w:val="0"/>
        </w:numPr>
        <w:rPr>
          <w:rFonts w:ascii="Arial" w:hAnsi="Arial" w:cs="Arial"/>
          <w:sz w:val="20"/>
          <w:szCs w:val="22"/>
        </w:rPr>
      </w:pPr>
    </w:p>
    <w:p w14:paraId="68417E64"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8417E65" w14:textId="77777777" w:rsidR="005700D8" w:rsidRPr="0093723A" w:rsidRDefault="005700D8" w:rsidP="00E65F5D">
      <w:pPr>
        <w:ind w:right="-1"/>
        <w:jc w:val="both"/>
        <w:rPr>
          <w:rFonts w:ascii="Arial" w:hAnsi="Arial" w:cs="Arial"/>
          <w:szCs w:val="22"/>
        </w:rPr>
      </w:pPr>
    </w:p>
    <w:p w14:paraId="68417E66"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8417E67" w14:textId="77777777" w:rsidR="007931F6" w:rsidRPr="0093723A" w:rsidRDefault="007931F6" w:rsidP="00E65F5D">
      <w:pPr>
        <w:pStyle w:val="Heading3"/>
        <w:numPr>
          <w:ilvl w:val="0"/>
          <w:numId w:val="0"/>
        </w:numPr>
        <w:rPr>
          <w:rFonts w:ascii="Arial" w:hAnsi="Arial" w:cs="Arial"/>
          <w:sz w:val="20"/>
          <w:szCs w:val="22"/>
        </w:rPr>
      </w:pPr>
    </w:p>
    <w:p w14:paraId="68417E6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68417E69" w14:textId="77777777" w:rsidR="005700D8" w:rsidRPr="0093723A" w:rsidRDefault="005700D8" w:rsidP="00E65F5D">
      <w:pPr>
        <w:ind w:right="-1"/>
        <w:jc w:val="both"/>
        <w:rPr>
          <w:rFonts w:ascii="Arial" w:hAnsi="Arial" w:cs="Arial"/>
          <w:szCs w:val="22"/>
        </w:rPr>
      </w:pPr>
    </w:p>
    <w:p w14:paraId="68417E6A"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8417E6B" w14:textId="77777777" w:rsidR="005700D8" w:rsidRPr="0093723A" w:rsidRDefault="005700D8" w:rsidP="00E65F5D">
      <w:pPr>
        <w:ind w:right="-1"/>
        <w:jc w:val="both"/>
        <w:rPr>
          <w:rFonts w:ascii="Arial" w:hAnsi="Arial" w:cs="Arial"/>
          <w:szCs w:val="22"/>
        </w:rPr>
      </w:pPr>
    </w:p>
    <w:p w14:paraId="68417E6C"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68417E6D" w14:textId="77777777" w:rsidR="005700D8" w:rsidRPr="0093723A" w:rsidRDefault="005700D8" w:rsidP="00E65F5D">
      <w:pPr>
        <w:ind w:right="-1"/>
        <w:jc w:val="both"/>
        <w:rPr>
          <w:rFonts w:ascii="Arial" w:hAnsi="Arial" w:cs="Arial"/>
          <w:szCs w:val="22"/>
        </w:rPr>
      </w:pPr>
    </w:p>
    <w:p w14:paraId="68417E6E"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8417E6F" w14:textId="77777777" w:rsidR="00702558" w:rsidRPr="0093723A" w:rsidRDefault="00702558" w:rsidP="00E65F5D">
      <w:pPr>
        <w:ind w:right="-1"/>
        <w:jc w:val="both"/>
        <w:rPr>
          <w:rFonts w:ascii="Arial" w:hAnsi="Arial" w:cs="Arial"/>
          <w:szCs w:val="22"/>
        </w:rPr>
      </w:pPr>
    </w:p>
    <w:p w14:paraId="68417E70"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68417E71" w14:textId="77777777" w:rsidR="00702558" w:rsidRPr="0093723A" w:rsidRDefault="00702558" w:rsidP="00E65F5D">
      <w:pPr>
        <w:rPr>
          <w:rFonts w:ascii="Arial" w:hAnsi="Arial" w:cs="Arial"/>
          <w:szCs w:val="22"/>
        </w:rPr>
      </w:pPr>
    </w:p>
    <w:p w14:paraId="68417E72"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68417E73" w14:textId="77777777" w:rsidR="00FB55C7" w:rsidRPr="0093723A" w:rsidRDefault="00FB55C7" w:rsidP="00E65F5D">
      <w:pPr>
        <w:pStyle w:val="Heading2"/>
        <w:numPr>
          <w:ilvl w:val="0"/>
          <w:numId w:val="0"/>
        </w:numPr>
        <w:rPr>
          <w:rFonts w:cs="Arial"/>
        </w:rPr>
      </w:pPr>
    </w:p>
    <w:p w14:paraId="68417E7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68417E75" w14:textId="77777777" w:rsidR="005700D8" w:rsidRPr="0093723A" w:rsidRDefault="005700D8" w:rsidP="00E65F5D">
      <w:pPr>
        <w:jc w:val="both"/>
        <w:rPr>
          <w:rFonts w:ascii="Arial" w:hAnsi="Arial" w:cs="Arial"/>
          <w:szCs w:val="22"/>
        </w:rPr>
      </w:pPr>
    </w:p>
    <w:p w14:paraId="68417E7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68417E77" w14:textId="77777777" w:rsidR="005700D8" w:rsidRPr="0093723A" w:rsidRDefault="005700D8" w:rsidP="00E65F5D">
      <w:pPr>
        <w:jc w:val="both"/>
        <w:rPr>
          <w:rFonts w:ascii="Arial" w:hAnsi="Arial" w:cs="Arial"/>
          <w:szCs w:val="22"/>
        </w:rPr>
      </w:pPr>
    </w:p>
    <w:p w14:paraId="68417E7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8417E79" w14:textId="77777777" w:rsidR="005700D8" w:rsidRPr="0093723A" w:rsidRDefault="005700D8" w:rsidP="00E65F5D">
      <w:pPr>
        <w:jc w:val="both"/>
        <w:rPr>
          <w:rFonts w:ascii="Arial" w:hAnsi="Arial" w:cs="Arial"/>
          <w:szCs w:val="22"/>
        </w:rPr>
      </w:pPr>
    </w:p>
    <w:p w14:paraId="68417E7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8417E7B" w14:textId="77777777" w:rsidR="00AC670A" w:rsidRPr="0093723A" w:rsidRDefault="00AC670A" w:rsidP="00E65F5D">
      <w:pPr>
        <w:rPr>
          <w:rFonts w:ascii="Arial" w:hAnsi="Arial" w:cs="Arial"/>
          <w:szCs w:val="22"/>
        </w:rPr>
      </w:pPr>
    </w:p>
    <w:p w14:paraId="68417E7C"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8417E7D" w14:textId="77777777" w:rsidR="005700D8" w:rsidRPr="0093723A" w:rsidRDefault="005700D8" w:rsidP="00E65F5D">
      <w:pPr>
        <w:pStyle w:val="Header"/>
        <w:tabs>
          <w:tab w:val="clear" w:pos="4153"/>
          <w:tab w:val="clear" w:pos="8306"/>
        </w:tabs>
        <w:rPr>
          <w:rFonts w:ascii="Arial" w:hAnsi="Arial" w:cs="Arial"/>
          <w:szCs w:val="22"/>
        </w:rPr>
      </w:pPr>
    </w:p>
    <w:p w14:paraId="68417E7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68417E7F" w14:textId="77777777" w:rsidR="005700D8" w:rsidRPr="0093723A" w:rsidRDefault="005700D8" w:rsidP="00E65F5D">
      <w:pPr>
        <w:jc w:val="both"/>
        <w:rPr>
          <w:rFonts w:ascii="Arial" w:hAnsi="Arial" w:cs="Arial"/>
          <w:szCs w:val="22"/>
        </w:rPr>
      </w:pPr>
    </w:p>
    <w:p w14:paraId="68417E80"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68417E81" w14:textId="77777777" w:rsidR="005700D8" w:rsidRPr="0093723A" w:rsidRDefault="005700D8" w:rsidP="00E65F5D">
      <w:pPr>
        <w:pStyle w:val="Header"/>
        <w:tabs>
          <w:tab w:val="clear" w:pos="4153"/>
          <w:tab w:val="clear" w:pos="8306"/>
        </w:tabs>
        <w:rPr>
          <w:rFonts w:ascii="Arial" w:hAnsi="Arial" w:cs="Arial"/>
          <w:szCs w:val="22"/>
        </w:rPr>
      </w:pPr>
    </w:p>
    <w:p w14:paraId="68417E82"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8417E83" w14:textId="77777777" w:rsidR="00A946D1" w:rsidRDefault="00A946D1" w:rsidP="00E65F5D">
      <w:pPr>
        <w:pStyle w:val="AgencyStdParagraph"/>
        <w:widowControl/>
        <w:rPr>
          <w:rFonts w:ascii="Arial" w:hAnsi="Arial" w:cs="Arial"/>
          <w:sz w:val="20"/>
          <w:szCs w:val="22"/>
        </w:rPr>
      </w:pPr>
    </w:p>
    <w:p w14:paraId="68417E84"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68417E85" w14:textId="77777777" w:rsidR="001F22CB" w:rsidRDefault="001F22CB" w:rsidP="00E65F5D">
      <w:pPr>
        <w:pStyle w:val="AgencyStdParagraph"/>
        <w:widowControl/>
        <w:rPr>
          <w:rFonts w:ascii="Arial" w:hAnsi="Arial" w:cs="Arial"/>
          <w:sz w:val="20"/>
          <w:szCs w:val="22"/>
        </w:rPr>
      </w:pPr>
    </w:p>
    <w:p w14:paraId="68417E8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68417E87" w14:textId="77777777" w:rsidR="005700D8" w:rsidRPr="0093723A" w:rsidRDefault="005700D8" w:rsidP="00E65F5D">
      <w:pPr>
        <w:pStyle w:val="Header"/>
        <w:tabs>
          <w:tab w:val="clear" w:pos="4153"/>
          <w:tab w:val="clear" w:pos="8306"/>
        </w:tabs>
        <w:jc w:val="both"/>
        <w:rPr>
          <w:rFonts w:ascii="Arial" w:hAnsi="Arial" w:cs="Arial"/>
          <w:szCs w:val="22"/>
        </w:rPr>
      </w:pPr>
    </w:p>
    <w:p w14:paraId="68417E8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8417E8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8417E8A" w14:textId="77777777" w:rsidR="005700D8" w:rsidRPr="0093723A" w:rsidRDefault="005700D8" w:rsidP="00E65F5D">
      <w:pPr>
        <w:rPr>
          <w:rFonts w:ascii="Arial" w:hAnsi="Arial" w:cs="Arial"/>
          <w:szCs w:val="22"/>
        </w:rPr>
      </w:pPr>
    </w:p>
    <w:p w14:paraId="68417E8B"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68417E8C" w14:textId="77777777" w:rsidR="005700D8" w:rsidRPr="0093723A" w:rsidRDefault="005700D8" w:rsidP="00E65F5D">
      <w:pPr>
        <w:jc w:val="both"/>
        <w:rPr>
          <w:rFonts w:ascii="Arial" w:hAnsi="Arial" w:cs="Arial"/>
          <w:szCs w:val="22"/>
        </w:rPr>
      </w:pPr>
    </w:p>
    <w:p w14:paraId="68417E8D"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8417E8E" w14:textId="77777777" w:rsidR="005700D8" w:rsidRPr="0093723A" w:rsidRDefault="005700D8" w:rsidP="00E65F5D">
      <w:pPr>
        <w:jc w:val="both"/>
        <w:rPr>
          <w:rFonts w:ascii="Arial" w:hAnsi="Arial" w:cs="Arial"/>
          <w:szCs w:val="22"/>
        </w:rPr>
      </w:pPr>
    </w:p>
    <w:p w14:paraId="68417E8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68417E90" w14:textId="77777777" w:rsidR="005700D8" w:rsidRPr="0093723A" w:rsidRDefault="005700D8" w:rsidP="00E65F5D">
      <w:pPr>
        <w:jc w:val="both"/>
        <w:rPr>
          <w:rFonts w:ascii="Arial" w:hAnsi="Arial" w:cs="Arial"/>
          <w:szCs w:val="22"/>
        </w:rPr>
      </w:pPr>
    </w:p>
    <w:p w14:paraId="68417E9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take reasonable steps to ensure the reliability of employees who have access to personal data.</w:t>
      </w:r>
    </w:p>
    <w:p w14:paraId="68417E92" w14:textId="77777777" w:rsidR="005700D8" w:rsidRPr="0093723A" w:rsidRDefault="005700D8" w:rsidP="00E65F5D">
      <w:pPr>
        <w:pStyle w:val="AgencyStdParagraph"/>
        <w:widowControl/>
        <w:rPr>
          <w:rFonts w:ascii="Arial" w:hAnsi="Arial" w:cs="Arial"/>
          <w:sz w:val="20"/>
          <w:szCs w:val="22"/>
        </w:rPr>
      </w:pPr>
    </w:p>
    <w:p w14:paraId="68417E9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8417E94" w14:textId="77777777" w:rsidR="005700D8" w:rsidRPr="0093723A" w:rsidRDefault="005700D8" w:rsidP="00E65F5D">
      <w:pPr>
        <w:jc w:val="both"/>
        <w:rPr>
          <w:rFonts w:ascii="Arial" w:hAnsi="Arial" w:cs="Arial"/>
          <w:szCs w:val="22"/>
        </w:rPr>
      </w:pPr>
    </w:p>
    <w:p w14:paraId="68417E9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68417E96" w14:textId="77777777" w:rsidR="005700D8" w:rsidRPr="0093723A" w:rsidRDefault="005700D8" w:rsidP="00E65F5D">
      <w:pPr>
        <w:jc w:val="both"/>
        <w:rPr>
          <w:rFonts w:ascii="Arial" w:hAnsi="Arial" w:cs="Arial"/>
          <w:szCs w:val="22"/>
        </w:rPr>
      </w:pPr>
    </w:p>
    <w:p w14:paraId="68417E9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68417E98" w14:textId="77777777" w:rsidR="005700D8" w:rsidRPr="0093723A" w:rsidRDefault="005700D8" w:rsidP="00E65F5D">
      <w:pPr>
        <w:jc w:val="both"/>
        <w:rPr>
          <w:rFonts w:ascii="Arial" w:hAnsi="Arial" w:cs="Arial"/>
          <w:szCs w:val="22"/>
        </w:rPr>
      </w:pPr>
    </w:p>
    <w:p w14:paraId="68417E9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8417E9A" w14:textId="77777777" w:rsidR="005700D8" w:rsidRPr="0093723A" w:rsidRDefault="00103932" w:rsidP="00103932">
      <w:pPr>
        <w:jc w:val="both"/>
        <w:rPr>
          <w:rFonts w:ascii="Arial" w:hAnsi="Arial" w:cs="Arial"/>
          <w:szCs w:val="22"/>
        </w:rPr>
      </w:pPr>
      <w:r>
        <w:rPr>
          <w:rFonts w:ascii="Arial" w:hAnsi="Arial" w:cs="Arial"/>
          <w:szCs w:val="22"/>
        </w:rPr>
        <w:br w:type="page"/>
      </w:r>
    </w:p>
    <w:p w14:paraId="68417E9B"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68417E9C" w14:textId="77777777" w:rsidR="002F4C87" w:rsidRPr="0093723A" w:rsidRDefault="002F4C87" w:rsidP="002F4C87">
      <w:pPr>
        <w:rPr>
          <w:rFonts w:ascii="Arial" w:hAnsi="Arial" w:cs="Arial"/>
          <w:szCs w:val="22"/>
        </w:rPr>
      </w:pPr>
    </w:p>
    <w:p w14:paraId="68417E9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8417E9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68417E9F" w14:textId="77777777" w:rsidR="002F4C87" w:rsidRPr="0093723A" w:rsidRDefault="002F4C87" w:rsidP="002F4C87">
      <w:pPr>
        <w:pStyle w:val="BodyText"/>
        <w:spacing w:after="0"/>
        <w:rPr>
          <w:rFonts w:ascii="Arial" w:hAnsi="Arial" w:cs="Arial"/>
          <w:szCs w:val="22"/>
        </w:rPr>
      </w:pPr>
    </w:p>
    <w:p w14:paraId="68417EA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68417EA3"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68417EA4"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106CB8DE" w14:textId="35FCDE36" w:rsidR="004C7498" w:rsidRDefault="004C7498" w:rsidP="002F4C87">
      <w:pPr>
        <w:pStyle w:val="BodyText"/>
        <w:spacing w:after="0"/>
        <w:rPr>
          <w:rFonts w:ascii="Arial" w:hAnsi="Arial" w:cs="Arial"/>
          <w:spacing w:val="-3"/>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769"/>
        <w:gridCol w:w="423"/>
        <w:gridCol w:w="1211"/>
        <w:gridCol w:w="985"/>
        <w:gridCol w:w="1097"/>
        <w:gridCol w:w="2103"/>
      </w:tblGrid>
      <w:tr w:rsidR="004C7498" w:rsidRPr="004C7498" w14:paraId="5D954231" w14:textId="77777777" w:rsidTr="004C7498">
        <w:trPr>
          <w:trHeight w:val="54"/>
        </w:trPr>
        <w:tc>
          <w:tcPr>
            <w:tcW w:w="5000" w:type="pct"/>
            <w:gridSpan w:val="7"/>
            <w:tcBorders>
              <w:top w:val="single" w:sz="18" w:space="0" w:color="auto"/>
              <w:left w:val="single" w:sz="18" w:space="0" w:color="auto"/>
              <w:right w:val="single" w:sz="18" w:space="0" w:color="auto"/>
            </w:tcBorders>
            <w:shd w:val="clear" w:color="auto" w:fill="C0C0C0"/>
          </w:tcPr>
          <w:p w14:paraId="42915972" w14:textId="1FBEA0D1" w:rsidR="004C7498" w:rsidRPr="004C7498" w:rsidRDefault="004C7498" w:rsidP="00471BC6">
            <w:pPr>
              <w:rPr>
                <w:rFonts w:ascii="Arial" w:hAnsi="Arial" w:cs="Arial"/>
                <w:b/>
              </w:rPr>
            </w:pPr>
            <w:r w:rsidRPr="004C7498">
              <w:rPr>
                <w:rFonts w:ascii="Arial" w:hAnsi="Arial" w:cs="Arial"/>
                <w:b/>
              </w:rPr>
              <w:t xml:space="preserve"> Proposal cost</w:t>
            </w:r>
          </w:p>
          <w:p w14:paraId="5D213258" w14:textId="6F2C2A92" w:rsidR="004C7498" w:rsidRPr="004C7498" w:rsidRDefault="004C7498" w:rsidP="00471BC6">
            <w:pPr>
              <w:rPr>
                <w:rFonts w:ascii="Arial" w:hAnsi="Arial" w:cs="Arial"/>
                <w:i/>
              </w:rPr>
            </w:pPr>
          </w:p>
        </w:tc>
      </w:tr>
      <w:tr w:rsidR="004C7498" w:rsidRPr="004C7498" w14:paraId="6C6BFF9F" w14:textId="77777777" w:rsidTr="004C7498">
        <w:trPr>
          <w:trHeight w:val="69"/>
        </w:trPr>
        <w:tc>
          <w:tcPr>
            <w:tcW w:w="323" w:type="pct"/>
            <w:tcBorders>
              <w:left w:val="single" w:sz="18" w:space="0" w:color="auto"/>
            </w:tcBorders>
          </w:tcPr>
          <w:p w14:paraId="4219450A" w14:textId="77777777" w:rsidR="004C7498" w:rsidRPr="004C7498" w:rsidRDefault="004C7498" w:rsidP="00471BC6">
            <w:pPr>
              <w:rPr>
                <w:rFonts w:ascii="Arial" w:hAnsi="Arial" w:cs="Arial"/>
                <w:b/>
              </w:rPr>
            </w:pPr>
            <w:r w:rsidRPr="004C7498">
              <w:rPr>
                <w:rFonts w:ascii="Arial" w:hAnsi="Arial" w:cs="Arial"/>
                <w:b/>
              </w:rPr>
              <w:t>Task No.</w:t>
            </w:r>
          </w:p>
        </w:tc>
        <w:tc>
          <w:tcPr>
            <w:tcW w:w="1085" w:type="pct"/>
          </w:tcPr>
          <w:p w14:paraId="5E7A7868" w14:textId="77777777" w:rsidR="004C7498" w:rsidRPr="004C7498" w:rsidRDefault="004C7498" w:rsidP="00471BC6">
            <w:pPr>
              <w:rPr>
                <w:rFonts w:ascii="Arial" w:hAnsi="Arial" w:cs="Arial"/>
                <w:b/>
              </w:rPr>
            </w:pPr>
            <w:r w:rsidRPr="004C7498">
              <w:rPr>
                <w:rFonts w:ascii="Arial" w:hAnsi="Arial" w:cs="Arial"/>
                <w:b/>
              </w:rPr>
              <w:t>Consultant name</w:t>
            </w:r>
          </w:p>
        </w:tc>
        <w:tc>
          <w:tcPr>
            <w:tcW w:w="1017" w:type="pct"/>
            <w:gridSpan w:val="2"/>
          </w:tcPr>
          <w:p w14:paraId="1B6A1D94" w14:textId="67D0127F" w:rsidR="004C7498" w:rsidRPr="004C7498" w:rsidRDefault="004C7498" w:rsidP="00471BC6">
            <w:pPr>
              <w:rPr>
                <w:rFonts w:ascii="Arial" w:hAnsi="Arial" w:cs="Arial"/>
                <w:b/>
              </w:rPr>
            </w:pPr>
            <w:r w:rsidRPr="004C7498">
              <w:rPr>
                <w:rFonts w:ascii="Arial" w:hAnsi="Arial" w:cs="Arial"/>
                <w:b/>
              </w:rPr>
              <w:t>T</w:t>
            </w:r>
            <w:r w:rsidR="00B554E0">
              <w:rPr>
                <w:rFonts w:ascii="Arial" w:hAnsi="Arial" w:cs="Arial"/>
                <w:b/>
              </w:rPr>
              <w:t>i</w:t>
            </w:r>
            <w:r w:rsidRPr="004C7498">
              <w:rPr>
                <w:rFonts w:ascii="Arial" w:hAnsi="Arial" w:cs="Arial"/>
                <w:b/>
              </w:rPr>
              <w:t>tle/Grade</w:t>
            </w:r>
          </w:p>
        </w:tc>
        <w:tc>
          <w:tcPr>
            <w:tcW w:w="610" w:type="pct"/>
          </w:tcPr>
          <w:p w14:paraId="50FD6A8A" w14:textId="77777777" w:rsidR="004C7498" w:rsidRPr="004C7498" w:rsidRDefault="004C7498" w:rsidP="00471BC6">
            <w:pPr>
              <w:rPr>
                <w:rFonts w:ascii="Arial" w:hAnsi="Arial" w:cs="Arial"/>
                <w:b/>
              </w:rPr>
            </w:pPr>
            <w:r w:rsidRPr="004C7498">
              <w:rPr>
                <w:rFonts w:ascii="Arial" w:hAnsi="Arial" w:cs="Arial"/>
                <w:b/>
              </w:rPr>
              <w:t>Day rate</w:t>
            </w:r>
          </w:p>
        </w:tc>
        <w:tc>
          <w:tcPr>
            <w:tcW w:w="678" w:type="pct"/>
          </w:tcPr>
          <w:p w14:paraId="24ED1DAE" w14:textId="77777777" w:rsidR="004C7498" w:rsidRPr="004C7498" w:rsidRDefault="004C7498" w:rsidP="00471BC6">
            <w:pPr>
              <w:rPr>
                <w:rFonts w:ascii="Arial" w:hAnsi="Arial" w:cs="Arial"/>
                <w:b/>
              </w:rPr>
            </w:pPr>
            <w:r w:rsidRPr="004C7498">
              <w:rPr>
                <w:rFonts w:ascii="Arial" w:hAnsi="Arial" w:cs="Arial"/>
                <w:b/>
              </w:rPr>
              <w:t>No. of Days or part thereof</w:t>
            </w:r>
          </w:p>
        </w:tc>
        <w:tc>
          <w:tcPr>
            <w:tcW w:w="1288" w:type="pct"/>
            <w:tcBorders>
              <w:right w:val="single" w:sz="18" w:space="0" w:color="auto"/>
            </w:tcBorders>
          </w:tcPr>
          <w:p w14:paraId="3798651E" w14:textId="77777777" w:rsidR="004C7498" w:rsidRPr="004C7498" w:rsidRDefault="004C7498" w:rsidP="00471BC6">
            <w:pPr>
              <w:rPr>
                <w:rFonts w:ascii="Arial" w:hAnsi="Arial" w:cs="Arial"/>
                <w:b/>
              </w:rPr>
            </w:pPr>
            <w:r w:rsidRPr="004C7498">
              <w:rPr>
                <w:rFonts w:ascii="Arial" w:hAnsi="Arial" w:cs="Arial"/>
                <w:b/>
              </w:rPr>
              <w:t>Cost</w:t>
            </w:r>
          </w:p>
        </w:tc>
      </w:tr>
      <w:tr w:rsidR="004C7498" w:rsidRPr="004C7498" w14:paraId="6E282B68" w14:textId="77777777" w:rsidTr="004C7498">
        <w:trPr>
          <w:trHeight w:val="67"/>
        </w:trPr>
        <w:tc>
          <w:tcPr>
            <w:tcW w:w="323" w:type="pct"/>
            <w:tcBorders>
              <w:left w:val="single" w:sz="18" w:space="0" w:color="auto"/>
            </w:tcBorders>
          </w:tcPr>
          <w:p w14:paraId="063A5ACB" w14:textId="77777777" w:rsidR="004C7498" w:rsidRPr="004C7498" w:rsidRDefault="004C7498" w:rsidP="00471BC6">
            <w:pPr>
              <w:rPr>
                <w:rFonts w:ascii="Arial" w:hAnsi="Arial" w:cs="Arial"/>
              </w:rPr>
            </w:pPr>
          </w:p>
        </w:tc>
        <w:tc>
          <w:tcPr>
            <w:tcW w:w="1085" w:type="pct"/>
          </w:tcPr>
          <w:p w14:paraId="07B9E41C" w14:textId="77777777" w:rsidR="004C7498" w:rsidRPr="004C7498" w:rsidRDefault="004C7498" w:rsidP="00471BC6">
            <w:pPr>
              <w:rPr>
                <w:rFonts w:ascii="Arial" w:hAnsi="Arial" w:cs="Arial"/>
              </w:rPr>
            </w:pPr>
          </w:p>
        </w:tc>
        <w:tc>
          <w:tcPr>
            <w:tcW w:w="1017" w:type="pct"/>
            <w:gridSpan w:val="2"/>
          </w:tcPr>
          <w:p w14:paraId="0170A8CB" w14:textId="77777777" w:rsidR="004C7498" w:rsidRPr="004C7498" w:rsidRDefault="004C7498" w:rsidP="00471BC6">
            <w:pPr>
              <w:rPr>
                <w:rFonts w:ascii="Arial" w:hAnsi="Arial" w:cs="Arial"/>
              </w:rPr>
            </w:pPr>
          </w:p>
        </w:tc>
        <w:tc>
          <w:tcPr>
            <w:tcW w:w="610" w:type="pct"/>
          </w:tcPr>
          <w:p w14:paraId="5A082413" w14:textId="77777777" w:rsidR="004C7498" w:rsidRPr="004C7498" w:rsidRDefault="004C7498" w:rsidP="00471BC6">
            <w:pPr>
              <w:rPr>
                <w:rFonts w:ascii="Arial" w:hAnsi="Arial" w:cs="Arial"/>
              </w:rPr>
            </w:pPr>
          </w:p>
        </w:tc>
        <w:tc>
          <w:tcPr>
            <w:tcW w:w="678" w:type="pct"/>
          </w:tcPr>
          <w:p w14:paraId="055CCCD1" w14:textId="77777777" w:rsidR="004C7498" w:rsidRPr="004C7498" w:rsidRDefault="004C7498" w:rsidP="00471BC6">
            <w:pPr>
              <w:rPr>
                <w:rFonts w:ascii="Arial" w:hAnsi="Arial" w:cs="Arial"/>
              </w:rPr>
            </w:pPr>
          </w:p>
        </w:tc>
        <w:tc>
          <w:tcPr>
            <w:tcW w:w="1288" w:type="pct"/>
            <w:tcBorders>
              <w:right w:val="single" w:sz="18" w:space="0" w:color="auto"/>
            </w:tcBorders>
          </w:tcPr>
          <w:p w14:paraId="542A19AF" w14:textId="77777777" w:rsidR="004C7498" w:rsidRPr="004C7498" w:rsidRDefault="004C7498" w:rsidP="00471BC6">
            <w:pPr>
              <w:rPr>
                <w:rFonts w:ascii="Arial" w:hAnsi="Arial" w:cs="Arial"/>
              </w:rPr>
            </w:pPr>
          </w:p>
        </w:tc>
      </w:tr>
      <w:tr w:rsidR="004C7498" w:rsidRPr="004C7498" w14:paraId="488C5F3E" w14:textId="77777777" w:rsidTr="004C7498">
        <w:trPr>
          <w:trHeight w:val="67"/>
        </w:trPr>
        <w:tc>
          <w:tcPr>
            <w:tcW w:w="323" w:type="pct"/>
            <w:tcBorders>
              <w:left w:val="single" w:sz="18" w:space="0" w:color="auto"/>
            </w:tcBorders>
          </w:tcPr>
          <w:p w14:paraId="16163702" w14:textId="77777777" w:rsidR="004C7498" w:rsidRPr="004C7498" w:rsidRDefault="004C7498" w:rsidP="00471BC6">
            <w:pPr>
              <w:rPr>
                <w:rFonts w:ascii="Arial" w:hAnsi="Arial" w:cs="Arial"/>
              </w:rPr>
            </w:pPr>
          </w:p>
        </w:tc>
        <w:tc>
          <w:tcPr>
            <w:tcW w:w="1085" w:type="pct"/>
          </w:tcPr>
          <w:p w14:paraId="6D4915E0" w14:textId="77777777" w:rsidR="004C7498" w:rsidRPr="004C7498" w:rsidRDefault="004C7498" w:rsidP="00471BC6">
            <w:pPr>
              <w:rPr>
                <w:rFonts w:ascii="Arial" w:hAnsi="Arial" w:cs="Arial"/>
              </w:rPr>
            </w:pPr>
          </w:p>
        </w:tc>
        <w:tc>
          <w:tcPr>
            <w:tcW w:w="1017" w:type="pct"/>
            <w:gridSpan w:val="2"/>
          </w:tcPr>
          <w:p w14:paraId="27D91D86" w14:textId="77777777" w:rsidR="004C7498" w:rsidRPr="004C7498" w:rsidRDefault="004C7498" w:rsidP="00471BC6">
            <w:pPr>
              <w:rPr>
                <w:rFonts w:ascii="Arial" w:hAnsi="Arial" w:cs="Arial"/>
              </w:rPr>
            </w:pPr>
          </w:p>
        </w:tc>
        <w:tc>
          <w:tcPr>
            <w:tcW w:w="610" w:type="pct"/>
          </w:tcPr>
          <w:p w14:paraId="4F4E6DED" w14:textId="77777777" w:rsidR="004C7498" w:rsidRPr="004C7498" w:rsidRDefault="004C7498" w:rsidP="00471BC6">
            <w:pPr>
              <w:rPr>
                <w:rFonts w:ascii="Arial" w:hAnsi="Arial" w:cs="Arial"/>
              </w:rPr>
            </w:pPr>
          </w:p>
        </w:tc>
        <w:tc>
          <w:tcPr>
            <w:tcW w:w="678" w:type="pct"/>
          </w:tcPr>
          <w:p w14:paraId="0EDC0B8C" w14:textId="77777777" w:rsidR="004C7498" w:rsidRPr="004C7498" w:rsidRDefault="004C7498" w:rsidP="00471BC6">
            <w:pPr>
              <w:rPr>
                <w:rFonts w:ascii="Arial" w:hAnsi="Arial" w:cs="Arial"/>
              </w:rPr>
            </w:pPr>
          </w:p>
        </w:tc>
        <w:tc>
          <w:tcPr>
            <w:tcW w:w="1288" w:type="pct"/>
            <w:tcBorders>
              <w:right w:val="single" w:sz="18" w:space="0" w:color="auto"/>
            </w:tcBorders>
          </w:tcPr>
          <w:p w14:paraId="2AB3A34C" w14:textId="77777777" w:rsidR="004C7498" w:rsidRPr="004C7498" w:rsidRDefault="004C7498" w:rsidP="00471BC6">
            <w:pPr>
              <w:rPr>
                <w:rFonts w:ascii="Arial" w:hAnsi="Arial" w:cs="Arial"/>
              </w:rPr>
            </w:pPr>
          </w:p>
        </w:tc>
      </w:tr>
      <w:tr w:rsidR="004C7498" w:rsidRPr="004C7498" w14:paraId="4F910EC0" w14:textId="77777777" w:rsidTr="004C7498">
        <w:trPr>
          <w:trHeight w:val="67"/>
        </w:trPr>
        <w:tc>
          <w:tcPr>
            <w:tcW w:w="323" w:type="pct"/>
            <w:tcBorders>
              <w:left w:val="single" w:sz="18" w:space="0" w:color="auto"/>
            </w:tcBorders>
          </w:tcPr>
          <w:p w14:paraId="4C2EB60C" w14:textId="77777777" w:rsidR="004C7498" w:rsidRPr="004C7498" w:rsidRDefault="004C7498" w:rsidP="00471BC6">
            <w:pPr>
              <w:rPr>
                <w:rFonts w:ascii="Arial" w:hAnsi="Arial" w:cs="Arial"/>
              </w:rPr>
            </w:pPr>
          </w:p>
        </w:tc>
        <w:tc>
          <w:tcPr>
            <w:tcW w:w="1085" w:type="pct"/>
          </w:tcPr>
          <w:p w14:paraId="370AD31C" w14:textId="77777777" w:rsidR="004C7498" w:rsidRPr="004C7498" w:rsidRDefault="004C7498" w:rsidP="00471BC6">
            <w:pPr>
              <w:rPr>
                <w:rFonts w:ascii="Arial" w:hAnsi="Arial" w:cs="Arial"/>
              </w:rPr>
            </w:pPr>
          </w:p>
        </w:tc>
        <w:tc>
          <w:tcPr>
            <w:tcW w:w="1017" w:type="pct"/>
            <w:gridSpan w:val="2"/>
          </w:tcPr>
          <w:p w14:paraId="3551B077" w14:textId="77777777" w:rsidR="004C7498" w:rsidRPr="004C7498" w:rsidRDefault="004C7498" w:rsidP="00471BC6">
            <w:pPr>
              <w:rPr>
                <w:rFonts w:ascii="Arial" w:hAnsi="Arial" w:cs="Arial"/>
              </w:rPr>
            </w:pPr>
          </w:p>
        </w:tc>
        <w:tc>
          <w:tcPr>
            <w:tcW w:w="610" w:type="pct"/>
          </w:tcPr>
          <w:p w14:paraId="19EB9029" w14:textId="77777777" w:rsidR="004C7498" w:rsidRPr="004C7498" w:rsidRDefault="004C7498" w:rsidP="00471BC6">
            <w:pPr>
              <w:rPr>
                <w:rFonts w:ascii="Arial" w:hAnsi="Arial" w:cs="Arial"/>
              </w:rPr>
            </w:pPr>
          </w:p>
        </w:tc>
        <w:tc>
          <w:tcPr>
            <w:tcW w:w="678" w:type="pct"/>
          </w:tcPr>
          <w:p w14:paraId="7D0640F1" w14:textId="77777777" w:rsidR="004C7498" w:rsidRPr="004C7498" w:rsidRDefault="004C7498" w:rsidP="00471BC6">
            <w:pPr>
              <w:rPr>
                <w:rFonts w:ascii="Arial" w:hAnsi="Arial" w:cs="Arial"/>
              </w:rPr>
            </w:pPr>
          </w:p>
        </w:tc>
        <w:tc>
          <w:tcPr>
            <w:tcW w:w="1288" w:type="pct"/>
            <w:tcBorders>
              <w:right w:val="single" w:sz="18" w:space="0" w:color="auto"/>
            </w:tcBorders>
          </w:tcPr>
          <w:p w14:paraId="73F66BC3" w14:textId="77777777" w:rsidR="004C7498" w:rsidRPr="004C7498" w:rsidRDefault="004C7498" w:rsidP="00471BC6">
            <w:pPr>
              <w:rPr>
                <w:rFonts w:ascii="Arial" w:hAnsi="Arial" w:cs="Arial"/>
              </w:rPr>
            </w:pPr>
          </w:p>
        </w:tc>
      </w:tr>
      <w:tr w:rsidR="004C7498" w:rsidRPr="004C7498" w14:paraId="0F3F8900" w14:textId="77777777" w:rsidTr="004C7498">
        <w:trPr>
          <w:trHeight w:val="67"/>
        </w:trPr>
        <w:tc>
          <w:tcPr>
            <w:tcW w:w="323" w:type="pct"/>
            <w:tcBorders>
              <w:left w:val="single" w:sz="18" w:space="0" w:color="auto"/>
            </w:tcBorders>
          </w:tcPr>
          <w:p w14:paraId="0AEFBFC8" w14:textId="77777777" w:rsidR="004C7498" w:rsidRPr="004C7498" w:rsidRDefault="004C7498" w:rsidP="00471BC6">
            <w:pPr>
              <w:rPr>
                <w:rFonts w:ascii="Arial" w:hAnsi="Arial" w:cs="Arial"/>
              </w:rPr>
            </w:pPr>
          </w:p>
        </w:tc>
        <w:tc>
          <w:tcPr>
            <w:tcW w:w="1085" w:type="pct"/>
          </w:tcPr>
          <w:p w14:paraId="2A9D21F1" w14:textId="77777777" w:rsidR="004C7498" w:rsidRPr="004C7498" w:rsidRDefault="004C7498" w:rsidP="00471BC6">
            <w:pPr>
              <w:rPr>
                <w:rFonts w:ascii="Arial" w:hAnsi="Arial" w:cs="Arial"/>
              </w:rPr>
            </w:pPr>
          </w:p>
        </w:tc>
        <w:tc>
          <w:tcPr>
            <w:tcW w:w="1017" w:type="pct"/>
            <w:gridSpan w:val="2"/>
          </w:tcPr>
          <w:p w14:paraId="692BDC8F" w14:textId="77777777" w:rsidR="004C7498" w:rsidRPr="004C7498" w:rsidRDefault="004C7498" w:rsidP="00471BC6">
            <w:pPr>
              <w:rPr>
                <w:rFonts w:ascii="Arial" w:hAnsi="Arial" w:cs="Arial"/>
              </w:rPr>
            </w:pPr>
          </w:p>
        </w:tc>
        <w:tc>
          <w:tcPr>
            <w:tcW w:w="610" w:type="pct"/>
          </w:tcPr>
          <w:p w14:paraId="52B95B20" w14:textId="77777777" w:rsidR="004C7498" w:rsidRPr="004C7498" w:rsidRDefault="004C7498" w:rsidP="00471BC6">
            <w:pPr>
              <w:rPr>
                <w:rFonts w:ascii="Arial" w:hAnsi="Arial" w:cs="Arial"/>
              </w:rPr>
            </w:pPr>
          </w:p>
        </w:tc>
        <w:tc>
          <w:tcPr>
            <w:tcW w:w="678" w:type="pct"/>
          </w:tcPr>
          <w:p w14:paraId="2BE9BA29" w14:textId="77777777" w:rsidR="004C7498" w:rsidRPr="004C7498" w:rsidRDefault="004C7498" w:rsidP="00471BC6">
            <w:pPr>
              <w:rPr>
                <w:rFonts w:ascii="Arial" w:hAnsi="Arial" w:cs="Arial"/>
              </w:rPr>
            </w:pPr>
          </w:p>
        </w:tc>
        <w:tc>
          <w:tcPr>
            <w:tcW w:w="1288" w:type="pct"/>
            <w:tcBorders>
              <w:right w:val="single" w:sz="18" w:space="0" w:color="auto"/>
            </w:tcBorders>
          </w:tcPr>
          <w:p w14:paraId="40978113" w14:textId="77777777" w:rsidR="004C7498" w:rsidRPr="004C7498" w:rsidRDefault="004C7498" w:rsidP="00471BC6">
            <w:pPr>
              <w:rPr>
                <w:rFonts w:ascii="Arial" w:hAnsi="Arial" w:cs="Arial"/>
              </w:rPr>
            </w:pPr>
          </w:p>
        </w:tc>
      </w:tr>
      <w:tr w:rsidR="004C7498" w:rsidRPr="004C7498" w14:paraId="037D4811" w14:textId="77777777" w:rsidTr="004C7498">
        <w:trPr>
          <w:trHeight w:val="67"/>
        </w:trPr>
        <w:tc>
          <w:tcPr>
            <w:tcW w:w="3712" w:type="pct"/>
            <w:gridSpan w:val="6"/>
            <w:tcBorders>
              <w:left w:val="single" w:sz="18" w:space="0" w:color="auto"/>
            </w:tcBorders>
          </w:tcPr>
          <w:p w14:paraId="13778956" w14:textId="77777777" w:rsidR="004C7498" w:rsidRPr="004C7498" w:rsidRDefault="004C7498" w:rsidP="00471BC6">
            <w:pPr>
              <w:jc w:val="right"/>
              <w:rPr>
                <w:rFonts w:ascii="Arial" w:hAnsi="Arial" w:cs="Arial"/>
                <w:b/>
              </w:rPr>
            </w:pPr>
            <w:r w:rsidRPr="004C7498">
              <w:rPr>
                <w:rFonts w:ascii="Arial" w:hAnsi="Arial" w:cs="Arial"/>
                <w:b/>
              </w:rPr>
              <w:t xml:space="preserve">                                                                                              Total staff costs</w:t>
            </w:r>
          </w:p>
        </w:tc>
        <w:tc>
          <w:tcPr>
            <w:tcW w:w="1288" w:type="pct"/>
            <w:tcBorders>
              <w:right w:val="single" w:sz="18" w:space="0" w:color="auto"/>
            </w:tcBorders>
          </w:tcPr>
          <w:p w14:paraId="6BDC74E4" w14:textId="77777777" w:rsidR="004C7498" w:rsidRPr="004C7498" w:rsidRDefault="004C7498" w:rsidP="00471BC6">
            <w:pPr>
              <w:rPr>
                <w:rFonts w:ascii="Arial" w:hAnsi="Arial" w:cs="Arial"/>
                <w:b/>
              </w:rPr>
            </w:pPr>
          </w:p>
        </w:tc>
      </w:tr>
      <w:tr w:rsidR="004C7498" w:rsidRPr="004C7498" w14:paraId="279E2F10" w14:textId="77777777" w:rsidTr="004C7498">
        <w:trPr>
          <w:trHeight w:val="67"/>
        </w:trPr>
        <w:tc>
          <w:tcPr>
            <w:tcW w:w="1678" w:type="pct"/>
            <w:gridSpan w:val="3"/>
            <w:tcBorders>
              <w:left w:val="single" w:sz="18" w:space="0" w:color="auto"/>
            </w:tcBorders>
          </w:tcPr>
          <w:p w14:paraId="784263C1" w14:textId="77777777" w:rsidR="004C7498" w:rsidRPr="004C7498" w:rsidRDefault="004C7498" w:rsidP="00471BC6">
            <w:pPr>
              <w:rPr>
                <w:rFonts w:ascii="Arial" w:hAnsi="Arial" w:cs="Arial"/>
                <w:b/>
              </w:rPr>
            </w:pPr>
            <w:r w:rsidRPr="004C7498">
              <w:rPr>
                <w:rFonts w:ascii="Arial" w:hAnsi="Arial" w:cs="Arial"/>
                <w:b/>
              </w:rPr>
              <w:t xml:space="preserve">Expenses (please detail type </w:t>
            </w:r>
            <w:proofErr w:type="spellStart"/>
            <w:proofErr w:type="gramStart"/>
            <w:r w:rsidRPr="004C7498">
              <w:rPr>
                <w:rFonts w:ascii="Arial" w:hAnsi="Arial" w:cs="Arial"/>
                <w:b/>
              </w:rPr>
              <w:t>ie</w:t>
            </w:r>
            <w:proofErr w:type="spellEnd"/>
            <w:proofErr w:type="gramEnd"/>
            <w:r w:rsidRPr="004C7498">
              <w:rPr>
                <w:rFonts w:ascii="Arial" w:hAnsi="Arial" w:cs="Arial"/>
                <w:b/>
              </w:rPr>
              <w:t xml:space="preserve"> travel, accommodation etc)</w:t>
            </w:r>
          </w:p>
        </w:tc>
        <w:tc>
          <w:tcPr>
            <w:tcW w:w="2034" w:type="pct"/>
            <w:gridSpan w:val="3"/>
          </w:tcPr>
          <w:p w14:paraId="25F9CA11" w14:textId="77777777" w:rsidR="004C7498" w:rsidRPr="004C7498" w:rsidRDefault="004C7498" w:rsidP="00471BC6">
            <w:pPr>
              <w:rPr>
                <w:rFonts w:ascii="Arial" w:hAnsi="Arial" w:cs="Arial"/>
              </w:rPr>
            </w:pPr>
          </w:p>
        </w:tc>
        <w:tc>
          <w:tcPr>
            <w:tcW w:w="1288" w:type="pct"/>
            <w:tcBorders>
              <w:right w:val="single" w:sz="18" w:space="0" w:color="auto"/>
            </w:tcBorders>
          </w:tcPr>
          <w:p w14:paraId="7AC9B7D4" w14:textId="77777777" w:rsidR="004C7498" w:rsidRPr="004C7498" w:rsidRDefault="004C7498" w:rsidP="00471BC6">
            <w:pPr>
              <w:rPr>
                <w:rFonts w:ascii="Arial" w:hAnsi="Arial" w:cs="Arial"/>
              </w:rPr>
            </w:pPr>
          </w:p>
        </w:tc>
      </w:tr>
      <w:tr w:rsidR="004C7498" w:rsidRPr="004C7498" w14:paraId="201AFD11" w14:textId="77777777" w:rsidTr="004C7498">
        <w:trPr>
          <w:trHeight w:val="67"/>
        </w:trPr>
        <w:tc>
          <w:tcPr>
            <w:tcW w:w="3712" w:type="pct"/>
            <w:gridSpan w:val="6"/>
            <w:tcBorders>
              <w:left w:val="single" w:sz="18" w:space="0" w:color="auto"/>
              <w:bottom w:val="single" w:sz="18" w:space="0" w:color="auto"/>
            </w:tcBorders>
          </w:tcPr>
          <w:p w14:paraId="7A8033C7" w14:textId="77777777" w:rsidR="004C7498" w:rsidRPr="004C7498" w:rsidRDefault="004C7498" w:rsidP="00471BC6">
            <w:pPr>
              <w:jc w:val="right"/>
              <w:rPr>
                <w:rFonts w:ascii="Arial" w:hAnsi="Arial" w:cs="Arial"/>
                <w:b/>
              </w:rPr>
            </w:pPr>
            <w:r w:rsidRPr="004C7498">
              <w:rPr>
                <w:rFonts w:ascii="Arial" w:hAnsi="Arial" w:cs="Arial"/>
                <w:b/>
              </w:rPr>
              <w:t>Total overall cost</w:t>
            </w:r>
          </w:p>
        </w:tc>
        <w:tc>
          <w:tcPr>
            <w:tcW w:w="1288" w:type="pct"/>
            <w:tcBorders>
              <w:bottom w:val="single" w:sz="18" w:space="0" w:color="auto"/>
              <w:right w:val="single" w:sz="18" w:space="0" w:color="auto"/>
            </w:tcBorders>
          </w:tcPr>
          <w:p w14:paraId="234F57A0" w14:textId="77777777" w:rsidR="004C7498" w:rsidRPr="004C7498" w:rsidRDefault="004C7498" w:rsidP="00471BC6">
            <w:pPr>
              <w:rPr>
                <w:rFonts w:ascii="Arial" w:hAnsi="Arial" w:cs="Arial"/>
              </w:rPr>
            </w:pPr>
          </w:p>
          <w:p w14:paraId="35E15231" w14:textId="77777777" w:rsidR="004C7498" w:rsidRPr="004C7498" w:rsidRDefault="004C7498" w:rsidP="00471BC6">
            <w:pPr>
              <w:rPr>
                <w:rFonts w:ascii="Arial" w:hAnsi="Arial" w:cs="Arial"/>
              </w:rPr>
            </w:pPr>
          </w:p>
        </w:tc>
      </w:tr>
    </w:tbl>
    <w:p w14:paraId="40E594FC" w14:textId="77777777" w:rsidR="004C7498" w:rsidRDefault="004C7498" w:rsidP="002F4C87">
      <w:pPr>
        <w:pStyle w:val="BodyText"/>
        <w:spacing w:after="0"/>
        <w:rPr>
          <w:rFonts w:ascii="Arial" w:hAnsi="Arial" w:cs="Arial"/>
          <w:spacing w:val="-3"/>
          <w:szCs w:val="22"/>
        </w:rPr>
      </w:pPr>
    </w:p>
    <w:p w14:paraId="68417F59"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68417F5A" w14:textId="77777777" w:rsidR="00895C87" w:rsidRPr="0093723A" w:rsidRDefault="00895C87" w:rsidP="00E65F5D">
      <w:pPr>
        <w:pStyle w:val="BodyText3"/>
        <w:spacing w:after="0"/>
        <w:rPr>
          <w:rFonts w:ascii="Arial" w:hAnsi="Arial" w:cs="Arial"/>
          <w:caps/>
          <w:sz w:val="20"/>
          <w:szCs w:val="22"/>
        </w:rPr>
      </w:pPr>
    </w:p>
    <w:p w14:paraId="68417F5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8417F5C"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68417F5D" w14:textId="77777777" w:rsidR="00895C87" w:rsidRPr="0093723A" w:rsidRDefault="00895C87" w:rsidP="00E65F5D">
      <w:pPr>
        <w:rPr>
          <w:rFonts w:ascii="Arial" w:hAnsi="Arial" w:cs="Arial"/>
          <w:szCs w:val="22"/>
        </w:rPr>
      </w:pPr>
    </w:p>
    <w:p w14:paraId="68417F5E"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68417F5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8417F63" w14:textId="77777777" w:rsidTr="00137E82">
        <w:tc>
          <w:tcPr>
            <w:tcW w:w="3652" w:type="dxa"/>
          </w:tcPr>
          <w:p w14:paraId="68417F6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8417F6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8417F6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8417F68" w14:textId="77777777" w:rsidTr="00137E82">
        <w:tc>
          <w:tcPr>
            <w:tcW w:w="3652" w:type="dxa"/>
          </w:tcPr>
          <w:p w14:paraId="68417F64" w14:textId="77777777" w:rsidR="00895C87" w:rsidRPr="0093723A" w:rsidRDefault="00895C87" w:rsidP="00E65F5D">
            <w:pPr>
              <w:rPr>
                <w:rFonts w:ascii="Arial" w:hAnsi="Arial" w:cs="Arial"/>
                <w:szCs w:val="22"/>
              </w:rPr>
            </w:pPr>
          </w:p>
        </w:tc>
        <w:tc>
          <w:tcPr>
            <w:tcW w:w="3119" w:type="dxa"/>
          </w:tcPr>
          <w:p w14:paraId="68417F65" w14:textId="77777777" w:rsidR="00895C87" w:rsidRPr="0093723A" w:rsidRDefault="00895C87" w:rsidP="00E65F5D">
            <w:pPr>
              <w:rPr>
                <w:rFonts w:ascii="Arial" w:hAnsi="Arial" w:cs="Arial"/>
                <w:szCs w:val="22"/>
              </w:rPr>
            </w:pPr>
          </w:p>
        </w:tc>
        <w:tc>
          <w:tcPr>
            <w:tcW w:w="2693" w:type="dxa"/>
          </w:tcPr>
          <w:p w14:paraId="68417F66" w14:textId="77777777" w:rsidR="00895C87" w:rsidRPr="0093723A" w:rsidRDefault="00895C87" w:rsidP="00E65F5D">
            <w:pPr>
              <w:rPr>
                <w:rFonts w:ascii="Arial" w:hAnsi="Arial" w:cs="Arial"/>
                <w:szCs w:val="22"/>
              </w:rPr>
            </w:pPr>
          </w:p>
          <w:p w14:paraId="68417F67"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8417F6D" w14:textId="77777777" w:rsidTr="00137E82">
        <w:tc>
          <w:tcPr>
            <w:tcW w:w="3652" w:type="dxa"/>
          </w:tcPr>
          <w:p w14:paraId="68417F69" w14:textId="77777777" w:rsidR="00895C87" w:rsidRPr="0093723A" w:rsidRDefault="00895C87" w:rsidP="00E65F5D">
            <w:pPr>
              <w:rPr>
                <w:rFonts w:ascii="Arial" w:hAnsi="Arial" w:cs="Arial"/>
                <w:szCs w:val="22"/>
              </w:rPr>
            </w:pPr>
          </w:p>
        </w:tc>
        <w:tc>
          <w:tcPr>
            <w:tcW w:w="3119" w:type="dxa"/>
          </w:tcPr>
          <w:p w14:paraId="68417F6A" w14:textId="77777777" w:rsidR="00895C87" w:rsidRPr="0093723A" w:rsidRDefault="00895C87" w:rsidP="00E65F5D">
            <w:pPr>
              <w:rPr>
                <w:rFonts w:ascii="Arial" w:hAnsi="Arial" w:cs="Arial"/>
                <w:szCs w:val="22"/>
              </w:rPr>
            </w:pPr>
          </w:p>
        </w:tc>
        <w:tc>
          <w:tcPr>
            <w:tcW w:w="2693" w:type="dxa"/>
          </w:tcPr>
          <w:p w14:paraId="68417F6B" w14:textId="77777777" w:rsidR="00895C87" w:rsidRPr="0093723A" w:rsidRDefault="00895C87" w:rsidP="00E65F5D">
            <w:pPr>
              <w:rPr>
                <w:rFonts w:ascii="Arial" w:hAnsi="Arial" w:cs="Arial"/>
                <w:szCs w:val="22"/>
              </w:rPr>
            </w:pPr>
          </w:p>
          <w:p w14:paraId="68417F6C" w14:textId="77777777" w:rsidR="00895C87" w:rsidRPr="0093723A" w:rsidRDefault="00895C87" w:rsidP="00E65F5D">
            <w:pPr>
              <w:rPr>
                <w:rFonts w:ascii="Arial" w:hAnsi="Arial" w:cs="Arial"/>
                <w:szCs w:val="22"/>
              </w:rPr>
            </w:pPr>
          </w:p>
        </w:tc>
      </w:tr>
      <w:tr w:rsidR="00895C87" w:rsidRPr="0093723A" w14:paraId="68417F72" w14:textId="77777777" w:rsidTr="00137E82">
        <w:tc>
          <w:tcPr>
            <w:tcW w:w="3652" w:type="dxa"/>
          </w:tcPr>
          <w:p w14:paraId="68417F6E" w14:textId="77777777" w:rsidR="00895C87" w:rsidRPr="0093723A" w:rsidRDefault="00895C87" w:rsidP="00E65F5D">
            <w:pPr>
              <w:rPr>
                <w:rFonts w:ascii="Arial" w:hAnsi="Arial" w:cs="Arial"/>
                <w:szCs w:val="22"/>
              </w:rPr>
            </w:pPr>
          </w:p>
        </w:tc>
        <w:tc>
          <w:tcPr>
            <w:tcW w:w="3119" w:type="dxa"/>
          </w:tcPr>
          <w:p w14:paraId="68417F6F" w14:textId="77777777" w:rsidR="00895C87" w:rsidRPr="0093723A" w:rsidRDefault="00895C87" w:rsidP="00E65F5D">
            <w:pPr>
              <w:rPr>
                <w:rFonts w:ascii="Arial" w:hAnsi="Arial" w:cs="Arial"/>
                <w:szCs w:val="22"/>
              </w:rPr>
            </w:pPr>
          </w:p>
        </w:tc>
        <w:tc>
          <w:tcPr>
            <w:tcW w:w="2693" w:type="dxa"/>
          </w:tcPr>
          <w:p w14:paraId="68417F70" w14:textId="77777777" w:rsidR="00895C87" w:rsidRPr="0093723A" w:rsidRDefault="00895C87" w:rsidP="00E65F5D">
            <w:pPr>
              <w:rPr>
                <w:rFonts w:ascii="Arial" w:hAnsi="Arial" w:cs="Arial"/>
                <w:szCs w:val="22"/>
              </w:rPr>
            </w:pPr>
          </w:p>
          <w:p w14:paraId="68417F71" w14:textId="77777777" w:rsidR="00895C87" w:rsidRPr="0093723A" w:rsidRDefault="00895C87" w:rsidP="00E65F5D">
            <w:pPr>
              <w:rPr>
                <w:rFonts w:ascii="Arial" w:hAnsi="Arial" w:cs="Arial"/>
                <w:szCs w:val="22"/>
              </w:rPr>
            </w:pPr>
          </w:p>
        </w:tc>
      </w:tr>
    </w:tbl>
    <w:p w14:paraId="68417F73" w14:textId="77777777" w:rsidR="00895C87" w:rsidRPr="0093723A" w:rsidRDefault="00895C87" w:rsidP="00E65F5D">
      <w:pPr>
        <w:rPr>
          <w:rFonts w:ascii="Arial" w:hAnsi="Arial" w:cs="Arial"/>
          <w:szCs w:val="22"/>
        </w:rPr>
      </w:pPr>
    </w:p>
    <w:p w14:paraId="68417F74"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8417F7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8417F79" w14:textId="77777777" w:rsidTr="00137E82">
        <w:tc>
          <w:tcPr>
            <w:tcW w:w="3652" w:type="dxa"/>
          </w:tcPr>
          <w:p w14:paraId="68417F7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8417F7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8417F7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8417F7E" w14:textId="77777777" w:rsidTr="00137E82">
        <w:tc>
          <w:tcPr>
            <w:tcW w:w="3652" w:type="dxa"/>
          </w:tcPr>
          <w:p w14:paraId="68417F7A" w14:textId="77777777" w:rsidR="00895C87" w:rsidRPr="0093723A" w:rsidRDefault="00895C87" w:rsidP="00E65F5D">
            <w:pPr>
              <w:rPr>
                <w:rFonts w:ascii="Arial" w:hAnsi="Arial" w:cs="Arial"/>
                <w:szCs w:val="22"/>
              </w:rPr>
            </w:pPr>
          </w:p>
        </w:tc>
        <w:tc>
          <w:tcPr>
            <w:tcW w:w="3119" w:type="dxa"/>
          </w:tcPr>
          <w:p w14:paraId="68417F7B" w14:textId="77777777" w:rsidR="00895C87" w:rsidRPr="0093723A" w:rsidRDefault="00895C87" w:rsidP="00E65F5D">
            <w:pPr>
              <w:rPr>
                <w:rFonts w:ascii="Arial" w:hAnsi="Arial" w:cs="Arial"/>
                <w:szCs w:val="22"/>
              </w:rPr>
            </w:pPr>
          </w:p>
        </w:tc>
        <w:tc>
          <w:tcPr>
            <w:tcW w:w="2693" w:type="dxa"/>
          </w:tcPr>
          <w:p w14:paraId="68417F7C" w14:textId="77777777" w:rsidR="00895C87" w:rsidRPr="0093723A" w:rsidRDefault="00895C87" w:rsidP="00E65F5D">
            <w:pPr>
              <w:rPr>
                <w:rFonts w:ascii="Arial" w:hAnsi="Arial" w:cs="Arial"/>
                <w:szCs w:val="22"/>
              </w:rPr>
            </w:pPr>
          </w:p>
          <w:p w14:paraId="68417F7D" w14:textId="77777777" w:rsidR="00895C87" w:rsidRPr="0093723A" w:rsidRDefault="00895C87" w:rsidP="00E65F5D">
            <w:pPr>
              <w:rPr>
                <w:rFonts w:ascii="Arial" w:hAnsi="Arial" w:cs="Arial"/>
                <w:szCs w:val="22"/>
              </w:rPr>
            </w:pPr>
          </w:p>
        </w:tc>
      </w:tr>
      <w:tr w:rsidR="00895C87" w:rsidRPr="0093723A" w14:paraId="68417F83" w14:textId="77777777" w:rsidTr="00137E82">
        <w:tc>
          <w:tcPr>
            <w:tcW w:w="3652" w:type="dxa"/>
          </w:tcPr>
          <w:p w14:paraId="68417F7F" w14:textId="77777777" w:rsidR="00895C87" w:rsidRPr="0093723A" w:rsidRDefault="00895C87" w:rsidP="00E65F5D">
            <w:pPr>
              <w:rPr>
                <w:rFonts w:ascii="Arial" w:hAnsi="Arial" w:cs="Arial"/>
                <w:szCs w:val="22"/>
              </w:rPr>
            </w:pPr>
          </w:p>
        </w:tc>
        <w:tc>
          <w:tcPr>
            <w:tcW w:w="3119" w:type="dxa"/>
          </w:tcPr>
          <w:p w14:paraId="68417F80" w14:textId="77777777" w:rsidR="00895C87" w:rsidRPr="0093723A" w:rsidRDefault="00895C87" w:rsidP="00E65F5D">
            <w:pPr>
              <w:rPr>
                <w:rFonts w:ascii="Arial" w:hAnsi="Arial" w:cs="Arial"/>
                <w:szCs w:val="22"/>
              </w:rPr>
            </w:pPr>
          </w:p>
        </w:tc>
        <w:tc>
          <w:tcPr>
            <w:tcW w:w="2693" w:type="dxa"/>
          </w:tcPr>
          <w:p w14:paraId="68417F81" w14:textId="77777777" w:rsidR="00895C87" w:rsidRPr="0093723A" w:rsidRDefault="00895C87" w:rsidP="00E65F5D">
            <w:pPr>
              <w:rPr>
                <w:rFonts w:ascii="Arial" w:hAnsi="Arial" w:cs="Arial"/>
                <w:szCs w:val="22"/>
              </w:rPr>
            </w:pPr>
          </w:p>
          <w:p w14:paraId="68417F82" w14:textId="77777777" w:rsidR="00895C87" w:rsidRPr="0093723A" w:rsidRDefault="00895C87" w:rsidP="00E65F5D">
            <w:pPr>
              <w:rPr>
                <w:rFonts w:ascii="Arial" w:hAnsi="Arial" w:cs="Arial"/>
                <w:szCs w:val="22"/>
              </w:rPr>
            </w:pPr>
          </w:p>
        </w:tc>
      </w:tr>
      <w:tr w:rsidR="00895C87" w:rsidRPr="0093723A" w14:paraId="68417F88" w14:textId="77777777" w:rsidTr="00137E82">
        <w:tc>
          <w:tcPr>
            <w:tcW w:w="3652" w:type="dxa"/>
          </w:tcPr>
          <w:p w14:paraId="68417F84" w14:textId="77777777" w:rsidR="00895C87" w:rsidRPr="0093723A" w:rsidRDefault="00895C87" w:rsidP="00E65F5D">
            <w:pPr>
              <w:rPr>
                <w:rFonts w:ascii="Arial" w:hAnsi="Arial" w:cs="Arial"/>
                <w:szCs w:val="22"/>
              </w:rPr>
            </w:pPr>
          </w:p>
        </w:tc>
        <w:tc>
          <w:tcPr>
            <w:tcW w:w="3119" w:type="dxa"/>
          </w:tcPr>
          <w:p w14:paraId="68417F85" w14:textId="77777777" w:rsidR="00895C87" w:rsidRPr="0093723A" w:rsidRDefault="00895C87" w:rsidP="00E65F5D">
            <w:pPr>
              <w:rPr>
                <w:rFonts w:ascii="Arial" w:hAnsi="Arial" w:cs="Arial"/>
                <w:szCs w:val="22"/>
              </w:rPr>
            </w:pPr>
          </w:p>
        </w:tc>
        <w:tc>
          <w:tcPr>
            <w:tcW w:w="2693" w:type="dxa"/>
          </w:tcPr>
          <w:p w14:paraId="68417F86" w14:textId="77777777" w:rsidR="00895C87" w:rsidRPr="0093723A" w:rsidRDefault="00895C87" w:rsidP="00E65F5D">
            <w:pPr>
              <w:rPr>
                <w:rFonts w:ascii="Arial" w:hAnsi="Arial" w:cs="Arial"/>
                <w:szCs w:val="22"/>
              </w:rPr>
            </w:pPr>
          </w:p>
          <w:p w14:paraId="68417F87" w14:textId="77777777" w:rsidR="00895C87" w:rsidRPr="0093723A" w:rsidRDefault="00895C87" w:rsidP="00E65F5D">
            <w:pPr>
              <w:rPr>
                <w:rFonts w:ascii="Arial" w:hAnsi="Arial" w:cs="Arial"/>
                <w:szCs w:val="22"/>
              </w:rPr>
            </w:pPr>
          </w:p>
        </w:tc>
      </w:tr>
    </w:tbl>
    <w:p w14:paraId="68417F89" w14:textId="77777777" w:rsidR="00895C87" w:rsidRPr="0093723A" w:rsidRDefault="00895C87" w:rsidP="00E65F5D">
      <w:pPr>
        <w:jc w:val="both"/>
        <w:rPr>
          <w:rFonts w:ascii="Arial" w:hAnsi="Arial" w:cs="Arial"/>
          <w:szCs w:val="22"/>
        </w:rPr>
      </w:pPr>
    </w:p>
    <w:p w14:paraId="68417F8A"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w:t>
      </w:r>
      <w:r w:rsidR="00895C87" w:rsidRPr="0093723A">
        <w:rPr>
          <w:rFonts w:ascii="Arial" w:hAnsi="Arial" w:cs="Arial"/>
          <w:szCs w:val="22"/>
        </w:rPr>
        <w:lastRenderedPageBreak/>
        <w:t xml:space="preserve">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8417F8B" w14:textId="77777777" w:rsidR="0093252F" w:rsidRPr="0093723A" w:rsidRDefault="0093252F" w:rsidP="00E65F5D">
      <w:pPr>
        <w:rPr>
          <w:rFonts w:ascii="Arial" w:hAnsi="Arial" w:cs="Arial"/>
          <w:szCs w:val="22"/>
        </w:rPr>
      </w:pPr>
    </w:p>
    <w:p w14:paraId="1C4A0861" w14:textId="77777777" w:rsidR="004C7498" w:rsidRDefault="004C7498" w:rsidP="00E65F5D">
      <w:pPr>
        <w:rPr>
          <w:rFonts w:ascii="Arial" w:hAnsi="Arial" w:cs="Arial"/>
          <w:b/>
          <w:szCs w:val="22"/>
        </w:rPr>
      </w:pPr>
    </w:p>
    <w:p w14:paraId="56FFDB00" w14:textId="77777777" w:rsidR="004C7498" w:rsidRDefault="004C7498" w:rsidP="00E65F5D">
      <w:pPr>
        <w:rPr>
          <w:rFonts w:ascii="Arial" w:hAnsi="Arial" w:cs="Arial"/>
          <w:b/>
          <w:szCs w:val="22"/>
        </w:rPr>
      </w:pPr>
    </w:p>
    <w:p w14:paraId="73FDFF77" w14:textId="77777777" w:rsidR="004C7498" w:rsidRDefault="004C7498" w:rsidP="00E65F5D">
      <w:pPr>
        <w:rPr>
          <w:rFonts w:ascii="Arial" w:hAnsi="Arial" w:cs="Arial"/>
          <w:b/>
          <w:szCs w:val="22"/>
        </w:rPr>
      </w:pPr>
    </w:p>
    <w:p w14:paraId="62C71ED3" w14:textId="77777777" w:rsidR="004C7498" w:rsidRDefault="004C7498" w:rsidP="00E65F5D">
      <w:pPr>
        <w:rPr>
          <w:rFonts w:ascii="Arial" w:hAnsi="Arial" w:cs="Arial"/>
          <w:b/>
          <w:szCs w:val="22"/>
        </w:rPr>
      </w:pPr>
    </w:p>
    <w:p w14:paraId="073D464F" w14:textId="77777777" w:rsidR="004C7498" w:rsidRDefault="004C7498" w:rsidP="00E65F5D">
      <w:pPr>
        <w:rPr>
          <w:rFonts w:ascii="Arial" w:hAnsi="Arial" w:cs="Arial"/>
          <w:b/>
          <w:szCs w:val="22"/>
        </w:rPr>
      </w:pPr>
    </w:p>
    <w:p w14:paraId="3DC7E212" w14:textId="77777777" w:rsidR="004C7498" w:rsidRDefault="004C7498" w:rsidP="00E65F5D">
      <w:pPr>
        <w:rPr>
          <w:rFonts w:ascii="Arial" w:hAnsi="Arial" w:cs="Arial"/>
          <w:b/>
          <w:szCs w:val="22"/>
        </w:rPr>
      </w:pPr>
    </w:p>
    <w:p w14:paraId="7098A5CE" w14:textId="77777777" w:rsidR="004C7498" w:rsidRDefault="004C7498" w:rsidP="00E65F5D">
      <w:pPr>
        <w:rPr>
          <w:rFonts w:ascii="Arial" w:hAnsi="Arial" w:cs="Arial"/>
          <w:b/>
          <w:szCs w:val="22"/>
        </w:rPr>
      </w:pPr>
    </w:p>
    <w:p w14:paraId="2E5EC870" w14:textId="77777777" w:rsidR="004C7498" w:rsidRDefault="004C7498" w:rsidP="00E65F5D">
      <w:pPr>
        <w:rPr>
          <w:rFonts w:ascii="Arial" w:hAnsi="Arial" w:cs="Arial"/>
          <w:b/>
          <w:szCs w:val="22"/>
        </w:rPr>
      </w:pPr>
    </w:p>
    <w:p w14:paraId="72C7E873" w14:textId="77777777" w:rsidR="004C7498" w:rsidRDefault="004C7498" w:rsidP="00E65F5D">
      <w:pPr>
        <w:rPr>
          <w:rFonts w:ascii="Arial" w:hAnsi="Arial" w:cs="Arial"/>
          <w:b/>
          <w:szCs w:val="22"/>
        </w:rPr>
      </w:pPr>
    </w:p>
    <w:p w14:paraId="3B86D009" w14:textId="77777777" w:rsidR="004C7498" w:rsidRDefault="004C7498" w:rsidP="00E65F5D">
      <w:pPr>
        <w:rPr>
          <w:rFonts w:ascii="Arial" w:hAnsi="Arial" w:cs="Arial"/>
          <w:b/>
          <w:szCs w:val="22"/>
        </w:rPr>
      </w:pPr>
    </w:p>
    <w:p w14:paraId="00BBC942" w14:textId="77777777" w:rsidR="004C7498" w:rsidRDefault="004C7498" w:rsidP="00E65F5D">
      <w:pPr>
        <w:rPr>
          <w:rFonts w:ascii="Arial" w:hAnsi="Arial" w:cs="Arial"/>
          <w:b/>
          <w:szCs w:val="22"/>
        </w:rPr>
      </w:pPr>
    </w:p>
    <w:p w14:paraId="7CC086B9" w14:textId="77777777" w:rsidR="004C7498" w:rsidRDefault="004C7498" w:rsidP="00E65F5D">
      <w:pPr>
        <w:rPr>
          <w:rFonts w:ascii="Arial" w:hAnsi="Arial" w:cs="Arial"/>
          <w:b/>
          <w:szCs w:val="22"/>
        </w:rPr>
      </w:pPr>
    </w:p>
    <w:p w14:paraId="11477D6B" w14:textId="77777777" w:rsidR="004C7498" w:rsidRDefault="004C7498" w:rsidP="00E65F5D">
      <w:pPr>
        <w:rPr>
          <w:rFonts w:ascii="Arial" w:hAnsi="Arial" w:cs="Arial"/>
          <w:b/>
          <w:szCs w:val="22"/>
        </w:rPr>
      </w:pPr>
    </w:p>
    <w:p w14:paraId="006650B0" w14:textId="77777777" w:rsidR="004C7498" w:rsidRDefault="004C7498" w:rsidP="00E65F5D">
      <w:pPr>
        <w:rPr>
          <w:rFonts w:ascii="Arial" w:hAnsi="Arial" w:cs="Arial"/>
          <w:b/>
          <w:szCs w:val="22"/>
        </w:rPr>
      </w:pPr>
    </w:p>
    <w:p w14:paraId="4DE7524B" w14:textId="77777777" w:rsidR="004C7498" w:rsidRDefault="004C7498" w:rsidP="00E65F5D">
      <w:pPr>
        <w:rPr>
          <w:rFonts w:ascii="Arial" w:hAnsi="Arial" w:cs="Arial"/>
          <w:b/>
          <w:szCs w:val="22"/>
        </w:rPr>
      </w:pPr>
    </w:p>
    <w:p w14:paraId="27F6488F" w14:textId="77777777" w:rsidR="004C7498" w:rsidRDefault="004C7498" w:rsidP="00E65F5D">
      <w:pPr>
        <w:rPr>
          <w:rFonts w:ascii="Arial" w:hAnsi="Arial" w:cs="Arial"/>
          <w:b/>
          <w:szCs w:val="22"/>
        </w:rPr>
      </w:pPr>
    </w:p>
    <w:p w14:paraId="7864AD6A" w14:textId="77777777" w:rsidR="004C7498" w:rsidRDefault="004C7498" w:rsidP="00E65F5D">
      <w:pPr>
        <w:rPr>
          <w:rFonts w:ascii="Arial" w:hAnsi="Arial" w:cs="Arial"/>
          <w:b/>
          <w:szCs w:val="22"/>
        </w:rPr>
      </w:pPr>
    </w:p>
    <w:p w14:paraId="2AB5155A" w14:textId="77777777" w:rsidR="004C7498" w:rsidRDefault="004C7498" w:rsidP="00E65F5D">
      <w:pPr>
        <w:rPr>
          <w:rFonts w:ascii="Arial" w:hAnsi="Arial" w:cs="Arial"/>
          <w:b/>
          <w:szCs w:val="22"/>
        </w:rPr>
      </w:pPr>
    </w:p>
    <w:p w14:paraId="3B8D6956" w14:textId="77777777" w:rsidR="004C7498" w:rsidRDefault="004C7498" w:rsidP="00E65F5D">
      <w:pPr>
        <w:rPr>
          <w:rFonts w:ascii="Arial" w:hAnsi="Arial" w:cs="Arial"/>
          <w:b/>
          <w:szCs w:val="22"/>
        </w:rPr>
      </w:pPr>
    </w:p>
    <w:p w14:paraId="44940422" w14:textId="77777777" w:rsidR="004C7498" w:rsidRDefault="004C7498" w:rsidP="00E65F5D">
      <w:pPr>
        <w:rPr>
          <w:rFonts w:ascii="Arial" w:hAnsi="Arial" w:cs="Arial"/>
          <w:b/>
          <w:szCs w:val="22"/>
        </w:rPr>
      </w:pPr>
    </w:p>
    <w:p w14:paraId="3362F1FC" w14:textId="77777777" w:rsidR="004C7498" w:rsidRDefault="004C7498" w:rsidP="00E65F5D">
      <w:pPr>
        <w:rPr>
          <w:rFonts w:ascii="Arial" w:hAnsi="Arial" w:cs="Arial"/>
          <w:b/>
          <w:szCs w:val="22"/>
        </w:rPr>
      </w:pPr>
    </w:p>
    <w:p w14:paraId="337A28DD" w14:textId="77777777" w:rsidR="004C7498" w:rsidRDefault="004C7498" w:rsidP="00E65F5D">
      <w:pPr>
        <w:rPr>
          <w:rFonts w:ascii="Arial" w:hAnsi="Arial" w:cs="Arial"/>
          <w:b/>
          <w:szCs w:val="22"/>
        </w:rPr>
      </w:pPr>
    </w:p>
    <w:p w14:paraId="3C4048C0" w14:textId="77777777" w:rsidR="004C7498" w:rsidRDefault="004C7498" w:rsidP="00E65F5D">
      <w:pPr>
        <w:rPr>
          <w:rFonts w:ascii="Arial" w:hAnsi="Arial" w:cs="Arial"/>
          <w:b/>
          <w:szCs w:val="22"/>
        </w:rPr>
      </w:pPr>
    </w:p>
    <w:p w14:paraId="22FB37D7" w14:textId="77777777" w:rsidR="004C7498" w:rsidRDefault="004C7498" w:rsidP="00E65F5D">
      <w:pPr>
        <w:rPr>
          <w:rFonts w:ascii="Arial" w:hAnsi="Arial" w:cs="Arial"/>
          <w:b/>
          <w:szCs w:val="22"/>
        </w:rPr>
      </w:pPr>
    </w:p>
    <w:p w14:paraId="1EB0E279" w14:textId="77777777" w:rsidR="004C7498" w:rsidRDefault="004C7498" w:rsidP="00E65F5D">
      <w:pPr>
        <w:rPr>
          <w:rFonts w:ascii="Arial" w:hAnsi="Arial" w:cs="Arial"/>
          <w:b/>
          <w:szCs w:val="22"/>
        </w:rPr>
      </w:pPr>
    </w:p>
    <w:p w14:paraId="5A141FAE" w14:textId="77777777" w:rsidR="004C7498" w:rsidRDefault="004C7498" w:rsidP="00E65F5D">
      <w:pPr>
        <w:rPr>
          <w:rFonts w:ascii="Arial" w:hAnsi="Arial" w:cs="Arial"/>
          <w:b/>
          <w:szCs w:val="22"/>
        </w:rPr>
      </w:pPr>
    </w:p>
    <w:p w14:paraId="76F8F569" w14:textId="77777777" w:rsidR="004C7498" w:rsidRDefault="004C7498" w:rsidP="00E65F5D">
      <w:pPr>
        <w:rPr>
          <w:rFonts w:ascii="Arial" w:hAnsi="Arial" w:cs="Arial"/>
          <w:b/>
          <w:szCs w:val="22"/>
        </w:rPr>
      </w:pPr>
    </w:p>
    <w:p w14:paraId="36DD92E9" w14:textId="77777777" w:rsidR="004C7498" w:rsidRDefault="004C7498" w:rsidP="00E65F5D">
      <w:pPr>
        <w:rPr>
          <w:rFonts w:ascii="Arial" w:hAnsi="Arial" w:cs="Arial"/>
          <w:b/>
          <w:szCs w:val="22"/>
        </w:rPr>
      </w:pPr>
    </w:p>
    <w:p w14:paraId="25CF8533" w14:textId="77777777" w:rsidR="004C7498" w:rsidRDefault="004C7498" w:rsidP="00E65F5D">
      <w:pPr>
        <w:rPr>
          <w:rFonts w:ascii="Arial" w:hAnsi="Arial" w:cs="Arial"/>
          <w:b/>
          <w:szCs w:val="22"/>
        </w:rPr>
      </w:pPr>
    </w:p>
    <w:p w14:paraId="1A27F46E" w14:textId="77777777" w:rsidR="004C7498" w:rsidRDefault="004C7498" w:rsidP="00E65F5D">
      <w:pPr>
        <w:rPr>
          <w:rFonts w:ascii="Arial" w:hAnsi="Arial" w:cs="Arial"/>
          <w:b/>
          <w:szCs w:val="22"/>
        </w:rPr>
      </w:pPr>
    </w:p>
    <w:p w14:paraId="5FAFB049" w14:textId="77777777" w:rsidR="004C7498" w:rsidRDefault="004C7498" w:rsidP="00E65F5D">
      <w:pPr>
        <w:rPr>
          <w:rFonts w:ascii="Arial" w:hAnsi="Arial" w:cs="Arial"/>
          <w:b/>
          <w:szCs w:val="22"/>
        </w:rPr>
      </w:pPr>
    </w:p>
    <w:p w14:paraId="2542378E" w14:textId="77777777" w:rsidR="004C7498" w:rsidRDefault="004C7498" w:rsidP="00E65F5D">
      <w:pPr>
        <w:rPr>
          <w:rFonts w:ascii="Arial" w:hAnsi="Arial" w:cs="Arial"/>
          <w:b/>
          <w:szCs w:val="22"/>
        </w:rPr>
      </w:pPr>
    </w:p>
    <w:p w14:paraId="31387358" w14:textId="77777777" w:rsidR="004C7498" w:rsidRDefault="004C7498" w:rsidP="00E65F5D">
      <w:pPr>
        <w:rPr>
          <w:rFonts w:ascii="Arial" w:hAnsi="Arial" w:cs="Arial"/>
          <w:b/>
          <w:szCs w:val="22"/>
        </w:rPr>
      </w:pPr>
    </w:p>
    <w:p w14:paraId="6E13FF2F" w14:textId="77777777" w:rsidR="004C7498" w:rsidRDefault="004C7498" w:rsidP="00E65F5D">
      <w:pPr>
        <w:rPr>
          <w:rFonts w:ascii="Arial" w:hAnsi="Arial" w:cs="Arial"/>
          <w:b/>
          <w:szCs w:val="22"/>
        </w:rPr>
      </w:pPr>
    </w:p>
    <w:p w14:paraId="58462199" w14:textId="77777777" w:rsidR="004C7498" w:rsidRDefault="004C7498" w:rsidP="00E65F5D">
      <w:pPr>
        <w:rPr>
          <w:rFonts w:ascii="Arial" w:hAnsi="Arial" w:cs="Arial"/>
          <w:b/>
          <w:szCs w:val="22"/>
        </w:rPr>
      </w:pPr>
    </w:p>
    <w:p w14:paraId="7B7D901E" w14:textId="77777777" w:rsidR="004C7498" w:rsidRDefault="004C7498" w:rsidP="00E65F5D">
      <w:pPr>
        <w:rPr>
          <w:rFonts w:ascii="Arial" w:hAnsi="Arial" w:cs="Arial"/>
          <w:b/>
          <w:szCs w:val="22"/>
        </w:rPr>
      </w:pPr>
    </w:p>
    <w:p w14:paraId="2240095D" w14:textId="77777777" w:rsidR="004C7498" w:rsidRDefault="004C7498" w:rsidP="00E65F5D">
      <w:pPr>
        <w:rPr>
          <w:rFonts w:ascii="Arial" w:hAnsi="Arial" w:cs="Arial"/>
          <w:b/>
          <w:szCs w:val="22"/>
        </w:rPr>
      </w:pPr>
    </w:p>
    <w:p w14:paraId="4D549C4F" w14:textId="77777777" w:rsidR="004C7498" w:rsidRDefault="004C7498" w:rsidP="00E65F5D">
      <w:pPr>
        <w:rPr>
          <w:rFonts w:ascii="Arial" w:hAnsi="Arial" w:cs="Arial"/>
          <w:b/>
          <w:szCs w:val="22"/>
        </w:rPr>
      </w:pPr>
    </w:p>
    <w:p w14:paraId="2FE24B29" w14:textId="77777777" w:rsidR="004C7498" w:rsidRDefault="004C7498" w:rsidP="00E65F5D">
      <w:pPr>
        <w:rPr>
          <w:rFonts w:ascii="Arial" w:hAnsi="Arial" w:cs="Arial"/>
          <w:b/>
          <w:szCs w:val="22"/>
        </w:rPr>
      </w:pPr>
    </w:p>
    <w:p w14:paraId="5EA76B4F" w14:textId="77777777" w:rsidR="004C7498" w:rsidRDefault="004C7498" w:rsidP="00E65F5D">
      <w:pPr>
        <w:rPr>
          <w:rFonts w:ascii="Arial" w:hAnsi="Arial" w:cs="Arial"/>
          <w:b/>
          <w:szCs w:val="22"/>
        </w:rPr>
      </w:pPr>
    </w:p>
    <w:p w14:paraId="5EAB474B" w14:textId="77777777" w:rsidR="004C7498" w:rsidRDefault="004C7498" w:rsidP="00E65F5D">
      <w:pPr>
        <w:rPr>
          <w:rFonts w:ascii="Arial" w:hAnsi="Arial" w:cs="Arial"/>
          <w:b/>
          <w:szCs w:val="22"/>
        </w:rPr>
      </w:pPr>
    </w:p>
    <w:p w14:paraId="4995BB57" w14:textId="77777777" w:rsidR="004C7498" w:rsidRDefault="004C7498" w:rsidP="00E65F5D">
      <w:pPr>
        <w:rPr>
          <w:rFonts w:ascii="Arial" w:hAnsi="Arial" w:cs="Arial"/>
          <w:b/>
          <w:szCs w:val="22"/>
        </w:rPr>
      </w:pPr>
    </w:p>
    <w:p w14:paraId="2482524F" w14:textId="77777777" w:rsidR="004C7498" w:rsidRDefault="004C7498" w:rsidP="00E65F5D">
      <w:pPr>
        <w:rPr>
          <w:rFonts w:ascii="Arial" w:hAnsi="Arial" w:cs="Arial"/>
          <w:b/>
          <w:szCs w:val="22"/>
        </w:rPr>
      </w:pPr>
    </w:p>
    <w:p w14:paraId="28C2F816" w14:textId="77777777" w:rsidR="004C7498" w:rsidRDefault="004C7498" w:rsidP="00E65F5D">
      <w:pPr>
        <w:rPr>
          <w:rFonts w:ascii="Arial" w:hAnsi="Arial" w:cs="Arial"/>
          <w:b/>
          <w:szCs w:val="22"/>
        </w:rPr>
      </w:pPr>
    </w:p>
    <w:p w14:paraId="4E78B447" w14:textId="77777777" w:rsidR="004C7498" w:rsidRDefault="004C7498" w:rsidP="00E65F5D">
      <w:pPr>
        <w:rPr>
          <w:rFonts w:ascii="Arial" w:hAnsi="Arial" w:cs="Arial"/>
          <w:b/>
          <w:szCs w:val="22"/>
        </w:rPr>
      </w:pPr>
    </w:p>
    <w:p w14:paraId="73C56274" w14:textId="77777777" w:rsidR="004C7498" w:rsidRDefault="004C7498" w:rsidP="00E65F5D">
      <w:pPr>
        <w:rPr>
          <w:rFonts w:ascii="Arial" w:hAnsi="Arial" w:cs="Arial"/>
          <w:b/>
          <w:szCs w:val="22"/>
        </w:rPr>
      </w:pPr>
    </w:p>
    <w:p w14:paraId="3376DF90" w14:textId="77777777" w:rsidR="004C7498" w:rsidRDefault="004C7498" w:rsidP="00E65F5D">
      <w:pPr>
        <w:rPr>
          <w:rFonts w:ascii="Arial" w:hAnsi="Arial" w:cs="Arial"/>
          <w:b/>
          <w:szCs w:val="22"/>
        </w:rPr>
      </w:pPr>
    </w:p>
    <w:p w14:paraId="1EDAF71A" w14:textId="77777777" w:rsidR="004C7498" w:rsidRDefault="004C7498" w:rsidP="00E65F5D">
      <w:pPr>
        <w:rPr>
          <w:rFonts w:ascii="Arial" w:hAnsi="Arial" w:cs="Arial"/>
          <w:b/>
          <w:szCs w:val="22"/>
        </w:rPr>
      </w:pPr>
    </w:p>
    <w:p w14:paraId="133948F6" w14:textId="77777777" w:rsidR="004C7498" w:rsidRDefault="004C7498" w:rsidP="00E65F5D">
      <w:pPr>
        <w:rPr>
          <w:rFonts w:ascii="Arial" w:hAnsi="Arial" w:cs="Arial"/>
          <w:b/>
          <w:szCs w:val="22"/>
        </w:rPr>
      </w:pPr>
    </w:p>
    <w:p w14:paraId="70A1D44B" w14:textId="77777777" w:rsidR="004C7498" w:rsidRDefault="004C7498" w:rsidP="00E65F5D">
      <w:pPr>
        <w:rPr>
          <w:rFonts w:ascii="Arial" w:hAnsi="Arial" w:cs="Arial"/>
          <w:b/>
          <w:szCs w:val="22"/>
        </w:rPr>
      </w:pPr>
    </w:p>
    <w:p w14:paraId="210C24D6" w14:textId="77777777" w:rsidR="004C7498" w:rsidRDefault="004C7498" w:rsidP="00E65F5D">
      <w:pPr>
        <w:rPr>
          <w:rFonts w:ascii="Arial" w:hAnsi="Arial" w:cs="Arial"/>
          <w:b/>
          <w:szCs w:val="22"/>
        </w:rPr>
      </w:pPr>
    </w:p>
    <w:p w14:paraId="673F8DA8" w14:textId="77777777" w:rsidR="004C7498" w:rsidRDefault="004C7498" w:rsidP="00E65F5D">
      <w:pPr>
        <w:rPr>
          <w:rFonts w:ascii="Arial" w:hAnsi="Arial" w:cs="Arial"/>
          <w:b/>
          <w:szCs w:val="22"/>
        </w:rPr>
      </w:pPr>
    </w:p>
    <w:p w14:paraId="4F5957B9" w14:textId="77777777" w:rsidR="004C7498" w:rsidRDefault="004C7498" w:rsidP="00E65F5D">
      <w:pPr>
        <w:rPr>
          <w:rFonts w:ascii="Arial" w:hAnsi="Arial" w:cs="Arial"/>
          <w:b/>
          <w:szCs w:val="22"/>
        </w:rPr>
      </w:pPr>
    </w:p>
    <w:p w14:paraId="28D0819D" w14:textId="77777777" w:rsidR="004C7498" w:rsidRDefault="004C7498" w:rsidP="00E65F5D">
      <w:pPr>
        <w:rPr>
          <w:rFonts w:ascii="Arial" w:hAnsi="Arial" w:cs="Arial"/>
          <w:b/>
          <w:szCs w:val="22"/>
        </w:rPr>
      </w:pPr>
    </w:p>
    <w:p w14:paraId="13619C8C" w14:textId="77777777" w:rsidR="004C7498" w:rsidRDefault="004C7498" w:rsidP="00E65F5D">
      <w:pPr>
        <w:rPr>
          <w:rFonts w:ascii="Arial" w:hAnsi="Arial" w:cs="Arial"/>
          <w:b/>
          <w:szCs w:val="22"/>
        </w:rPr>
      </w:pPr>
    </w:p>
    <w:p w14:paraId="0E3F6E37" w14:textId="4ED91BCE" w:rsidR="004C7498" w:rsidRDefault="00F1537C" w:rsidP="004C7498">
      <w:pPr>
        <w:rPr>
          <w:rFonts w:ascii="Arial" w:hAnsi="Arial" w:cs="Arial"/>
          <w:b/>
          <w:sz w:val="24"/>
          <w:szCs w:val="24"/>
        </w:rPr>
      </w:pPr>
      <w:r w:rsidRPr="00B554E0">
        <w:rPr>
          <w:rFonts w:ascii="Arial" w:hAnsi="Arial" w:cs="Arial"/>
          <w:b/>
          <w:sz w:val="24"/>
          <w:szCs w:val="24"/>
        </w:rPr>
        <w:lastRenderedPageBreak/>
        <w:t xml:space="preserve">APPENDIX C </w:t>
      </w:r>
      <w:r w:rsidR="004C7498" w:rsidRPr="00B554E0">
        <w:rPr>
          <w:rFonts w:ascii="Arial" w:hAnsi="Arial" w:cs="Arial"/>
          <w:b/>
          <w:sz w:val="24"/>
          <w:szCs w:val="24"/>
        </w:rPr>
        <w:t xml:space="preserve">- </w:t>
      </w:r>
      <w:r w:rsidR="004C7498" w:rsidRPr="00B554E0">
        <w:rPr>
          <w:rFonts w:ascii="Arial" w:hAnsi="Arial" w:cs="Arial"/>
          <w:b/>
          <w:sz w:val="24"/>
          <w:szCs w:val="24"/>
        </w:rPr>
        <w:t>Conditions of Contract - Research &amp; Development</w:t>
      </w:r>
    </w:p>
    <w:p w14:paraId="7A0C88DF" w14:textId="77777777" w:rsidR="00B554E0" w:rsidRPr="00B554E0" w:rsidRDefault="00B554E0" w:rsidP="004C7498">
      <w:pPr>
        <w:rPr>
          <w:rFonts w:ascii="Arial" w:hAnsi="Arial" w:cs="Arial"/>
          <w:b/>
          <w:sz w:val="24"/>
          <w:szCs w:val="24"/>
        </w:rPr>
      </w:pPr>
    </w:p>
    <w:p w14:paraId="0323E90C" w14:textId="4DEBC773" w:rsidR="004C7498" w:rsidRDefault="004C7498" w:rsidP="004C7498">
      <w:pPr>
        <w:jc w:val="both"/>
        <w:rPr>
          <w:rFonts w:ascii="Arial" w:hAnsi="Arial" w:cs="Arial"/>
          <w:bCs/>
        </w:rPr>
      </w:pPr>
      <w:r w:rsidRPr="00B554E0">
        <w:rPr>
          <w:rFonts w:ascii="Arial" w:hAnsi="Arial" w:cs="Arial"/>
          <w:bCs/>
          <w:szCs w:val="22"/>
        </w:rPr>
        <w:t>Contract Ref:</w:t>
      </w:r>
      <w:r w:rsidRPr="00B554E0">
        <w:rPr>
          <w:rFonts w:ascii="Arial" w:hAnsi="Arial" w:cs="Arial"/>
          <w:bCs/>
          <w:szCs w:val="22"/>
        </w:rPr>
        <w:tab/>
      </w:r>
      <w:r w:rsidRPr="00B554E0">
        <w:rPr>
          <w:rFonts w:ascii="Arial" w:hAnsi="Arial" w:cs="Arial"/>
          <w:bCs/>
        </w:rPr>
        <w:t>ENV6005704R task 1</w:t>
      </w:r>
    </w:p>
    <w:p w14:paraId="694F6B1B" w14:textId="77777777" w:rsidR="00B554E0" w:rsidRPr="00B554E0" w:rsidRDefault="00B554E0" w:rsidP="004C7498">
      <w:pPr>
        <w:jc w:val="both"/>
        <w:rPr>
          <w:rFonts w:ascii="Arial" w:hAnsi="Arial" w:cs="Arial"/>
          <w:bCs/>
          <w:szCs w:val="22"/>
        </w:rPr>
      </w:pPr>
    </w:p>
    <w:p w14:paraId="13B025BD" w14:textId="77777777" w:rsidR="004C7498" w:rsidRPr="00B554E0" w:rsidRDefault="004C7498" w:rsidP="004C7498">
      <w:pPr>
        <w:jc w:val="both"/>
        <w:rPr>
          <w:rFonts w:ascii="Arial" w:hAnsi="Arial" w:cs="Arial"/>
          <w:bCs/>
          <w:szCs w:val="22"/>
        </w:rPr>
      </w:pPr>
      <w:r w:rsidRPr="00B554E0">
        <w:rPr>
          <w:rFonts w:ascii="Arial" w:hAnsi="Arial" w:cs="Arial"/>
          <w:bCs/>
          <w:szCs w:val="22"/>
        </w:rPr>
        <w:t>Contract Title:</w:t>
      </w:r>
      <w:r w:rsidRPr="00B554E0">
        <w:rPr>
          <w:rFonts w:ascii="Arial" w:hAnsi="Arial" w:cs="Arial"/>
          <w:bCs/>
          <w:szCs w:val="22"/>
        </w:rPr>
        <w:tab/>
      </w:r>
      <w:r w:rsidRPr="00B554E0">
        <w:rPr>
          <w:rFonts w:ascii="Arial" w:hAnsi="Arial" w:cs="Arial"/>
          <w:bCs/>
        </w:rPr>
        <w:t>Viability of developing a screening tool to assess non-standard bioaccumulation potential of chemical substances in aquatic and terrestrial wildlife</w:t>
      </w:r>
    </w:p>
    <w:p w14:paraId="2F7FC00C" w14:textId="77777777" w:rsidR="004C7498" w:rsidRPr="004C7498" w:rsidRDefault="004C7498" w:rsidP="004C7498">
      <w:pPr>
        <w:ind w:firstLine="720"/>
        <w:jc w:val="both"/>
        <w:rPr>
          <w:rFonts w:ascii="Arial" w:hAnsi="Arial" w:cs="Arial"/>
        </w:rPr>
      </w:pPr>
    </w:p>
    <w:p w14:paraId="52F74C7F"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Definitions and Interpretation................................................</w:t>
      </w:r>
      <w:r w:rsidRPr="004C7498">
        <w:rPr>
          <w:rFonts w:cs="Arial"/>
          <w:sz w:val="20"/>
          <w:szCs w:val="20"/>
        </w:rPr>
        <w:tab/>
      </w:r>
    </w:p>
    <w:p w14:paraId="743E908E"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Precedence........................................................................…</w:t>
      </w:r>
    </w:p>
    <w:p w14:paraId="1F3C916C"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Contract Supervisor...............................................................</w:t>
      </w:r>
    </w:p>
    <w:p w14:paraId="71A39D32"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Services..............................................................................…</w:t>
      </w:r>
    </w:p>
    <w:p w14:paraId="2CD27383"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Assignment............................................................................</w:t>
      </w:r>
      <w:r w:rsidRPr="004C7498">
        <w:rPr>
          <w:rFonts w:cs="Arial"/>
          <w:sz w:val="20"/>
          <w:szCs w:val="20"/>
        </w:rPr>
        <w:tab/>
      </w:r>
    </w:p>
    <w:p w14:paraId="20A6353E"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Contract Period......................................................................</w:t>
      </w:r>
    </w:p>
    <w:p w14:paraId="23555E65"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Property..................................................................................</w:t>
      </w:r>
      <w:r w:rsidRPr="004C7498">
        <w:rPr>
          <w:rFonts w:cs="Arial"/>
          <w:sz w:val="20"/>
          <w:szCs w:val="20"/>
        </w:rPr>
        <w:tab/>
      </w:r>
    </w:p>
    <w:p w14:paraId="1D131E7D"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Confidential Information.........................................................</w:t>
      </w:r>
    </w:p>
    <w:p w14:paraId="01855411"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Security..................................................................................</w:t>
      </w:r>
    </w:p>
    <w:p w14:paraId="72F6BB8E"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Variations...............................................................................</w:t>
      </w:r>
    </w:p>
    <w:p w14:paraId="7E863D4E"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Extensions of Time................................................................</w:t>
      </w:r>
      <w:r w:rsidRPr="004C7498">
        <w:rPr>
          <w:rFonts w:cs="Arial"/>
          <w:sz w:val="20"/>
          <w:szCs w:val="20"/>
        </w:rPr>
        <w:tab/>
      </w:r>
    </w:p>
    <w:p w14:paraId="7EEAD557"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Default</w:t>
      </w:r>
      <w:r w:rsidRPr="004C7498">
        <w:rPr>
          <w:rFonts w:cs="Arial"/>
          <w:sz w:val="20"/>
          <w:szCs w:val="20"/>
        </w:rPr>
        <w:tab/>
        <w:t>............................................................................</w:t>
      </w:r>
    </w:p>
    <w:p w14:paraId="12075C20"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Termination.............................................................................</w:t>
      </w:r>
    </w:p>
    <w:p w14:paraId="3F65F24B"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Determination..........................................................................</w:t>
      </w:r>
    </w:p>
    <w:p w14:paraId="450D09B4"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Indemnity.................................................................................</w:t>
      </w:r>
    </w:p>
    <w:p w14:paraId="203A0BCB"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Limitation of Contractor’s Liability............................................</w:t>
      </w:r>
    </w:p>
    <w:p w14:paraId="6DE33692"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Insurance.................................................................................</w:t>
      </w:r>
    </w:p>
    <w:p w14:paraId="40B17859"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Prevention of Fraud or Corruption...........................................</w:t>
      </w:r>
    </w:p>
    <w:p w14:paraId="7362CB2A"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Monitoring and Audit................................................................</w:t>
      </w:r>
    </w:p>
    <w:p w14:paraId="30190C7C"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Contract Price</w:t>
      </w:r>
      <w:r w:rsidRPr="004C7498">
        <w:rPr>
          <w:rFonts w:cs="Arial"/>
          <w:sz w:val="20"/>
          <w:szCs w:val="20"/>
        </w:rPr>
        <w:tab/>
        <w:t>..................................................................</w:t>
      </w:r>
    </w:p>
    <w:p w14:paraId="4C00BF32"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Invoicing and Payment............................................................</w:t>
      </w:r>
    </w:p>
    <w:p w14:paraId="53B3CC50"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Intellectual Property Rights......................................................</w:t>
      </w:r>
    </w:p>
    <w:p w14:paraId="33B1E929"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 xml:space="preserve">Warranties................................................................................ </w:t>
      </w:r>
    </w:p>
    <w:p w14:paraId="4B4AAA67"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Publication of Results...............................................................</w:t>
      </w:r>
    </w:p>
    <w:p w14:paraId="0A780976"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Statutory Requirements............................................................</w:t>
      </w:r>
      <w:r w:rsidRPr="004C7498">
        <w:rPr>
          <w:rFonts w:cs="Arial"/>
          <w:sz w:val="20"/>
          <w:szCs w:val="20"/>
        </w:rPr>
        <w:tab/>
      </w:r>
    </w:p>
    <w:p w14:paraId="3A0FB7C1"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Environment, Sustainability and Diversity.................................</w:t>
      </w:r>
    </w:p>
    <w:p w14:paraId="08093052"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Law...........................................................................................</w:t>
      </w:r>
    </w:p>
    <w:p w14:paraId="638F7F05"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Waiver......................................................................................</w:t>
      </w:r>
    </w:p>
    <w:p w14:paraId="1308DCBA"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Enforceability and Survivorship................................................</w:t>
      </w:r>
    </w:p>
    <w:p w14:paraId="5608935A"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Dispute Resolution....................................…............................</w:t>
      </w:r>
    </w:p>
    <w:p w14:paraId="2209BDFC"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General.......................................................…...........................</w:t>
      </w:r>
    </w:p>
    <w:p w14:paraId="6ACA41AA"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Freedom of Information Act......................................................</w:t>
      </w:r>
    </w:p>
    <w:p w14:paraId="6C45FDC8" w14:textId="77777777" w:rsidR="004C7498" w:rsidRPr="004C7498" w:rsidRDefault="004C7498" w:rsidP="009D7616">
      <w:pPr>
        <w:pStyle w:val="ListParagraph"/>
        <w:numPr>
          <w:ilvl w:val="1"/>
          <w:numId w:val="16"/>
        </w:numPr>
        <w:suppressAutoHyphens/>
        <w:autoSpaceDN w:val="0"/>
        <w:spacing w:after="0" w:line="240" w:lineRule="auto"/>
        <w:jc w:val="both"/>
        <w:rPr>
          <w:rFonts w:cs="Arial"/>
          <w:sz w:val="20"/>
          <w:szCs w:val="20"/>
        </w:rPr>
      </w:pPr>
      <w:r w:rsidRPr="004C7498">
        <w:rPr>
          <w:rFonts w:cs="Arial"/>
          <w:sz w:val="20"/>
          <w:szCs w:val="20"/>
        </w:rPr>
        <w:t>Data Protection…………………………………………………….</w:t>
      </w:r>
    </w:p>
    <w:p w14:paraId="5425D891" w14:textId="77777777" w:rsidR="004C7498" w:rsidRPr="004C7498" w:rsidRDefault="004C7498" w:rsidP="004C7498">
      <w:pPr>
        <w:pStyle w:val="ListParagraph"/>
        <w:ind w:left="1701"/>
        <w:jc w:val="both"/>
        <w:rPr>
          <w:rFonts w:cs="Arial"/>
          <w:sz w:val="20"/>
          <w:szCs w:val="20"/>
        </w:rPr>
      </w:pPr>
    </w:p>
    <w:p w14:paraId="4AF216B4" w14:textId="77777777" w:rsidR="004C7498" w:rsidRPr="004C7498" w:rsidRDefault="004C7498" w:rsidP="004C7498">
      <w:pPr>
        <w:ind w:left="414" w:firstLine="720"/>
        <w:jc w:val="both"/>
        <w:rPr>
          <w:rFonts w:ascii="Arial" w:hAnsi="Arial" w:cs="Arial"/>
        </w:rPr>
      </w:pPr>
      <w:r w:rsidRPr="004C7498">
        <w:rPr>
          <w:rFonts w:ascii="Arial" w:hAnsi="Arial" w:cs="Arial"/>
        </w:rPr>
        <w:t>Appendix to Conditions - Research &amp; Development..........................</w:t>
      </w:r>
    </w:p>
    <w:p w14:paraId="445DE409" w14:textId="77777777" w:rsidR="004C7498" w:rsidRPr="004C7498" w:rsidRDefault="004C7498" w:rsidP="004C7498">
      <w:pPr>
        <w:jc w:val="both"/>
        <w:rPr>
          <w:rFonts w:ascii="Arial" w:hAnsi="Arial" w:cs="Arial"/>
        </w:rPr>
      </w:pPr>
    </w:p>
    <w:p w14:paraId="610215A5" w14:textId="77777777" w:rsidR="004C7498" w:rsidRPr="004C7498" w:rsidRDefault="004C7498" w:rsidP="004C7498">
      <w:pPr>
        <w:pStyle w:val="ListParagraph"/>
        <w:jc w:val="center"/>
        <w:rPr>
          <w:rFonts w:cs="Arial"/>
          <w:b/>
          <w:sz w:val="20"/>
          <w:szCs w:val="20"/>
        </w:rPr>
      </w:pPr>
      <w:r w:rsidRPr="004C7498">
        <w:rPr>
          <w:rFonts w:cs="Arial"/>
          <w:b/>
          <w:sz w:val="20"/>
          <w:szCs w:val="20"/>
        </w:rPr>
        <w:t>All rights reserved. No part of this document may be reproduced</w:t>
      </w:r>
    </w:p>
    <w:p w14:paraId="280535C2" w14:textId="77777777" w:rsidR="004C7498" w:rsidRPr="004C7498" w:rsidRDefault="004C7498" w:rsidP="004C7498">
      <w:pPr>
        <w:pStyle w:val="ListParagraph"/>
        <w:jc w:val="center"/>
        <w:rPr>
          <w:rFonts w:cs="Arial"/>
          <w:b/>
          <w:sz w:val="20"/>
          <w:szCs w:val="20"/>
        </w:rPr>
      </w:pPr>
      <w:r w:rsidRPr="004C7498">
        <w:rPr>
          <w:rFonts w:cs="Arial"/>
          <w:b/>
          <w:sz w:val="20"/>
          <w:szCs w:val="20"/>
        </w:rPr>
        <w:t>or transmitted in any form or by any means, including photocopying</w:t>
      </w:r>
    </w:p>
    <w:p w14:paraId="6AEC0CA5" w14:textId="77777777" w:rsidR="004C7498" w:rsidRPr="004C7498" w:rsidRDefault="004C7498" w:rsidP="004C7498">
      <w:pPr>
        <w:pStyle w:val="ListParagraph"/>
        <w:jc w:val="center"/>
        <w:rPr>
          <w:rFonts w:cs="Arial"/>
          <w:b/>
          <w:sz w:val="20"/>
          <w:szCs w:val="20"/>
        </w:rPr>
      </w:pPr>
      <w:r w:rsidRPr="004C7498">
        <w:rPr>
          <w:rFonts w:cs="Arial"/>
          <w:b/>
          <w:sz w:val="20"/>
          <w:szCs w:val="20"/>
        </w:rPr>
        <w:t>and recording, without the written permission of the copyright holder.</w:t>
      </w:r>
    </w:p>
    <w:p w14:paraId="7CAE067B" w14:textId="77777777" w:rsidR="004C7498" w:rsidRPr="004C7498" w:rsidRDefault="004C7498" w:rsidP="004C7498">
      <w:pPr>
        <w:pStyle w:val="ListParagraph"/>
        <w:jc w:val="center"/>
        <w:rPr>
          <w:rFonts w:cs="Arial"/>
          <w:b/>
          <w:sz w:val="20"/>
          <w:szCs w:val="20"/>
        </w:rPr>
      </w:pPr>
      <w:r w:rsidRPr="004C7498">
        <w:rPr>
          <w:rFonts w:cs="Arial"/>
          <w:b/>
          <w:sz w:val="20"/>
          <w:szCs w:val="20"/>
        </w:rPr>
        <w:t>Such written permission must also be obtained before any part of</w:t>
      </w:r>
    </w:p>
    <w:p w14:paraId="3B3B964B" w14:textId="77777777" w:rsidR="004C7498" w:rsidRPr="004C7498" w:rsidRDefault="004C7498" w:rsidP="004C7498">
      <w:pPr>
        <w:pStyle w:val="ListParagraph"/>
        <w:jc w:val="center"/>
        <w:rPr>
          <w:rFonts w:cs="Arial"/>
          <w:b/>
          <w:sz w:val="20"/>
          <w:szCs w:val="20"/>
        </w:rPr>
      </w:pPr>
      <w:r w:rsidRPr="004C7498">
        <w:rPr>
          <w:rFonts w:cs="Arial"/>
          <w:b/>
          <w:sz w:val="20"/>
          <w:szCs w:val="20"/>
        </w:rPr>
        <w:t>this publication is stored in a retrieval system of any nature</w:t>
      </w:r>
    </w:p>
    <w:p w14:paraId="78018D97" w14:textId="77777777" w:rsidR="004C7498" w:rsidRPr="004C7498" w:rsidRDefault="004C7498" w:rsidP="004C7498">
      <w:pPr>
        <w:pStyle w:val="ListParagraph"/>
        <w:jc w:val="center"/>
        <w:rPr>
          <w:rFonts w:cs="Arial"/>
          <w:b/>
          <w:sz w:val="20"/>
          <w:szCs w:val="20"/>
        </w:rPr>
      </w:pPr>
      <w:r w:rsidRPr="004C7498">
        <w:rPr>
          <w:rFonts w:cs="Arial"/>
          <w:b/>
          <w:sz w:val="20"/>
          <w:szCs w:val="20"/>
        </w:rPr>
        <w:t>© Environment Agency 2018</w:t>
      </w:r>
    </w:p>
    <w:p w14:paraId="6EA1CB98" w14:textId="77777777" w:rsidR="004C7498" w:rsidRPr="004C7498" w:rsidRDefault="004C7498" w:rsidP="009D7616">
      <w:pPr>
        <w:pStyle w:val="ListParagraph"/>
        <w:pageBreakBefore/>
        <w:numPr>
          <w:ilvl w:val="0"/>
          <w:numId w:val="17"/>
        </w:numPr>
        <w:suppressAutoHyphens/>
        <w:autoSpaceDN w:val="0"/>
        <w:spacing w:after="0" w:line="240" w:lineRule="auto"/>
        <w:jc w:val="both"/>
        <w:rPr>
          <w:rFonts w:cs="Arial"/>
          <w:sz w:val="20"/>
          <w:szCs w:val="20"/>
        </w:rPr>
      </w:pPr>
      <w:r w:rsidRPr="004C7498">
        <w:rPr>
          <w:rFonts w:cs="Arial"/>
          <w:b/>
          <w:sz w:val="20"/>
          <w:szCs w:val="20"/>
        </w:rPr>
        <w:lastRenderedPageBreak/>
        <w:t>DEFINITIONS AND INTERPRETATION</w:t>
      </w:r>
    </w:p>
    <w:p w14:paraId="500C7C3B" w14:textId="77777777" w:rsidR="004C7498" w:rsidRPr="004C7498" w:rsidRDefault="004C7498" w:rsidP="004C7498">
      <w:pPr>
        <w:jc w:val="both"/>
        <w:rPr>
          <w:rFonts w:ascii="Arial" w:hAnsi="Arial" w:cs="Arial"/>
        </w:rPr>
      </w:pPr>
    </w:p>
    <w:p w14:paraId="0A06C09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In the Contract, unless the context otherwise requires the following words and expressions shall have the following meanings:</w:t>
      </w:r>
    </w:p>
    <w:p w14:paraId="40167269" w14:textId="77777777" w:rsidR="004C7498" w:rsidRPr="004C7498" w:rsidRDefault="004C7498" w:rsidP="004C7498">
      <w:pPr>
        <w:jc w:val="both"/>
        <w:rPr>
          <w:rFonts w:ascii="Arial" w:hAnsi="Arial" w:cs="Arial"/>
        </w:rPr>
      </w:pPr>
    </w:p>
    <w:p w14:paraId="38300A06"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Agency</w:t>
      </w:r>
    </w:p>
    <w:p w14:paraId="25FD66E4" w14:textId="77777777" w:rsidR="004C7498" w:rsidRPr="004C7498" w:rsidRDefault="004C7498" w:rsidP="004C7498">
      <w:pPr>
        <w:pStyle w:val="ListParagraph"/>
        <w:ind w:left="3042" w:firstLine="360"/>
        <w:jc w:val="both"/>
        <w:rPr>
          <w:rFonts w:cs="Arial"/>
          <w:sz w:val="20"/>
          <w:szCs w:val="20"/>
        </w:rPr>
      </w:pPr>
      <w:r w:rsidRPr="004C7498">
        <w:rPr>
          <w:rFonts w:cs="Arial"/>
          <w:sz w:val="20"/>
          <w:szCs w:val="20"/>
        </w:rPr>
        <w:t xml:space="preserve">Environment Agency, its </w:t>
      </w:r>
      <w:proofErr w:type="gramStart"/>
      <w:r w:rsidRPr="004C7498">
        <w:rPr>
          <w:rFonts w:cs="Arial"/>
          <w:sz w:val="20"/>
          <w:szCs w:val="20"/>
        </w:rPr>
        <w:t>successors</w:t>
      </w:r>
      <w:proofErr w:type="gramEnd"/>
      <w:r w:rsidRPr="004C7498">
        <w:rPr>
          <w:rFonts w:cs="Arial"/>
          <w:sz w:val="20"/>
          <w:szCs w:val="20"/>
        </w:rPr>
        <w:t xml:space="preserve"> and assigns.</w:t>
      </w:r>
    </w:p>
    <w:p w14:paraId="05610316" w14:textId="77777777" w:rsidR="004C7498" w:rsidRPr="004C7498" w:rsidRDefault="004C7498" w:rsidP="004C7498">
      <w:pPr>
        <w:jc w:val="both"/>
        <w:rPr>
          <w:rFonts w:ascii="Arial" w:hAnsi="Arial" w:cs="Arial"/>
        </w:rPr>
      </w:pPr>
    </w:p>
    <w:p w14:paraId="75C016B1"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Agency’s Prior Rights</w:t>
      </w:r>
    </w:p>
    <w:p w14:paraId="65336AE0" w14:textId="77777777" w:rsidR="004C7498" w:rsidRPr="004C7498" w:rsidRDefault="004C7498" w:rsidP="004C7498">
      <w:pPr>
        <w:pStyle w:val="ListParagraph"/>
        <w:ind w:left="3402"/>
        <w:jc w:val="both"/>
        <w:rPr>
          <w:rFonts w:cs="Arial"/>
          <w:sz w:val="20"/>
          <w:szCs w:val="20"/>
        </w:rPr>
      </w:pPr>
      <w:r w:rsidRPr="004C7498">
        <w:rPr>
          <w:rFonts w:cs="Arial"/>
          <w:sz w:val="20"/>
          <w:szCs w:val="20"/>
        </w:rPr>
        <w:t>All Intellectual Property Rights owned by, or lawfully used by the Agency, whether under licence or otherwise, before the date of this Contract.</w:t>
      </w:r>
    </w:p>
    <w:p w14:paraId="009806D8" w14:textId="77777777" w:rsidR="004C7498" w:rsidRPr="004C7498" w:rsidRDefault="004C7498" w:rsidP="004C7498">
      <w:pPr>
        <w:jc w:val="both"/>
        <w:rPr>
          <w:rFonts w:ascii="Arial" w:hAnsi="Arial" w:cs="Arial"/>
        </w:rPr>
      </w:pPr>
    </w:p>
    <w:p w14:paraId="634B3C6C"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Appendix</w:t>
      </w:r>
      <w:r w:rsidRPr="004C7498">
        <w:rPr>
          <w:rFonts w:cs="Arial"/>
          <w:sz w:val="20"/>
          <w:szCs w:val="20"/>
          <w:u w:val="single"/>
        </w:rPr>
        <w:tab/>
      </w:r>
    </w:p>
    <w:p w14:paraId="5859DEAA" w14:textId="77777777" w:rsidR="004C7498" w:rsidRPr="004C7498" w:rsidRDefault="004C7498" w:rsidP="004C7498">
      <w:pPr>
        <w:pStyle w:val="ListParagraph"/>
        <w:ind w:left="3042" w:firstLine="360"/>
        <w:jc w:val="both"/>
        <w:rPr>
          <w:rFonts w:cs="Arial"/>
          <w:sz w:val="20"/>
          <w:szCs w:val="20"/>
        </w:rPr>
      </w:pPr>
      <w:r w:rsidRPr="004C7498">
        <w:rPr>
          <w:rFonts w:cs="Arial"/>
          <w:sz w:val="20"/>
          <w:szCs w:val="20"/>
        </w:rPr>
        <w:t>The Appendix to these Conditions.</w:t>
      </w:r>
    </w:p>
    <w:p w14:paraId="0AC0067D" w14:textId="77777777" w:rsidR="004C7498" w:rsidRPr="004C7498" w:rsidRDefault="004C7498" w:rsidP="004C7498">
      <w:pPr>
        <w:jc w:val="both"/>
        <w:rPr>
          <w:rFonts w:ascii="Arial" w:hAnsi="Arial" w:cs="Arial"/>
        </w:rPr>
      </w:pPr>
    </w:p>
    <w:p w14:paraId="03C59E04"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Contractor</w:t>
      </w:r>
    </w:p>
    <w:p w14:paraId="4F4BA032"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The person, firm, </w:t>
      </w:r>
      <w:proofErr w:type="gramStart"/>
      <w:r w:rsidRPr="004C7498">
        <w:rPr>
          <w:rFonts w:cs="Arial"/>
          <w:sz w:val="20"/>
          <w:szCs w:val="20"/>
        </w:rPr>
        <w:t>company</w:t>
      </w:r>
      <w:proofErr w:type="gramEnd"/>
      <w:r w:rsidRPr="004C7498">
        <w:rPr>
          <w:rFonts w:cs="Arial"/>
          <w:sz w:val="20"/>
          <w:szCs w:val="20"/>
        </w:rPr>
        <w:t xml:space="preserve"> or body that undertakes to provide the services to the Agency as set out in the Appendix.</w:t>
      </w:r>
    </w:p>
    <w:p w14:paraId="234D8677" w14:textId="77777777" w:rsidR="004C7498" w:rsidRPr="004C7498" w:rsidRDefault="004C7498" w:rsidP="004C7498">
      <w:pPr>
        <w:jc w:val="both"/>
        <w:rPr>
          <w:rFonts w:ascii="Arial" w:hAnsi="Arial" w:cs="Arial"/>
        </w:rPr>
      </w:pPr>
    </w:p>
    <w:p w14:paraId="702C5713"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 xml:space="preserve">Contractor’s Prior Rights </w:t>
      </w:r>
    </w:p>
    <w:p w14:paraId="7015578E" w14:textId="77777777" w:rsidR="004C7498" w:rsidRPr="004C7498" w:rsidRDefault="004C7498" w:rsidP="004C7498">
      <w:pPr>
        <w:pStyle w:val="ListParagraph"/>
        <w:ind w:left="3402"/>
        <w:jc w:val="both"/>
        <w:rPr>
          <w:rFonts w:cs="Arial"/>
          <w:sz w:val="20"/>
          <w:szCs w:val="20"/>
        </w:rPr>
      </w:pPr>
      <w:r w:rsidRPr="004C7498">
        <w:rPr>
          <w:rFonts w:cs="Arial"/>
          <w:sz w:val="20"/>
          <w:szCs w:val="20"/>
        </w:rPr>
        <w:t>All Intellectual Property Rights owned by or lawfully used by the Contractor, whether under licence or otherwise before the date of this Contract.</w:t>
      </w:r>
    </w:p>
    <w:p w14:paraId="7DCCD2E6" w14:textId="77777777" w:rsidR="004C7498" w:rsidRPr="004C7498" w:rsidRDefault="004C7498" w:rsidP="004C7498">
      <w:pPr>
        <w:jc w:val="both"/>
        <w:rPr>
          <w:rFonts w:ascii="Arial" w:hAnsi="Arial" w:cs="Arial"/>
        </w:rPr>
      </w:pPr>
    </w:p>
    <w:p w14:paraId="35C3CC8C"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Contract</w:t>
      </w:r>
    </w:p>
    <w:p w14:paraId="338AEE9A"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73F05851" w14:textId="77777777" w:rsidR="004C7498" w:rsidRPr="004C7498" w:rsidRDefault="004C7498" w:rsidP="004C7498">
      <w:pPr>
        <w:jc w:val="both"/>
        <w:rPr>
          <w:rFonts w:ascii="Arial" w:hAnsi="Arial" w:cs="Arial"/>
        </w:rPr>
      </w:pPr>
    </w:p>
    <w:p w14:paraId="66791B7A"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Contract Period</w:t>
      </w:r>
    </w:p>
    <w:p w14:paraId="4F20017E"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The </w:t>
      </w:r>
      <w:proofErr w:type="gramStart"/>
      <w:r w:rsidRPr="004C7498">
        <w:rPr>
          <w:rFonts w:cs="Arial"/>
          <w:sz w:val="20"/>
          <w:szCs w:val="20"/>
        </w:rPr>
        <w:t>time period</w:t>
      </w:r>
      <w:proofErr w:type="gramEnd"/>
      <w:r w:rsidRPr="004C7498">
        <w:rPr>
          <w:rFonts w:cs="Arial"/>
          <w:sz w:val="20"/>
          <w:szCs w:val="20"/>
        </w:rPr>
        <w:t xml:space="preserve"> stated in the Appendix, or otherwise in the Contract, for the performance of the Services.</w:t>
      </w:r>
    </w:p>
    <w:p w14:paraId="19E62760" w14:textId="77777777" w:rsidR="004C7498" w:rsidRPr="004C7498" w:rsidRDefault="004C7498" w:rsidP="004C7498">
      <w:pPr>
        <w:jc w:val="both"/>
        <w:rPr>
          <w:rFonts w:ascii="Arial" w:hAnsi="Arial" w:cs="Arial"/>
        </w:rPr>
      </w:pPr>
    </w:p>
    <w:p w14:paraId="2D81573B" w14:textId="77777777" w:rsidR="004C7498" w:rsidRPr="004C7498" w:rsidRDefault="004C7498" w:rsidP="009D7616">
      <w:pPr>
        <w:pStyle w:val="ListParagraph"/>
        <w:numPr>
          <w:ilvl w:val="2"/>
          <w:numId w:val="17"/>
        </w:numPr>
        <w:suppressAutoHyphens/>
        <w:autoSpaceDN w:val="0"/>
        <w:spacing w:after="160" w:line="254" w:lineRule="auto"/>
        <w:jc w:val="both"/>
        <w:rPr>
          <w:rFonts w:cs="Arial"/>
          <w:sz w:val="20"/>
          <w:szCs w:val="20"/>
        </w:rPr>
      </w:pPr>
      <w:r w:rsidRPr="004C7498">
        <w:rPr>
          <w:rFonts w:cs="Arial"/>
          <w:sz w:val="20"/>
          <w:szCs w:val="20"/>
          <w:u w:val="single"/>
        </w:rPr>
        <w:t>Contractor Personn</w:t>
      </w:r>
      <w:r w:rsidRPr="004C7498">
        <w:rPr>
          <w:rFonts w:cs="Arial"/>
          <w:sz w:val="20"/>
          <w:szCs w:val="20"/>
        </w:rPr>
        <w:t xml:space="preserve">el </w:t>
      </w:r>
    </w:p>
    <w:p w14:paraId="55FC459A"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means all directors, officers, employees, agents, </w:t>
      </w:r>
      <w:proofErr w:type="gramStart"/>
      <w:r w:rsidRPr="004C7498">
        <w:rPr>
          <w:rFonts w:cs="Arial"/>
          <w:sz w:val="20"/>
          <w:szCs w:val="20"/>
        </w:rPr>
        <w:t>consultants</w:t>
      </w:r>
      <w:proofErr w:type="gramEnd"/>
      <w:r w:rsidRPr="004C7498">
        <w:rPr>
          <w:rFonts w:cs="Arial"/>
          <w:sz w:val="20"/>
          <w:szCs w:val="20"/>
        </w:rPr>
        <w:t xml:space="preserve"> and contractors of the Contractor and/or of any sub-contractor engaged in the performance of its obligations under this Contract</w:t>
      </w:r>
    </w:p>
    <w:p w14:paraId="4A07169C" w14:textId="77777777" w:rsidR="004C7498" w:rsidRPr="004C7498" w:rsidRDefault="004C7498" w:rsidP="004C7498">
      <w:pPr>
        <w:pStyle w:val="ListParagraph"/>
        <w:ind w:left="3402"/>
        <w:jc w:val="both"/>
        <w:rPr>
          <w:rFonts w:cs="Arial"/>
          <w:sz w:val="20"/>
          <w:szCs w:val="20"/>
          <w:u w:val="single"/>
        </w:rPr>
      </w:pPr>
    </w:p>
    <w:p w14:paraId="0CFB4D92"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Contracting Authority</w:t>
      </w:r>
    </w:p>
    <w:p w14:paraId="1FDB86EC"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Means any contracting authorities (other than the Environment Agency) as defined in regulation 2 of the </w:t>
      </w:r>
      <w:r w:rsidRPr="004C7498">
        <w:rPr>
          <w:rFonts w:cs="Arial"/>
          <w:sz w:val="20"/>
          <w:szCs w:val="20"/>
        </w:rPr>
        <w:lastRenderedPageBreak/>
        <w:t>Public Contract Regulations 2015 (SI 2015/102) (as amended).</w:t>
      </w:r>
    </w:p>
    <w:p w14:paraId="43D3DE01" w14:textId="77777777" w:rsidR="004C7498" w:rsidRPr="004C7498" w:rsidRDefault="004C7498" w:rsidP="004C7498">
      <w:pPr>
        <w:pStyle w:val="ListParagraph"/>
        <w:ind w:left="3402"/>
        <w:jc w:val="both"/>
        <w:rPr>
          <w:rFonts w:cs="Arial"/>
          <w:sz w:val="20"/>
          <w:szCs w:val="20"/>
          <w:u w:val="single"/>
        </w:rPr>
      </w:pPr>
    </w:p>
    <w:p w14:paraId="31F8B723"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Contract Price</w:t>
      </w:r>
    </w:p>
    <w:p w14:paraId="2D968D56" w14:textId="77777777" w:rsidR="004C7498" w:rsidRPr="004C7498" w:rsidRDefault="004C7498" w:rsidP="004C7498">
      <w:pPr>
        <w:pStyle w:val="ListParagraph"/>
        <w:ind w:left="3402"/>
        <w:jc w:val="both"/>
        <w:rPr>
          <w:rFonts w:cs="Arial"/>
          <w:sz w:val="20"/>
          <w:szCs w:val="20"/>
        </w:rPr>
      </w:pPr>
      <w:r w:rsidRPr="004C7498">
        <w:rPr>
          <w:rFonts w:cs="Arial"/>
          <w:sz w:val="20"/>
          <w:szCs w:val="20"/>
        </w:rPr>
        <w:t>The price (exclusive of any VAT) set out in the Contract for which the Contractor has agreed to provide the services.</w:t>
      </w:r>
    </w:p>
    <w:p w14:paraId="03B8EAFF" w14:textId="77777777" w:rsidR="004C7498" w:rsidRPr="004C7498" w:rsidRDefault="004C7498" w:rsidP="004C7498">
      <w:pPr>
        <w:jc w:val="both"/>
        <w:rPr>
          <w:rFonts w:ascii="Arial" w:hAnsi="Arial" w:cs="Arial"/>
        </w:rPr>
      </w:pPr>
    </w:p>
    <w:p w14:paraId="681BE870"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Contract Supervisor</w:t>
      </w:r>
    </w:p>
    <w:p w14:paraId="11B10C8C" w14:textId="77777777" w:rsidR="004C7498" w:rsidRPr="004C7498" w:rsidRDefault="004C7498" w:rsidP="004C7498">
      <w:pPr>
        <w:pStyle w:val="ListParagraph"/>
        <w:ind w:left="3402"/>
        <w:jc w:val="both"/>
        <w:rPr>
          <w:rFonts w:cs="Arial"/>
          <w:sz w:val="20"/>
          <w:szCs w:val="20"/>
        </w:rPr>
      </w:pPr>
      <w:r w:rsidRPr="004C7498">
        <w:rPr>
          <w:rFonts w:cs="Arial"/>
          <w:sz w:val="20"/>
          <w:szCs w:val="20"/>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03B1400" w14:textId="77777777" w:rsidR="004C7498" w:rsidRPr="004C7498" w:rsidRDefault="004C7498" w:rsidP="004C7498">
      <w:pPr>
        <w:jc w:val="both"/>
        <w:rPr>
          <w:rFonts w:ascii="Arial" w:hAnsi="Arial" w:cs="Arial"/>
        </w:rPr>
      </w:pPr>
    </w:p>
    <w:p w14:paraId="057B263C" w14:textId="77777777" w:rsidR="004C7498" w:rsidRPr="004C7498" w:rsidRDefault="004C7498" w:rsidP="009D7616">
      <w:pPr>
        <w:pStyle w:val="ListParagraph"/>
        <w:numPr>
          <w:ilvl w:val="2"/>
          <w:numId w:val="17"/>
        </w:numPr>
        <w:suppressAutoHyphens/>
        <w:autoSpaceDN w:val="0"/>
        <w:spacing w:after="160" w:line="254" w:lineRule="auto"/>
        <w:jc w:val="both"/>
        <w:rPr>
          <w:rFonts w:cs="Arial"/>
          <w:sz w:val="20"/>
          <w:szCs w:val="20"/>
          <w:u w:val="single"/>
        </w:rPr>
      </w:pPr>
      <w:r w:rsidRPr="004C7498">
        <w:rPr>
          <w:rFonts w:cs="Arial"/>
          <w:sz w:val="20"/>
          <w:szCs w:val="20"/>
          <w:u w:val="single"/>
        </w:rPr>
        <w:t>Data Protection Legislation</w:t>
      </w:r>
    </w:p>
    <w:p w14:paraId="6076844B" w14:textId="77777777" w:rsidR="004C7498" w:rsidRPr="004C7498" w:rsidRDefault="004C7498" w:rsidP="004C7498">
      <w:pPr>
        <w:pStyle w:val="ListParagraph"/>
        <w:ind w:left="3402"/>
        <w:jc w:val="both"/>
        <w:rPr>
          <w:rFonts w:cs="Arial"/>
          <w:sz w:val="20"/>
          <w:szCs w:val="20"/>
        </w:rPr>
      </w:pPr>
      <w:r w:rsidRPr="004C7498">
        <w:rPr>
          <w:rFonts w:cs="Arial"/>
          <w:sz w:val="20"/>
          <w:szCs w:val="20"/>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3DBE0970" w14:textId="77777777" w:rsidR="004C7498" w:rsidRPr="004C7498" w:rsidRDefault="004C7498" w:rsidP="004C7498">
      <w:pPr>
        <w:pStyle w:val="ListParagraph"/>
        <w:ind w:left="3402"/>
        <w:jc w:val="both"/>
        <w:rPr>
          <w:rFonts w:cs="Arial"/>
          <w:sz w:val="20"/>
          <w:szCs w:val="20"/>
          <w:u w:val="single"/>
        </w:rPr>
      </w:pPr>
    </w:p>
    <w:p w14:paraId="3E7CDF82" w14:textId="77777777" w:rsidR="004C7498" w:rsidRPr="004C7498" w:rsidRDefault="004C7498" w:rsidP="009D7616">
      <w:pPr>
        <w:pStyle w:val="ListParagraph"/>
        <w:numPr>
          <w:ilvl w:val="2"/>
          <w:numId w:val="17"/>
        </w:numPr>
        <w:suppressAutoHyphens/>
        <w:autoSpaceDN w:val="0"/>
        <w:spacing w:after="160" w:line="254" w:lineRule="auto"/>
        <w:jc w:val="both"/>
        <w:rPr>
          <w:rFonts w:cs="Arial"/>
          <w:sz w:val="20"/>
          <w:szCs w:val="20"/>
          <w:u w:val="single"/>
        </w:rPr>
      </w:pPr>
      <w:r w:rsidRPr="004C7498">
        <w:rPr>
          <w:rFonts w:cs="Arial"/>
          <w:sz w:val="20"/>
          <w:szCs w:val="20"/>
          <w:u w:val="single"/>
        </w:rPr>
        <w:t>Data Protection Schedule</w:t>
      </w:r>
    </w:p>
    <w:p w14:paraId="5797658D" w14:textId="77777777" w:rsidR="004C7498" w:rsidRPr="004C7498" w:rsidRDefault="004C7498" w:rsidP="004C7498">
      <w:pPr>
        <w:pStyle w:val="ListParagraph"/>
        <w:ind w:left="3402"/>
        <w:jc w:val="both"/>
        <w:rPr>
          <w:rFonts w:cs="Arial"/>
          <w:sz w:val="20"/>
          <w:szCs w:val="20"/>
        </w:rPr>
      </w:pPr>
      <w:r w:rsidRPr="004C7498">
        <w:rPr>
          <w:rFonts w:cs="Arial"/>
          <w:sz w:val="20"/>
          <w:szCs w:val="20"/>
        </w:rPr>
        <w:t>The Schedule attached to this Contract describing how the Parties will comply with the Data Protection Legislation.</w:t>
      </w:r>
    </w:p>
    <w:p w14:paraId="661FBE91" w14:textId="77777777" w:rsidR="004C7498" w:rsidRPr="004C7498" w:rsidRDefault="004C7498" w:rsidP="004C7498">
      <w:pPr>
        <w:pStyle w:val="ListParagraph"/>
        <w:ind w:left="3402"/>
        <w:jc w:val="both"/>
        <w:rPr>
          <w:rFonts w:cs="Arial"/>
          <w:sz w:val="20"/>
          <w:szCs w:val="20"/>
          <w:u w:val="single"/>
        </w:rPr>
      </w:pPr>
    </w:p>
    <w:p w14:paraId="6ADEB38A"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Law</w:t>
      </w:r>
    </w:p>
    <w:p w14:paraId="7C9AA06D"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means any law, subordinate legislation within the meaning of Section 21(1) of the Interpretation Act 1978, </w:t>
      </w:r>
      <w:proofErr w:type="gramStart"/>
      <w:r w:rsidRPr="004C7498">
        <w:rPr>
          <w:rFonts w:cs="Arial"/>
          <w:sz w:val="20"/>
          <w:szCs w:val="20"/>
        </w:rPr>
        <w:t>bye-law</w:t>
      </w:r>
      <w:proofErr w:type="gramEnd"/>
      <w:r w:rsidRPr="004C7498">
        <w:rPr>
          <w:rFonts w:cs="Arial"/>
          <w:sz w:val="20"/>
          <w:szCs w:val="20"/>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530979FF" w14:textId="77777777" w:rsidR="004C7498" w:rsidRPr="004C7498" w:rsidRDefault="004C7498" w:rsidP="004C7498">
      <w:pPr>
        <w:pStyle w:val="ListParagraph"/>
        <w:ind w:left="3402"/>
        <w:jc w:val="both"/>
        <w:rPr>
          <w:rFonts w:cs="Arial"/>
          <w:sz w:val="20"/>
          <w:szCs w:val="20"/>
          <w:u w:val="single"/>
        </w:rPr>
      </w:pPr>
    </w:p>
    <w:p w14:paraId="2D9A03FB"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Notice</w:t>
      </w:r>
    </w:p>
    <w:p w14:paraId="08976D95" w14:textId="77777777" w:rsidR="004C7498" w:rsidRPr="004C7498" w:rsidRDefault="004C7498" w:rsidP="004C7498">
      <w:pPr>
        <w:pStyle w:val="ListParagraph"/>
        <w:ind w:left="3402"/>
        <w:jc w:val="both"/>
        <w:rPr>
          <w:rFonts w:cs="Arial"/>
          <w:sz w:val="20"/>
          <w:szCs w:val="20"/>
        </w:rPr>
      </w:pPr>
      <w:r w:rsidRPr="004C7498">
        <w:rPr>
          <w:rFonts w:cs="Arial"/>
          <w:sz w:val="20"/>
          <w:szCs w:val="20"/>
        </w:rPr>
        <w:t>Any written instruction or notice given to the Contractor by the Contract Supervisor, delivered by:</w:t>
      </w:r>
    </w:p>
    <w:p w14:paraId="3453A5DA" w14:textId="77777777" w:rsidR="004C7498" w:rsidRPr="004C7498" w:rsidRDefault="004C7498" w:rsidP="004C7498">
      <w:pPr>
        <w:jc w:val="both"/>
        <w:rPr>
          <w:rFonts w:ascii="Arial" w:hAnsi="Arial" w:cs="Arial"/>
        </w:rPr>
      </w:pPr>
    </w:p>
    <w:p w14:paraId="080E62EE" w14:textId="77777777" w:rsidR="004C7498" w:rsidRPr="004C7498" w:rsidRDefault="004C7498" w:rsidP="009D7616">
      <w:pPr>
        <w:pStyle w:val="ListParagraph"/>
        <w:numPr>
          <w:ilvl w:val="0"/>
          <w:numId w:val="18"/>
        </w:numPr>
        <w:suppressAutoHyphens/>
        <w:autoSpaceDN w:val="0"/>
        <w:spacing w:after="0" w:line="240" w:lineRule="auto"/>
        <w:jc w:val="both"/>
        <w:rPr>
          <w:rFonts w:cs="Arial"/>
          <w:sz w:val="20"/>
          <w:szCs w:val="20"/>
        </w:rPr>
      </w:pPr>
      <w:r w:rsidRPr="004C7498">
        <w:rPr>
          <w:rFonts w:cs="Arial"/>
          <w:sz w:val="20"/>
          <w:szCs w:val="20"/>
        </w:rPr>
        <w:t>fax, or hand delivery to the Contractor’s registered office or other address notified by the Contractor to the Agency for the purposes of the Contract and be deemed to have been served at the date and time of delivery; or</w:t>
      </w:r>
    </w:p>
    <w:p w14:paraId="2AF609EC" w14:textId="77777777" w:rsidR="004C7498" w:rsidRPr="004C7498" w:rsidRDefault="004C7498" w:rsidP="004C7498">
      <w:pPr>
        <w:jc w:val="both"/>
        <w:rPr>
          <w:rFonts w:ascii="Arial" w:hAnsi="Arial" w:cs="Arial"/>
        </w:rPr>
      </w:pPr>
    </w:p>
    <w:p w14:paraId="3BE764D2" w14:textId="77777777" w:rsidR="004C7498" w:rsidRPr="004C7498" w:rsidRDefault="004C7498" w:rsidP="009D7616">
      <w:pPr>
        <w:pStyle w:val="ListParagraph"/>
        <w:numPr>
          <w:ilvl w:val="0"/>
          <w:numId w:val="18"/>
        </w:numPr>
        <w:suppressAutoHyphens/>
        <w:autoSpaceDN w:val="0"/>
        <w:spacing w:after="0" w:line="240" w:lineRule="auto"/>
        <w:jc w:val="both"/>
        <w:rPr>
          <w:rFonts w:cs="Arial"/>
          <w:sz w:val="20"/>
          <w:szCs w:val="20"/>
        </w:rPr>
      </w:pPr>
      <w:r w:rsidRPr="004C7498">
        <w:rPr>
          <w:rFonts w:cs="Arial"/>
          <w:sz w:val="20"/>
          <w:szCs w:val="20"/>
        </w:rPr>
        <w:t>first class post to the Contractor’s registered office. Such notice shall be deemed to have been served 48 hours after posting.</w:t>
      </w:r>
    </w:p>
    <w:p w14:paraId="3713AE12" w14:textId="77777777" w:rsidR="004C7498" w:rsidRPr="004C7498" w:rsidRDefault="004C7498" w:rsidP="004C7498">
      <w:pPr>
        <w:jc w:val="both"/>
        <w:rPr>
          <w:rFonts w:ascii="Arial" w:hAnsi="Arial" w:cs="Arial"/>
        </w:rPr>
      </w:pPr>
    </w:p>
    <w:p w14:paraId="0909C3F5"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Intellectual Property Rights</w:t>
      </w:r>
    </w:p>
    <w:p w14:paraId="56AF3231" w14:textId="77777777" w:rsidR="004C7498" w:rsidRPr="004C7498" w:rsidRDefault="004C7498" w:rsidP="004C7498">
      <w:pPr>
        <w:pStyle w:val="ListParagraph"/>
        <w:ind w:left="3402"/>
        <w:jc w:val="both"/>
        <w:rPr>
          <w:rFonts w:cs="Arial"/>
          <w:sz w:val="20"/>
          <w:szCs w:val="20"/>
        </w:rPr>
      </w:pPr>
      <w:r w:rsidRPr="004C7498">
        <w:rPr>
          <w:rFonts w:cs="Arial"/>
          <w:sz w:val="20"/>
          <w:szCs w:val="20"/>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4C7498">
        <w:rPr>
          <w:rFonts w:cs="Arial"/>
          <w:sz w:val="20"/>
          <w:szCs w:val="20"/>
        </w:rPr>
        <w:tab/>
      </w:r>
    </w:p>
    <w:p w14:paraId="1A2577BE" w14:textId="77777777" w:rsidR="004C7498" w:rsidRPr="004C7498" w:rsidRDefault="004C7498" w:rsidP="004C7498">
      <w:pPr>
        <w:pStyle w:val="ListParagraph"/>
        <w:ind w:left="792"/>
        <w:jc w:val="both"/>
        <w:rPr>
          <w:rFonts w:cs="Arial"/>
          <w:sz w:val="20"/>
          <w:szCs w:val="20"/>
        </w:rPr>
      </w:pPr>
    </w:p>
    <w:p w14:paraId="2A6F63C1"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Results</w:t>
      </w:r>
    </w:p>
    <w:p w14:paraId="0E52B1A4" w14:textId="77777777" w:rsidR="004C7498" w:rsidRPr="004C7498" w:rsidRDefault="004C7498" w:rsidP="004C7498">
      <w:pPr>
        <w:pStyle w:val="ListParagraph"/>
        <w:ind w:left="3402"/>
        <w:jc w:val="both"/>
        <w:rPr>
          <w:rFonts w:cs="Arial"/>
          <w:sz w:val="20"/>
          <w:szCs w:val="20"/>
        </w:rPr>
      </w:pPr>
      <w:r w:rsidRPr="004C7498">
        <w:rPr>
          <w:rFonts w:cs="Arial"/>
          <w:sz w:val="20"/>
          <w:szCs w:val="20"/>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1575A1D8" w14:textId="77777777" w:rsidR="004C7498" w:rsidRPr="004C7498" w:rsidRDefault="004C7498" w:rsidP="004C7498">
      <w:pPr>
        <w:jc w:val="both"/>
        <w:rPr>
          <w:rFonts w:ascii="Arial" w:hAnsi="Arial" w:cs="Arial"/>
        </w:rPr>
      </w:pPr>
    </w:p>
    <w:p w14:paraId="5CCE96F6"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Resulting Rights</w:t>
      </w:r>
    </w:p>
    <w:p w14:paraId="7C823DBF" w14:textId="77777777" w:rsidR="004C7498" w:rsidRPr="004C7498" w:rsidRDefault="004C7498" w:rsidP="004C7498">
      <w:pPr>
        <w:pStyle w:val="ListParagraph"/>
        <w:ind w:left="3402"/>
        <w:jc w:val="both"/>
        <w:rPr>
          <w:rFonts w:cs="Arial"/>
          <w:sz w:val="20"/>
          <w:szCs w:val="20"/>
        </w:rPr>
      </w:pPr>
      <w:r w:rsidRPr="004C7498">
        <w:rPr>
          <w:rFonts w:cs="Arial"/>
          <w:sz w:val="20"/>
          <w:szCs w:val="20"/>
        </w:rPr>
        <w:t xml:space="preserve">All Intellectual Property Rights in the Results that are originated, conceived, </w:t>
      </w:r>
      <w:proofErr w:type="gramStart"/>
      <w:r w:rsidRPr="004C7498">
        <w:rPr>
          <w:rFonts w:cs="Arial"/>
          <w:sz w:val="20"/>
          <w:szCs w:val="20"/>
        </w:rPr>
        <w:t>written</w:t>
      </w:r>
      <w:proofErr w:type="gramEnd"/>
      <w:r w:rsidRPr="004C7498">
        <w:rPr>
          <w:rFonts w:cs="Arial"/>
          <w:sz w:val="20"/>
          <w:szCs w:val="20"/>
        </w:rPr>
        <w:t xml:space="preserve"> or made by the Contractor, whether alone or with others in the performance of the Services or otherwise resulting from the Contract.</w:t>
      </w:r>
    </w:p>
    <w:p w14:paraId="2B87B52F" w14:textId="77777777" w:rsidR="004C7498" w:rsidRPr="004C7498" w:rsidRDefault="004C7498" w:rsidP="004C7498">
      <w:pPr>
        <w:jc w:val="both"/>
        <w:rPr>
          <w:rFonts w:ascii="Arial" w:hAnsi="Arial" w:cs="Arial"/>
        </w:rPr>
      </w:pPr>
    </w:p>
    <w:p w14:paraId="103E9C07"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Services</w:t>
      </w:r>
    </w:p>
    <w:p w14:paraId="4CF464C0" w14:textId="77777777" w:rsidR="004C7498" w:rsidRPr="004C7498" w:rsidRDefault="004C7498" w:rsidP="004C7498">
      <w:pPr>
        <w:pStyle w:val="ListParagraph"/>
        <w:ind w:left="3402"/>
        <w:jc w:val="both"/>
        <w:rPr>
          <w:rFonts w:cs="Arial"/>
          <w:sz w:val="20"/>
          <w:szCs w:val="20"/>
        </w:rPr>
      </w:pPr>
      <w:r w:rsidRPr="004C7498">
        <w:rPr>
          <w:rFonts w:cs="Arial"/>
          <w:sz w:val="20"/>
          <w:szCs w:val="20"/>
        </w:rPr>
        <w:t>All Services detailed in the Specification including any additions or substitutions as may be requested by the Contract Supervisor.</w:t>
      </w:r>
    </w:p>
    <w:p w14:paraId="56C9FA08" w14:textId="77777777" w:rsidR="004C7498" w:rsidRPr="004C7498" w:rsidRDefault="004C7498" w:rsidP="004C7498">
      <w:pPr>
        <w:jc w:val="both"/>
        <w:rPr>
          <w:rFonts w:ascii="Arial" w:hAnsi="Arial" w:cs="Arial"/>
        </w:rPr>
      </w:pPr>
    </w:p>
    <w:p w14:paraId="1D89EE68"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u w:val="single"/>
        </w:rPr>
      </w:pPr>
      <w:r w:rsidRPr="004C7498">
        <w:rPr>
          <w:rFonts w:cs="Arial"/>
          <w:sz w:val="20"/>
          <w:szCs w:val="20"/>
          <w:u w:val="single"/>
        </w:rPr>
        <w:t>PCR</w:t>
      </w:r>
    </w:p>
    <w:p w14:paraId="4F8BDC07" w14:textId="77777777" w:rsidR="004C7498" w:rsidRPr="004C7498" w:rsidRDefault="004C7498" w:rsidP="004C7498">
      <w:pPr>
        <w:pStyle w:val="ListParagraph"/>
        <w:ind w:left="3402"/>
        <w:jc w:val="both"/>
        <w:rPr>
          <w:rFonts w:cs="Arial"/>
          <w:sz w:val="20"/>
          <w:szCs w:val="20"/>
        </w:rPr>
      </w:pPr>
      <w:r w:rsidRPr="004C7498">
        <w:rPr>
          <w:rFonts w:cs="Arial"/>
          <w:sz w:val="20"/>
          <w:szCs w:val="20"/>
        </w:rPr>
        <w:t>Means the Public Contract Regulations 2015 (SI 2015/102) as amended.</w:t>
      </w:r>
    </w:p>
    <w:p w14:paraId="4384E6FD" w14:textId="77777777" w:rsidR="004C7498" w:rsidRPr="004C7498" w:rsidRDefault="004C7498" w:rsidP="004C7498">
      <w:pPr>
        <w:jc w:val="both"/>
        <w:rPr>
          <w:rFonts w:ascii="Arial" w:hAnsi="Arial" w:cs="Arial"/>
        </w:rPr>
      </w:pPr>
    </w:p>
    <w:p w14:paraId="5C9E47B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Except as set out above and in the Data Protection Schedule, the Contract shall be interpreted in accordance with the Interpretation Act 1978.</w:t>
      </w:r>
    </w:p>
    <w:p w14:paraId="3F31D5C0" w14:textId="77777777" w:rsidR="004C7498" w:rsidRPr="004C7498" w:rsidRDefault="004C7498" w:rsidP="004C7498">
      <w:pPr>
        <w:jc w:val="both"/>
        <w:rPr>
          <w:rFonts w:ascii="Arial" w:hAnsi="Arial" w:cs="Arial"/>
        </w:rPr>
      </w:pPr>
    </w:p>
    <w:p w14:paraId="75E20F4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lastRenderedPageBreak/>
        <w:t xml:space="preserve">All headings in these Conditions are for ease of reference </w:t>
      </w:r>
      <w:proofErr w:type="gramStart"/>
      <w:r w:rsidRPr="004C7498">
        <w:rPr>
          <w:rFonts w:cs="Arial"/>
          <w:sz w:val="20"/>
          <w:szCs w:val="20"/>
        </w:rPr>
        <w:t>only, and</w:t>
      </w:r>
      <w:proofErr w:type="gramEnd"/>
      <w:r w:rsidRPr="004C7498">
        <w:rPr>
          <w:rFonts w:cs="Arial"/>
          <w:sz w:val="20"/>
          <w:szCs w:val="20"/>
        </w:rPr>
        <w:t xml:space="preserve"> shall not affect the construction of the Contract.</w:t>
      </w:r>
    </w:p>
    <w:p w14:paraId="7C70D92D" w14:textId="77777777" w:rsidR="004C7498" w:rsidRPr="004C7498" w:rsidRDefault="004C7498" w:rsidP="004C7498">
      <w:pPr>
        <w:jc w:val="both"/>
        <w:rPr>
          <w:rFonts w:ascii="Arial" w:hAnsi="Arial" w:cs="Arial"/>
        </w:rPr>
      </w:pPr>
    </w:p>
    <w:p w14:paraId="1048912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Any reference in these Conditions to a statutory requirement this will include all subsequent modifications.</w:t>
      </w:r>
    </w:p>
    <w:p w14:paraId="4AF55E1C" w14:textId="77777777" w:rsidR="004C7498" w:rsidRPr="004C7498" w:rsidRDefault="004C7498" w:rsidP="004C7498">
      <w:pPr>
        <w:jc w:val="both"/>
        <w:rPr>
          <w:rFonts w:ascii="Arial" w:hAnsi="Arial" w:cs="Arial"/>
        </w:rPr>
      </w:pPr>
    </w:p>
    <w:p w14:paraId="422822F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18D1A8C2" w14:textId="77777777" w:rsidR="004C7498" w:rsidRPr="004C7498" w:rsidRDefault="004C7498" w:rsidP="004C7498">
      <w:pPr>
        <w:jc w:val="both"/>
        <w:rPr>
          <w:rFonts w:ascii="Arial" w:hAnsi="Arial" w:cs="Arial"/>
        </w:rPr>
      </w:pPr>
    </w:p>
    <w:p w14:paraId="3E43E435"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PRECEDENCE</w:t>
      </w:r>
    </w:p>
    <w:p w14:paraId="4D9694E7" w14:textId="77777777" w:rsidR="004C7498" w:rsidRPr="004C7498" w:rsidRDefault="004C7498" w:rsidP="004C7498">
      <w:pPr>
        <w:jc w:val="both"/>
        <w:rPr>
          <w:rFonts w:ascii="Arial" w:hAnsi="Arial" w:cs="Arial"/>
        </w:rPr>
      </w:pPr>
    </w:p>
    <w:p w14:paraId="24DB3EFB" w14:textId="77777777" w:rsidR="004C7498" w:rsidRPr="004C7498" w:rsidRDefault="004C7498" w:rsidP="004C7498">
      <w:pPr>
        <w:pStyle w:val="ListParagraph"/>
        <w:ind w:left="1440"/>
        <w:jc w:val="both"/>
        <w:rPr>
          <w:rFonts w:cs="Arial"/>
          <w:sz w:val="20"/>
          <w:szCs w:val="20"/>
        </w:rPr>
      </w:pPr>
      <w:r w:rsidRPr="004C7498">
        <w:rPr>
          <w:rFonts w:cs="Arial"/>
          <w:sz w:val="20"/>
          <w:szCs w:val="20"/>
        </w:rPr>
        <w:t>To the extent that the following documents form the Contract, in the case of conflict of content, they shall have the following order of precedence.</w:t>
      </w:r>
    </w:p>
    <w:p w14:paraId="0A0BED97" w14:textId="77777777" w:rsidR="004C7498" w:rsidRPr="004C7498" w:rsidRDefault="004C7498" w:rsidP="004C7498">
      <w:pPr>
        <w:jc w:val="both"/>
        <w:rPr>
          <w:rFonts w:ascii="Arial" w:hAnsi="Arial" w:cs="Arial"/>
        </w:rPr>
      </w:pPr>
    </w:p>
    <w:p w14:paraId="06A67B7F" w14:textId="77777777" w:rsidR="004C7498" w:rsidRPr="004C7498" w:rsidRDefault="004C7498" w:rsidP="009D7616">
      <w:pPr>
        <w:pStyle w:val="ListParagraph"/>
        <w:numPr>
          <w:ilvl w:val="2"/>
          <w:numId w:val="19"/>
        </w:numPr>
        <w:suppressAutoHyphens/>
        <w:autoSpaceDN w:val="0"/>
        <w:spacing w:after="0" w:line="240" w:lineRule="auto"/>
        <w:jc w:val="both"/>
        <w:rPr>
          <w:rFonts w:cs="Arial"/>
          <w:sz w:val="20"/>
          <w:szCs w:val="20"/>
        </w:rPr>
      </w:pPr>
      <w:r w:rsidRPr="004C7498">
        <w:rPr>
          <w:rFonts w:cs="Arial"/>
          <w:sz w:val="20"/>
          <w:szCs w:val="20"/>
        </w:rPr>
        <w:t xml:space="preserve">Conditions of Contract including Appendix, Data Protection </w:t>
      </w:r>
      <w:proofErr w:type="gramStart"/>
      <w:r w:rsidRPr="004C7498">
        <w:rPr>
          <w:rFonts w:cs="Arial"/>
          <w:sz w:val="20"/>
          <w:szCs w:val="20"/>
        </w:rPr>
        <w:t>Schedule</w:t>
      </w:r>
      <w:proofErr w:type="gramEnd"/>
      <w:r w:rsidRPr="004C7498">
        <w:rPr>
          <w:rFonts w:cs="Arial"/>
          <w:sz w:val="20"/>
          <w:szCs w:val="20"/>
        </w:rPr>
        <w:t xml:space="preserve"> and any Special Conditions</w:t>
      </w:r>
    </w:p>
    <w:p w14:paraId="3BDC6F1C" w14:textId="77777777" w:rsidR="004C7498" w:rsidRPr="004C7498" w:rsidRDefault="004C7498" w:rsidP="009D7616">
      <w:pPr>
        <w:pStyle w:val="ListParagraph"/>
        <w:numPr>
          <w:ilvl w:val="2"/>
          <w:numId w:val="19"/>
        </w:numPr>
        <w:suppressAutoHyphens/>
        <w:autoSpaceDN w:val="0"/>
        <w:spacing w:after="0" w:line="240" w:lineRule="auto"/>
        <w:jc w:val="both"/>
        <w:rPr>
          <w:rFonts w:cs="Arial"/>
          <w:sz w:val="20"/>
          <w:szCs w:val="20"/>
        </w:rPr>
      </w:pPr>
      <w:r w:rsidRPr="004C7498">
        <w:rPr>
          <w:rFonts w:cs="Arial"/>
          <w:sz w:val="20"/>
          <w:szCs w:val="20"/>
        </w:rPr>
        <w:t>Specification</w:t>
      </w:r>
    </w:p>
    <w:p w14:paraId="129F52F3" w14:textId="77777777" w:rsidR="004C7498" w:rsidRPr="004C7498" w:rsidRDefault="004C7498" w:rsidP="009D7616">
      <w:pPr>
        <w:pStyle w:val="ListParagraph"/>
        <w:numPr>
          <w:ilvl w:val="2"/>
          <w:numId w:val="19"/>
        </w:numPr>
        <w:suppressAutoHyphens/>
        <w:autoSpaceDN w:val="0"/>
        <w:spacing w:after="0" w:line="240" w:lineRule="auto"/>
        <w:jc w:val="both"/>
        <w:rPr>
          <w:rFonts w:cs="Arial"/>
          <w:sz w:val="20"/>
          <w:szCs w:val="20"/>
        </w:rPr>
      </w:pPr>
      <w:r w:rsidRPr="004C7498">
        <w:rPr>
          <w:rFonts w:cs="Arial"/>
          <w:sz w:val="20"/>
          <w:szCs w:val="20"/>
        </w:rPr>
        <w:t>Pricing Schedule</w:t>
      </w:r>
    </w:p>
    <w:p w14:paraId="053DFC96" w14:textId="77777777" w:rsidR="004C7498" w:rsidRPr="004C7498" w:rsidRDefault="004C7498" w:rsidP="009D7616">
      <w:pPr>
        <w:pStyle w:val="ListParagraph"/>
        <w:numPr>
          <w:ilvl w:val="2"/>
          <w:numId w:val="19"/>
        </w:numPr>
        <w:suppressAutoHyphens/>
        <w:autoSpaceDN w:val="0"/>
        <w:spacing w:after="0" w:line="240" w:lineRule="auto"/>
        <w:jc w:val="both"/>
        <w:rPr>
          <w:rFonts w:cs="Arial"/>
          <w:sz w:val="20"/>
          <w:szCs w:val="20"/>
        </w:rPr>
      </w:pPr>
      <w:r w:rsidRPr="004C7498">
        <w:rPr>
          <w:rFonts w:cs="Arial"/>
          <w:sz w:val="20"/>
          <w:szCs w:val="20"/>
        </w:rPr>
        <w:t xml:space="preserve">Drawings, </w:t>
      </w:r>
      <w:proofErr w:type="gramStart"/>
      <w:r w:rsidRPr="004C7498">
        <w:rPr>
          <w:rFonts w:cs="Arial"/>
          <w:sz w:val="20"/>
          <w:szCs w:val="20"/>
        </w:rPr>
        <w:t>maps</w:t>
      </w:r>
      <w:proofErr w:type="gramEnd"/>
      <w:r w:rsidRPr="004C7498">
        <w:rPr>
          <w:rFonts w:cs="Arial"/>
          <w:sz w:val="20"/>
          <w:szCs w:val="20"/>
        </w:rPr>
        <w:t xml:space="preserve"> or other diagrams.</w:t>
      </w:r>
    </w:p>
    <w:p w14:paraId="360FC4D5" w14:textId="77777777" w:rsidR="004C7498" w:rsidRPr="004C7498" w:rsidRDefault="004C7498" w:rsidP="004C7498">
      <w:pPr>
        <w:jc w:val="both"/>
        <w:rPr>
          <w:rFonts w:ascii="Arial" w:hAnsi="Arial" w:cs="Arial"/>
        </w:rPr>
      </w:pPr>
    </w:p>
    <w:p w14:paraId="15FEFE04"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CONTRACT SUPERVISOR</w:t>
      </w:r>
    </w:p>
    <w:p w14:paraId="7263A2BC" w14:textId="77777777" w:rsidR="004C7498" w:rsidRPr="004C7498" w:rsidRDefault="004C7498" w:rsidP="004C7498">
      <w:pPr>
        <w:jc w:val="both"/>
        <w:rPr>
          <w:rFonts w:ascii="Arial" w:hAnsi="Arial" w:cs="Arial"/>
        </w:rPr>
      </w:pPr>
    </w:p>
    <w:p w14:paraId="73670AD8" w14:textId="77777777" w:rsidR="004C7498" w:rsidRPr="004C7498" w:rsidRDefault="004C7498" w:rsidP="004C7498">
      <w:pPr>
        <w:pStyle w:val="ListParagraph"/>
        <w:ind w:left="1134"/>
        <w:jc w:val="both"/>
        <w:rPr>
          <w:rFonts w:cs="Arial"/>
          <w:sz w:val="20"/>
          <w:szCs w:val="20"/>
        </w:rPr>
      </w:pPr>
      <w:r w:rsidRPr="004C7498">
        <w:rPr>
          <w:rFonts w:cs="Arial"/>
          <w:sz w:val="20"/>
          <w:szCs w:val="20"/>
        </w:rPr>
        <w:t xml:space="preserve">The Contractor shall strictly comply with any instruction given by the Contract Supervisor concerning or about the Contract provided such instructions are reasonable and consistent with the nature, </w:t>
      </w:r>
      <w:proofErr w:type="gramStart"/>
      <w:r w:rsidRPr="004C7498">
        <w:rPr>
          <w:rFonts w:cs="Arial"/>
          <w:sz w:val="20"/>
          <w:szCs w:val="20"/>
        </w:rPr>
        <w:t>scope</w:t>
      </w:r>
      <w:proofErr w:type="gramEnd"/>
      <w:r w:rsidRPr="004C7498">
        <w:rPr>
          <w:rFonts w:cs="Arial"/>
          <w:sz w:val="20"/>
          <w:szCs w:val="20"/>
        </w:rPr>
        <w:t xml:space="preserve"> and value of the Contract. All such instructions shall be in writing. The Contractor is not obliged to comply with any verbal instruction from the Contract Supervisor, that is not confirmed in writing within seven working days.</w:t>
      </w:r>
    </w:p>
    <w:p w14:paraId="5317E6BF" w14:textId="77777777" w:rsidR="004C7498" w:rsidRPr="004C7498" w:rsidRDefault="004C7498" w:rsidP="004C7498">
      <w:pPr>
        <w:jc w:val="both"/>
        <w:rPr>
          <w:rFonts w:ascii="Arial" w:hAnsi="Arial" w:cs="Arial"/>
        </w:rPr>
      </w:pPr>
    </w:p>
    <w:p w14:paraId="56FC04FA"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SERVICES</w:t>
      </w:r>
    </w:p>
    <w:p w14:paraId="1D57D1A0" w14:textId="77777777" w:rsidR="004C7498" w:rsidRPr="004C7498" w:rsidRDefault="004C7498" w:rsidP="004C7498">
      <w:pPr>
        <w:jc w:val="both"/>
        <w:rPr>
          <w:rFonts w:ascii="Arial" w:hAnsi="Arial" w:cs="Arial"/>
        </w:rPr>
      </w:pPr>
    </w:p>
    <w:p w14:paraId="4D11A2B1"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Contractor shall provide all staff, equipment, </w:t>
      </w:r>
      <w:proofErr w:type="gramStart"/>
      <w:r w:rsidRPr="004C7498">
        <w:rPr>
          <w:rFonts w:cs="Arial"/>
          <w:sz w:val="20"/>
          <w:szCs w:val="20"/>
        </w:rPr>
        <w:t>materials</w:t>
      </w:r>
      <w:proofErr w:type="gramEnd"/>
      <w:r w:rsidRPr="004C7498">
        <w:rPr>
          <w:rFonts w:cs="Arial"/>
          <w:sz w:val="20"/>
          <w:szCs w:val="20"/>
        </w:rPr>
        <w:t xml:space="preserve"> and any other requirements necessary for the performance of the Contract using reasonable skill, care and diligence, and to the reasonable satisfaction of the Contract Supervisor.</w:t>
      </w:r>
    </w:p>
    <w:p w14:paraId="389B49A7" w14:textId="77777777" w:rsidR="004C7498" w:rsidRPr="004C7498" w:rsidRDefault="004C7498" w:rsidP="004C7498">
      <w:pPr>
        <w:jc w:val="both"/>
        <w:rPr>
          <w:rFonts w:ascii="Arial" w:hAnsi="Arial" w:cs="Arial"/>
        </w:rPr>
      </w:pPr>
    </w:p>
    <w:p w14:paraId="38654DFB"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16D6682" w14:textId="77777777" w:rsidR="004C7498" w:rsidRPr="004C7498" w:rsidRDefault="004C7498" w:rsidP="004C7498">
      <w:pPr>
        <w:jc w:val="both"/>
        <w:rPr>
          <w:rFonts w:ascii="Arial" w:hAnsi="Arial" w:cs="Arial"/>
        </w:rPr>
      </w:pPr>
    </w:p>
    <w:p w14:paraId="7D02584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(subject to Condition 4.5) make Key Personnel available for the whole of the Contract Period, for the purposes of providing the Services.</w:t>
      </w:r>
    </w:p>
    <w:p w14:paraId="5E016778" w14:textId="77777777" w:rsidR="004C7498" w:rsidRPr="004C7498" w:rsidRDefault="004C7498" w:rsidP="004C7498">
      <w:pPr>
        <w:jc w:val="both"/>
        <w:rPr>
          <w:rFonts w:ascii="Arial" w:hAnsi="Arial" w:cs="Arial"/>
        </w:rPr>
      </w:pPr>
    </w:p>
    <w:p w14:paraId="76EB521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Where the Contract Supervisor gives Notice that Key Personnel are associated with the provision of specific services, such services shall only be provided by such persons.</w:t>
      </w:r>
    </w:p>
    <w:p w14:paraId="3CBA157A" w14:textId="77777777" w:rsidR="004C7498" w:rsidRPr="004C7498" w:rsidRDefault="004C7498" w:rsidP="004C7498">
      <w:pPr>
        <w:jc w:val="both"/>
        <w:rPr>
          <w:rFonts w:ascii="Arial" w:hAnsi="Arial" w:cs="Arial"/>
        </w:rPr>
      </w:pPr>
    </w:p>
    <w:p w14:paraId="49D6B55F"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 changes of any kind shall be made to the Key Personnel List, without the prior written agreement of the Contract Supervisor.</w:t>
      </w:r>
    </w:p>
    <w:p w14:paraId="4CF8E55D" w14:textId="77777777" w:rsidR="004C7498" w:rsidRPr="004C7498" w:rsidRDefault="004C7498" w:rsidP="004C7498">
      <w:pPr>
        <w:jc w:val="both"/>
        <w:rPr>
          <w:rFonts w:ascii="Arial" w:hAnsi="Arial" w:cs="Arial"/>
        </w:rPr>
      </w:pPr>
    </w:p>
    <w:p w14:paraId="0383F13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Contractor shall only employ in the execution and superintendence of the Contract, persons who are suitable, and appropriately skilled and </w:t>
      </w:r>
      <w:r w:rsidRPr="004C7498">
        <w:rPr>
          <w:rFonts w:cs="Arial"/>
          <w:sz w:val="20"/>
          <w:szCs w:val="20"/>
        </w:rPr>
        <w:lastRenderedPageBreak/>
        <w:t xml:space="preserve">experienced. The Contract Supervisor shall be at liberty to object </w:t>
      </w:r>
      <w:proofErr w:type="gramStart"/>
      <w:r w:rsidRPr="004C7498">
        <w:rPr>
          <w:rFonts w:cs="Arial"/>
          <w:sz w:val="20"/>
          <w:szCs w:val="20"/>
        </w:rPr>
        <w:t>to, and</w:t>
      </w:r>
      <w:proofErr w:type="gramEnd"/>
      <w:r w:rsidRPr="004C7498">
        <w:rPr>
          <w:rFonts w:cs="Arial"/>
          <w:sz w:val="20"/>
          <w:szCs w:val="20"/>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77C86E17" w14:textId="77777777" w:rsidR="004C7498" w:rsidRPr="004C7498" w:rsidRDefault="004C7498" w:rsidP="004C7498">
      <w:pPr>
        <w:jc w:val="both"/>
        <w:rPr>
          <w:rFonts w:ascii="Arial" w:hAnsi="Arial" w:cs="Arial"/>
        </w:rPr>
      </w:pPr>
    </w:p>
    <w:p w14:paraId="5F34564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provide the Agency with such progress reports at such intervals and in such form as is detailed in the Specification or otherwise as reasonably required by the Contract Supervisor.</w:t>
      </w:r>
    </w:p>
    <w:p w14:paraId="75DEA740" w14:textId="77777777" w:rsidR="004C7498" w:rsidRPr="004C7498" w:rsidRDefault="004C7498" w:rsidP="004C7498">
      <w:pPr>
        <w:jc w:val="both"/>
        <w:rPr>
          <w:rFonts w:ascii="Arial" w:hAnsi="Arial" w:cs="Arial"/>
        </w:rPr>
      </w:pPr>
    </w:p>
    <w:p w14:paraId="79C32AB2"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F49F6F5" w14:textId="77777777" w:rsidR="004C7498" w:rsidRPr="004C7498" w:rsidRDefault="004C7498" w:rsidP="004C7498">
      <w:pPr>
        <w:jc w:val="both"/>
        <w:rPr>
          <w:rFonts w:ascii="Arial" w:hAnsi="Arial" w:cs="Arial"/>
        </w:rPr>
      </w:pPr>
    </w:p>
    <w:p w14:paraId="6393FE6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 carry out any survey for the Agency (</w:t>
      </w:r>
      <w:proofErr w:type="gramStart"/>
      <w:r w:rsidRPr="004C7498">
        <w:rPr>
          <w:rFonts w:cs="Arial"/>
          <w:sz w:val="20"/>
          <w:szCs w:val="20"/>
        </w:rPr>
        <w:t>whether or not</w:t>
      </w:r>
      <w:proofErr w:type="gramEnd"/>
      <w:r w:rsidRPr="004C7498">
        <w:rPr>
          <w:rFonts w:cs="Arial"/>
          <w:sz w:val="20"/>
          <w:szCs w:val="20"/>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3F948B3E" w14:textId="77777777" w:rsidR="004C7498" w:rsidRPr="004C7498" w:rsidRDefault="004C7498" w:rsidP="004C7498">
      <w:pPr>
        <w:jc w:val="both"/>
        <w:rPr>
          <w:rFonts w:ascii="Arial" w:hAnsi="Arial" w:cs="Arial"/>
        </w:rPr>
      </w:pPr>
    </w:p>
    <w:p w14:paraId="40AE95BA"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04B2D000" w14:textId="77777777" w:rsidR="004C7498" w:rsidRPr="004C7498" w:rsidRDefault="004C7498" w:rsidP="004C7498">
      <w:pPr>
        <w:jc w:val="both"/>
        <w:rPr>
          <w:rFonts w:ascii="Arial" w:hAnsi="Arial" w:cs="Arial"/>
        </w:rPr>
      </w:pPr>
    </w:p>
    <w:p w14:paraId="5AE231CB"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ASSIGNMENT</w:t>
      </w:r>
    </w:p>
    <w:p w14:paraId="329D0F84" w14:textId="77777777" w:rsidR="004C7498" w:rsidRPr="004C7498" w:rsidRDefault="004C7498" w:rsidP="004C7498">
      <w:pPr>
        <w:jc w:val="both"/>
        <w:rPr>
          <w:rFonts w:ascii="Arial" w:hAnsi="Arial" w:cs="Arial"/>
        </w:rPr>
      </w:pPr>
    </w:p>
    <w:p w14:paraId="4E68FB7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 assign, transfer or sub-contract the Contract, or any part of it, without the prior written permission of Contract Supervisor.</w:t>
      </w:r>
    </w:p>
    <w:p w14:paraId="2C83ED22" w14:textId="77777777" w:rsidR="004C7498" w:rsidRPr="004C7498" w:rsidRDefault="004C7498" w:rsidP="004C7498">
      <w:pPr>
        <w:jc w:val="both"/>
        <w:rPr>
          <w:rFonts w:ascii="Arial" w:hAnsi="Arial" w:cs="Arial"/>
        </w:rPr>
      </w:pPr>
    </w:p>
    <w:p w14:paraId="5C2CF03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Any assignment, transfer or sub-contract </w:t>
      </w:r>
      <w:proofErr w:type="gramStart"/>
      <w:r w:rsidRPr="004C7498">
        <w:rPr>
          <w:rFonts w:cs="Arial"/>
          <w:sz w:val="20"/>
          <w:szCs w:val="20"/>
        </w:rPr>
        <w:t>entered into</w:t>
      </w:r>
      <w:proofErr w:type="gramEnd"/>
      <w:r w:rsidRPr="004C7498">
        <w:rPr>
          <w:rFonts w:cs="Arial"/>
          <w:sz w:val="20"/>
          <w:szCs w:val="20"/>
        </w:rPr>
        <w:t>, shall not relieve the Contractor of any of its obligations or duties under the Contract.</w:t>
      </w:r>
    </w:p>
    <w:p w14:paraId="43085708" w14:textId="77777777" w:rsidR="004C7498" w:rsidRPr="004C7498" w:rsidRDefault="004C7498" w:rsidP="004C7498">
      <w:pPr>
        <w:jc w:val="both"/>
        <w:rPr>
          <w:rFonts w:ascii="Arial" w:hAnsi="Arial" w:cs="Arial"/>
        </w:rPr>
      </w:pPr>
    </w:p>
    <w:p w14:paraId="31FF9AB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Nothing in this Contract confers or purports to confer on any third party any benefit or any right to enforce any term of the Contract</w:t>
      </w:r>
    </w:p>
    <w:p w14:paraId="35DEF290" w14:textId="77777777" w:rsidR="004C7498" w:rsidRPr="004C7498" w:rsidRDefault="004C7498" w:rsidP="004C7498">
      <w:pPr>
        <w:jc w:val="both"/>
        <w:rPr>
          <w:rFonts w:ascii="Arial" w:hAnsi="Arial" w:cs="Arial"/>
        </w:rPr>
      </w:pPr>
    </w:p>
    <w:p w14:paraId="450C4BDD"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CONTRACT PERIOD</w:t>
      </w:r>
    </w:p>
    <w:p w14:paraId="03C7370E" w14:textId="77777777" w:rsidR="004C7498" w:rsidRPr="004C7498" w:rsidRDefault="004C7498" w:rsidP="004C7498">
      <w:pPr>
        <w:jc w:val="both"/>
        <w:rPr>
          <w:rFonts w:ascii="Arial" w:hAnsi="Arial" w:cs="Arial"/>
        </w:rPr>
      </w:pPr>
    </w:p>
    <w:p w14:paraId="0C97B86E" w14:textId="010941F3" w:rsidR="004C7498" w:rsidRPr="004C7498" w:rsidRDefault="004C7498" w:rsidP="004C7498">
      <w:pPr>
        <w:pStyle w:val="ListParagraph"/>
        <w:ind w:left="1440"/>
        <w:jc w:val="both"/>
        <w:rPr>
          <w:rFonts w:cs="Arial"/>
          <w:sz w:val="20"/>
          <w:szCs w:val="20"/>
        </w:rPr>
      </w:pPr>
      <w:r w:rsidRPr="004C7498">
        <w:rPr>
          <w:rFonts w:cs="Arial"/>
          <w:sz w:val="20"/>
          <w:szCs w:val="20"/>
        </w:rPr>
        <w:t xml:space="preserve">The Contractor shall perform the Services within the time stated in the Appendix, subject to such amendments arising from Condition 10 (Variations), and/or Condition 11 (Extensions of Time.). </w:t>
      </w:r>
    </w:p>
    <w:p w14:paraId="338B0B1C" w14:textId="77777777" w:rsidR="004C7498" w:rsidRPr="004C7498" w:rsidRDefault="004C7498" w:rsidP="004C7498">
      <w:pPr>
        <w:jc w:val="both"/>
        <w:rPr>
          <w:rFonts w:ascii="Arial" w:hAnsi="Arial" w:cs="Arial"/>
        </w:rPr>
      </w:pPr>
    </w:p>
    <w:p w14:paraId="7835FF05"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PROPERTY</w:t>
      </w:r>
    </w:p>
    <w:p w14:paraId="4A855874" w14:textId="77777777" w:rsidR="004C7498" w:rsidRPr="004C7498" w:rsidRDefault="004C7498" w:rsidP="004C7498">
      <w:pPr>
        <w:jc w:val="both"/>
        <w:rPr>
          <w:rFonts w:ascii="Arial" w:hAnsi="Arial" w:cs="Arial"/>
        </w:rPr>
      </w:pPr>
    </w:p>
    <w:p w14:paraId="789F3ADF"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All property issued by the Agency to the Contractor in connection with the Contract shall remain the property of the </w:t>
      </w:r>
      <w:proofErr w:type="gramStart"/>
      <w:r w:rsidRPr="004C7498">
        <w:rPr>
          <w:rFonts w:cs="Arial"/>
          <w:sz w:val="20"/>
          <w:szCs w:val="20"/>
        </w:rPr>
        <w:t>Agency, and</w:t>
      </w:r>
      <w:proofErr w:type="gramEnd"/>
      <w:r w:rsidRPr="004C7498">
        <w:rPr>
          <w:rFonts w:cs="Arial"/>
          <w:sz w:val="20"/>
          <w:szCs w:val="20"/>
        </w:rPr>
        <w:t xml:space="preserve"> shall be used in the execution of the Contract, and for no other purpose whatsoever without the prior approval of the Contract Supervisor.</w:t>
      </w:r>
    </w:p>
    <w:p w14:paraId="0FA269F6" w14:textId="77777777" w:rsidR="004C7498" w:rsidRPr="004C7498" w:rsidRDefault="004C7498" w:rsidP="004C7498">
      <w:pPr>
        <w:jc w:val="both"/>
        <w:rPr>
          <w:rFonts w:ascii="Arial" w:hAnsi="Arial" w:cs="Arial"/>
        </w:rPr>
      </w:pPr>
    </w:p>
    <w:p w14:paraId="64C7BA0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lastRenderedPageBreak/>
        <w:t>The Contractor shall keep all property issued by the Agency in safe custody and good condition, set aside and clearly marked as the property of the Agency.</w:t>
      </w:r>
    </w:p>
    <w:p w14:paraId="5D38E9E6" w14:textId="77777777" w:rsidR="004C7498" w:rsidRPr="004C7498" w:rsidRDefault="004C7498" w:rsidP="004C7498">
      <w:pPr>
        <w:jc w:val="both"/>
        <w:rPr>
          <w:rFonts w:ascii="Arial" w:hAnsi="Arial" w:cs="Arial"/>
        </w:rPr>
      </w:pPr>
    </w:p>
    <w:p w14:paraId="6B71F55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On expiry, or earlier termination of the Contract, the Contractor shall, if so required, either surrender such property to the Agency, or otherwise dispose of it, as instructed by the Contract Supervisor.</w:t>
      </w:r>
    </w:p>
    <w:p w14:paraId="0DDE142D" w14:textId="77777777" w:rsidR="004C7498" w:rsidRPr="004C7498" w:rsidRDefault="004C7498" w:rsidP="004C7498">
      <w:pPr>
        <w:jc w:val="both"/>
        <w:rPr>
          <w:rFonts w:ascii="Arial" w:hAnsi="Arial" w:cs="Arial"/>
        </w:rPr>
      </w:pPr>
    </w:p>
    <w:p w14:paraId="1BB8C8B5"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CONFIDENTIAL INFORMATION</w:t>
      </w:r>
    </w:p>
    <w:p w14:paraId="1AF890BD" w14:textId="77777777" w:rsidR="004C7498" w:rsidRPr="004C7498" w:rsidRDefault="004C7498" w:rsidP="004C7498">
      <w:pPr>
        <w:jc w:val="both"/>
        <w:rPr>
          <w:rFonts w:ascii="Arial" w:hAnsi="Arial" w:cs="Arial"/>
        </w:rPr>
      </w:pPr>
    </w:p>
    <w:p w14:paraId="4CD552F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Confidential Information shall comprise any information disclosed </w:t>
      </w:r>
      <w:proofErr w:type="gramStart"/>
      <w:r w:rsidRPr="004C7498">
        <w:rPr>
          <w:rFonts w:cs="Arial"/>
          <w:sz w:val="20"/>
          <w:szCs w:val="20"/>
        </w:rPr>
        <w:t>to, or</w:t>
      </w:r>
      <w:proofErr w:type="gramEnd"/>
      <w:r w:rsidRPr="004C7498">
        <w:rPr>
          <w:rFonts w:cs="Arial"/>
          <w:sz w:val="20"/>
          <w:szCs w:val="20"/>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2EDD93D2" w14:textId="77777777" w:rsidR="004C7498" w:rsidRPr="004C7498" w:rsidRDefault="004C7498" w:rsidP="004C7498">
      <w:pPr>
        <w:jc w:val="both"/>
        <w:rPr>
          <w:rFonts w:ascii="Arial" w:hAnsi="Arial" w:cs="Arial"/>
        </w:rPr>
      </w:pPr>
    </w:p>
    <w:p w14:paraId="057CA5F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take all necessary precautions to ensure that all Confidential Information as in Condition 8.1:</w:t>
      </w:r>
    </w:p>
    <w:p w14:paraId="19F719C5" w14:textId="77777777" w:rsidR="004C7498" w:rsidRPr="004C7498" w:rsidRDefault="004C7498" w:rsidP="004C7498">
      <w:pPr>
        <w:jc w:val="both"/>
        <w:rPr>
          <w:rFonts w:ascii="Arial" w:hAnsi="Arial" w:cs="Arial"/>
        </w:rPr>
      </w:pPr>
    </w:p>
    <w:p w14:paraId="37A460C6"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Is given only to the minimum number of staff and then only to the extent necessary for each member of staff’s activities in the provision of the </w:t>
      </w:r>
      <w:proofErr w:type="gramStart"/>
      <w:r w:rsidRPr="004C7498">
        <w:rPr>
          <w:rFonts w:cs="Arial"/>
          <w:sz w:val="20"/>
          <w:szCs w:val="20"/>
        </w:rPr>
        <w:t>Services;</w:t>
      </w:r>
      <w:proofErr w:type="gramEnd"/>
    </w:p>
    <w:p w14:paraId="38216D56" w14:textId="77777777" w:rsidR="004C7498" w:rsidRPr="004C7498" w:rsidRDefault="004C7498" w:rsidP="004C7498">
      <w:pPr>
        <w:jc w:val="both"/>
        <w:rPr>
          <w:rFonts w:ascii="Arial" w:hAnsi="Arial" w:cs="Arial"/>
        </w:rPr>
      </w:pPr>
    </w:p>
    <w:p w14:paraId="756C5B2C"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Is treated as confidential and not disclosed, without the prior approval of the Contract Supervisor, to any other person.</w:t>
      </w:r>
    </w:p>
    <w:p w14:paraId="58F2AC81" w14:textId="77777777" w:rsidR="004C7498" w:rsidRPr="004C7498" w:rsidRDefault="004C7498" w:rsidP="004C7498">
      <w:pPr>
        <w:jc w:val="both"/>
        <w:rPr>
          <w:rFonts w:ascii="Arial" w:hAnsi="Arial" w:cs="Arial"/>
        </w:rPr>
      </w:pPr>
    </w:p>
    <w:p w14:paraId="70D0C51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Where required by the Contract Supervisor, the Contractor will ensure that its staff sign a confidentiality undertaking before commencing work on the provision of the </w:t>
      </w:r>
      <w:proofErr w:type="gramStart"/>
      <w:r w:rsidRPr="004C7498">
        <w:rPr>
          <w:rFonts w:cs="Arial"/>
          <w:sz w:val="20"/>
          <w:szCs w:val="20"/>
        </w:rPr>
        <w:t>Services, and</w:t>
      </w:r>
      <w:proofErr w:type="gramEnd"/>
      <w:r w:rsidRPr="004C7498">
        <w:rPr>
          <w:rFonts w:cs="Arial"/>
          <w:sz w:val="20"/>
          <w:szCs w:val="20"/>
        </w:rPr>
        <w:t xml:space="preserve"> provide copies to the Contract Supervisor.</w:t>
      </w:r>
    </w:p>
    <w:p w14:paraId="14255F8B" w14:textId="77777777" w:rsidR="004C7498" w:rsidRPr="004C7498" w:rsidRDefault="004C7498" w:rsidP="004C7498">
      <w:pPr>
        <w:jc w:val="both"/>
        <w:rPr>
          <w:rFonts w:ascii="Arial" w:hAnsi="Arial" w:cs="Arial"/>
        </w:rPr>
      </w:pPr>
    </w:p>
    <w:p w14:paraId="78CF11D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Agency’s remedies for breaches of Conditions 8.1, 8.2, and 8.3 shall not be limited to damages.</w:t>
      </w:r>
    </w:p>
    <w:p w14:paraId="3AED383B" w14:textId="77777777" w:rsidR="004C7498" w:rsidRPr="004C7498" w:rsidRDefault="004C7498" w:rsidP="004C7498">
      <w:pPr>
        <w:jc w:val="both"/>
        <w:rPr>
          <w:rFonts w:ascii="Arial" w:hAnsi="Arial" w:cs="Arial"/>
        </w:rPr>
      </w:pPr>
    </w:p>
    <w:p w14:paraId="39930D7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59788CDC" w14:textId="77777777" w:rsidR="004C7498" w:rsidRPr="004C7498" w:rsidRDefault="004C7498" w:rsidP="004C7498">
      <w:pPr>
        <w:jc w:val="both"/>
        <w:rPr>
          <w:rFonts w:ascii="Arial" w:hAnsi="Arial" w:cs="Arial"/>
        </w:rPr>
      </w:pPr>
    </w:p>
    <w:p w14:paraId="00C0ACB7"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SECURITY</w:t>
      </w:r>
    </w:p>
    <w:p w14:paraId="7AAEA552" w14:textId="77777777" w:rsidR="004C7498" w:rsidRPr="004C7498" w:rsidRDefault="004C7498" w:rsidP="004C7498">
      <w:pPr>
        <w:jc w:val="both"/>
        <w:rPr>
          <w:rFonts w:ascii="Arial" w:hAnsi="Arial" w:cs="Arial"/>
        </w:rPr>
      </w:pPr>
    </w:p>
    <w:p w14:paraId="19092784" w14:textId="77777777" w:rsidR="004C7498" w:rsidRPr="004C7498" w:rsidRDefault="004C7498" w:rsidP="004C7498">
      <w:pPr>
        <w:pStyle w:val="ListParagraph"/>
        <w:ind w:left="1440"/>
        <w:jc w:val="both"/>
        <w:rPr>
          <w:rFonts w:cs="Arial"/>
          <w:sz w:val="20"/>
          <w:szCs w:val="20"/>
        </w:rPr>
      </w:pPr>
      <w:r w:rsidRPr="004C7498">
        <w:rPr>
          <w:rFonts w:cs="Arial"/>
          <w:sz w:val="20"/>
          <w:szCs w:val="20"/>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0F3DA130" w14:textId="77777777" w:rsidR="004C7498" w:rsidRPr="004C7498" w:rsidRDefault="004C7498" w:rsidP="004C7498">
      <w:pPr>
        <w:jc w:val="both"/>
        <w:rPr>
          <w:rFonts w:ascii="Arial" w:hAnsi="Arial" w:cs="Arial"/>
        </w:rPr>
      </w:pPr>
    </w:p>
    <w:p w14:paraId="4A5D64AF"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VARIATIONS</w:t>
      </w:r>
    </w:p>
    <w:p w14:paraId="7BEC7AE4" w14:textId="77777777" w:rsidR="004C7498" w:rsidRPr="004C7498" w:rsidRDefault="004C7498" w:rsidP="004C7498">
      <w:pPr>
        <w:jc w:val="both"/>
        <w:rPr>
          <w:rFonts w:ascii="Arial" w:hAnsi="Arial" w:cs="Arial"/>
        </w:rPr>
      </w:pPr>
    </w:p>
    <w:p w14:paraId="3A337D8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 Supervisor may vary the Contract by adding to, </w:t>
      </w:r>
      <w:proofErr w:type="gramStart"/>
      <w:r w:rsidRPr="004C7498">
        <w:rPr>
          <w:rFonts w:cs="Arial"/>
          <w:sz w:val="20"/>
          <w:szCs w:val="20"/>
        </w:rPr>
        <w:t>deleting</w:t>
      </w:r>
      <w:proofErr w:type="gramEnd"/>
      <w:r w:rsidRPr="004C7498">
        <w:rPr>
          <w:rFonts w:cs="Arial"/>
          <w:sz w:val="20"/>
          <w:szCs w:val="20"/>
        </w:rPr>
        <w:t xml:space="preserve"> or otherwise modifying the Services to be supplied, by written order to the Contractor provided such variations are reasonable and consistent with the nature, scope and value of the Contract. </w:t>
      </w:r>
    </w:p>
    <w:p w14:paraId="64648CD2" w14:textId="77777777" w:rsidR="004C7498" w:rsidRPr="004C7498" w:rsidRDefault="004C7498" w:rsidP="004C7498">
      <w:pPr>
        <w:jc w:val="both"/>
        <w:rPr>
          <w:rFonts w:ascii="Arial" w:hAnsi="Arial" w:cs="Arial"/>
        </w:rPr>
      </w:pPr>
    </w:p>
    <w:p w14:paraId="007B452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value of any such variation, other than any variation arising out of Condition 10.3, shall be determined by reference to the rates contained in </w:t>
      </w:r>
      <w:r w:rsidRPr="004C7498">
        <w:rPr>
          <w:rFonts w:cs="Arial"/>
          <w:sz w:val="20"/>
          <w:szCs w:val="20"/>
        </w:rPr>
        <w:lastRenderedPageBreak/>
        <w:t>the Pricing Schedule. Where the Services so ordered are not covered in the Pricing Schedule, they shall be valued at a fair and reasonable rate agreed between the Contract Supervisor and the Contractor.</w:t>
      </w:r>
    </w:p>
    <w:p w14:paraId="1417F1F6" w14:textId="77777777" w:rsidR="004C7498" w:rsidRPr="004C7498" w:rsidRDefault="004C7498" w:rsidP="004C7498">
      <w:pPr>
        <w:jc w:val="both"/>
        <w:rPr>
          <w:rFonts w:ascii="Arial" w:hAnsi="Arial" w:cs="Arial"/>
        </w:rPr>
      </w:pPr>
    </w:p>
    <w:p w14:paraId="75AA1E3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Where a variation is the result of some default or breach of the Contract by the Contractor, or for some other cause for which it is solely responsible, any additional cost attributable to the variation shall be borne by the Contractor.</w:t>
      </w:r>
    </w:p>
    <w:p w14:paraId="1A562400" w14:textId="77777777" w:rsidR="004C7498" w:rsidRPr="004C7498" w:rsidRDefault="004C7498" w:rsidP="004C7498">
      <w:pPr>
        <w:jc w:val="both"/>
        <w:rPr>
          <w:rFonts w:ascii="Arial" w:hAnsi="Arial" w:cs="Arial"/>
        </w:rPr>
      </w:pPr>
    </w:p>
    <w:p w14:paraId="75AFC12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may also propose a variation to the Services, but no such variation shall take effect unless agreed and confirmed in writing by the Contract Supervisor.</w:t>
      </w:r>
    </w:p>
    <w:p w14:paraId="7292EFDA" w14:textId="77777777" w:rsidR="004C7498" w:rsidRPr="004C7498" w:rsidRDefault="004C7498" w:rsidP="004C7498">
      <w:pPr>
        <w:jc w:val="both"/>
        <w:rPr>
          <w:rFonts w:ascii="Arial" w:hAnsi="Arial" w:cs="Arial"/>
        </w:rPr>
      </w:pPr>
    </w:p>
    <w:p w14:paraId="0A087F0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No variation shall have the effect of invalidating the Contract, if that variation is reasonably consistent with the nature, </w:t>
      </w:r>
      <w:proofErr w:type="gramStart"/>
      <w:r w:rsidRPr="004C7498">
        <w:rPr>
          <w:rFonts w:cs="Arial"/>
          <w:sz w:val="20"/>
          <w:szCs w:val="20"/>
        </w:rPr>
        <w:t>scope</w:t>
      </w:r>
      <w:proofErr w:type="gramEnd"/>
      <w:r w:rsidRPr="004C7498">
        <w:rPr>
          <w:rFonts w:cs="Arial"/>
          <w:sz w:val="20"/>
          <w:szCs w:val="20"/>
        </w:rPr>
        <w:t xml:space="preserve"> and value of the Contract. The Contractor may also propose a variation to the Goods to be supplied but no such variation shall take effect unless agreed and confirmed in writing by the Contract Supervisor. </w:t>
      </w:r>
    </w:p>
    <w:p w14:paraId="02FCDFC5" w14:textId="77777777" w:rsidR="004C7498" w:rsidRPr="004C7498" w:rsidRDefault="004C7498" w:rsidP="004C7498">
      <w:pPr>
        <w:pStyle w:val="ListParagraph"/>
        <w:rPr>
          <w:rFonts w:cs="Arial"/>
          <w:sz w:val="20"/>
          <w:szCs w:val="20"/>
        </w:rPr>
      </w:pPr>
    </w:p>
    <w:p w14:paraId="3A2147F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No variation shall have the effect of invalidating the Contract, or placing the Contract at large, if that variation is reasonably consistent with the nature, </w:t>
      </w:r>
      <w:proofErr w:type="gramStart"/>
      <w:r w:rsidRPr="004C7498">
        <w:rPr>
          <w:rFonts w:cs="Arial"/>
          <w:sz w:val="20"/>
          <w:szCs w:val="20"/>
        </w:rPr>
        <w:t>scope</w:t>
      </w:r>
      <w:proofErr w:type="gramEnd"/>
      <w:r w:rsidRPr="004C7498">
        <w:rPr>
          <w:rFonts w:cs="Arial"/>
          <w:sz w:val="20"/>
          <w:szCs w:val="20"/>
        </w:rPr>
        <w:t xml:space="preserve"> and value of the Contract.</w:t>
      </w:r>
    </w:p>
    <w:p w14:paraId="29D24F1C" w14:textId="77777777" w:rsidR="004C7498" w:rsidRPr="004C7498" w:rsidRDefault="004C7498" w:rsidP="004C7498">
      <w:pPr>
        <w:pStyle w:val="ListParagraph"/>
        <w:rPr>
          <w:rFonts w:cs="Arial"/>
          <w:sz w:val="20"/>
          <w:szCs w:val="20"/>
        </w:rPr>
      </w:pPr>
    </w:p>
    <w:p w14:paraId="0431AC22"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Agency may vary the Contract to comply with a change in English Law. Such a change will be </w:t>
      </w:r>
      <w:proofErr w:type="gramStart"/>
      <w:r w:rsidRPr="004C7498">
        <w:rPr>
          <w:rFonts w:cs="Arial"/>
          <w:sz w:val="20"/>
          <w:szCs w:val="20"/>
        </w:rPr>
        <w:t>effected</w:t>
      </w:r>
      <w:proofErr w:type="gramEnd"/>
      <w:r w:rsidRPr="004C7498">
        <w:rPr>
          <w:rFonts w:cs="Arial"/>
          <w:sz w:val="20"/>
          <w:szCs w:val="20"/>
        </w:rPr>
        <w:t xml:space="preserve"> by the Contract Supervisor notifying the Contractor in writing.</w:t>
      </w:r>
    </w:p>
    <w:p w14:paraId="00A5485B" w14:textId="77777777" w:rsidR="004C7498" w:rsidRPr="004C7498" w:rsidRDefault="004C7498" w:rsidP="004C7498">
      <w:pPr>
        <w:pStyle w:val="ListParagraph"/>
        <w:rPr>
          <w:rFonts w:cs="Arial"/>
          <w:sz w:val="20"/>
          <w:szCs w:val="20"/>
        </w:rPr>
      </w:pPr>
    </w:p>
    <w:p w14:paraId="5FD580C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Agency may assign, </w:t>
      </w:r>
      <w:proofErr w:type="gramStart"/>
      <w:r w:rsidRPr="004C7498">
        <w:rPr>
          <w:rFonts w:cs="Arial"/>
          <w:sz w:val="20"/>
          <w:szCs w:val="20"/>
        </w:rPr>
        <w:t>novate</w:t>
      </w:r>
      <w:proofErr w:type="gramEnd"/>
      <w:r w:rsidRPr="004C7498">
        <w:rPr>
          <w:rFonts w:cs="Arial"/>
          <w:sz w:val="20"/>
          <w:szCs w:val="20"/>
        </w:rPr>
        <w:t xml:space="preserve"> or otherwise dispose of its rights and obligations under the Contract or any part thereof to:</w:t>
      </w:r>
    </w:p>
    <w:p w14:paraId="1CBA5B91" w14:textId="77777777" w:rsidR="004C7498" w:rsidRPr="004C7498" w:rsidRDefault="004C7498" w:rsidP="004C7498">
      <w:pPr>
        <w:pStyle w:val="ListParagraph"/>
        <w:rPr>
          <w:rFonts w:cs="Arial"/>
          <w:sz w:val="20"/>
          <w:szCs w:val="20"/>
        </w:rPr>
      </w:pPr>
    </w:p>
    <w:p w14:paraId="34577FA0"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any Contracting Authority; or</w:t>
      </w:r>
    </w:p>
    <w:p w14:paraId="1BC7EE93" w14:textId="77777777" w:rsidR="004C7498" w:rsidRPr="004C7498" w:rsidRDefault="004C7498" w:rsidP="004C7498">
      <w:pPr>
        <w:pStyle w:val="ListParagraph"/>
        <w:ind w:left="3402"/>
        <w:jc w:val="both"/>
        <w:rPr>
          <w:rFonts w:cs="Arial"/>
          <w:sz w:val="20"/>
          <w:szCs w:val="20"/>
        </w:rPr>
      </w:pPr>
    </w:p>
    <w:p w14:paraId="601841E3"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any other body established by the Crown or under statute in order substantially to perform any of the functions that had previously been performed by the Agency; or</w:t>
      </w:r>
    </w:p>
    <w:p w14:paraId="1DA47C0E" w14:textId="77777777" w:rsidR="004C7498" w:rsidRPr="004C7498" w:rsidRDefault="004C7498" w:rsidP="004C7498">
      <w:pPr>
        <w:pStyle w:val="ListParagraph"/>
        <w:rPr>
          <w:rFonts w:cs="Arial"/>
          <w:sz w:val="20"/>
          <w:szCs w:val="20"/>
        </w:rPr>
      </w:pPr>
    </w:p>
    <w:p w14:paraId="4A37EFB7"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any private sector body which substantially performs the functions of the Agency, provided that any such assignment, novation or other disposal shall not increase the burden of the Contractor's obligations under the Contract.</w:t>
      </w:r>
    </w:p>
    <w:p w14:paraId="5EF41605" w14:textId="77777777" w:rsidR="004C7498" w:rsidRPr="004C7498" w:rsidRDefault="004C7498" w:rsidP="004C7498">
      <w:pPr>
        <w:pStyle w:val="ListParagraph"/>
        <w:rPr>
          <w:rFonts w:cs="Arial"/>
          <w:sz w:val="20"/>
          <w:szCs w:val="20"/>
        </w:rPr>
      </w:pPr>
    </w:p>
    <w:p w14:paraId="54FDB62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Any change in the legal status of the Agency such that it ceases to be a Contracting Authority shall not affect the validity of the Contract. In such circumstances the Contract shall bind and inure to the benefit of any successor body to the Agency.</w:t>
      </w:r>
    </w:p>
    <w:p w14:paraId="2441C512" w14:textId="77777777" w:rsidR="004C7498" w:rsidRPr="004C7498" w:rsidRDefault="004C7498" w:rsidP="004C7498">
      <w:pPr>
        <w:jc w:val="both"/>
        <w:rPr>
          <w:rFonts w:ascii="Arial" w:hAnsi="Arial" w:cs="Arial"/>
        </w:rPr>
      </w:pPr>
    </w:p>
    <w:p w14:paraId="0A320149"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EXTENSIONS OF TIME</w:t>
      </w:r>
    </w:p>
    <w:p w14:paraId="3B67F468" w14:textId="77777777" w:rsidR="004C7498" w:rsidRPr="004C7498" w:rsidRDefault="004C7498" w:rsidP="004C7498">
      <w:pPr>
        <w:jc w:val="both"/>
        <w:rPr>
          <w:rFonts w:ascii="Arial" w:hAnsi="Arial" w:cs="Arial"/>
        </w:rPr>
      </w:pPr>
    </w:p>
    <w:p w14:paraId="1E181E0A"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Should the performance of the Contract be delayed by any cause beyond the reasonable control of the Contractor, and provided that the Contractor shall first have given the Contract Supervisor written notice within five </w:t>
      </w:r>
      <w:r w:rsidRPr="004C7498">
        <w:rPr>
          <w:rFonts w:cs="Arial"/>
          <w:sz w:val="20"/>
          <w:szCs w:val="20"/>
        </w:rPr>
        <w:lastRenderedPageBreak/>
        <w:t>working days after becoming aware that such delay was likely to occur, then, the Contract Supervisor, if satisfied that this Condition applies:</w:t>
      </w:r>
    </w:p>
    <w:p w14:paraId="1E451A76" w14:textId="77777777" w:rsidR="004C7498" w:rsidRPr="004C7498" w:rsidRDefault="004C7498" w:rsidP="004C7498">
      <w:pPr>
        <w:jc w:val="both"/>
        <w:rPr>
          <w:rFonts w:ascii="Arial" w:hAnsi="Arial" w:cs="Arial"/>
        </w:rPr>
      </w:pPr>
    </w:p>
    <w:p w14:paraId="5C14D684"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004C7498">
        <w:rPr>
          <w:rFonts w:cs="Arial"/>
          <w:sz w:val="20"/>
          <w:szCs w:val="20"/>
        </w:rPr>
        <w:t>as a result of</w:t>
      </w:r>
      <w:proofErr w:type="gramEnd"/>
      <w:r w:rsidRPr="004C7498">
        <w:rPr>
          <w:rFonts w:cs="Arial"/>
          <w:sz w:val="20"/>
          <w:szCs w:val="20"/>
        </w:rPr>
        <w:t xml:space="preserve"> such an extension of time.</w:t>
      </w:r>
    </w:p>
    <w:p w14:paraId="267661E4" w14:textId="77777777" w:rsidR="004C7498" w:rsidRPr="004C7498" w:rsidRDefault="004C7498" w:rsidP="004C7498">
      <w:pPr>
        <w:jc w:val="both"/>
        <w:rPr>
          <w:rFonts w:ascii="Arial" w:hAnsi="Arial" w:cs="Arial"/>
        </w:rPr>
      </w:pPr>
    </w:p>
    <w:p w14:paraId="26963CCC"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in the case of any delay of which the Agency is the cause, shall grant the Contractor a reasonable extension of time to take account of the delay.</w:t>
      </w:r>
    </w:p>
    <w:p w14:paraId="6CA73732" w14:textId="77777777" w:rsidR="004C7498" w:rsidRPr="004C7498" w:rsidRDefault="004C7498" w:rsidP="004C7498">
      <w:pPr>
        <w:jc w:val="both"/>
        <w:rPr>
          <w:rFonts w:ascii="Arial" w:hAnsi="Arial" w:cs="Arial"/>
        </w:rPr>
      </w:pPr>
    </w:p>
    <w:p w14:paraId="65FD783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 extension of time shall be granted where in the opinion of the Agency, the Contractor has failed to use reasonable endeavours to avoid or reduce the cause and/or effects of the delay.</w:t>
      </w:r>
    </w:p>
    <w:p w14:paraId="47FABEC3" w14:textId="77777777" w:rsidR="004C7498" w:rsidRPr="004C7498" w:rsidRDefault="004C7498" w:rsidP="004C7498">
      <w:pPr>
        <w:jc w:val="both"/>
        <w:rPr>
          <w:rFonts w:ascii="Arial" w:hAnsi="Arial" w:cs="Arial"/>
        </w:rPr>
      </w:pPr>
    </w:p>
    <w:p w14:paraId="79750951"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Any extension of time granted under this Condition shall not affect the Agency’s rights to terminate or determine the Contract under Conditions 13 and 14 respectively.</w:t>
      </w:r>
    </w:p>
    <w:p w14:paraId="19F35766" w14:textId="77777777" w:rsidR="004C7498" w:rsidRPr="004C7498" w:rsidRDefault="004C7498" w:rsidP="004C7498">
      <w:pPr>
        <w:jc w:val="both"/>
        <w:rPr>
          <w:rFonts w:ascii="Arial" w:hAnsi="Arial" w:cs="Arial"/>
        </w:rPr>
      </w:pPr>
    </w:p>
    <w:p w14:paraId="276C97FB"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DEFAULT</w:t>
      </w:r>
    </w:p>
    <w:p w14:paraId="0C0F4D4E" w14:textId="77777777" w:rsidR="004C7498" w:rsidRPr="004C7498" w:rsidRDefault="004C7498" w:rsidP="004C7498">
      <w:pPr>
        <w:jc w:val="both"/>
        <w:rPr>
          <w:rFonts w:ascii="Arial" w:hAnsi="Arial" w:cs="Arial"/>
        </w:rPr>
      </w:pPr>
    </w:p>
    <w:p w14:paraId="42156A0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be in default if it:</w:t>
      </w:r>
    </w:p>
    <w:p w14:paraId="4A905279" w14:textId="77777777" w:rsidR="004C7498" w:rsidRPr="004C7498" w:rsidRDefault="004C7498" w:rsidP="004C7498">
      <w:pPr>
        <w:jc w:val="both"/>
        <w:rPr>
          <w:rFonts w:ascii="Arial" w:hAnsi="Arial" w:cs="Arial"/>
        </w:rPr>
      </w:pPr>
    </w:p>
    <w:p w14:paraId="1DB8C8F2"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Fails to perform the Contract with due skill, care, </w:t>
      </w:r>
      <w:proofErr w:type="gramStart"/>
      <w:r w:rsidRPr="004C7498">
        <w:rPr>
          <w:rFonts w:cs="Arial"/>
          <w:sz w:val="20"/>
          <w:szCs w:val="20"/>
        </w:rPr>
        <w:t>diligence</w:t>
      </w:r>
      <w:proofErr w:type="gramEnd"/>
      <w:r w:rsidRPr="004C7498">
        <w:rPr>
          <w:rFonts w:cs="Arial"/>
          <w:sz w:val="20"/>
          <w:szCs w:val="20"/>
        </w:rPr>
        <w:t xml:space="preserve"> and timeliness; or</w:t>
      </w:r>
    </w:p>
    <w:p w14:paraId="5501AF59" w14:textId="77777777" w:rsidR="004C7498" w:rsidRPr="004C7498" w:rsidRDefault="004C7498" w:rsidP="004C7498">
      <w:pPr>
        <w:jc w:val="both"/>
        <w:rPr>
          <w:rFonts w:ascii="Arial" w:hAnsi="Arial" w:cs="Arial"/>
        </w:rPr>
      </w:pPr>
    </w:p>
    <w:p w14:paraId="3CB0D574"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Refuses or neglects to comply with any reasonable written instruction given by the Contract Supervisor; or</w:t>
      </w:r>
    </w:p>
    <w:p w14:paraId="66F9A119" w14:textId="77777777" w:rsidR="004C7498" w:rsidRPr="004C7498" w:rsidRDefault="004C7498" w:rsidP="004C7498">
      <w:pPr>
        <w:jc w:val="both"/>
        <w:rPr>
          <w:rFonts w:ascii="Arial" w:hAnsi="Arial" w:cs="Arial"/>
        </w:rPr>
      </w:pPr>
    </w:p>
    <w:p w14:paraId="11A633BF"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Is otherwise in breach of Contract.</w:t>
      </w:r>
    </w:p>
    <w:p w14:paraId="301BDCF0" w14:textId="77777777" w:rsidR="004C7498" w:rsidRPr="004C7498" w:rsidRDefault="004C7498" w:rsidP="004C7498">
      <w:pPr>
        <w:jc w:val="both"/>
        <w:rPr>
          <w:rFonts w:ascii="Arial" w:hAnsi="Arial" w:cs="Arial"/>
        </w:rPr>
      </w:pPr>
    </w:p>
    <w:p w14:paraId="37F79FA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Where in the opinion of the Contract Supervisor, the Contractor is in default, the Contract Supervisor may serve a Notice, giving at least 5 working days in which to remedy the default.</w:t>
      </w:r>
    </w:p>
    <w:p w14:paraId="31B4B9E9" w14:textId="77777777" w:rsidR="004C7498" w:rsidRPr="004C7498" w:rsidRDefault="004C7498" w:rsidP="004C7498">
      <w:pPr>
        <w:jc w:val="both"/>
        <w:rPr>
          <w:rFonts w:ascii="Arial" w:hAnsi="Arial" w:cs="Arial"/>
        </w:rPr>
      </w:pPr>
    </w:p>
    <w:p w14:paraId="7D4CFD3A"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sidRPr="004C7498">
        <w:rPr>
          <w:rFonts w:cs="Arial"/>
          <w:sz w:val="20"/>
          <w:szCs w:val="20"/>
        </w:rPr>
        <w:t>Contractor</w:t>
      </w:r>
      <w:proofErr w:type="gramEnd"/>
      <w:r w:rsidRPr="004C7498">
        <w:rPr>
          <w:rFonts w:cs="Arial"/>
          <w:sz w:val="20"/>
          <w:szCs w:val="20"/>
        </w:rPr>
        <w:t xml:space="preserve"> or deducted from any monies owing to it.</w:t>
      </w:r>
    </w:p>
    <w:p w14:paraId="0D9B9541" w14:textId="77777777" w:rsidR="004C7498" w:rsidRPr="004C7498" w:rsidRDefault="004C7498" w:rsidP="004C7498">
      <w:pPr>
        <w:jc w:val="both"/>
        <w:rPr>
          <w:rFonts w:ascii="Arial" w:hAnsi="Arial" w:cs="Arial"/>
        </w:rPr>
      </w:pPr>
    </w:p>
    <w:p w14:paraId="24B9A9C5"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TERMINATION</w:t>
      </w:r>
    </w:p>
    <w:p w14:paraId="01B2A52A" w14:textId="77777777" w:rsidR="004C7498" w:rsidRPr="004C7498" w:rsidRDefault="004C7498" w:rsidP="004C7498">
      <w:pPr>
        <w:jc w:val="both"/>
        <w:rPr>
          <w:rFonts w:ascii="Arial" w:hAnsi="Arial" w:cs="Arial"/>
        </w:rPr>
      </w:pPr>
    </w:p>
    <w:p w14:paraId="3D76F162"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17170E21" w14:textId="77777777" w:rsidR="004C7498" w:rsidRPr="004C7498" w:rsidRDefault="004C7498" w:rsidP="004C7498">
      <w:pPr>
        <w:jc w:val="both"/>
        <w:rPr>
          <w:rFonts w:ascii="Arial" w:hAnsi="Arial" w:cs="Arial"/>
        </w:rPr>
      </w:pPr>
    </w:p>
    <w:p w14:paraId="6A85C414"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fails in the opinion of the Contract Supervisor to comply with (or take reasonable steps to comply with) a Notice under Condition 12.2; or</w:t>
      </w:r>
    </w:p>
    <w:p w14:paraId="28C02708" w14:textId="77777777" w:rsidR="004C7498" w:rsidRPr="004C7498" w:rsidRDefault="004C7498" w:rsidP="004C7498">
      <w:pPr>
        <w:jc w:val="both"/>
        <w:rPr>
          <w:rFonts w:ascii="Arial" w:hAnsi="Arial" w:cs="Arial"/>
        </w:rPr>
      </w:pPr>
    </w:p>
    <w:p w14:paraId="6EA629BB"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becomes bankrupt or insolvent, or has a receiving order made against it, or </w:t>
      </w:r>
      <w:proofErr w:type="gramStart"/>
      <w:r w:rsidRPr="004C7498">
        <w:rPr>
          <w:rFonts w:cs="Arial"/>
          <w:sz w:val="20"/>
          <w:szCs w:val="20"/>
        </w:rPr>
        <w:t>makes an arrangement</w:t>
      </w:r>
      <w:proofErr w:type="gramEnd"/>
      <w:r w:rsidRPr="004C7498">
        <w:rPr>
          <w:rFonts w:cs="Arial"/>
          <w:sz w:val="20"/>
          <w:szCs w:val="20"/>
        </w:rPr>
        <w:t xml:space="preserve"> with its </w:t>
      </w:r>
      <w:r w:rsidRPr="004C7498">
        <w:rPr>
          <w:rFonts w:cs="Arial"/>
          <w:sz w:val="20"/>
          <w:szCs w:val="20"/>
        </w:rPr>
        <w:lastRenderedPageBreak/>
        <w:t>creditors, or (being a corporation) commences to be wound up, not being a voluntary winding up for the purpose of reconstruction or amalgamation, or has a receiver, administrator, or administrative receiver appointed by a Court.</w:t>
      </w:r>
    </w:p>
    <w:p w14:paraId="779BE43D" w14:textId="77777777" w:rsidR="004C7498" w:rsidRPr="004C7498" w:rsidRDefault="004C7498" w:rsidP="004C7498">
      <w:pPr>
        <w:jc w:val="both"/>
        <w:rPr>
          <w:rFonts w:ascii="Arial" w:hAnsi="Arial" w:cs="Arial"/>
        </w:rPr>
      </w:pPr>
    </w:p>
    <w:p w14:paraId="328FFB5C" w14:textId="77777777" w:rsidR="004C7498" w:rsidRPr="004C7498" w:rsidRDefault="004C7498" w:rsidP="004C7498">
      <w:pPr>
        <w:ind w:left="414" w:firstLine="720"/>
        <w:jc w:val="both"/>
        <w:rPr>
          <w:rFonts w:ascii="Arial" w:hAnsi="Arial" w:cs="Arial"/>
        </w:rPr>
      </w:pPr>
      <w:r w:rsidRPr="004C7498">
        <w:rPr>
          <w:rFonts w:ascii="Arial" w:hAnsi="Arial" w:cs="Arial"/>
        </w:rPr>
        <w:t>'Termination under the Procurement PCR’</w:t>
      </w:r>
    </w:p>
    <w:p w14:paraId="58AAD45C" w14:textId="77777777" w:rsidR="004C7498" w:rsidRPr="004C7498" w:rsidRDefault="004C7498" w:rsidP="004C7498">
      <w:pPr>
        <w:jc w:val="both"/>
        <w:rPr>
          <w:rFonts w:ascii="Arial" w:hAnsi="Arial" w:cs="Arial"/>
        </w:rPr>
      </w:pPr>
    </w:p>
    <w:p w14:paraId="2CA1A264"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Agency may terminate the Contract on written Notice to the Contractor if:</w:t>
      </w:r>
    </w:p>
    <w:p w14:paraId="4FDFAF6B" w14:textId="77777777" w:rsidR="004C7498" w:rsidRPr="004C7498" w:rsidRDefault="004C7498" w:rsidP="004C7498">
      <w:pPr>
        <w:jc w:val="both"/>
        <w:rPr>
          <w:rFonts w:ascii="Arial" w:hAnsi="Arial" w:cs="Arial"/>
        </w:rPr>
      </w:pPr>
    </w:p>
    <w:p w14:paraId="53597496"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the contract has been subject to a substantial modification which requires a new procurement procedure pursuant to regulation 72(9) of the </w:t>
      </w:r>
      <w:proofErr w:type="gramStart"/>
      <w:r w:rsidRPr="004C7498">
        <w:rPr>
          <w:rFonts w:cs="Arial"/>
          <w:sz w:val="20"/>
          <w:szCs w:val="20"/>
        </w:rPr>
        <w:t>PCR;</w:t>
      </w:r>
      <w:proofErr w:type="gramEnd"/>
    </w:p>
    <w:p w14:paraId="29DA7ABB" w14:textId="77777777" w:rsidR="004C7498" w:rsidRPr="004C7498" w:rsidRDefault="004C7498" w:rsidP="004C7498">
      <w:pPr>
        <w:jc w:val="both"/>
        <w:rPr>
          <w:rFonts w:ascii="Arial" w:hAnsi="Arial" w:cs="Arial"/>
        </w:rPr>
      </w:pPr>
    </w:p>
    <w:p w14:paraId="3DA3226A"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the Contractor was, at the time the Contract was awarded, in one of the situations specified in regulation 57(1) of the PCR, including </w:t>
      </w:r>
      <w:proofErr w:type="gramStart"/>
      <w:r w:rsidRPr="004C7498">
        <w:rPr>
          <w:rFonts w:cs="Arial"/>
          <w:sz w:val="20"/>
          <w:szCs w:val="20"/>
        </w:rPr>
        <w:t>as a result of</w:t>
      </w:r>
      <w:proofErr w:type="gramEnd"/>
      <w:r w:rsidRPr="004C7498">
        <w:rPr>
          <w:rFonts w:cs="Arial"/>
          <w:sz w:val="20"/>
          <w:szCs w:val="20"/>
        </w:rPr>
        <w:t xml:space="preserve"> the application of regulation 57(2), and should therefore have been excluded from the procurement procedure which resulted in its award of the Contract; or </w:t>
      </w:r>
    </w:p>
    <w:p w14:paraId="366C051D" w14:textId="77777777" w:rsidR="004C7498" w:rsidRPr="004C7498" w:rsidRDefault="004C7498" w:rsidP="004C7498">
      <w:pPr>
        <w:jc w:val="both"/>
        <w:rPr>
          <w:rFonts w:ascii="Arial" w:hAnsi="Arial" w:cs="Arial"/>
        </w:rPr>
      </w:pPr>
    </w:p>
    <w:p w14:paraId="690D03BF"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3355AAE7" w14:textId="77777777" w:rsidR="004C7498" w:rsidRPr="004C7498" w:rsidRDefault="004C7498" w:rsidP="004C7498">
      <w:pPr>
        <w:jc w:val="both"/>
        <w:rPr>
          <w:rFonts w:ascii="Arial" w:hAnsi="Arial" w:cs="Arial"/>
        </w:rPr>
      </w:pPr>
    </w:p>
    <w:p w14:paraId="788A24B3"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DETERMINATION</w:t>
      </w:r>
    </w:p>
    <w:p w14:paraId="66AEDD7D" w14:textId="77777777" w:rsidR="004C7498" w:rsidRPr="004C7498" w:rsidRDefault="004C7498" w:rsidP="004C7498">
      <w:pPr>
        <w:jc w:val="both"/>
        <w:rPr>
          <w:rFonts w:ascii="Arial" w:hAnsi="Arial" w:cs="Arial"/>
        </w:rPr>
      </w:pPr>
    </w:p>
    <w:p w14:paraId="5D73E4F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Without prejudice to any other rights or remedies under the Contract, the Agency reserves the right to determine the Contract at any time by giving not less than one month’s Notice, (or such other </w:t>
      </w:r>
      <w:proofErr w:type="gramStart"/>
      <w:r w:rsidRPr="004C7498">
        <w:rPr>
          <w:rFonts w:cs="Arial"/>
          <w:sz w:val="20"/>
          <w:szCs w:val="20"/>
        </w:rPr>
        <w:t>time period</w:t>
      </w:r>
      <w:proofErr w:type="gramEnd"/>
      <w:r w:rsidRPr="004C7498">
        <w:rPr>
          <w:rFonts w:cs="Arial"/>
          <w:sz w:val="20"/>
          <w:szCs w:val="20"/>
        </w:rPr>
        <w:t xml:space="preserve"> as may be appropriate). </w:t>
      </w:r>
    </w:p>
    <w:p w14:paraId="4224C348" w14:textId="77777777" w:rsidR="004C7498" w:rsidRPr="004C7498" w:rsidRDefault="004C7498" w:rsidP="004C7498">
      <w:pPr>
        <w:jc w:val="both"/>
        <w:rPr>
          <w:rFonts w:ascii="Arial" w:hAnsi="Arial" w:cs="Arial"/>
        </w:rPr>
      </w:pPr>
    </w:p>
    <w:p w14:paraId="1764874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Agency shall pay the Contractor such amounts as may be necessary to cover his reasonable costs and outstanding and unavoidable commitments necessarily and solely incurred in properly performing the Contract prior to determination.</w:t>
      </w:r>
    </w:p>
    <w:p w14:paraId="06A6C51A" w14:textId="77777777" w:rsidR="004C7498" w:rsidRPr="004C7498" w:rsidRDefault="004C7498" w:rsidP="004C7498">
      <w:pPr>
        <w:jc w:val="both"/>
        <w:rPr>
          <w:rFonts w:ascii="Arial" w:hAnsi="Arial" w:cs="Arial"/>
        </w:rPr>
      </w:pPr>
    </w:p>
    <w:p w14:paraId="46E4382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C4B3BD6" w14:textId="77777777" w:rsidR="004C7498" w:rsidRPr="004C7498" w:rsidRDefault="004C7498" w:rsidP="004C7498">
      <w:pPr>
        <w:jc w:val="both"/>
        <w:rPr>
          <w:rFonts w:ascii="Arial" w:hAnsi="Arial" w:cs="Arial"/>
        </w:rPr>
      </w:pPr>
    </w:p>
    <w:p w14:paraId="2D434A66"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INDEMNITY</w:t>
      </w:r>
    </w:p>
    <w:p w14:paraId="0989F3BD" w14:textId="77777777" w:rsidR="004C7498" w:rsidRPr="004C7498" w:rsidRDefault="004C7498" w:rsidP="004C7498">
      <w:pPr>
        <w:jc w:val="both"/>
        <w:rPr>
          <w:rFonts w:ascii="Arial" w:hAnsi="Arial" w:cs="Arial"/>
        </w:rPr>
      </w:pPr>
    </w:p>
    <w:p w14:paraId="0C58547B"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Subject always to Condition 15.2 without prejudice to the Agency’s remedies for breach of Contract, the Contractor shall fully indemnify the Agency and its staff against any liability, loss, costs, expenses, claims or proceedings in respect of:</w:t>
      </w:r>
    </w:p>
    <w:p w14:paraId="33ADBCB7" w14:textId="77777777" w:rsidR="004C7498" w:rsidRPr="004C7498" w:rsidRDefault="004C7498" w:rsidP="004C7498">
      <w:pPr>
        <w:jc w:val="both"/>
        <w:rPr>
          <w:rFonts w:ascii="Arial" w:hAnsi="Arial" w:cs="Arial"/>
        </w:rPr>
      </w:pPr>
    </w:p>
    <w:p w14:paraId="2B2D7DA4"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Death or injury to any person, and/or</w:t>
      </w:r>
    </w:p>
    <w:p w14:paraId="0B39C929" w14:textId="77777777" w:rsidR="004C7498" w:rsidRPr="004C7498" w:rsidRDefault="004C7498" w:rsidP="004C7498">
      <w:pPr>
        <w:pStyle w:val="ListParagraph"/>
        <w:ind w:left="1224"/>
        <w:jc w:val="both"/>
        <w:rPr>
          <w:rFonts w:cs="Arial"/>
          <w:sz w:val="20"/>
          <w:szCs w:val="20"/>
        </w:rPr>
      </w:pPr>
    </w:p>
    <w:p w14:paraId="42E6CF6F"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Loss or damage to any property, excluding indirect and consequential loss, and/or</w:t>
      </w:r>
    </w:p>
    <w:p w14:paraId="2BB0AF3D" w14:textId="77777777" w:rsidR="004C7498" w:rsidRPr="004C7498" w:rsidRDefault="004C7498" w:rsidP="004C7498">
      <w:pPr>
        <w:jc w:val="both"/>
        <w:rPr>
          <w:rFonts w:ascii="Arial" w:hAnsi="Arial" w:cs="Arial"/>
        </w:rPr>
      </w:pPr>
    </w:p>
    <w:p w14:paraId="343F8FCD"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Infringement of </w:t>
      </w:r>
      <w:proofErr w:type="gramStart"/>
      <w:r w:rsidRPr="004C7498">
        <w:rPr>
          <w:rFonts w:cs="Arial"/>
          <w:sz w:val="20"/>
          <w:szCs w:val="20"/>
        </w:rPr>
        <w:t>third party</w:t>
      </w:r>
      <w:proofErr w:type="gramEnd"/>
      <w:r w:rsidRPr="004C7498">
        <w:rPr>
          <w:rFonts w:cs="Arial"/>
          <w:sz w:val="20"/>
          <w:szCs w:val="20"/>
        </w:rPr>
        <w:t xml:space="preserve"> Intellectual Property Rights </w:t>
      </w:r>
    </w:p>
    <w:p w14:paraId="057C80BF" w14:textId="77777777" w:rsidR="004C7498" w:rsidRPr="004C7498" w:rsidRDefault="004C7498" w:rsidP="004C7498">
      <w:pPr>
        <w:pStyle w:val="ListParagraph"/>
        <w:rPr>
          <w:rFonts w:cs="Arial"/>
          <w:sz w:val="20"/>
          <w:szCs w:val="20"/>
        </w:rPr>
      </w:pPr>
    </w:p>
    <w:p w14:paraId="1463C7A0" w14:textId="77777777" w:rsidR="004C7498" w:rsidRPr="004C7498" w:rsidRDefault="004C7498" w:rsidP="004C7498">
      <w:pPr>
        <w:ind w:left="1701"/>
        <w:jc w:val="both"/>
        <w:rPr>
          <w:rFonts w:ascii="Arial" w:hAnsi="Arial" w:cs="Arial"/>
        </w:rPr>
      </w:pPr>
      <w:r w:rsidRPr="004C7498">
        <w:rPr>
          <w:rFonts w:ascii="Arial" w:hAnsi="Arial" w:cs="Arial"/>
        </w:rPr>
        <w:t xml:space="preserve">which might arise </w:t>
      </w:r>
      <w:proofErr w:type="gramStart"/>
      <w:r w:rsidRPr="004C7498">
        <w:rPr>
          <w:rFonts w:ascii="Arial" w:hAnsi="Arial" w:cs="Arial"/>
        </w:rPr>
        <w:t>as a consequence of</w:t>
      </w:r>
      <w:proofErr w:type="gramEnd"/>
      <w:r w:rsidRPr="004C7498">
        <w:rPr>
          <w:rFonts w:ascii="Arial" w:hAnsi="Arial" w:cs="Arial"/>
        </w:rPr>
        <w:t xml:space="preserve"> the actions, omissions or negligence of the Contractor, its staff or agents in the execution of the Contract.</w:t>
      </w:r>
    </w:p>
    <w:p w14:paraId="52EE0D5B" w14:textId="77777777" w:rsidR="004C7498" w:rsidRPr="004C7498" w:rsidRDefault="004C7498" w:rsidP="004C7498">
      <w:pPr>
        <w:jc w:val="both"/>
        <w:rPr>
          <w:rFonts w:ascii="Arial" w:hAnsi="Arial" w:cs="Arial"/>
        </w:rPr>
      </w:pPr>
    </w:p>
    <w:p w14:paraId="118339CC"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Nothing in this Condition 15 shall limit or exclude any liability of the Agency for personal injury or death arising from its negligence.</w:t>
      </w:r>
    </w:p>
    <w:p w14:paraId="724D0380" w14:textId="77777777" w:rsidR="004C7498" w:rsidRPr="004C7498" w:rsidRDefault="004C7498" w:rsidP="004C7498">
      <w:pPr>
        <w:jc w:val="both"/>
        <w:rPr>
          <w:rFonts w:ascii="Arial" w:hAnsi="Arial" w:cs="Arial"/>
        </w:rPr>
      </w:pPr>
    </w:p>
    <w:p w14:paraId="0F8C2EC7"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LIMIT OF CONTRACTOR’S LIABILITY</w:t>
      </w:r>
    </w:p>
    <w:p w14:paraId="0FEB43B7" w14:textId="77777777" w:rsidR="004C7498" w:rsidRPr="004C7498" w:rsidRDefault="004C7498" w:rsidP="004C7498">
      <w:pPr>
        <w:jc w:val="both"/>
        <w:rPr>
          <w:rFonts w:ascii="Arial" w:hAnsi="Arial" w:cs="Arial"/>
        </w:rPr>
      </w:pPr>
    </w:p>
    <w:p w14:paraId="4F91788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limit of the Contractor’s liability for </w:t>
      </w:r>
      <w:proofErr w:type="gramStart"/>
      <w:r w:rsidRPr="004C7498">
        <w:rPr>
          <w:rFonts w:cs="Arial"/>
          <w:sz w:val="20"/>
          <w:szCs w:val="20"/>
        </w:rPr>
        <w:t>each and every</w:t>
      </w:r>
      <w:proofErr w:type="gramEnd"/>
      <w:r w:rsidRPr="004C7498">
        <w:rPr>
          <w:rFonts w:cs="Arial"/>
          <w:sz w:val="20"/>
          <w:szCs w:val="20"/>
        </w:rPr>
        <w:t xml:space="preserve"> claim by the Agency, other than for death or personal injury, whether by way of indemnity or by reason of breach of Contract, or statutory duty, or by reason of any tort shall be-</w:t>
      </w:r>
    </w:p>
    <w:p w14:paraId="1AC9C3F6" w14:textId="77777777" w:rsidR="004C7498" w:rsidRPr="004C7498" w:rsidRDefault="004C7498" w:rsidP="004C7498">
      <w:pPr>
        <w:jc w:val="both"/>
        <w:rPr>
          <w:rFonts w:ascii="Arial" w:hAnsi="Arial" w:cs="Arial"/>
        </w:rPr>
      </w:pPr>
    </w:p>
    <w:p w14:paraId="496F83F1" w14:textId="6C708309"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The sum stated in the Appendix and </w:t>
      </w:r>
      <w:proofErr w:type="gramStart"/>
      <w:r w:rsidRPr="004C7498">
        <w:rPr>
          <w:rFonts w:cs="Arial"/>
          <w:sz w:val="20"/>
          <w:szCs w:val="20"/>
        </w:rPr>
        <w:t>consider</w:t>
      </w:r>
      <w:proofErr w:type="gramEnd"/>
      <w:r w:rsidRPr="004C7498">
        <w:rPr>
          <w:rFonts w:cs="Arial"/>
          <w:sz w:val="20"/>
          <w:szCs w:val="20"/>
        </w:rPr>
        <w:t xml:space="preserve"> personal data risk];</w:t>
      </w:r>
    </w:p>
    <w:p w14:paraId="56258AA4" w14:textId="77777777" w:rsidR="004C7498" w:rsidRPr="004C7498" w:rsidRDefault="004C7498" w:rsidP="004C7498">
      <w:pPr>
        <w:jc w:val="both"/>
        <w:rPr>
          <w:rFonts w:ascii="Arial" w:hAnsi="Arial" w:cs="Arial"/>
        </w:rPr>
      </w:pPr>
    </w:p>
    <w:p w14:paraId="7944AA77"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If no sum is stated in the Appendix, ten times the Contract Price, or five million pounds whichever is the greater.</w:t>
      </w:r>
    </w:p>
    <w:p w14:paraId="5A4C7EDB" w14:textId="77777777" w:rsidR="004C7498" w:rsidRPr="004C7498" w:rsidRDefault="004C7498" w:rsidP="004C7498">
      <w:pPr>
        <w:jc w:val="both"/>
        <w:rPr>
          <w:rFonts w:ascii="Arial" w:hAnsi="Arial" w:cs="Arial"/>
        </w:rPr>
      </w:pPr>
    </w:p>
    <w:p w14:paraId="43AB797D"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INSURANCE</w:t>
      </w:r>
    </w:p>
    <w:p w14:paraId="246099C3" w14:textId="77777777" w:rsidR="004C7498" w:rsidRPr="004C7498" w:rsidRDefault="004C7498" w:rsidP="004C7498">
      <w:pPr>
        <w:jc w:val="both"/>
        <w:rPr>
          <w:rFonts w:ascii="Arial" w:hAnsi="Arial" w:cs="Arial"/>
        </w:rPr>
      </w:pPr>
    </w:p>
    <w:p w14:paraId="28F79027" w14:textId="08FDB543"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Contractor shall </w:t>
      </w:r>
      <w:proofErr w:type="gramStart"/>
      <w:r w:rsidRPr="004C7498">
        <w:rPr>
          <w:rFonts w:cs="Arial"/>
          <w:sz w:val="20"/>
          <w:szCs w:val="20"/>
        </w:rPr>
        <w:t>insure, and</w:t>
      </w:r>
      <w:proofErr w:type="gramEnd"/>
      <w:r w:rsidRPr="004C7498">
        <w:rPr>
          <w:rFonts w:cs="Arial"/>
          <w:sz w:val="20"/>
          <w:szCs w:val="20"/>
        </w:rPr>
        <w:t xml:space="preserve"> maintain insurance against the liabilities under Condition 15 (Indemnity), in the manner, and to the values listed in the Appendix to these Conditions. If no sum is stated, the value insured shall be £5m, (five million pounds).</w:t>
      </w:r>
    </w:p>
    <w:p w14:paraId="3C61F87E" w14:textId="77777777" w:rsidR="004C7498" w:rsidRPr="004C7498" w:rsidRDefault="004C7498" w:rsidP="004C7498">
      <w:pPr>
        <w:jc w:val="both"/>
        <w:rPr>
          <w:rFonts w:ascii="Arial" w:hAnsi="Arial" w:cs="Arial"/>
        </w:rPr>
      </w:pPr>
    </w:p>
    <w:p w14:paraId="1586C8D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If required by the Agency, nominated insurances shall be in the joint names of the Contractor and the Agency.</w:t>
      </w:r>
    </w:p>
    <w:p w14:paraId="6ED31254" w14:textId="77777777" w:rsidR="004C7498" w:rsidRPr="004C7498" w:rsidRDefault="004C7498" w:rsidP="004C7498">
      <w:pPr>
        <w:jc w:val="both"/>
        <w:rPr>
          <w:rFonts w:ascii="Arial" w:hAnsi="Arial" w:cs="Arial"/>
        </w:rPr>
      </w:pPr>
    </w:p>
    <w:p w14:paraId="32730BE4"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upon request, produce to Contract Supervisor documentary evidence that the insurances required are fully paid up and valid for the duration of the Contract.</w:t>
      </w:r>
    </w:p>
    <w:p w14:paraId="029BE88C" w14:textId="77777777" w:rsidR="004C7498" w:rsidRPr="004C7498" w:rsidRDefault="004C7498" w:rsidP="004C7498">
      <w:pPr>
        <w:jc w:val="both"/>
        <w:rPr>
          <w:rFonts w:ascii="Arial" w:hAnsi="Arial" w:cs="Arial"/>
        </w:rPr>
      </w:pPr>
    </w:p>
    <w:p w14:paraId="3234F79C"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PREVENTION OF FRAUD AND CORRUPTION</w:t>
      </w:r>
    </w:p>
    <w:p w14:paraId="350BF0B8" w14:textId="77777777" w:rsidR="004C7498" w:rsidRPr="004C7498" w:rsidRDefault="004C7498" w:rsidP="004C7498">
      <w:pPr>
        <w:jc w:val="both"/>
        <w:rPr>
          <w:rFonts w:ascii="Arial" w:hAnsi="Arial" w:cs="Arial"/>
        </w:rPr>
      </w:pPr>
    </w:p>
    <w:p w14:paraId="261E938B"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E0F0705" w14:textId="77777777" w:rsidR="004C7498" w:rsidRPr="004C7498" w:rsidRDefault="004C7498" w:rsidP="004C7498">
      <w:pPr>
        <w:jc w:val="both"/>
        <w:rPr>
          <w:rFonts w:ascii="Arial" w:hAnsi="Arial" w:cs="Arial"/>
        </w:rPr>
      </w:pPr>
    </w:p>
    <w:p w14:paraId="218D4E9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50DCA5B" w14:textId="77777777" w:rsidR="004C7498" w:rsidRPr="004C7498" w:rsidRDefault="004C7498" w:rsidP="004C7498">
      <w:pPr>
        <w:jc w:val="both"/>
        <w:rPr>
          <w:rFonts w:ascii="Arial" w:hAnsi="Arial" w:cs="Arial"/>
        </w:rPr>
      </w:pPr>
    </w:p>
    <w:p w14:paraId="3D18DF6C"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If the Contractor or the Contractor’s staff engages in conduct prohibited by this clause 18 or commits fraud in relation to the Contract or any other contract with the Crown (including the Agency) the Agency may:</w:t>
      </w:r>
    </w:p>
    <w:p w14:paraId="7E400E51" w14:textId="77777777" w:rsidR="004C7498" w:rsidRPr="004C7498" w:rsidRDefault="004C7498" w:rsidP="004C7498">
      <w:pPr>
        <w:jc w:val="both"/>
        <w:rPr>
          <w:rFonts w:ascii="Arial" w:hAnsi="Arial" w:cs="Arial"/>
        </w:rPr>
      </w:pPr>
    </w:p>
    <w:p w14:paraId="7A7242B1"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terminate the Contract and recover from the Contractor the amount of any loss suffered by the Agency resulting from the termination, including the cost reasonably incurred by the Agency of making other arrangements for the supply of the Goods and any additional </w:t>
      </w:r>
      <w:r w:rsidRPr="004C7498">
        <w:rPr>
          <w:rFonts w:cs="Arial"/>
          <w:sz w:val="20"/>
          <w:szCs w:val="20"/>
        </w:rPr>
        <w:lastRenderedPageBreak/>
        <w:t>expenditure incurred by the Agency throughout the remainder of the Contract; or</w:t>
      </w:r>
    </w:p>
    <w:p w14:paraId="0C757784" w14:textId="77777777" w:rsidR="004C7498" w:rsidRPr="004C7498" w:rsidRDefault="004C7498" w:rsidP="004C7498">
      <w:pPr>
        <w:jc w:val="both"/>
        <w:rPr>
          <w:rFonts w:ascii="Arial" w:hAnsi="Arial" w:cs="Arial"/>
        </w:rPr>
      </w:pPr>
    </w:p>
    <w:p w14:paraId="1176B622"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recover in </w:t>
      </w:r>
      <w:proofErr w:type="gramStart"/>
      <w:r w:rsidRPr="004C7498">
        <w:rPr>
          <w:rFonts w:cs="Arial"/>
          <w:sz w:val="20"/>
          <w:szCs w:val="20"/>
        </w:rPr>
        <w:t>full from</w:t>
      </w:r>
      <w:proofErr w:type="gramEnd"/>
      <w:r w:rsidRPr="004C7498">
        <w:rPr>
          <w:rFonts w:cs="Arial"/>
          <w:sz w:val="20"/>
          <w:szCs w:val="20"/>
        </w:rPr>
        <w:t xml:space="preserve"> the Contractor any other loss sustained by the Agency in consequence of any breach of this clause.</w:t>
      </w:r>
    </w:p>
    <w:p w14:paraId="1235EC27" w14:textId="77777777" w:rsidR="004C7498" w:rsidRPr="004C7498" w:rsidRDefault="004C7498" w:rsidP="004C7498">
      <w:pPr>
        <w:jc w:val="both"/>
        <w:rPr>
          <w:rFonts w:ascii="Arial" w:hAnsi="Arial" w:cs="Arial"/>
        </w:rPr>
      </w:pPr>
    </w:p>
    <w:p w14:paraId="39B157A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Contractor shall not, </w:t>
      </w:r>
      <w:proofErr w:type="gramStart"/>
      <w:r w:rsidRPr="004C7498">
        <w:rPr>
          <w:rFonts w:cs="Arial"/>
          <w:sz w:val="20"/>
          <w:szCs w:val="20"/>
        </w:rPr>
        <w:t>directly</w:t>
      </w:r>
      <w:proofErr w:type="gramEnd"/>
      <w:r w:rsidRPr="004C7498">
        <w:rPr>
          <w:rFonts w:cs="Arial"/>
          <w:sz w:val="20"/>
          <w:szCs w:val="20"/>
        </w:rPr>
        <w:t xml:space="preserve"> or indirectly through intermediaries commit any offence under the Bribery Act 2010 (as amended), in any of its dealings with the Agency.</w:t>
      </w:r>
    </w:p>
    <w:p w14:paraId="637D7AF0" w14:textId="77777777" w:rsidR="004C7498" w:rsidRPr="004C7498" w:rsidRDefault="004C7498" w:rsidP="004C7498">
      <w:pPr>
        <w:jc w:val="both"/>
        <w:rPr>
          <w:rFonts w:ascii="Arial" w:hAnsi="Arial" w:cs="Arial"/>
        </w:rPr>
      </w:pPr>
    </w:p>
    <w:p w14:paraId="5FE22306"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MONITORING AND AUDIT</w:t>
      </w:r>
    </w:p>
    <w:p w14:paraId="01669538" w14:textId="77777777" w:rsidR="004C7498" w:rsidRPr="004C7498" w:rsidRDefault="004C7498" w:rsidP="004C7498">
      <w:pPr>
        <w:jc w:val="both"/>
        <w:rPr>
          <w:rFonts w:ascii="Arial" w:hAnsi="Arial" w:cs="Arial"/>
        </w:rPr>
      </w:pPr>
    </w:p>
    <w:p w14:paraId="5777385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13BA62BE" w14:textId="77777777" w:rsidR="004C7498" w:rsidRPr="004C7498" w:rsidRDefault="004C7498" w:rsidP="004C7498">
      <w:pPr>
        <w:jc w:val="both"/>
        <w:rPr>
          <w:rFonts w:ascii="Arial" w:hAnsi="Arial" w:cs="Arial"/>
        </w:rPr>
      </w:pPr>
    </w:p>
    <w:p w14:paraId="706AC3E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AE952B3" w14:textId="77777777" w:rsidR="004C7498" w:rsidRPr="004C7498" w:rsidRDefault="004C7498" w:rsidP="004C7498">
      <w:pPr>
        <w:jc w:val="both"/>
        <w:rPr>
          <w:rFonts w:ascii="Arial" w:hAnsi="Arial" w:cs="Arial"/>
        </w:rPr>
      </w:pPr>
    </w:p>
    <w:p w14:paraId="74166D46"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CONTRACT PRICE</w:t>
      </w:r>
    </w:p>
    <w:p w14:paraId="1B6B04E0" w14:textId="77777777" w:rsidR="004C7498" w:rsidRPr="004C7498" w:rsidRDefault="004C7498" w:rsidP="004C7498">
      <w:pPr>
        <w:jc w:val="both"/>
        <w:rPr>
          <w:rFonts w:ascii="Arial" w:hAnsi="Arial" w:cs="Arial"/>
        </w:rPr>
      </w:pPr>
    </w:p>
    <w:p w14:paraId="73A6D552"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 Price will be paid by the Agency to the Contractor, as amended by any variations ordered under Condition 10 (Variations).</w:t>
      </w:r>
    </w:p>
    <w:p w14:paraId="6252A3B9" w14:textId="77777777" w:rsidR="004C7498" w:rsidRPr="004C7498" w:rsidRDefault="004C7498" w:rsidP="004C7498">
      <w:pPr>
        <w:jc w:val="both"/>
        <w:rPr>
          <w:rFonts w:ascii="Arial" w:hAnsi="Arial" w:cs="Arial"/>
        </w:rPr>
      </w:pPr>
    </w:p>
    <w:p w14:paraId="175FD0A4"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Subject to receipt of a valid VAT invoice addressed to the Agency, in addition to the Contract Price, the Agency will pay to the Contractor such VAT (if any) as may properly be chargeable at rates ruling at the time of invoice.</w:t>
      </w:r>
    </w:p>
    <w:p w14:paraId="51D3F4A6" w14:textId="77777777" w:rsidR="004C7498" w:rsidRPr="004C7498" w:rsidRDefault="004C7498" w:rsidP="004C7498">
      <w:pPr>
        <w:jc w:val="both"/>
        <w:rPr>
          <w:rFonts w:ascii="Arial" w:hAnsi="Arial" w:cs="Arial"/>
        </w:rPr>
      </w:pPr>
    </w:p>
    <w:p w14:paraId="4B5D72AC"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INVOICING AND PAYMENT</w:t>
      </w:r>
    </w:p>
    <w:p w14:paraId="5B051FAD" w14:textId="77777777" w:rsidR="004C7498" w:rsidRPr="004C7498" w:rsidRDefault="004C7498" w:rsidP="004C7498">
      <w:pPr>
        <w:jc w:val="both"/>
        <w:rPr>
          <w:rFonts w:ascii="Arial" w:hAnsi="Arial" w:cs="Arial"/>
        </w:rPr>
      </w:pPr>
    </w:p>
    <w:p w14:paraId="6E9D1EF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Invoices shall only be submitted for work already satisfactorily </w:t>
      </w:r>
      <w:proofErr w:type="gramStart"/>
      <w:r w:rsidRPr="004C7498">
        <w:rPr>
          <w:rFonts w:cs="Arial"/>
          <w:sz w:val="20"/>
          <w:szCs w:val="20"/>
        </w:rPr>
        <w:t>completed, and</w:t>
      </w:r>
      <w:proofErr w:type="gramEnd"/>
      <w:r w:rsidRPr="004C7498">
        <w:rPr>
          <w:rFonts w:cs="Arial"/>
          <w:sz w:val="20"/>
          <w:szCs w:val="20"/>
        </w:rPr>
        <w:t xml:space="preserve"> accompanied by such information as the Contract Supervisor may reasonably require to verify the Contractor’s entitlement to payment. Such invoices will be paid within 30 days of receipt by the Agency.</w:t>
      </w:r>
    </w:p>
    <w:p w14:paraId="1CB9D1E2" w14:textId="77777777" w:rsidR="004C7498" w:rsidRPr="004C7498" w:rsidRDefault="004C7498" w:rsidP="004C7498">
      <w:pPr>
        <w:jc w:val="both"/>
        <w:rPr>
          <w:rFonts w:ascii="Arial" w:hAnsi="Arial" w:cs="Arial"/>
        </w:rPr>
      </w:pPr>
    </w:p>
    <w:p w14:paraId="1FB5912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138EA55E" w14:textId="77777777" w:rsidR="004C7498" w:rsidRPr="004C7498" w:rsidRDefault="004C7498" w:rsidP="004C7498">
      <w:pPr>
        <w:jc w:val="both"/>
        <w:rPr>
          <w:rFonts w:ascii="Arial" w:hAnsi="Arial" w:cs="Arial"/>
        </w:rPr>
      </w:pPr>
    </w:p>
    <w:p w14:paraId="626AC7F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If the Contractor </w:t>
      </w:r>
      <w:proofErr w:type="gramStart"/>
      <w:r w:rsidRPr="004C7498">
        <w:rPr>
          <w:rFonts w:cs="Arial"/>
          <w:sz w:val="20"/>
          <w:szCs w:val="20"/>
        </w:rPr>
        <w:t>enters into</w:t>
      </w:r>
      <w:proofErr w:type="gramEnd"/>
      <w:r w:rsidRPr="004C7498">
        <w:rPr>
          <w:rFonts w:cs="Arial"/>
          <w:sz w:val="20"/>
          <w:szCs w:val="20"/>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358606C7" w14:textId="77777777" w:rsidR="004C7498" w:rsidRPr="004C7498" w:rsidRDefault="004C7498" w:rsidP="004C7498">
      <w:pPr>
        <w:jc w:val="both"/>
        <w:rPr>
          <w:rFonts w:ascii="Arial" w:hAnsi="Arial" w:cs="Arial"/>
        </w:rPr>
      </w:pPr>
    </w:p>
    <w:p w14:paraId="71BED509"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INTELLECTUAL PROPERTY RIGHTS</w:t>
      </w:r>
    </w:p>
    <w:p w14:paraId="40FFA4D1" w14:textId="77777777" w:rsidR="004C7498" w:rsidRPr="004C7498" w:rsidRDefault="004C7498" w:rsidP="004C7498">
      <w:pPr>
        <w:jc w:val="both"/>
        <w:rPr>
          <w:rFonts w:ascii="Arial" w:hAnsi="Arial" w:cs="Arial"/>
        </w:rPr>
      </w:pPr>
    </w:p>
    <w:p w14:paraId="2A62CB2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lastRenderedPageBreak/>
        <w:t xml:space="preserve">All Prior Rights used in connection with the Services shall remain the property of the party introducing them. Details of each party’s Prior Rights are set out in the Prior Rights Schedule to this contract. </w:t>
      </w:r>
    </w:p>
    <w:p w14:paraId="2B188038" w14:textId="77777777" w:rsidR="004C7498" w:rsidRPr="004C7498" w:rsidRDefault="004C7498" w:rsidP="004C7498">
      <w:pPr>
        <w:jc w:val="both"/>
        <w:rPr>
          <w:rFonts w:ascii="Arial" w:hAnsi="Arial" w:cs="Arial"/>
        </w:rPr>
      </w:pPr>
    </w:p>
    <w:p w14:paraId="65FBB12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All Results shall be the property of the Agency.</w:t>
      </w:r>
      <w:r w:rsidRPr="004C7498">
        <w:rPr>
          <w:rFonts w:cs="Arial"/>
          <w:sz w:val="20"/>
          <w:szCs w:val="20"/>
        </w:rPr>
        <w:tab/>
      </w:r>
    </w:p>
    <w:p w14:paraId="03C7B941" w14:textId="77777777" w:rsidR="004C7498" w:rsidRPr="004C7498" w:rsidRDefault="004C7498" w:rsidP="004C7498">
      <w:pPr>
        <w:jc w:val="both"/>
        <w:rPr>
          <w:rFonts w:ascii="Arial" w:hAnsi="Arial" w:cs="Arial"/>
        </w:rPr>
      </w:pPr>
    </w:p>
    <w:p w14:paraId="201A99CE"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378B273D" w14:textId="77777777" w:rsidR="004C7498" w:rsidRPr="004C7498" w:rsidRDefault="004C7498" w:rsidP="004C7498">
      <w:pPr>
        <w:jc w:val="both"/>
        <w:rPr>
          <w:rFonts w:ascii="Arial" w:hAnsi="Arial" w:cs="Arial"/>
        </w:rPr>
      </w:pPr>
    </w:p>
    <w:p w14:paraId="706D19DC"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Unless otherwise agreed in writing between the Contractor and the Agency, the Contractor hereby:</w:t>
      </w:r>
    </w:p>
    <w:p w14:paraId="248610CC" w14:textId="77777777" w:rsidR="004C7498" w:rsidRPr="004C7498" w:rsidRDefault="004C7498" w:rsidP="004C7498">
      <w:pPr>
        <w:jc w:val="both"/>
        <w:rPr>
          <w:rFonts w:ascii="Arial" w:hAnsi="Arial" w:cs="Arial"/>
        </w:rPr>
      </w:pPr>
    </w:p>
    <w:p w14:paraId="463F2FF6"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assigns to the Agency all Resulting Rights</w:t>
      </w:r>
    </w:p>
    <w:p w14:paraId="011FBFA5" w14:textId="77777777" w:rsidR="004C7498" w:rsidRPr="004C7498" w:rsidRDefault="004C7498" w:rsidP="004C7498">
      <w:pPr>
        <w:jc w:val="both"/>
        <w:rPr>
          <w:rFonts w:ascii="Arial" w:hAnsi="Arial" w:cs="Arial"/>
        </w:rPr>
      </w:pPr>
    </w:p>
    <w:p w14:paraId="3A07D729"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grants the Agency a non-exclusive, </w:t>
      </w:r>
      <w:proofErr w:type="spellStart"/>
      <w:r w:rsidRPr="004C7498">
        <w:rPr>
          <w:rFonts w:cs="Arial"/>
          <w:sz w:val="20"/>
          <w:szCs w:val="20"/>
        </w:rPr>
        <w:t>non transferable</w:t>
      </w:r>
      <w:proofErr w:type="spellEnd"/>
      <w:r w:rsidRPr="004C7498">
        <w:rPr>
          <w:rFonts w:cs="Arial"/>
          <w:sz w:val="20"/>
          <w:szCs w:val="20"/>
        </w:rPr>
        <w:t xml:space="preserve"> (save for the purposes of sub-licensing, </w:t>
      </w:r>
      <w:proofErr w:type="gramStart"/>
      <w:r w:rsidRPr="004C7498">
        <w:rPr>
          <w:rFonts w:cs="Arial"/>
          <w:sz w:val="20"/>
          <w:szCs w:val="20"/>
        </w:rPr>
        <w:t>reorganisation</w:t>
      </w:r>
      <w:proofErr w:type="gramEnd"/>
      <w:r w:rsidRPr="004C7498">
        <w:rPr>
          <w:rFonts w:cs="Arial"/>
          <w:sz w:val="20"/>
          <w:szCs w:val="20"/>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59D61EE7" w14:textId="77777777" w:rsidR="004C7498" w:rsidRPr="004C7498" w:rsidRDefault="004C7498" w:rsidP="004C7498">
      <w:pPr>
        <w:jc w:val="both"/>
        <w:rPr>
          <w:rFonts w:ascii="Arial" w:hAnsi="Arial" w:cs="Arial"/>
        </w:rPr>
      </w:pPr>
    </w:p>
    <w:p w14:paraId="066C758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Contractor undertakes to the Agency not to use, </w:t>
      </w:r>
      <w:proofErr w:type="gramStart"/>
      <w:r w:rsidRPr="004C7498">
        <w:rPr>
          <w:rFonts w:cs="Arial"/>
          <w:sz w:val="20"/>
          <w:szCs w:val="20"/>
        </w:rPr>
        <w:t>exploit</w:t>
      </w:r>
      <w:proofErr w:type="gramEnd"/>
      <w:r w:rsidRPr="004C7498">
        <w:rPr>
          <w:rFonts w:cs="Arial"/>
          <w:sz w:val="20"/>
          <w:szCs w:val="20"/>
        </w:rPr>
        <w:t xml:space="preserve"> or deal with any of the Agency's Prior Rights, other than in the performance of the Contract unless the Contractor has first obtained a written licence from the Agency, in specific terms to do so.</w:t>
      </w:r>
    </w:p>
    <w:p w14:paraId="09E4E428" w14:textId="77777777" w:rsidR="004C7498" w:rsidRPr="004C7498" w:rsidRDefault="004C7498" w:rsidP="004C7498">
      <w:pPr>
        <w:jc w:val="both"/>
        <w:rPr>
          <w:rFonts w:ascii="Arial" w:hAnsi="Arial" w:cs="Arial"/>
        </w:rPr>
      </w:pPr>
    </w:p>
    <w:p w14:paraId="2D11838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Agency undertakes to the Contractor not to use or exploit the Contractor's Prior Rights, save as provided in Condition 22.3.</w:t>
      </w:r>
    </w:p>
    <w:p w14:paraId="13EFF0AB" w14:textId="77777777" w:rsidR="004C7498" w:rsidRPr="004C7498" w:rsidRDefault="004C7498" w:rsidP="004C7498">
      <w:pPr>
        <w:jc w:val="both"/>
        <w:rPr>
          <w:rFonts w:ascii="Arial" w:hAnsi="Arial" w:cs="Arial"/>
        </w:rPr>
      </w:pPr>
    </w:p>
    <w:p w14:paraId="76F0980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warrants to the Agency that the performance of the Services, the Contractor’s Prior Rights and the Results shall not in any way infringe any Intellectual Property Rights of any third party.</w:t>
      </w:r>
    </w:p>
    <w:p w14:paraId="070612F4" w14:textId="77777777" w:rsidR="004C7498" w:rsidRPr="004C7498" w:rsidRDefault="004C7498" w:rsidP="004C7498">
      <w:pPr>
        <w:jc w:val="both"/>
        <w:rPr>
          <w:rFonts w:ascii="Arial" w:hAnsi="Arial" w:cs="Arial"/>
        </w:rPr>
      </w:pPr>
    </w:p>
    <w:p w14:paraId="0F11C13B"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72EBCD1" w14:textId="77777777" w:rsidR="004C7498" w:rsidRPr="004C7498" w:rsidRDefault="004C7498" w:rsidP="004C7498">
      <w:pPr>
        <w:jc w:val="both"/>
        <w:rPr>
          <w:rFonts w:ascii="Arial" w:hAnsi="Arial" w:cs="Arial"/>
        </w:rPr>
      </w:pPr>
    </w:p>
    <w:p w14:paraId="170E633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 be liable if such infringement arises from the use of any design, technique or method of working provided by or specified by the Agency.</w:t>
      </w:r>
    </w:p>
    <w:p w14:paraId="1E01CF50" w14:textId="77777777" w:rsidR="004C7498" w:rsidRPr="004C7498" w:rsidRDefault="004C7498" w:rsidP="004C7498">
      <w:pPr>
        <w:jc w:val="both"/>
        <w:rPr>
          <w:rFonts w:ascii="Arial" w:hAnsi="Arial" w:cs="Arial"/>
        </w:rPr>
      </w:pPr>
    </w:p>
    <w:p w14:paraId="467AF3B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5E4DADE" w14:textId="77777777" w:rsidR="004C7498" w:rsidRPr="004C7498" w:rsidRDefault="004C7498" w:rsidP="004C7498">
      <w:pPr>
        <w:jc w:val="both"/>
        <w:rPr>
          <w:rFonts w:ascii="Arial" w:hAnsi="Arial" w:cs="Arial"/>
        </w:rPr>
      </w:pPr>
    </w:p>
    <w:p w14:paraId="67AD6E9B"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 be liable for any consequential losses, damage or injuries arising from third party misuse of the Results, of which the Contractor is not aware.</w:t>
      </w:r>
    </w:p>
    <w:p w14:paraId="0379292C" w14:textId="77777777" w:rsidR="004C7498" w:rsidRPr="004C7498" w:rsidRDefault="004C7498" w:rsidP="004C7498">
      <w:pPr>
        <w:jc w:val="both"/>
        <w:rPr>
          <w:rFonts w:ascii="Arial" w:hAnsi="Arial" w:cs="Arial"/>
        </w:rPr>
      </w:pPr>
    </w:p>
    <w:p w14:paraId="5A2D2FEF"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lastRenderedPageBreak/>
        <w:t>WARRANTIES</w:t>
      </w:r>
    </w:p>
    <w:p w14:paraId="1294D173" w14:textId="77777777" w:rsidR="004C7498" w:rsidRPr="004C7498" w:rsidRDefault="004C7498" w:rsidP="004C7498">
      <w:pPr>
        <w:jc w:val="both"/>
        <w:rPr>
          <w:rFonts w:ascii="Arial" w:hAnsi="Arial" w:cs="Arial"/>
        </w:rPr>
      </w:pPr>
    </w:p>
    <w:p w14:paraId="7233D249" w14:textId="77777777" w:rsidR="004C7498" w:rsidRPr="004C7498" w:rsidRDefault="004C7498" w:rsidP="004C7498">
      <w:pPr>
        <w:pStyle w:val="ListParagraph"/>
        <w:ind w:left="1440"/>
        <w:jc w:val="both"/>
        <w:rPr>
          <w:rFonts w:cs="Arial"/>
          <w:sz w:val="20"/>
          <w:szCs w:val="20"/>
        </w:rPr>
      </w:pPr>
      <w:r w:rsidRPr="004C7498">
        <w:rPr>
          <w:rFonts w:cs="Arial"/>
          <w:sz w:val="20"/>
          <w:szCs w:val="20"/>
        </w:rPr>
        <w:t xml:space="preserve">The Contractor warrants that the Services supplied by him will be discharged with reasonable skill, </w:t>
      </w:r>
      <w:proofErr w:type="gramStart"/>
      <w:r w:rsidRPr="004C7498">
        <w:rPr>
          <w:rFonts w:cs="Arial"/>
          <w:sz w:val="20"/>
          <w:szCs w:val="20"/>
        </w:rPr>
        <w:t>care</w:t>
      </w:r>
      <w:proofErr w:type="gramEnd"/>
      <w:r w:rsidRPr="004C7498">
        <w:rPr>
          <w:rFonts w:cs="Arial"/>
          <w:sz w:val="20"/>
          <w:szCs w:val="20"/>
        </w:rPr>
        <w:t xml:space="preserve"> and diligence.</w:t>
      </w:r>
    </w:p>
    <w:p w14:paraId="49172C7C" w14:textId="77777777" w:rsidR="004C7498" w:rsidRPr="004C7498" w:rsidRDefault="004C7498" w:rsidP="004C7498">
      <w:pPr>
        <w:jc w:val="both"/>
        <w:rPr>
          <w:rFonts w:ascii="Arial" w:hAnsi="Arial" w:cs="Arial"/>
        </w:rPr>
      </w:pPr>
    </w:p>
    <w:p w14:paraId="19127587"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PUBLICATION OF RESULTS</w:t>
      </w:r>
    </w:p>
    <w:p w14:paraId="743385C5" w14:textId="77777777" w:rsidR="004C7498" w:rsidRPr="004C7498" w:rsidRDefault="004C7498" w:rsidP="004C7498">
      <w:pPr>
        <w:jc w:val="both"/>
        <w:rPr>
          <w:rFonts w:ascii="Arial" w:hAnsi="Arial" w:cs="Arial"/>
        </w:rPr>
      </w:pPr>
    </w:p>
    <w:p w14:paraId="779FCC93"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Without prejudice to the generality of Condition 22, the Contractor shall not, without the prior written agreement of Contract Supervisor, use, disclose or permit any person or organisation to use or disclose the Results or Confidential Information for any thesis, degree, </w:t>
      </w:r>
      <w:proofErr w:type="gramStart"/>
      <w:r w:rsidRPr="004C7498">
        <w:rPr>
          <w:rFonts w:cs="Arial"/>
          <w:sz w:val="20"/>
          <w:szCs w:val="20"/>
        </w:rPr>
        <w:t>research</w:t>
      </w:r>
      <w:proofErr w:type="gramEnd"/>
      <w:r w:rsidRPr="004C7498">
        <w:rPr>
          <w:rFonts w:cs="Arial"/>
          <w:sz w:val="20"/>
          <w:szCs w:val="20"/>
        </w:rPr>
        <w:t xml:space="preserve"> or other educational purpose. Any such use or disclosure may only be made subject to such terms as the Agency shall require.</w:t>
      </w:r>
    </w:p>
    <w:p w14:paraId="487826E7" w14:textId="77777777" w:rsidR="004C7498" w:rsidRPr="004C7498" w:rsidRDefault="004C7498" w:rsidP="004C7498">
      <w:pPr>
        <w:jc w:val="both"/>
        <w:rPr>
          <w:rFonts w:ascii="Arial" w:hAnsi="Arial" w:cs="Arial"/>
        </w:rPr>
      </w:pPr>
    </w:p>
    <w:p w14:paraId="44793D5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A3403A1" w14:textId="77777777" w:rsidR="004C7498" w:rsidRPr="004C7498" w:rsidRDefault="004C7498" w:rsidP="004C7498">
      <w:pPr>
        <w:jc w:val="both"/>
        <w:rPr>
          <w:rFonts w:ascii="Arial" w:hAnsi="Arial" w:cs="Arial"/>
        </w:rPr>
      </w:pPr>
    </w:p>
    <w:p w14:paraId="387C3871"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Any agreed publication shall contain an acknowledgement that the Services were carried out under contract to the </w:t>
      </w:r>
      <w:proofErr w:type="gramStart"/>
      <w:r w:rsidRPr="004C7498">
        <w:rPr>
          <w:rFonts w:cs="Arial"/>
          <w:sz w:val="20"/>
          <w:szCs w:val="20"/>
        </w:rPr>
        <w:t>Agency, and</w:t>
      </w:r>
      <w:proofErr w:type="gramEnd"/>
      <w:r w:rsidRPr="004C7498">
        <w:rPr>
          <w:rFonts w:cs="Arial"/>
          <w:sz w:val="20"/>
          <w:szCs w:val="20"/>
        </w:rPr>
        <w:t xml:space="preserve"> is published with the Agency's agreement.</w:t>
      </w:r>
    </w:p>
    <w:p w14:paraId="108E11C2" w14:textId="77777777" w:rsidR="004C7498" w:rsidRPr="004C7498" w:rsidRDefault="004C7498" w:rsidP="004C7498">
      <w:pPr>
        <w:jc w:val="both"/>
        <w:rPr>
          <w:rFonts w:ascii="Arial" w:hAnsi="Arial" w:cs="Arial"/>
        </w:rPr>
      </w:pPr>
    </w:p>
    <w:p w14:paraId="354BF6A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Any publication by the Contractor shall be entirely at the Contractor's own cost and the Contractor shall, within ten days of publication, supply the Agency free of charge with a reasonable number of copies of any publication.</w:t>
      </w:r>
    </w:p>
    <w:p w14:paraId="3E4125FA" w14:textId="77777777" w:rsidR="004C7498" w:rsidRPr="004C7498" w:rsidRDefault="004C7498" w:rsidP="004C7498">
      <w:pPr>
        <w:jc w:val="both"/>
        <w:rPr>
          <w:rFonts w:ascii="Arial" w:hAnsi="Arial" w:cs="Arial"/>
        </w:rPr>
      </w:pPr>
    </w:p>
    <w:p w14:paraId="645AB718"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STATUTORY REQUIREMENTS</w:t>
      </w:r>
    </w:p>
    <w:p w14:paraId="072EF44E" w14:textId="77777777" w:rsidR="004C7498" w:rsidRPr="004C7498" w:rsidRDefault="004C7498" w:rsidP="004C7498">
      <w:pPr>
        <w:jc w:val="both"/>
        <w:rPr>
          <w:rFonts w:ascii="Arial" w:hAnsi="Arial" w:cs="Arial"/>
        </w:rPr>
      </w:pPr>
    </w:p>
    <w:p w14:paraId="2F5F0CFC" w14:textId="77777777" w:rsidR="004C7498" w:rsidRPr="004C7498" w:rsidRDefault="004C7498" w:rsidP="004C7498">
      <w:pPr>
        <w:pStyle w:val="ListParagraph"/>
        <w:ind w:left="1440"/>
        <w:jc w:val="both"/>
        <w:rPr>
          <w:rFonts w:cs="Arial"/>
          <w:sz w:val="20"/>
          <w:szCs w:val="20"/>
        </w:rPr>
      </w:pPr>
      <w:r w:rsidRPr="004C7498">
        <w:rPr>
          <w:rFonts w:cs="Arial"/>
          <w:sz w:val="20"/>
          <w:szCs w:val="20"/>
        </w:rPr>
        <w:t xml:space="preserve">The Contractor shall </w:t>
      </w:r>
      <w:proofErr w:type="gramStart"/>
      <w:r w:rsidRPr="004C7498">
        <w:rPr>
          <w:rFonts w:cs="Arial"/>
          <w:sz w:val="20"/>
          <w:szCs w:val="20"/>
        </w:rPr>
        <w:t>at all times</w:t>
      </w:r>
      <w:proofErr w:type="gramEnd"/>
      <w:r w:rsidRPr="004C7498">
        <w:rPr>
          <w:rFonts w:cs="Arial"/>
          <w:sz w:val="20"/>
          <w:szCs w:val="20"/>
        </w:rPr>
        <w:t xml:space="preserve"> comply with (i) all relevant legislation and all applicable codes of practice and other similar codes or recommendations and (ii) the Health and Safety at Work etc. Act 1974 (as amended) and any other acts, orders, </w:t>
      </w:r>
      <w:proofErr w:type="gramStart"/>
      <w:r w:rsidRPr="004C7498">
        <w:rPr>
          <w:rFonts w:cs="Arial"/>
          <w:sz w:val="20"/>
          <w:szCs w:val="20"/>
        </w:rPr>
        <w:t>regulations</w:t>
      </w:r>
      <w:proofErr w:type="gramEnd"/>
      <w:r w:rsidRPr="004C7498">
        <w:rPr>
          <w:rFonts w:cs="Arial"/>
          <w:sz w:val="20"/>
          <w:szCs w:val="20"/>
        </w:rPr>
        <w:t xml:space="preserve"> and codes of practice relating to health and safety, which may apply to employees and other persons working directly or indirectly in the provision of the Services.</w:t>
      </w:r>
    </w:p>
    <w:p w14:paraId="6C81DF4F" w14:textId="77777777" w:rsidR="004C7498" w:rsidRPr="004C7498" w:rsidRDefault="004C7498" w:rsidP="004C7498">
      <w:pPr>
        <w:jc w:val="both"/>
        <w:rPr>
          <w:rFonts w:ascii="Arial" w:hAnsi="Arial" w:cs="Arial"/>
        </w:rPr>
      </w:pPr>
    </w:p>
    <w:p w14:paraId="4D60C9A4"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ENVIRONMENT, SUSTAINABILITY AND DIVERSITY</w:t>
      </w:r>
    </w:p>
    <w:p w14:paraId="152480CE" w14:textId="77777777" w:rsidR="004C7498" w:rsidRPr="004C7498" w:rsidRDefault="004C7498" w:rsidP="004C7498">
      <w:pPr>
        <w:pStyle w:val="ListParagraph"/>
        <w:ind w:left="1134"/>
        <w:jc w:val="both"/>
        <w:rPr>
          <w:rFonts w:cs="Arial"/>
          <w:sz w:val="20"/>
          <w:szCs w:val="20"/>
        </w:rPr>
      </w:pPr>
    </w:p>
    <w:p w14:paraId="346E2BB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018FCCE6" w14:textId="77777777" w:rsidR="004C7498" w:rsidRPr="004C7498" w:rsidRDefault="004C7498" w:rsidP="004C7498">
      <w:pPr>
        <w:pStyle w:val="ListParagraph"/>
        <w:ind w:left="1701"/>
        <w:jc w:val="both"/>
        <w:rPr>
          <w:rFonts w:cs="Arial"/>
          <w:sz w:val="20"/>
          <w:szCs w:val="20"/>
        </w:rPr>
      </w:pPr>
    </w:p>
    <w:p w14:paraId="04B436A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Agency is committed to ensuring that workers employed within its supply chains are treated fairly, </w:t>
      </w:r>
      <w:proofErr w:type="gramStart"/>
      <w:r w:rsidRPr="004C7498">
        <w:rPr>
          <w:rFonts w:cs="Arial"/>
          <w:sz w:val="20"/>
          <w:szCs w:val="20"/>
        </w:rPr>
        <w:t>humanely</w:t>
      </w:r>
      <w:proofErr w:type="gramEnd"/>
      <w:r w:rsidRPr="004C7498">
        <w:rPr>
          <w:rFonts w:cs="Arial"/>
          <w:sz w:val="20"/>
          <w:szCs w:val="20"/>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0A04BE8" w14:textId="77777777" w:rsidR="004C7498" w:rsidRPr="004C7498" w:rsidRDefault="004C7498" w:rsidP="004C7498">
      <w:pPr>
        <w:pStyle w:val="ListParagraph"/>
        <w:rPr>
          <w:rFonts w:cs="Arial"/>
          <w:sz w:val="20"/>
          <w:szCs w:val="20"/>
        </w:rPr>
      </w:pPr>
    </w:p>
    <w:p w14:paraId="708CAF98"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lastRenderedPageBreak/>
        <w:t xml:space="preserve">comply with the provisions of the Modern Slavery Act </w:t>
      </w:r>
      <w:proofErr w:type="gramStart"/>
      <w:r w:rsidRPr="004C7498">
        <w:rPr>
          <w:rFonts w:cs="Arial"/>
          <w:sz w:val="20"/>
          <w:szCs w:val="20"/>
        </w:rPr>
        <w:t>2015;</w:t>
      </w:r>
      <w:proofErr w:type="gramEnd"/>
    </w:p>
    <w:p w14:paraId="60395083" w14:textId="77777777" w:rsidR="004C7498" w:rsidRPr="004C7498" w:rsidRDefault="004C7498" w:rsidP="004C7498">
      <w:pPr>
        <w:pStyle w:val="ListParagraph"/>
        <w:ind w:left="3402"/>
        <w:jc w:val="both"/>
        <w:rPr>
          <w:rFonts w:cs="Arial"/>
          <w:sz w:val="20"/>
          <w:szCs w:val="20"/>
        </w:rPr>
      </w:pPr>
    </w:p>
    <w:p w14:paraId="11D28C08"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pay staff fair wages (and pays its staff in the UK not less than the Foundation Living Wage </w:t>
      </w:r>
      <w:proofErr w:type="gramStart"/>
      <w:r w:rsidRPr="004C7498">
        <w:rPr>
          <w:rFonts w:cs="Arial"/>
          <w:sz w:val="20"/>
          <w:szCs w:val="20"/>
        </w:rPr>
        <w:t>Rate )</w:t>
      </w:r>
      <w:proofErr w:type="gramEnd"/>
      <w:r w:rsidRPr="004C7498">
        <w:rPr>
          <w:rFonts w:cs="Arial"/>
          <w:sz w:val="20"/>
          <w:szCs w:val="20"/>
        </w:rPr>
        <w:t>; and</w:t>
      </w:r>
    </w:p>
    <w:p w14:paraId="5552CB99" w14:textId="77777777" w:rsidR="004C7498" w:rsidRPr="004C7498" w:rsidRDefault="004C7498" w:rsidP="004C7498">
      <w:pPr>
        <w:pStyle w:val="ListParagraph"/>
        <w:rPr>
          <w:rFonts w:cs="Arial"/>
          <w:sz w:val="20"/>
          <w:szCs w:val="20"/>
        </w:rPr>
      </w:pPr>
    </w:p>
    <w:p w14:paraId="64598B5D"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implement fair shift arrangements, providing sufficient gaps between shifts, adequate rest breaks and reasonable shift length, and other best practices for staff welfare and performance.</w:t>
      </w:r>
    </w:p>
    <w:p w14:paraId="5A44665F" w14:textId="77777777" w:rsidR="004C7498" w:rsidRPr="004C7498" w:rsidRDefault="004C7498" w:rsidP="004C7498">
      <w:pPr>
        <w:pStyle w:val="ListParagraph"/>
        <w:rPr>
          <w:rFonts w:cs="Arial"/>
          <w:sz w:val="20"/>
          <w:szCs w:val="20"/>
        </w:rPr>
      </w:pPr>
    </w:p>
    <w:p w14:paraId="0D18207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Contractor should support the Agency to achieve its Public Sector Equality Duty by complying with the Agency's policies (as amended from time to time) on Equality, </w:t>
      </w:r>
      <w:proofErr w:type="gramStart"/>
      <w:r w:rsidRPr="004C7498">
        <w:rPr>
          <w:rFonts w:cs="Arial"/>
          <w:sz w:val="20"/>
          <w:szCs w:val="20"/>
        </w:rPr>
        <w:t>Diversity</w:t>
      </w:r>
      <w:proofErr w:type="gramEnd"/>
      <w:r w:rsidRPr="004C7498">
        <w:rPr>
          <w:rFonts w:cs="Arial"/>
          <w:sz w:val="20"/>
          <w:szCs w:val="20"/>
        </w:rPr>
        <w:t xml:space="preserve"> and Inclusion (EDI). This includes ensuring that the Contractor (and their sub-contractors) in the delivery of its obligations under this Contract:</w:t>
      </w:r>
    </w:p>
    <w:p w14:paraId="71A1E917" w14:textId="77777777" w:rsidR="004C7498" w:rsidRPr="004C7498" w:rsidRDefault="004C7498" w:rsidP="004C7498">
      <w:pPr>
        <w:pStyle w:val="ListParagraph"/>
        <w:ind w:left="1701"/>
        <w:jc w:val="both"/>
        <w:rPr>
          <w:rFonts w:cs="Arial"/>
          <w:sz w:val="20"/>
          <w:szCs w:val="20"/>
        </w:rPr>
      </w:pPr>
    </w:p>
    <w:p w14:paraId="6B780739"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eliminates discrimination, harassment, victimisation and any other conduct that is prohibited by or under the Equality Act </w:t>
      </w:r>
      <w:proofErr w:type="gramStart"/>
      <w:r w:rsidRPr="004C7498">
        <w:rPr>
          <w:rFonts w:cs="Arial"/>
          <w:sz w:val="20"/>
          <w:szCs w:val="20"/>
        </w:rPr>
        <w:t>2010;</w:t>
      </w:r>
      <w:proofErr w:type="gramEnd"/>
    </w:p>
    <w:p w14:paraId="76B9F6E3" w14:textId="77777777" w:rsidR="004C7498" w:rsidRPr="004C7498" w:rsidRDefault="004C7498" w:rsidP="004C7498">
      <w:pPr>
        <w:pStyle w:val="ListParagraph"/>
        <w:ind w:left="3402"/>
        <w:jc w:val="both"/>
        <w:rPr>
          <w:rFonts w:cs="Arial"/>
          <w:sz w:val="20"/>
          <w:szCs w:val="20"/>
        </w:rPr>
      </w:pPr>
    </w:p>
    <w:p w14:paraId="574152EE"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advances equality of opportunity between people who share a protected characteristic and those who do not; and</w:t>
      </w:r>
    </w:p>
    <w:p w14:paraId="00176708" w14:textId="77777777" w:rsidR="004C7498" w:rsidRPr="004C7498" w:rsidRDefault="004C7498" w:rsidP="004C7498">
      <w:pPr>
        <w:pStyle w:val="ListParagraph"/>
        <w:ind w:left="3402"/>
        <w:jc w:val="both"/>
        <w:rPr>
          <w:rFonts w:cs="Arial"/>
          <w:sz w:val="20"/>
          <w:szCs w:val="20"/>
        </w:rPr>
      </w:pPr>
    </w:p>
    <w:p w14:paraId="1CD846F8"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fosters good relations between people who share a protected characteristic and those who do not.</w:t>
      </w:r>
    </w:p>
    <w:p w14:paraId="30276041" w14:textId="77777777" w:rsidR="004C7498" w:rsidRPr="004C7498" w:rsidRDefault="004C7498" w:rsidP="004C7498">
      <w:pPr>
        <w:pStyle w:val="ListParagraph"/>
        <w:ind w:left="1440"/>
        <w:jc w:val="both"/>
        <w:rPr>
          <w:rFonts w:cs="Arial"/>
          <w:sz w:val="20"/>
          <w:szCs w:val="20"/>
        </w:rPr>
      </w:pPr>
    </w:p>
    <w:p w14:paraId="71A45BA7"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LAW</w:t>
      </w:r>
    </w:p>
    <w:p w14:paraId="495CFECB" w14:textId="77777777" w:rsidR="004C7498" w:rsidRPr="004C7498" w:rsidRDefault="004C7498" w:rsidP="004C7498">
      <w:pPr>
        <w:jc w:val="both"/>
        <w:rPr>
          <w:rFonts w:ascii="Arial" w:hAnsi="Arial" w:cs="Arial"/>
        </w:rPr>
      </w:pPr>
    </w:p>
    <w:p w14:paraId="0FA78598" w14:textId="77777777" w:rsidR="004C7498" w:rsidRPr="004C7498" w:rsidRDefault="004C7498" w:rsidP="004C7498">
      <w:pPr>
        <w:pStyle w:val="ListParagraph"/>
        <w:ind w:left="1440"/>
        <w:jc w:val="both"/>
        <w:rPr>
          <w:rFonts w:cs="Arial"/>
          <w:sz w:val="20"/>
          <w:szCs w:val="20"/>
        </w:rPr>
      </w:pPr>
      <w:r w:rsidRPr="004C7498">
        <w:rPr>
          <w:rFonts w:cs="Arial"/>
          <w:sz w:val="20"/>
          <w:szCs w:val="20"/>
        </w:rPr>
        <w:t xml:space="preserve">This Contract shall be governed and construed in accordance with the Law, and subject to the exclusive jurisdiction of the courts of England. </w:t>
      </w:r>
    </w:p>
    <w:p w14:paraId="28BCD583" w14:textId="77777777" w:rsidR="004C7498" w:rsidRPr="004C7498" w:rsidRDefault="004C7498" w:rsidP="004C7498">
      <w:pPr>
        <w:jc w:val="both"/>
        <w:rPr>
          <w:rFonts w:ascii="Arial" w:hAnsi="Arial" w:cs="Arial"/>
        </w:rPr>
      </w:pPr>
    </w:p>
    <w:p w14:paraId="6F57CC64"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WAIVER</w:t>
      </w:r>
    </w:p>
    <w:p w14:paraId="16491550" w14:textId="77777777" w:rsidR="004C7498" w:rsidRPr="004C7498" w:rsidRDefault="004C7498" w:rsidP="004C7498">
      <w:pPr>
        <w:jc w:val="both"/>
        <w:rPr>
          <w:rFonts w:ascii="Arial" w:hAnsi="Arial" w:cs="Arial"/>
        </w:rPr>
      </w:pPr>
    </w:p>
    <w:p w14:paraId="0CC350A4"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No delay, </w:t>
      </w:r>
      <w:proofErr w:type="gramStart"/>
      <w:r w:rsidRPr="004C7498">
        <w:rPr>
          <w:rFonts w:cs="Arial"/>
          <w:sz w:val="20"/>
          <w:szCs w:val="20"/>
        </w:rPr>
        <w:t>neglect</w:t>
      </w:r>
      <w:proofErr w:type="gramEnd"/>
      <w:r w:rsidRPr="004C7498">
        <w:rPr>
          <w:rFonts w:cs="Arial"/>
          <w:sz w:val="20"/>
          <w:szCs w:val="20"/>
        </w:rPr>
        <w:t xml:space="preserve"> or forbearance by the Agency in enforcing any provision of the Contract shall be deemed to be a waiver, or in any other way prejudice the rights of the Agency under the Contract.</w:t>
      </w:r>
    </w:p>
    <w:p w14:paraId="3BF96E5B" w14:textId="77777777" w:rsidR="004C7498" w:rsidRPr="004C7498" w:rsidRDefault="004C7498" w:rsidP="004C7498">
      <w:pPr>
        <w:jc w:val="both"/>
        <w:rPr>
          <w:rFonts w:ascii="Arial" w:hAnsi="Arial" w:cs="Arial"/>
        </w:rPr>
      </w:pPr>
    </w:p>
    <w:p w14:paraId="6B0B7D8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 waiver by the Agency shall be effective unless made in writing.</w:t>
      </w:r>
    </w:p>
    <w:p w14:paraId="32DBE0DD" w14:textId="77777777" w:rsidR="004C7498" w:rsidRPr="004C7498" w:rsidRDefault="004C7498" w:rsidP="004C7498">
      <w:pPr>
        <w:jc w:val="both"/>
        <w:rPr>
          <w:rFonts w:ascii="Arial" w:hAnsi="Arial" w:cs="Arial"/>
        </w:rPr>
      </w:pPr>
    </w:p>
    <w:p w14:paraId="384E4DEF"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No waiver by the Agency of a breach of Contract shall constitute a waiver of any subsequent breach of Contract.</w:t>
      </w:r>
    </w:p>
    <w:p w14:paraId="2F10A6E3" w14:textId="77777777" w:rsidR="004C7498" w:rsidRPr="004C7498" w:rsidRDefault="004C7498" w:rsidP="004C7498">
      <w:pPr>
        <w:jc w:val="both"/>
        <w:rPr>
          <w:rFonts w:ascii="Arial" w:hAnsi="Arial" w:cs="Arial"/>
        </w:rPr>
      </w:pPr>
    </w:p>
    <w:p w14:paraId="2CDF1CDF"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ENFORCEABILITY AND SURVIVORSHIP</w:t>
      </w:r>
    </w:p>
    <w:p w14:paraId="066358A7" w14:textId="77777777" w:rsidR="004C7498" w:rsidRPr="004C7498" w:rsidRDefault="004C7498" w:rsidP="004C7498">
      <w:pPr>
        <w:jc w:val="both"/>
        <w:rPr>
          <w:rFonts w:ascii="Arial" w:hAnsi="Arial" w:cs="Arial"/>
        </w:rPr>
      </w:pPr>
    </w:p>
    <w:p w14:paraId="2C4CB6A4"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16077F5B" w14:textId="77777777" w:rsidR="004C7498" w:rsidRPr="004C7498" w:rsidRDefault="004C7498" w:rsidP="004C7498">
      <w:pPr>
        <w:jc w:val="both"/>
        <w:rPr>
          <w:rFonts w:ascii="Arial" w:hAnsi="Arial" w:cs="Arial"/>
        </w:rPr>
      </w:pPr>
    </w:p>
    <w:p w14:paraId="38AD8E5D"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lastRenderedPageBreak/>
        <w:t>The following clauses shall survive termination of the Contract, howsoever caused: 8, 13, 14, 15, 22, 23, 24, 25, 27, 29, 30, 31, 32 and 33.</w:t>
      </w:r>
    </w:p>
    <w:p w14:paraId="753B6A7C" w14:textId="77777777" w:rsidR="004C7498" w:rsidRPr="004C7498" w:rsidRDefault="004C7498" w:rsidP="004C7498">
      <w:pPr>
        <w:jc w:val="both"/>
        <w:rPr>
          <w:rFonts w:ascii="Arial" w:hAnsi="Arial" w:cs="Arial"/>
        </w:rPr>
      </w:pPr>
    </w:p>
    <w:p w14:paraId="03711C0C"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DISPUTE RESOLUTION</w:t>
      </w:r>
    </w:p>
    <w:p w14:paraId="254DBBB9" w14:textId="77777777" w:rsidR="004C7498" w:rsidRPr="004C7498" w:rsidRDefault="004C7498" w:rsidP="004C7498">
      <w:pPr>
        <w:jc w:val="both"/>
        <w:rPr>
          <w:rFonts w:ascii="Arial" w:hAnsi="Arial" w:cs="Arial"/>
        </w:rPr>
      </w:pPr>
    </w:p>
    <w:p w14:paraId="32276700"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All disputes under or in connection with this Contract shall be referred first to negotiators nominated at a suitable and appropriate working level by the Agency and the Contractor.</w:t>
      </w:r>
    </w:p>
    <w:p w14:paraId="2CA726B8" w14:textId="77777777" w:rsidR="004C7498" w:rsidRPr="004C7498" w:rsidRDefault="004C7498" w:rsidP="004C7498">
      <w:pPr>
        <w:jc w:val="both"/>
        <w:rPr>
          <w:rFonts w:ascii="Arial" w:hAnsi="Arial" w:cs="Arial"/>
        </w:rPr>
      </w:pPr>
    </w:p>
    <w:p w14:paraId="238531C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If the parties’ negotiators are unable to resolve the dispute within a period of </w:t>
      </w:r>
      <w:proofErr w:type="gramStart"/>
      <w:r w:rsidRPr="004C7498">
        <w:rPr>
          <w:rFonts w:cs="Arial"/>
          <w:sz w:val="20"/>
          <w:szCs w:val="20"/>
        </w:rPr>
        <w:t>forty five</w:t>
      </w:r>
      <w:proofErr w:type="gramEnd"/>
      <w:r w:rsidRPr="004C7498">
        <w:rPr>
          <w:rFonts w:cs="Arial"/>
          <w:sz w:val="20"/>
          <w:szCs w:val="20"/>
        </w:rPr>
        <w:t xml:space="preserve"> days from its being referred to them, the dispute shall be referred at the instance of either party to the parties respective senior managers or directors (supported as necessary by their advisors)</w:t>
      </w:r>
    </w:p>
    <w:p w14:paraId="47D30CA3" w14:textId="77777777" w:rsidR="004C7498" w:rsidRPr="004C7498" w:rsidRDefault="004C7498" w:rsidP="004C7498">
      <w:pPr>
        <w:jc w:val="both"/>
        <w:rPr>
          <w:rFonts w:ascii="Arial" w:hAnsi="Arial" w:cs="Arial"/>
        </w:rPr>
      </w:pPr>
    </w:p>
    <w:p w14:paraId="06989A4B"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If the </w:t>
      </w:r>
      <w:proofErr w:type="gramStart"/>
      <w:r w:rsidRPr="004C7498">
        <w:rPr>
          <w:rFonts w:cs="Arial"/>
          <w:sz w:val="20"/>
          <w:szCs w:val="20"/>
        </w:rPr>
        <w:t>parties</w:t>
      </w:r>
      <w:proofErr w:type="gramEnd"/>
      <w:r w:rsidRPr="004C7498">
        <w:rPr>
          <w:rFonts w:cs="Arial"/>
          <w:sz w:val="20"/>
          <w:szCs w:val="20"/>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2763D0E4" w14:textId="77777777" w:rsidR="004C7498" w:rsidRPr="004C7498" w:rsidRDefault="004C7498" w:rsidP="004C7498">
      <w:pPr>
        <w:jc w:val="both"/>
        <w:rPr>
          <w:rFonts w:ascii="Arial" w:hAnsi="Arial" w:cs="Arial"/>
        </w:rPr>
      </w:pPr>
    </w:p>
    <w:p w14:paraId="3B5183A9"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Recourse to this dispute resolution procedure shall be binding on the parties as to submission to the medium but not as to its outcome. </w:t>
      </w:r>
      <w:proofErr w:type="gramStart"/>
      <w:r w:rsidRPr="004C7498">
        <w:rPr>
          <w:rFonts w:cs="Arial"/>
          <w:sz w:val="20"/>
          <w:szCs w:val="20"/>
        </w:rPr>
        <w:t>Accordingly</w:t>
      </w:r>
      <w:proofErr w:type="gramEnd"/>
      <w:r w:rsidRPr="004C7498">
        <w:rPr>
          <w:rFonts w:cs="Arial"/>
          <w:sz w:val="20"/>
          <w:szCs w:val="20"/>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4C7498">
        <w:rPr>
          <w:rFonts w:cs="Arial"/>
          <w:sz w:val="20"/>
          <w:szCs w:val="20"/>
        </w:rPr>
        <w:t>forty five</w:t>
      </w:r>
      <w:proofErr w:type="gramEnd"/>
      <w:r w:rsidRPr="004C7498">
        <w:rPr>
          <w:rFonts w:cs="Arial"/>
          <w:sz w:val="20"/>
          <w:szCs w:val="20"/>
        </w:rPr>
        <w:t xml:space="preserve"> days after the appointment of the mediator.</w:t>
      </w:r>
    </w:p>
    <w:p w14:paraId="4134B326" w14:textId="77777777" w:rsidR="004C7498" w:rsidRPr="004C7498" w:rsidRDefault="004C7498" w:rsidP="004C7498">
      <w:pPr>
        <w:jc w:val="both"/>
        <w:rPr>
          <w:rFonts w:ascii="Arial" w:hAnsi="Arial" w:cs="Arial"/>
        </w:rPr>
      </w:pPr>
    </w:p>
    <w:p w14:paraId="1DC9A0F5"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If, with the assistance of the mediator, the parties reach a settlement, such settlement shall be put in writing and, once signed by a duly authorised representative of each of the parties, shall remain binding on the parties.</w:t>
      </w:r>
    </w:p>
    <w:p w14:paraId="5B309CE9" w14:textId="77777777" w:rsidR="004C7498" w:rsidRPr="004C7498" w:rsidRDefault="004C7498" w:rsidP="004C7498">
      <w:pPr>
        <w:jc w:val="both"/>
        <w:rPr>
          <w:rFonts w:ascii="Arial" w:hAnsi="Arial" w:cs="Arial"/>
        </w:rPr>
      </w:pPr>
    </w:p>
    <w:p w14:paraId="7300828A"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parties shall bear their own legal costs of this dispute resolution procedure, but the costs and expenses of mediation shall be borne by the parties equally.</w:t>
      </w:r>
    </w:p>
    <w:p w14:paraId="759CD78C" w14:textId="77777777" w:rsidR="004C7498" w:rsidRPr="004C7498" w:rsidRDefault="004C7498" w:rsidP="004C7498">
      <w:pPr>
        <w:jc w:val="both"/>
        <w:rPr>
          <w:rFonts w:ascii="Arial" w:hAnsi="Arial" w:cs="Arial"/>
        </w:rPr>
      </w:pPr>
    </w:p>
    <w:p w14:paraId="1D0619F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Any of the time limits in Condition 30 may be extended by mutual agreement between the parties. Such agreed extension shall not prejudice the right of either party to proceed to the next stage of resolution.</w:t>
      </w:r>
    </w:p>
    <w:p w14:paraId="0E1EAED6" w14:textId="77777777" w:rsidR="004C7498" w:rsidRPr="004C7498" w:rsidRDefault="004C7498" w:rsidP="004C7498">
      <w:pPr>
        <w:jc w:val="both"/>
        <w:rPr>
          <w:rFonts w:ascii="Arial" w:hAnsi="Arial" w:cs="Arial"/>
        </w:rPr>
      </w:pPr>
    </w:p>
    <w:p w14:paraId="4A26119F"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GENERAL</w:t>
      </w:r>
    </w:p>
    <w:p w14:paraId="317EDE59" w14:textId="77777777" w:rsidR="004C7498" w:rsidRPr="004C7498" w:rsidRDefault="004C7498" w:rsidP="004C7498">
      <w:pPr>
        <w:jc w:val="both"/>
        <w:rPr>
          <w:rFonts w:ascii="Arial" w:hAnsi="Arial" w:cs="Arial"/>
        </w:rPr>
      </w:pPr>
    </w:p>
    <w:p w14:paraId="6B24D126"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7E789051" w14:textId="77777777" w:rsidR="004C7498" w:rsidRPr="004C7498" w:rsidRDefault="004C7498" w:rsidP="004C7498">
      <w:pPr>
        <w:jc w:val="both"/>
        <w:rPr>
          <w:rFonts w:ascii="Arial" w:hAnsi="Arial" w:cs="Arial"/>
        </w:rPr>
      </w:pPr>
    </w:p>
    <w:p w14:paraId="72457AD2"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Contract contains the whole agreement between the parties and supersedes all previous communications, </w:t>
      </w:r>
      <w:proofErr w:type="gramStart"/>
      <w:r w:rsidRPr="004C7498">
        <w:rPr>
          <w:rFonts w:cs="Arial"/>
          <w:sz w:val="20"/>
          <w:szCs w:val="20"/>
        </w:rPr>
        <w:t>representations</w:t>
      </w:r>
      <w:proofErr w:type="gramEnd"/>
      <w:r w:rsidRPr="004C7498">
        <w:rPr>
          <w:rFonts w:cs="Arial"/>
          <w:sz w:val="20"/>
          <w:szCs w:val="20"/>
        </w:rPr>
        <w:t xml:space="preserve"> and arrangements, written or oral. It is accepted that the Contract has not been entered into </w:t>
      </w:r>
      <w:proofErr w:type="gramStart"/>
      <w:r w:rsidRPr="004C7498">
        <w:rPr>
          <w:rFonts w:cs="Arial"/>
          <w:sz w:val="20"/>
          <w:szCs w:val="20"/>
        </w:rPr>
        <w:t>on the basis of</w:t>
      </w:r>
      <w:proofErr w:type="gramEnd"/>
      <w:r w:rsidRPr="004C7498">
        <w:rPr>
          <w:rFonts w:cs="Arial"/>
          <w:sz w:val="20"/>
          <w:szCs w:val="20"/>
        </w:rPr>
        <w:t xml:space="preserve"> any representations that are not expressly contained in the Contract.</w:t>
      </w:r>
    </w:p>
    <w:p w14:paraId="6E85ACD1" w14:textId="77777777" w:rsidR="004C7498" w:rsidRPr="004C7498" w:rsidRDefault="004C7498" w:rsidP="004C7498">
      <w:pPr>
        <w:jc w:val="both"/>
        <w:rPr>
          <w:rFonts w:ascii="Arial" w:hAnsi="Arial" w:cs="Arial"/>
        </w:rPr>
      </w:pPr>
    </w:p>
    <w:p w14:paraId="1943C8BC"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FREEDOM OF INFORMATION ACT</w:t>
      </w:r>
    </w:p>
    <w:p w14:paraId="5878A30C" w14:textId="77777777" w:rsidR="004C7498" w:rsidRPr="004C7498" w:rsidRDefault="004C7498" w:rsidP="004C7498">
      <w:pPr>
        <w:jc w:val="both"/>
        <w:rPr>
          <w:rFonts w:ascii="Arial" w:hAnsi="Arial" w:cs="Arial"/>
        </w:rPr>
      </w:pPr>
    </w:p>
    <w:p w14:paraId="2713D98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The Agency is committed to open government and to meeting its responsibilities under the Freedom of Information Act 2000 (as amended) (‘Act’) and the Environmental Information Regulations 2004 (as amended) (Regulations’). </w:t>
      </w:r>
    </w:p>
    <w:p w14:paraId="3F8CE589" w14:textId="77777777" w:rsidR="004C7498" w:rsidRPr="004C7498" w:rsidRDefault="004C7498" w:rsidP="004C7498">
      <w:pPr>
        <w:jc w:val="both"/>
        <w:rPr>
          <w:rFonts w:ascii="Arial" w:hAnsi="Arial" w:cs="Arial"/>
        </w:rPr>
      </w:pPr>
    </w:p>
    <w:p w14:paraId="1B4E9C47"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The Contractor agrees that:</w:t>
      </w:r>
    </w:p>
    <w:p w14:paraId="31CE0BA9" w14:textId="77777777" w:rsidR="004C7498" w:rsidRPr="004C7498" w:rsidRDefault="004C7498" w:rsidP="004C7498">
      <w:pPr>
        <w:jc w:val="both"/>
        <w:rPr>
          <w:rFonts w:ascii="Arial" w:hAnsi="Arial" w:cs="Arial"/>
        </w:rPr>
      </w:pPr>
    </w:p>
    <w:p w14:paraId="48A23141"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All information submitted to the Agency may need to be disclosed by the Agency in response to a request under the Act or the Regulations; and</w:t>
      </w:r>
    </w:p>
    <w:p w14:paraId="114862CF" w14:textId="77777777" w:rsidR="004C7498" w:rsidRPr="004C7498" w:rsidRDefault="004C7498" w:rsidP="004C7498">
      <w:pPr>
        <w:jc w:val="both"/>
        <w:rPr>
          <w:rFonts w:ascii="Arial" w:hAnsi="Arial" w:cs="Arial"/>
        </w:rPr>
      </w:pPr>
    </w:p>
    <w:p w14:paraId="21034AA9" w14:textId="77777777" w:rsidR="004C7498" w:rsidRPr="004C7498" w:rsidRDefault="004C7498" w:rsidP="009D7616">
      <w:pPr>
        <w:pStyle w:val="ListParagraph"/>
        <w:numPr>
          <w:ilvl w:val="2"/>
          <w:numId w:val="17"/>
        </w:numPr>
        <w:suppressAutoHyphens/>
        <w:autoSpaceDN w:val="0"/>
        <w:spacing w:after="0" w:line="240" w:lineRule="auto"/>
        <w:jc w:val="both"/>
        <w:rPr>
          <w:rFonts w:cs="Arial"/>
          <w:sz w:val="20"/>
          <w:szCs w:val="20"/>
        </w:rPr>
      </w:pPr>
      <w:r w:rsidRPr="004C7498">
        <w:rPr>
          <w:rFonts w:cs="Arial"/>
          <w:sz w:val="20"/>
          <w:szCs w:val="20"/>
        </w:rPr>
        <w:t xml:space="preserve">The Agency may include information submitted (in whole or in part) in the publication scheme which it maintains under the Act or publish the Contract, including from </w:t>
      </w:r>
      <w:proofErr w:type="gramStart"/>
      <w:r w:rsidRPr="004C7498">
        <w:rPr>
          <w:rFonts w:cs="Arial"/>
          <w:sz w:val="20"/>
          <w:szCs w:val="20"/>
        </w:rPr>
        <w:t>time to time</w:t>
      </w:r>
      <w:proofErr w:type="gramEnd"/>
      <w:r w:rsidRPr="004C7498">
        <w:rPr>
          <w:rFonts w:cs="Arial"/>
          <w:sz w:val="20"/>
          <w:szCs w:val="20"/>
        </w:rPr>
        <w:t xml:space="preserve"> agreed changes to the Contract, to the public.</w:t>
      </w:r>
    </w:p>
    <w:p w14:paraId="1653F65C" w14:textId="77777777" w:rsidR="004C7498" w:rsidRPr="004C7498" w:rsidRDefault="004C7498" w:rsidP="004C7498">
      <w:pPr>
        <w:pStyle w:val="ListParagraph"/>
        <w:rPr>
          <w:rFonts w:cs="Arial"/>
          <w:sz w:val="20"/>
          <w:szCs w:val="20"/>
        </w:rPr>
      </w:pPr>
    </w:p>
    <w:p w14:paraId="2E1EED68"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r w:rsidRPr="004C7498">
        <w:rPr>
          <w:rFonts w:cs="Arial"/>
          <w:sz w:val="20"/>
          <w:szCs w:val="20"/>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004C7498">
        <w:rPr>
          <w:rFonts w:cs="Arial"/>
          <w:sz w:val="20"/>
          <w:szCs w:val="20"/>
        </w:rPr>
        <w:t>time period</w:t>
      </w:r>
      <w:proofErr w:type="gramEnd"/>
      <w:r w:rsidRPr="004C7498">
        <w:rPr>
          <w:rFonts w:cs="Arial"/>
          <w:sz w:val="20"/>
          <w:szCs w:val="20"/>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73867B48" w14:textId="77777777" w:rsidR="004C7498" w:rsidRPr="004C7498" w:rsidRDefault="004C7498" w:rsidP="004C7498">
      <w:pPr>
        <w:jc w:val="both"/>
        <w:rPr>
          <w:rFonts w:ascii="Arial" w:hAnsi="Arial" w:cs="Arial"/>
        </w:rPr>
      </w:pPr>
    </w:p>
    <w:p w14:paraId="09346475" w14:textId="77777777" w:rsidR="004C7498" w:rsidRPr="004C7498" w:rsidRDefault="004C7498" w:rsidP="009D7616">
      <w:pPr>
        <w:pStyle w:val="ListParagraph"/>
        <w:numPr>
          <w:ilvl w:val="0"/>
          <w:numId w:val="17"/>
        </w:numPr>
        <w:suppressAutoHyphens/>
        <w:autoSpaceDN w:val="0"/>
        <w:spacing w:after="0" w:line="240" w:lineRule="auto"/>
        <w:jc w:val="both"/>
        <w:rPr>
          <w:rFonts w:cs="Arial"/>
          <w:b/>
          <w:sz w:val="20"/>
          <w:szCs w:val="20"/>
        </w:rPr>
      </w:pPr>
      <w:r w:rsidRPr="004C7498">
        <w:rPr>
          <w:rFonts w:cs="Arial"/>
          <w:b/>
          <w:sz w:val="20"/>
          <w:szCs w:val="20"/>
        </w:rPr>
        <w:t>Data Protection</w:t>
      </w:r>
    </w:p>
    <w:p w14:paraId="39FE942D" w14:textId="77777777" w:rsidR="004C7498" w:rsidRPr="004C7498" w:rsidRDefault="004C7498" w:rsidP="004C7498">
      <w:pPr>
        <w:pStyle w:val="ListParagraph"/>
        <w:ind w:left="1134"/>
        <w:jc w:val="both"/>
        <w:rPr>
          <w:rFonts w:cs="Arial"/>
          <w:sz w:val="20"/>
          <w:szCs w:val="20"/>
        </w:rPr>
      </w:pPr>
    </w:p>
    <w:p w14:paraId="76875A9C" w14:textId="77777777" w:rsidR="004C7498" w:rsidRPr="004C7498" w:rsidRDefault="004C7498" w:rsidP="009D7616">
      <w:pPr>
        <w:pStyle w:val="ListParagraph"/>
        <w:numPr>
          <w:ilvl w:val="1"/>
          <w:numId w:val="17"/>
        </w:numPr>
        <w:suppressAutoHyphens/>
        <w:autoSpaceDN w:val="0"/>
        <w:spacing w:after="0" w:line="240" w:lineRule="auto"/>
        <w:jc w:val="both"/>
        <w:rPr>
          <w:rFonts w:cs="Arial"/>
          <w:sz w:val="20"/>
          <w:szCs w:val="20"/>
        </w:rPr>
      </w:pPr>
      <w:proofErr w:type="gramStart"/>
      <w:r w:rsidRPr="004C7498">
        <w:rPr>
          <w:rFonts w:cs="Arial"/>
          <w:sz w:val="20"/>
          <w:szCs w:val="20"/>
        </w:rPr>
        <w:t>In the event that</w:t>
      </w:r>
      <w:proofErr w:type="gramEnd"/>
      <w:r w:rsidRPr="004C7498">
        <w:rPr>
          <w:rFonts w:cs="Arial"/>
          <w:sz w:val="20"/>
          <w:szCs w:val="20"/>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41AC11D3" w14:textId="77777777" w:rsidR="004C7498" w:rsidRPr="004C7498" w:rsidRDefault="004C7498" w:rsidP="004C7498">
      <w:pPr>
        <w:pStyle w:val="ListParagraph"/>
        <w:ind w:left="1134"/>
        <w:jc w:val="both"/>
        <w:rPr>
          <w:rFonts w:cs="Arial"/>
          <w:sz w:val="20"/>
          <w:szCs w:val="20"/>
        </w:rPr>
      </w:pPr>
    </w:p>
    <w:p w14:paraId="0134AEF0" w14:textId="77777777" w:rsidR="004C7498" w:rsidRPr="004C7498" w:rsidRDefault="004C7498" w:rsidP="004C7498">
      <w:pPr>
        <w:pageBreakBefore/>
        <w:suppressAutoHyphens/>
        <w:autoSpaceDN w:val="0"/>
        <w:jc w:val="both"/>
        <w:rPr>
          <w:rFonts w:cs="Arial"/>
        </w:rPr>
      </w:pPr>
    </w:p>
    <w:p w14:paraId="5D27D426" w14:textId="77777777" w:rsidR="004C7498" w:rsidRPr="004C7498" w:rsidRDefault="004C7498" w:rsidP="009D7616">
      <w:pPr>
        <w:pStyle w:val="Heading1"/>
        <w:numPr>
          <w:ilvl w:val="0"/>
          <w:numId w:val="15"/>
        </w:numPr>
        <w:rPr>
          <w:rFonts w:cs="Arial"/>
          <w:sz w:val="20"/>
        </w:rPr>
      </w:pPr>
      <w:r w:rsidRPr="004C7498">
        <w:rPr>
          <w:rFonts w:cs="Arial"/>
          <w:sz w:val="20"/>
        </w:rPr>
        <w:t>Appendix to Conditions Research and Development</w:t>
      </w:r>
    </w:p>
    <w:p w14:paraId="5C02A107" w14:textId="77777777" w:rsidR="004C7498" w:rsidRPr="004C7498" w:rsidRDefault="004C7498" w:rsidP="004C7498">
      <w:pPr>
        <w:jc w:val="both"/>
        <w:rPr>
          <w:rFonts w:ascii="Arial" w:hAnsi="Arial" w:cs="Arial"/>
        </w:rPr>
      </w:pPr>
    </w:p>
    <w:p w14:paraId="192E34BB" w14:textId="77777777" w:rsidR="004C7498" w:rsidRPr="004C7498" w:rsidRDefault="004C7498" w:rsidP="004C7498">
      <w:pPr>
        <w:jc w:val="both"/>
        <w:rPr>
          <w:rFonts w:ascii="Arial" w:hAnsi="Arial" w:cs="Arial"/>
          <w:bCs/>
          <w:szCs w:val="22"/>
        </w:rPr>
      </w:pPr>
      <w:r w:rsidRPr="004C7498">
        <w:rPr>
          <w:rFonts w:ascii="Arial" w:hAnsi="Arial" w:cs="Arial"/>
          <w:bCs/>
          <w:szCs w:val="22"/>
        </w:rPr>
        <w:t>Contract Ref:</w:t>
      </w:r>
      <w:r w:rsidRPr="004C7498">
        <w:rPr>
          <w:rFonts w:ascii="Arial" w:hAnsi="Arial" w:cs="Arial"/>
          <w:bCs/>
          <w:szCs w:val="22"/>
        </w:rPr>
        <w:tab/>
      </w:r>
      <w:r w:rsidRPr="004C7498">
        <w:rPr>
          <w:rFonts w:ascii="Arial" w:hAnsi="Arial" w:cs="Arial"/>
          <w:bCs/>
        </w:rPr>
        <w:t>ENV6005704R task 1</w:t>
      </w:r>
    </w:p>
    <w:p w14:paraId="1CA9B431" w14:textId="0B33192E" w:rsidR="004C7498" w:rsidRPr="004C7498" w:rsidRDefault="004C7498" w:rsidP="004C7498">
      <w:pPr>
        <w:jc w:val="both"/>
        <w:rPr>
          <w:rFonts w:ascii="Arial" w:hAnsi="Arial" w:cs="Arial"/>
          <w:bCs/>
        </w:rPr>
      </w:pPr>
      <w:r w:rsidRPr="004C7498">
        <w:rPr>
          <w:rFonts w:ascii="Arial" w:hAnsi="Arial" w:cs="Arial"/>
          <w:bCs/>
          <w:szCs w:val="22"/>
        </w:rPr>
        <w:t>Contract Title:</w:t>
      </w:r>
      <w:r w:rsidRPr="004C7498">
        <w:rPr>
          <w:rFonts w:ascii="Arial" w:hAnsi="Arial" w:cs="Arial"/>
          <w:bCs/>
          <w:szCs w:val="22"/>
        </w:rPr>
        <w:tab/>
      </w:r>
      <w:r w:rsidRPr="004C7498">
        <w:rPr>
          <w:rFonts w:ascii="Arial" w:hAnsi="Arial" w:cs="Arial"/>
          <w:bCs/>
        </w:rPr>
        <w:t>Viability of developing a screening tool to assess non-standard bioaccumulation potential of chemical substances in aquatic and terrestrial wildlife</w:t>
      </w:r>
    </w:p>
    <w:p w14:paraId="4259A638" w14:textId="77777777" w:rsidR="004C7498" w:rsidRPr="007553C7" w:rsidRDefault="004C7498" w:rsidP="004C7498">
      <w:pPr>
        <w:jc w:val="both"/>
        <w:rPr>
          <w:rFonts w:ascii="Arial" w:hAnsi="Arial" w:cs="Arial"/>
          <w:b/>
          <w:szCs w:val="22"/>
        </w:rPr>
      </w:pPr>
    </w:p>
    <w:p w14:paraId="28AFEA4A" w14:textId="77777777" w:rsidR="004C7498" w:rsidRPr="004C7498" w:rsidRDefault="004C7498" w:rsidP="004C7498">
      <w:pPr>
        <w:pStyle w:val="BodyText"/>
        <w:jc w:val="both"/>
        <w:rPr>
          <w:rFonts w:ascii="Arial" w:hAnsi="Arial" w:cs="Arial"/>
        </w:rPr>
      </w:pPr>
      <w:r w:rsidRPr="004C7498">
        <w:rPr>
          <w:rFonts w:ascii="Arial" w:hAnsi="Arial" w:cs="Arial"/>
          <w:b/>
        </w:rPr>
        <w:t xml:space="preserve">       </w:t>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t>Condition</w:t>
      </w:r>
    </w:p>
    <w:p w14:paraId="7FBBD3C6" w14:textId="77777777" w:rsidR="004C7498" w:rsidRPr="004C7498" w:rsidRDefault="004C7498" w:rsidP="004C7498">
      <w:pPr>
        <w:tabs>
          <w:tab w:val="left" w:pos="-1440"/>
        </w:tabs>
        <w:jc w:val="both"/>
        <w:rPr>
          <w:rFonts w:ascii="Arial" w:hAnsi="Arial" w:cs="Arial"/>
        </w:rPr>
      </w:pPr>
    </w:p>
    <w:p w14:paraId="63B84A4A" w14:textId="77777777" w:rsidR="004C7498" w:rsidRPr="004C7498" w:rsidRDefault="004C7498" w:rsidP="004C7498">
      <w:pPr>
        <w:tabs>
          <w:tab w:val="left" w:pos="-1440"/>
        </w:tabs>
        <w:jc w:val="both"/>
        <w:rPr>
          <w:rFonts w:ascii="Arial" w:hAnsi="Arial" w:cs="Arial"/>
        </w:rPr>
      </w:pPr>
      <w:r w:rsidRPr="004C7498">
        <w:rPr>
          <w:rFonts w:ascii="Arial" w:hAnsi="Arial" w:cs="Arial"/>
          <w:b/>
        </w:rPr>
        <w:t>1</w:t>
      </w:r>
      <w:r w:rsidRPr="004C7498">
        <w:rPr>
          <w:rFonts w:ascii="Arial" w:hAnsi="Arial" w:cs="Arial"/>
          <w:b/>
        </w:rPr>
        <w:tab/>
        <w:t>Contract Supervisor</w:t>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t>3</w:t>
      </w:r>
      <w:r w:rsidRPr="004C7498">
        <w:rPr>
          <w:rFonts w:ascii="Arial" w:hAnsi="Arial" w:cs="Arial"/>
        </w:rPr>
        <w:tab/>
      </w:r>
    </w:p>
    <w:p w14:paraId="6FFACC10" w14:textId="77777777" w:rsidR="004C7498" w:rsidRDefault="004C7498" w:rsidP="004C7498">
      <w:pPr>
        <w:tabs>
          <w:tab w:val="left" w:pos="-1440"/>
        </w:tabs>
        <w:jc w:val="both"/>
      </w:pPr>
      <w:r w:rsidRPr="004C7498">
        <w:rPr>
          <w:rFonts w:ascii="Arial" w:hAnsi="Arial" w:cs="Arial"/>
        </w:rPr>
        <w:tab/>
      </w:r>
      <w:r>
        <w:rPr>
          <w:sz w:val="22"/>
          <w:szCs w:val="22"/>
        </w:rPr>
        <w:t>Estelle Nma</w:t>
      </w:r>
    </w:p>
    <w:p w14:paraId="037380AC" w14:textId="77777777" w:rsidR="004C7498" w:rsidRDefault="004C7498" w:rsidP="004C7498">
      <w:pPr>
        <w:tabs>
          <w:tab w:val="left" w:pos="-1440"/>
        </w:tabs>
        <w:ind w:left="2835" w:hanging="2126"/>
        <w:jc w:val="both"/>
        <w:rPr>
          <w:sz w:val="22"/>
          <w:szCs w:val="22"/>
        </w:rPr>
      </w:pPr>
    </w:p>
    <w:p w14:paraId="011BE788" w14:textId="77777777" w:rsidR="004C7498" w:rsidRDefault="004C7498" w:rsidP="004C7498">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268E03DB" w14:textId="77777777" w:rsidR="004C7498" w:rsidRDefault="004C7498" w:rsidP="004C7498">
      <w:pPr>
        <w:tabs>
          <w:tab w:val="left" w:pos="-1440"/>
        </w:tabs>
        <w:ind w:left="2835" w:hanging="2126"/>
        <w:jc w:val="both"/>
        <w:rPr>
          <w:sz w:val="22"/>
          <w:szCs w:val="22"/>
        </w:rPr>
      </w:pPr>
      <w:r>
        <w:rPr>
          <w:sz w:val="22"/>
          <w:szCs w:val="22"/>
        </w:rPr>
        <w:t>The Environment Agency</w:t>
      </w:r>
    </w:p>
    <w:p w14:paraId="3136ABEC" w14:textId="77777777" w:rsidR="004C7498" w:rsidRPr="00F63B79" w:rsidRDefault="004C7498" w:rsidP="004C7498">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Trentside Offices</w:t>
      </w:r>
    </w:p>
    <w:p w14:paraId="196E4707" w14:textId="77777777" w:rsidR="004C7498" w:rsidRPr="00F63B79" w:rsidRDefault="004C7498" w:rsidP="004C7498">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Scarrington Road</w:t>
      </w:r>
    </w:p>
    <w:p w14:paraId="36A7A1E9" w14:textId="77777777" w:rsidR="004C7498" w:rsidRPr="00F63B79" w:rsidRDefault="004C7498" w:rsidP="004C7498">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West Bridgford</w:t>
      </w:r>
    </w:p>
    <w:p w14:paraId="57FB38FA" w14:textId="77777777" w:rsidR="004C7498" w:rsidRPr="00F63B79" w:rsidRDefault="004C7498" w:rsidP="004C7498">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Nottingham</w:t>
      </w:r>
    </w:p>
    <w:p w14:paraId="5BC5C25C" w14:textId="77777777" w:rsidR="004C7498" w:rsidRPr="00F63B79" w:rsidRDefault="004C7498" w:rsidP="004C7498">
      <w:pPr>
        <w:tabs>
          <w:tab w:val="left" w:pos="-1440"/>
        </w:tabs>
        <w:ind w:left="709"/>
        <w:jc w:val="both"/>
        <w:rPr>
          <w:sz w:val="22"/>
          <w:szCs w:val="22"/>
        </w:rPr>
      </w:pPr>
      <w:r w:rsidRPr="00F63B79">
        <w:rPr>
          <w:rFonts w:ascii="Arial" w:eastAsiaTheme="minorEastAsia" w:hAnsi="Arial" w:cs="Arial"/>
          <w:bCs/>
          <w:noProof/>
        </w:rPr>
        <w:t>NG2 5BR</w:t>
      </w:r>
      <w:r w:rsidRPr="00F63B79">
        <w:rPr>
          <w:rFonts w:eastAsiaTheme="minorEastAsia"/>
          <w:bCs/>
          <w:noProof/>
          <w:color w:val="008000"/>
        </w:rPr>
        <w:t>   </w:t>
      </w:r>
    </w:p>
    <w:p w14:paraId="4E91886C" w14:textId="4CBE20B5" w:rsidR="004C7498" w:rsidRPr="004C7498" w:rsidRDefault="004C7498" w:rsidP="004C7498">
      <w:pPr>
        <w:tabs>
          <w:tab w:val="left" w:pos="-1440"/>
        </w:tabs>
        <w:jc w:val="both"/>
        <w:rPr>
          <w:rFonts w:ascii="Arial" w:hAnsi="Arial" w:cs="Arial"/>
        </w:rPr>
      </w:pPr>
    </w:p>
    <w:p w14:paraId="402B7D97" w14:textId="77777777" w:rsidR="004C7498" w:rsidRPr="004C7498" w:rsidRDefault="004C7498" w:rsidP="009D7616">
      <w:pPr>
        <w:pStyle w:val="BodyText"/>
        <w:numPr>
          <w:ilvl w:val="0"/>
          <w:numId w:val="20"/>
        </w:numPr>
        <w:suppressAutoHyphens/>
        <w:autoSpaceDN w:val="0"/>
        <w:jc w:val="both"/>
        <w:rPr>
          <w:rFonts w:ascii="Arial" w:hAnsi="Arial" w:cs="Arial"/>
        </w:rPr>
      </w:pPr>
      <w:r w:rsidRPr="004C7498">
        <w:rPr>
          <w:rFonts w:ascii="Arial" w:hAnsi="Arial" w:cs="Arial"/>
          <w:b/>
        </w:rPr>
        <w:t>Contractor</w:t>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p>
    <w:p w14:paraId="5F7DD8FA" w14:textId="77777777" w:rsidR="004C7498" w:rsidRPr="004C7498" w:rsidRDefault="004C7498" w:rsidP="004C7498">
      <w:pPr>
        <w:pStyle w:val="BodyText"/>
        <w:ind w:left="720"/>
        <w:jc w:val="both"/>
        <w:rPr>
          <w:rFonts w:ascii="Arial" w:hAnsi="Arial" w:cs="Arial"/>
        </w:rPr>
      </w:pPr>
      <w:r w:rsidRPr="004C7498">
        <w:rPr>
          <w:rFonts w:ascii="Arial" w:hAnsi="Arial" w:cs="Arial"/>
        </w:rPr>
        <w:fldChar w:fldCharType="begin"/>
      </w:r>
      <w:r w:rsidRPr="004C7498">
        <w:rPr>
          <w:rFonts w:ascii="Arial" w:hAnsi="Arial" w:cs="Arial"/>
        </w:rPr>
        <w:instrText xml:space="preserve"> MERGEFIELD Company_Name </w:instrText>
      </w:r>
      <w:r w:rsidRPr="004C7498">
        <w:rPr>
          <w:rFonts w:ascii="Arial" w:hAnsi="Arial" w:cs="Arial"/>
        </w:rPr>
        <w:fldChar w:fldCharType="separate"/>
      </w:r>
      <w:r w:rsidRPr="004C7498">
        <w:rPr>
          <w:rFonts w:ascii="Arial" w:hAnsi="Arial" w:cs="Arial"/>
        </w:rPr>
        <w:t>«</w:t>
      </w:r>
      <w:proofErr w:type="spellStart"/>
      <w:r w:rsidRPr="004C7498">
        <w:rPr>
          <w:rFonts w:ascii="Arial" w:hAnsi="Arial" w:cs="Arial"/>
        </w:rPr>
        <w:t>Company_Name</w:t>
      </w:r>
      <w:proofErr w:type="spellEnd"/>
      <w:r w:rsidRPr="004C7498">
        <w:rPr>
          <w:rFonts w:ascii="Arial" w:hAnsi="Arial" w:cs="Arial"/>
        </w:rPr>
        <w:t>»</w:t>
      </w:r>
      <w:r w:rsidRPr="004C7498">
        <w:rPr>
          <w:rFonts w:ascii="Arial" w:hAnsi="Arial" w:cs="Arial"/>
        </w:rPr>
        <w:fldChar w:fldCharType="end"/>
      </w:r>
    </w:p>
    <w:p w14:paraId="79F9E7D4" w14:textId="77777777" w:rsidR="004C7498" w:rsidRPr="004C7498" w:rsidRDefault="004C7498" w:rsidP="004C7498">
      <w:pPr>
        <w:pStyle w:val="BodyText"/>
        <w:ind w:left="720"/>
        <w:jc w:val="both"/>
        <w:rPr>
          <w:rFonts w:ascii="Arial" w:hAnsi="Arial" w:cs="Arial"/>
        </w:rPr>
      </w:pPr>
      <w:r w:rsidRPr="004C7498">
        <w:rPr>
          <w:rFonts w:ascii="Arial" w:hAnsi="Arial" w:cs="Arial"/>
        </w:rPr>
        <w:t>Address:</w:t>
      </w:r>
    </w:p>
    <w:p w14:paraId="033F9745" w14:textId="77777777" w:rsidR="004C7498" w:rsidRPr="004C7498" w:rsidRDefault="004C7498" w:rsidP="004C7498">
      <w:pPr>
        <w:tabs>
          <w:tab w:val="left" w:pos="-1440"/>
        </w:tabs>
        <w:ind w:left="709" w:hanging="709"/>
        <w:jc w:val="both"/>
        <w:rPr>
          <w:rFonts w:ascii="Arial" w:hAnsi="Arial" w:cs="Arial"/>
        </w:rPr>
      </w:pPr>
      <w:r w:rsidRPr="004C7498">
        <w:rPr>
          <w:rFonts w:ascii="Arial" w:hAnsi="Arial" w:cs="Arial"/>
        </w:rPr>
        <w:tab/>
      </w:r>
      <w:r w:rsidRPr="004C7498">
        <w:rPr>
          <w:rFonts w:ascii="Arial" w:hAnsi="Arial" w:cs="Arial"/>
        </w:rPr>
        <w:fldChar w:fldCharType="begin"/>
      </w:r>
      <w:r w:rsidRPr="004C7498">
        <w:rPr>
          <w:rFonts w:ascii="Arial" w:hAnsi="Arial" w:cs="Arial"/>
        </w:rPr>
        <w:instrText xml:space="preserve"> MERGEFIELD SUPPLIER_ADDRESS </w:instrText>
      </w:r>
      <w:r w:rsidRPr="004C7498">
        <w:rPr>
          <w:rFonts w:ascii="Arial" w:hAnsi="Arial" w:cs="Arial"/>
        </w:rPr>
        <w:fldChar w:fldCharType="separate"/>
      </w:r>
      <w:r w:rsidRPr="004C7498">
        <w:rPr>
          <w:rFonts w:ascii="Arial" w:hAnsi="Arial" w:cs="Arial"/>
        </w:rPr>
        <w:t>«SUPPLIER_ADDRESS»</w:t>
      </w:r>
      <w:r w:rsidRPr="004C7498">
        <w:rPr>
          <w:rFonts w:ascii="Arial" w:hAnsi="Arial" w:cs="Arial"/>
        </w:rPr>
        <w:fldChar w:fldCharType="end"/>
      </w:r>
    </w:p>
    <w:p w14:paraId="399AF13B" w14:textId="77777777" w:rsidR="004C7498" w:rsidRPr="004C7498" w:rsidRDefault="004C7498" w:rsidP="004C7498">
      <w:pPr>
        <w:tabs>
          <w:tab w:val="left" w:pos="-1440"/>
        </w:tabs>
        <w:ind w:left="709" w:hanging="709"/>
        <w:jc w:val="both"/>
        <w:rPr>
          <w:rFonts w:ascii="Arial" w:hAnsi="Arial" w:cs="Arial"/>
        </w:rPr>
      </w:pPr>
      <w:r w:rsidRPr="004C7498">
        <w:rPr>
          <w:rFonts w:ascii="Arial" w:hAnsi="Arial" w:cs="Arial"/>
        </w:rPr>
        <w:tab/>
      </w:r>
      <w:r w:rsidRPr="004C7498">
        <w:rPr>
          <w:rFonts w:ascii="Arial" w:hAnsi="Arial" w:cs="Arial"/>
        </w:rPr>
        <w:fldChar w:fldCharType="begin"/>
      </w:r>
      <w:r w:rsidRPr="004C7498">
        <w:rPr>
          <w:rFonts w:ascii="Arial" w:hAnsi="Arial" w:cs="Arial"/>
        </w:rPr>
        <w:instrText xml:space="preserve"> MERGEFIELD TOWN_CITY </w:instrText>
      </w:r>
      <w:r w:rsidRPr="004C7498">
        <w:rPr>
          <w:rFonts w:ascii="Arial" w:hAnsi="Arial" w:cs="Arial"/>
        </w:rPr>
        <w:fldChar w:fldCharType="separate"/>
      </w:r>
      <w:r w:rsidRPr="004C7498">
        <w:rPr>
          <w:rFonts w:ascii="Arial" w:hAnsi="Arial" w:cs="Arial"/>
        </w:rPr>
        <w:t>«TOWN_CITY»</w:t>
      </w:r>
      <w:r w:rsidRPr="004C7498">
        <w:rPr>
          <w:rFonts w:ascii="Arial" w:hAnsi="Arial" w:cs="Arial"/>
        </w:rPr>
        <w:fldChar w:fldCharType="end"/>
      </w:r>
    </w:p>
    <w:p w14:paraId="08254300" w14:textId="77777777" w:rsidR="004C7498" w:rsidRPr="004C7498" w:rsidRDefault="004C7498" w:rsidP="004C7498">
      <w:pPr>
        <w:tabs>
          <w:tab w:val="left" w:pos="-1440"/>
        </w:tabs>
        <w:ind w:left="709" w:hanging="709"/>
        <w:jc w:val="both"/>
        <w:rPr>
          <w:rFonts w:ascii="Arial" w:hAnsi="Arial" w:cs="Arial"/>
        </w:rPr>
      </w:pPr>
      <w:r w:rsidRPr="004C7498">
        <w:rPr>
          <w:rFonts w:ascii="Arial" w:hAnsi="Arial" w:cs="Arial"/>
        </w:rPr>
        <w:tab/>
      </w:r>
      <w:r w:rsidRPr="004C7498">
        <w:rPr>
          <w:rFonts w:ascii="Arial" w:hAnsi="Arial" w:cs="Arial"/>
        </w:rPr>
        <w:fldChar w:fldCharType="begin"/>
      </w:r>
      <w:r w:rsidRPr="004C7498">
        <w:rPr>
          <w:rFonts w:ascii="Arial" w:hAnsi="Arial" w:cs="Arial"/>
        </w:rPr>
        <w:instrText xml:space="preserve"> MERGEFIELD COUNTY </w:instrText>
      </w:r>
      <w:r w:rsidRPr="004C7498">
        <w:rPr>
          <w:rFonts w:ascii="Arial" w:hAnsi="Arial" w:cs="Arial"/>
        </w:rPr>
        <w:fldChar w:fldCharType="separate"/>
      </w:r>
      <w:r w:rsidRPr="004C7498">
        <w:rPr>
          <w:rFonts w:ascii="Arial" w:hAnsi="Arial" w:cs="Arial"/>
        </w:rPr>
        <w:t>«COUNTY»</w:t>
      </w:r>
      <w:r w:rsidRPr="004C7498">
        <w:rPr>
          <w:rFonts w:ascii="Arial" w:hAnsi="Arial" w:cs="Arial"/>
        </w:rPr>
        <w:fldChar w:fldCharType="end"/>
      </w:r>
    </w:p>
    <w:p w14:paraId="188803F6" w14:textId="77777777" w:rsidR="004C7498" w:rsidRPr="004C7498" w:rsidRDefault="004C7498" w:rsidP="004C7498">
      <w:pPr>
        <w:tabs>
          <w:tab w:val="left" w:pos="-1440"/>
        </w:tabs>
        <w:ind w:left="709" w:hanging="709"/>
        <w:jc w:val="both"/>
        <w:rPr>
          <w:rFonts w:ascii="Arial" w:hAnsi="Arial" w:cs="Arial"/>
        </w:rPr>
      </w:pPr>
      <w:r w:rsidRPr="004C7498">
        <w:rPr>
          <w:rFonts w:ascii="Arial" w:hAnsi="Arial" w:cs="Arial"/>
        </w:rPr>
        <w:tab/>
      </w:r>
      <w:r w:rsidRPr="004C7498">
        <w:rPr>
          <w:rFonts w:ascii="Arial" w:hAnsi="Arial" w:cs="Arial"/>
        </w:rPr>
        <w:fldChar w:fldCharType="begin"/>
      </w:r>
      <w:r w:rsidRPr="004C7498">
        <w:rPr>
          <w:rFonts w:ascii="Arial" w:hAnsi="Arial" w:cs="Arial"/>
        </w:rPr>
        <w:instrText xml:space="preserve"> MERGEFIELD ZIP </w:instrText>
      </w:r>
      <w:r w:rsidRPr="004C7498">
        <w:rPr>
          <w:rFonts w:ascii="Arial" w:hAnsi="Arial" w:cs="Arial"/>
        </w:rPr>
        <w:fldChar w:fldCharType="separate"/>
      </w:r>
      <w:r w:rsidRPr="004C7498">
        <w:rPr>
          <w:rFonts w:ascii="Arial" w:hAnsi="Arial" w:cs="Arial"/>
        </w:rPr>
        <w:t>«ZIP»</w:t>
      </w:r>
      <w:r w:rsidRPr="004C7498">
        <w:rPr>
          <w:rFonts w:ascii="Arial" w:hAnsi="Arial" w:cs="Arial"/>
        </w:rPr>
        <w:fldChar w:fldCharType="end"/>
      </w:r>
    </w:p>
    <w:p w14:paraId="350CA73F" w14:textId="77777777" w:rsidR="004C7498" w:rsidRPr="004C7498" w:rsidRDefault="004C7498" w:rsidP="004C7498">
      <w:pPr>
        <w:tabs>
          <w:tab w:val="left" w:pos="-1440"/>
        </w:tabs>
        <w:jc w:val="both"/>
        <w:rPr>
          <w:rFonts w:ascii="Arial" w:hAnsi="Arial" w:cs="Arial"/>
        </w:rPr>
      </w:pPr>
    </w:p>
    <w:p w14:paraId="4178DC2D" w14:textId="77777777" w:rsidR="004C7498" w:rsidRPr="004C7498" w:rsidRDefault="004C7498" w:rsidP="004C7498">
      <w:pPr>
        <w:tabs>
          <w:tab w:val="left" w:pos="-1440"/>
        </w:tabs>
        <w:jc w:val="both"/>
        <w:rPr>
          <w:rFonts w:ascii="Arial" w:hAnsi="Arial" w:cs="Arial"/>
        </w:rPr>
      </w:pPr>
      <w:r w:rsidRPr="004C7498">
        <w:rPr>
          <w:rFonts w:ascii="Arial" w:hAnsi="Arial" w:cs="Arial"/>
          <w:b/>
        </w:rPr>
        <w:t>3</w:t>
      </w:r>
      <w:r w:rsidRPr="004C7498">
        <w:rPr>
          <w:rFonts w:ascii="Arial" w:hAnsi="Arial" w:cs="Arial"/>
          <w:b/>
        </w:rPr>
        <w:tab/>
        <w:t>Completion</w:t>
      </w:r>
      <w:r w:rsidRPr="004C7498">
        <w:rPr>
          <w:rFonts w:ascii="Arial" w:hAnsi="Arial" w:cs="Arial"/>
          <w:b/>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b/>
        </w:rPr>
        <w:t>6</w:t>
      </w:r>
      <w:r w:rsidRPr="004C7498">
        <w:rPr>
          <w:rFonts w:ascii="Arial" w:hAnsi="Arial" w:cs="Arial"/>
        </w:rPr>
        <w:tab/>
      </w:r>
    </w:p>
    <w:p w14:paraId="54A37E57" w14:textId="77777777" w:rsidR="004C7498" w:rsidRPr="004C7498" w:rsidRDefault="004C7498" w:rsidP="004C7498">
      <w:pPr>
        <w:tabs>
          <w:tab w:val="left" w:pos="-1440"/>
        </w:tabs>
        <w:jc w:val="both"/>
        <w:rPr>
          <w:rFonts w:ascii="Arial" w:hAnsi="Arial" w:cs="Arial"/>
        </w:rPr>
      </w:pPr>
    </w:p>
    <w:p w14:paraId="1F32C133" w14:textId="708954EB" w:rsidR="004C7498" w:rsidRPr="004C7498" w:rsidRDefault="004C7498" w:rsidP="004C7498">
      <w:pPr>
        <w:tabs>
          <w:tab w:val="left" w:pos="-1440"/>
        </w:tabs>
        <w:ind w:left="2835" w:hanging="2126"/>
        <w:jc w:val="both"/>
        <w:rPr>
          <w:rFonts w:ascii="Arial" w:hAnsi="Arial" w:cs="Arial"/>
        </w:rPr>
      </w:pPr>
      <w:r w:rsidRPr="004C7498">
        <w:rPr>
          <w:rFonts w:ascii="Arial" w:hAnsi="Arial" w:cs="Arial"/>
        </w:rPr>
        <w:t>Contract Start Date</w:t>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fldChar w:fldCharType="begin"/>
      </w:r>
      <w:r w:rsidRPr="004C7498">
        <w:rPr>
          <w:rFonts w:ascii="Arial" w:hAnsi="Arial" w:cs="Arial"/>
        </w:rPr>
        <w:instrText xml:space="preserve"> MERGEFIELD Contract_Start_Date </w:instrText>
      </w:r>
      <w:r w:rsidRPr="004C7498">
        <w:rPr>
          <w:rFonts w:ascii="Arial" w:hAnsi="Arial" w:cs="Arial"/>
        </w:rPr>
        <w:fldChar w:fldCharType="separate"/>
      </w:r>
      <w:r>
        <w:rPr>
          <w:sz w:val="22"/>
          <w:szCs w:val="22"/>
        </w:rPr>
        <w:t>As per contract award</w:t>
      </w:r>
      <w:r w:rsidRPr="004C7498">
        <w:rPr>
          <w:rFonts w:ascii="Arial" w:hAnsi="Arial" w:cs="Arial"/>
        </w:rPr>
        <w:t xml:space="preserve"> </w:t>
      </w:r>
      <w:r w:rsidRPr="004C7498">
        <w:rPr>
          <w:rFonts w:ascii="Arial" w:hAnsi="Arial" w:cs="Arial"/>
        </w:rPr>
        <w:fldChar w:fldCharType="end"/>
      </w:r>
    </w:p>
    <w:p w14:paraId="792A8316" w14:textId="77777777" w:rsidR="004C7498" w:rsidRPr="004C7498" w:rsidRDefault="004C7498" w:rsidP="004C7498">
      <w:pPr>
        <w:tabs>
          <w:tab w:val="left" w:pos="-1440"/>
        </w:tabs>
        <w:jc w:val="both"/>
        <w:rPr>
          <w:rFonts w:ascii="Arial" w:hAnsi="Arial" w:cs="Arial"/>
        </w:rPr>
      </w:pPr>
    </w:p>
    <w:p w14:paraId="6EF3E0B8" w14:textId="68EB2D4E" w:rsidR="004C7498" w:rsidRPr="004C7498" w:rsidRDefault="004C7498" w:rsidP="004C7498">
      <w:pPr>
        <w:tabs>
          <w:tab w:val="left" w:pos="-1440"/>
        </w:tabs>
        <w:ind w:left="2835" w:hanging="2126"/>
        <w:jc w:val="both"/>
        <w:rPr>
          <w:rFonts w:ascii="Arial" w:hAnsi="Arial" w:cs="Arial"/>
        </w:rPr>
      </w:pPr>
      <w:r w:rsidRPr="004C7498">
        <w:rPr>
          <w:rFonts w:ascii="Arial" w:hAnsi="Arial" w:cs="Arial"/>
        </w:rPr>
        <w:t>Contract End Date</w:t>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rPr>
        <w:tab/>
      </w:r>
      <w:r>
        <w:rPr>
          <w:rFonts w:ascii="Arial" w:hAnsi="Arial" w:cs="Arial"/>
        </w:rPr>
        <w:t>24 February 2023</w:t>
      </w:r>
      <w:r w:rsidRPr="004C7498">
        <w:rPr>
          <w:rFonts w:ascii="Arial" w:hAnsi="Arial" w:cs="Arial"/>
        </w:rPr>
        <w:t xml:space="preserve">       </w:t>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t xml:space="preserve">     </w:t>
      </w:r>
      <w:r w:rsidRPr="004C7498">
        <w:rPr>
          <w:rFonts w:ascii="Arial" w:hAnsi="Arial" w:cs="Arial"/>
        </w:rPr>
        <w:tab/>
      </w:r>
    </w:p>
    <w:p w14:paraId="1D00EB42" w14:textId="77777777" w:rsidR="004C7498" w:rsidRPr="004C7498" w:rsidRDefault="004C7498" w:rsidP="004C7498">
      <w:pPr>
        <w:jc w:val="both"/>
        <w:rPr>
          <w:rFonts w:ascii="Arial" w:hAnsi="Arial" w:cs="Arial"/>
        </w:rPr>
      </w:pPr>
      <w:r w:rsidRPr="004C7498">
        <w:rPr>
          <w:rFonts w:ascii="Arial" w:hAnsi="Arial" w:cs="Arial"/>
          <w:b/>
        </w:rPr>
        <w:t>4</w:t>
      </w:r>
      <w:r w:rsidRPr="004C7498">
        <w:rPr>
          <w:rFonts w:ascii="Arial" w:hAnsi="Arial" w:cs="Arial"/>
          <w:b/>
        </w:rPr>
        <w:tab/>
        <w:t>Delivery</w:t>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b/>
        </w:rPr>
        <w:t>11</w:t>
      </w:r>
    </w:p>
    <w:p w14:paraId="474DF28E" w14:textId="77777777" w:rsidR="004C7498" w:rsidRPr="004C7498" w:rsidRDefault="004C7498" w:rsidP="004C7498">
      <w:pPr>
        <w:jc w:val="both"/>
        <w:rPr>
          <w:rFonts w:ascii="Arial" w:hAnsi="Arial" w:cs="Arial"/>
          <w:b/>
        </w:rPr>
      </w:pPr>
    </w:p>
    <w:p w14:paraId="145F188A" w14:textId="77777777" w:rsidR="004C7498" w:rsidRPr="004C7498" w:rsidRDefault="004C7498" w:rsidP="004C7498">
      <w:pPr>
        <w:ind w:left="709"/>
        <w:jc w:val="both"/>
        <w:rPr>
          <w:rFonts w:ascii="Arial" w:hAnsi="Arial" w:cs="Arial"/>
        </w:rPr>
      </w:pPr>
      <w:proofErr w:type="gramStart"/>
      <w:r w:rsidRPr="004C7498">
        <w:rPr>
          <w:rFonts w:ascii="Arial" w:hAnsi="Arial" w:cs="Arial"/>
        </w:rPr>
        <w:t>Address:-</w:t>
      </w:r>
      <w:proofErr w:type="gramEnd"/>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p>
    <w:p w14:paraId="09596153" w14:textId="18DD4A85" w:rsidR="004C7498" w:rsidRDefault="004C7498" w:rsidP="004C7498">
      <w:pPr>
        <w:ind w:firstLine="709"/>
        <w:jc w:val="both"/>
        <w:rPr>
          <w:rStyle w:val="Hyperlink"/>
          <w:i/>
          <w:sz w:val="22"/>
          <w:szCs w:val="22"/>
        </w:rPr>
      </w:pPr>
      <w:hyperlink r:id="rId27" w:history="1">
        <w:r w:rsidRPr="004C06AE">
          <w:rPr>
            <w:rStyle w:val="Hyperlink"/>
            <w:i/>
            <w:sz w:val="22"/>
            <w:szCs w:val="22"/>
          </w:rPr>
          <w:t>Estelle.nma@environment-agency.gov.uk</w:t>
        </w:r>
      </w:hyperlink>
    </w:p>
    <w:p w14:paraId="7C807D0C" w14:textId="77777777" w:rsidR="004C7498" w:rsidRPr="004C7498" w:rsidRDefault="004C7498" w:rsidP="004C7498">
      <w:pPr>
        <w:ind w:firstLine="709"/>
        <w:jc w:val="both"/>
        <w:rPr>
          <w:rFonts w:ascii="Arial" w:hAnsi="Arial" w:cs="Arial"/>
          <w:b/>
        </w:rPr>
      </w:pPr>
    </w:p>
    <w:p w14:paraId="44F77037" w14:textId="77777777" w:rsidR="004C7498" w:rsidRPr="004C7498" w:rsidRDefault="004C7498" w:rsidP="004C7498">
      <w:pPr>
        <w:jc w:val="both"/>
        <w:rPr>
          <w:rFonts w:ascii="Arial" w:hAnsi="Arial" w:cs="Arial"/>
          <w:b/>
        </w:rPr>
      </w:pPr>
      <w:r w:rsidRPr="004C7498">
        <w:rPr>
          <w:rFonts w:ascii="Arial" w:hAnsi="Arial" w:cs="Arial"/>
          <w:b/>
        </w:rPr>
        <w:t>5</w:t>
      </w:r>
      <w:r w:rsidRPr="004C7498">
        <w:rPr>
          <w:rFonts w:ascii="Arial" w:hAnsi="Arial" w:cs="Arial"/>
          <w:b/>
        </w:rPr>
        <w:tab/>
        <w:t>Insurance</w:t>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r>
      <w:r w:rsidRPr="004C7498">
        <w:rPr>
          <w:rFonts w:ascii="Arial" w:hAnsi="Arial" w:cs="Arial"/>
          <w:b/>
        </w:rPr>
        <w:tab/>
        <w:t xml:space="preserve">    </w:t>
      </w:r>
      <w:r w:rsidRPr="004C7498">
        <w:rPr>
          <w:rFonts w:ascii="Arial" w:hAnsi="Arial" w:cs="Arial"/>
          <w:b/>
        </w:rPr>
        <w:tab/>
        <w:t>17</w:t>
      </w:r>
    </w:p>
    <w:p w14:paraId="6398B742" w14:textId="77777777" w:rsidR="004C7498" w:rsidRPr="004C7498" w:rsidRDefault="004C7498" w:rsidP="004C7498">
      <w:pPr>
        <w:jc w:val="both"/>
        <w:rPr>
          <w:rFonts w:ascii="Arial" w:hAnsi="Arial" w:cs="Arial"/>
        </w:rPr>
      </w:pPr>
    </w:p>
    <w:p w14:paraId="74BB518A" w14:textId="77777777" w:rsidR="004C7498" w:rsidRPr="004C7498" w:rsidRDefault="004C7498" w:rsidP="004C7498">
      <w:pPr>
        <w:ind w:left="709"/>
        <w:jc w:val="both"/>
        <w:rPr>
          <w:rFonts w:ascii="Arial" w:hAnsi="Arial" w:cs="Arial"/>
        </w:rPr>
      </w:pPr>
      <w:r w:rsidRPr="004C7498">
        <w:rPr>
          <w:rFonts w:ascii="Arial" w:hAnsi="Arial" w:cs="Arial"/>
        </w:rPr>
        <w:t>Professional Indemnity Min. Cover</w:t>
      </w:r>
      <w:r w:rsidRPr="004C7498">
        <w:rPr>
          <w:rFonts w:ascii="Arial" w:hAnsi="Arial" w:cs="Arial"/>
        </w:rPr>
        <w:tab/>
      </w:r>
      <w:r w:rsidRPr="004C7498">
        <w:rPr>
          <w:rFonts w:ascii="Arial" w:hAnsi="Arial" w:cs="Arial"/>
          <w:color w:val="000000"/>
        </w:rPr>
        <w:t>£</w:t>
      </w:r>
      <w:r w:rsidRPr="004C7498">
        <w:rPr>
          <w:rFonts w:ascii="Arial" w:hAnsi="Arial" w:cs="Arial"/>
          <w:i/>
          <w:color w:val="FF0000"/>
        </w:rPr>
        <w:t xml:space="preserve">x </w:t>
      </w:r>
      <w:r w:rsidRPr="004C7498">
        <w:rPr>
          <w:rFonts w:ascii="Arial" w:hAnsi="Arial" w:cs="Arial"/>
          <w:color w:val="000000"/>
        </w:rPr>
        <w:t>million</w:t>
      </w:r>
    </w:p>
    <w:p w14:paraId="513410EB" w14:textId="77777777" w:rsidR="004C7498" w:rsidRPr="004C7498" w:rsidRDefault="004C7498" w:rsidP="004C7498">
      <w:pPr>
        <w:ind w:left="709"/>
        <w:jc w:val="both"/>
        <w:rPr>
          <w:rFonts w:ascii="Arial" w:hAnsi="Arial" w:cs="Arial"/>
        </w:rPr>
      </w:pPr>
      <w:r w:rsidRPr="004C7498">
        <w:rPr>
          <w:rFonts w:ascii="Arial" w:hAnsi="Arial" w:cs="Arial"/>
        </w:rPr>
        <w:t>Third Party Minimum Cover</w:t>
      </w:r>
      <w:r w:rsidRPr="004C7498">
        <w:rPr>
          <w:rFonts w:ascii="Arial" w:hAnsi="Arial" w:cs="Arial"/>
        </w:rPr>
        <w:tab/>
      </w:r>
      <w:r w:rsidRPr="004C7498">
        <w:rPr>
          <w:rFonts w:ascii="Arial" w:hAnsi="Arial" w:cs="Arial"/>
        </w:rPr>
        <w:tab/>
      </w:r>
      <w:r w:rsidRPr="004C7498">
        <w:rPr>
          <w:rFonts w:ascii="Arial" w:hAnsi="Arial" w:cs="Arial"/>
          <w:color w:val="000000"/>
        </w:rPr>
        <w:t>£</w:t>
      </w:r>
      <w:r w:rsidRPr="004C7498">
        <w:rPr>
          <w:rFonts w:ascii="Arial" w:hAnsi="Arial" w:cs="Arial"/>
          <w:i/>
          <w:color w:val="FF0000"/>
        </w:rPr>
        <w:t xml:space="preserve">x </w:t>
      </w:r>
      <w:r w:rsidRPr="004C7498">
        <w:rPr>
          <w:rFonts w:ascii="Arial" w:hAnsi="Arial" w:cs="Arial"/>
          <w:color w:val="000000"/>
        </w:rPr>
        <w:t>million</w:t>
      </w:r>
    </w:p>
    <w:p w14:paraId="5579F5E4" w14:textId="77777777" w:rsidR="004C7498" w:rsidRPr="004C7498" w:rsidRDefault="004C7498" w:rsidP="004C7498">
      <w:pPr>
        <w:ind w:left="709"/>
        <w:jc w:val="both"/>
        <w:rPr>
          <w:rFonts w:ascii="Arial" w:hAnsi="Arial" w:cs="Arial"/>
        </w:rPr>
      </w:pPr>
      <w:r w:rsidRPr="004C7498">
        <w:rPr>
          <w:rFonts w:ascii="Arial" w:hAnsi="Arial" w:cs="Arial"/>
        </w:rPr>
        <w:t>Public Liability Min. Cover</w:t>
      </w:r>
      <w:r w:rsidRPr="004C7498">
        <w:rPr>
          <w:rFonts w:ascii="Arial" w:hAnsi="Arial" w:cs="Arial"/>
        </w:rPr>
        <w:tab/>
      </w:r>
      <w:r w:rsidRPr="004C7498">
        <w:rPr>
          <w:rFonts w:ascii="Arial" w:hAnsi="Arial" w:cs="Arial"/>
        </w:rPr>
        <w:tab/>
      </w:r>
      <w:r w:rsidRPr="004C7498">
        <w:rPr>
          <w:rFonts w:ascii="Arial" w:hAnsi="Arial" w:cs="Arial"/>
          <w:color w:val="000000"/>
        </w:rPr>
        <w:t>£</w:t>
      </w:r>
      <w:r w:rsidRPr="004C7498">
        <w:rPr>
          <w:rFonts w:ascii="Arial" w:hAnsi="Arial" w:cs="Arial"/>
          <w:i/>
          <w:color w:val="FF0000"/>
        </w:rPr>
        <w:t xml:space="preserve">x </w:t>
      </w:r>
      <w:r w:rsidRPr="004C7498">
        <w:rPr>
          <w:rFonts w:ascii="Arial" w:hAnsi="Arial" w:cs="Arial"/>
          <w:color w:val="000000"/>
        </w:rPr>
        <w:t>million</w:t>
      </w:r>
    </w:p>
    <w:p w14:paraId="42DB0298" w14:textId="77777777" w:rsidR="004C7498" w:rsidRPr="004C7498" w:rsidRDefault="004C7498" w:rsidP="004C7498">
      <w:pPr>
        <w:jc w:val="both"/>
        <w:rPr>
          <w:rFonts w:ascii="Arial" w:hAnsi="Arial" w:cs="Arial"/>
        </w:rPr>
      </w:pPr>
    </w:p>
    <w:p w14:paraId="66FF6818" w14:textId="77777777" w:rsidR="004C7498" w:rsidRPr="004C7498" w:rsidRDefault="004C7498" w:rsidP="004C7498">
      <w:pPr>
        <w:jc w:val="both"/>
        <w:rPr>
          <w:rFonts w:ascii="Arial" w:hAnsi="Arial" w:cs="Arial"/>
        </w:rPr>
      </w:pPr>
      <w:r w:rsidRPr="004C7498">
        <w:rPr>
          <w:rFonts w:ascii="Arial" w:hAnsi="Arial" w:cs="Arial"/>
          <w:b/>
        </w:rPr>
        <w:t>6</w:t>
      </w:r>
      <w:r w:rsidRPr="004C7498">
        <w:rPr>
          <w:rFonts w:ascii="Arial" w:hAnsi="Arial" w:cs="Arial"/>
          <w:b/>
        </w:rPr>
        <w:tab/>
        <w:t>Limit on Liability</w:t>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r>
      <w:r w:rsidRPr="004C7498">
        <w:rPr>
          <w:rFonts w:ascii="Arial" w:hAnsi="Arial" w:cs="Arial"/>
        </w:rPr>
        <w:tab/>
        <w:t xml:space="preserve">    </w:t>
      </w:r>
      <w:r w:rsidRPr="004C7498">
        <w:rPr>
          <w:rFonts w:ascii="Arial" w:hAnsi="Arial" w:cs="Arial"/>
        </w:rPr>
        <w:tab/>
      </w:r>
      <w:r w:rsidRPr="004C7498">
        <w:rPr>
          <w:rFonts w:ascii="Arial" w:hAnsi="Arial" w:cs="Arial"/>
          <w:b/>
        </w:rPr>
        <w:t>16</w:t>
      </w:r>
    </w:p>
    <w:p w14:paraId="6F49499E" w14:textId="77777777" w:rsidR="004C7498" w:rsidRPr="004C7498" w:rsidRDefault="004C7498" w:rsidP="004C7498">
      <w:pPr>
        <w:jc w:val="both"/>
        <w:rPr>
          <w:rFonts w:ascii="Arial" w:hAnsi="Arial" w:cs="Arial"/>
        </w:rPr>
      </w:pPr>
    </w:p>
    <w:p w14:paraId="699A17A0" w14:textId="77777777" w:rsidR="004C7498" w:rsidRPr="004C7498" w:rsidRDefault="004C7498" w:rsidP="004C7498">
      <w:pPr>
        <w:ind w:firstLine="720"/>
        <w:jc w:val="both"/>
        <w:rPr>
          <w:rFonts w:ascii="Arial" w:hAnsi="Arial" w:cs="Arial"/>
        </w:rPr>
      </w:pPr>
      <w:r w:rsidRPr="004C7498">
        <w:rPr>
          <w:rFonts w:ascii="Arial" w:hAnsi="Arial" w:cs="Arial"/>
        </w:rPr>
        <w:t>Limit on Contractors Liability</w:t>
      </w:r>
      <w:r w:rsidRPr="004C7498">
        <w:rPr>
          <w:rFonts w:ascii="Arial" w:hAnsi="Arial" w:cs="Arial"/>
        </w:rPr>
        <w:tab/>
      </w:r>
      <w:r w:rsidRPr="004C7498">
        <w:rPr>
          <w:rFonts w:ascii="Arial" w:hAnsi="Arial" w:cs="Arial"/>
          <w:color w:val="000000"/>
        </w:rPr>
        <w:t>£</w:t>
      </w:r>
      <w:r w:rsidRPr="004C7498">
        <w:rPr>
          <w:rFonts w:ascii="Arial" w:hAnsi="Arial" w:cs="Arial"/>
          <w:i/>
          <w:color w:val="FF0000"/>
        </w:rPr>
        <w:t xml:space="preserve">x </w:t>
      </w:r>
      <w:r w:rsidRPr="004C7498">
        <w:rPr>
          <w:rFonts w:ascii="Arial" w:hAnsi="Arial" w:cs="Arial"/>
        </w:rPr>
        <w:t>million</w:t>
      </w:r>
    </w:p>
    <w:p w14:paraId="57893E40" w14:textId="77777777" w:rsidR="004C7498" w:rsidRDefault="004C7498" w:rsidP="004C7498">
      <w:pPr>
        <w:jc w:val="both"/>
        <w:rPr>
          <w:sz w:val="22"/>
          <w:szCs w:val="22"/>
        </w:rPr>
      </w:pPr>
    </w:p>
    <w:p w14:paraId="4725F105" w14:textId="27233451" w:rsidR="004C7498" w:rsidRDefault="004C7498" w:rsidP="004C7498">
      <w:pPr>
        <w:spacing w:after="160" w:line="254" w:lineRule="auto"/>
        <w:rPr>
          <w:sz w:val="24"/>
          <w:szCs w:val="24"/>
        </w:rPr>
      </w:pPr>
    </w:p>
    <w:p w14:paraId="0C9ADD5F" w14:textId="2C2B461A" w:rsidR="004C7498" w:rsidRDefault="004C7498" w:rsidP="004C7498">
      <w:pPr>
        <w:spacing w:after="160" w:line="254" w:lineRule="auto"/>
        <w:rPr>
          <w:sz w:val="24"/>
          <w:szCs w:val="24"/>
        </w:rPr>
      </w:pPr>
    </w:p>
    <w:p w14:paraId="132D1CF4" w14:textId="77777777" w:rsidR="004C7498" w:rsidRDefault="004C7498" w:rsidP="004C7498">
      <w:pPr>
        <w:spacing w:after="160" w:line="254" w:lineRule="auto"/>
        <w:rPr>
          <w:sz w:val="24"/>
          <w:szCs w:val="24"/>
        </w:rPr>
      </w:pPr>
    </w:p>
    <w:p w14:paraId="42653370" w14:textId="77777777" w:rsidR="004C7498" w:rsidRDefault="004C7498" w:rsidP="00E65F5D">
      <w:pPr>
        <w:rPr>
          <w:rFonts w:ascii="Arial" w:hAnsi="Arial" w:cs="Arial"/>
          <w:b/>
          <w:szCs w:val="22"/>
        </w:rPr>
      </w:pPr>
    </w:p>
    <w:p w14:paraId="68417F8C" w14:textId="337C4B65" w:rsidR="00F1537C" w:rsidRDefault="00F1537C" w:rsidP="00E65F5D">
      <w:pPr>
        <w:rPr>
          <w:rFonts w:ascii="Arial" w:hAnsi="Arial" w:cs="Arial"/>
          <w:b/>
          <w:szCs w:val="22"/>
        </w:rPr>
      </w:pPr>
      <w:r>
        <w:rPr>
          <w:rFonts w:ascii="Arial" w:hAnsi="Arial" w:cs="Arial"/>
          <w:b/>
          <w:szCs w:val="22"/>
        </w:rPr>
        <w:t>ACCEPTANCE OF TERMS AND CONDITIONS</w:t>
      </w:r>
    </w:p>
    <w:p w14:paraId="68417F8D" w14:textId="77777777" w:rsidR="00F1537C" w:rsidRDefault="00F1537C" w:rsidP="00E65F5D">
      <w:pPr>
        <w:rPr>
          <w:rFonts w:ascii="Arial" w:hAnsi="Arial" w:cs="Arial"/>
          <w:b/>
          <w:szCs w:val="22"/>
        </w:rPr>
      </w:pPr>
    </w:p>
    <w:p w14:paraId="68417F8E"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68417F8F" w14:textId="77777777" w:rsidR="00C11EBA" w:rsidRDefault="00C11EBA" w:rsidP="00E65F5D">
      <w:pPr>
        <w:rPr>
          <w:rFonts w:ascii="Arial" w:hAnsi="Arial" w:cs="Arial"/>
          <w:color w:val="FF0000"/>
          <w:szCs w:val="22"/>
        </w:rPr>
      </w:pPr>
    </w:p>
    <w:p w14:paraId="68417F92"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68417F93"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8417F94" w14:textId="77777777" w:rsidR="00C11EBA" w:rsidRPr="005A2AA8" w:rsidRDefault="00C11EBA" w:rsidP="00C11EBA">
      <w:pPr>
        <w:rPr>
          <w:rFonts w:ascii="Arial" w:hAnsi="Arial" w:cs="Arial"/>
          <w:sz w:val="22"/>
          <w:szCs w:val="22"/>
        </w:rPr>
      </w:pPr>
    </w:p>
    <w:p w14:paraId="68417F95" w14:textId="77777777" w:rsidR="00C11EBA" w:rsidRPr="005A2AA8" w:rsidRDefault="00C11EBA" w:rsidP="00C11EBA">
      <w:pPr>
        <w:rPr>
          <w:rFonts w:ascii="Arial" w:hAnsi="Arial" w:cs="Arial"/>
          <w:sz w:val="22"/>
          <w:szCs w:val="22"/>
        </w:rPr>
      </w:pPr>
    </w:p>
    <w:p w14:paraId="68417F96"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8417F97" w14:textId="77777777" w:rsidR="00C11EBA" w:rsidRPr="005A2AA8" w:rsidRDefault="00C11EBA" w:rsidP="00C11EBA">
      <w:pPr>
        <w:rPr>
          <w:rFonts w:ascii="Arial" w:hAnsi="Arial" w:cs="Arial"/>
          <w:sz w:val="22"/>
          <w:szCs w:val="22"/>
        </w:rPr>
      </w:pPr>
    </w:p>
    <w:p w14:paraId="68417F98" w14:textId="77777777" w:rsidR="00C11EBA" w:rsidRPr="005A2AA8" w:rsidRDefault="00C11EBA" w:rsidP="00C11EBA">
      <w:pPr>
        <w:rPr>
          <w:rFonts w:ascii="Arial" w:hAnsi="Arial" w:cs="Arial"/>
          <w:sz w:val="22"/>
          <w:szCs w:val="22"/>
        </w:rPr>
      </w:pPr>
    </w:p>
    <w:p w14:paraId="68417F99"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68417F9A" w14:textId="77777777" w:rsidR="00C11EBA" w:rsidRPr="005A2AA8" w:rsidRDefault="00C11EBA" w:rsidP="00C11EBA">
      <w:pPr>
        <w:rPr>
          <w:rFonts w:ascii="Arial" w:hAnsi="Arial" w:cs="Arial"/>
          <w:sz w:val="22"/>
          <w:szCs w:val="22"/>
        </w:rPr>
      </w:pPr>
    </w:p>
    <w:p w14:paraId="68417F9B" w14:textId="77777777" w:rsidR="00C11EBA" w:rsidRPr="005A2AA8" w:rsidRDefault="00C11EBA" w:rsidP="00C11EBA">
      <w:pPr>
        <w:rPr>
          <w:rFonts w:ascii="Arial" w:hAnsi="Arial" w:cs="Arial"/>
          <w:sz w:val="22"/>
          <w:szCs w:val="22"/>
        </w:rPr>
      </w:pPr>
    </w:p>
    <w:p w14:paraId="68417F9C"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8417F9D" w14:textId="77777777" w:rsidR="00C11EBA" w:rsidRPr="005A2AA8" w:rsidRDefault="00C11EBA" w:rsidP="00C11EBA">
      <w:pPr>
        <w:rPr>
          <w:rFonts w:ascii="Arial" w:hAnsi="Arial" w:cs="Arial"/>
          <w:sz w:val="22"/>
          <w:szCs w:val="22"/>
        </w:rPr>
      </w:pPr>
    </w:p>
    <w:p w14:paraId="68417F9E" w14:textId="77777777" w:rsidR="00C11EBA" w:rsidRPr="005A2AA8" w:rsidRDefault="00C11EBA" w:rsidP="00C11EBA">
      <w:pPr>
        <w:rPr>
          <w:rFonts w:ascii="Arial" w:hAnsi="Arial" w:cs="Arial"/>
          <w:sz w:val="22"/>
          <w:szCs w:val="22"/>
        </w:rPr>
      </w:pPr>
    </w:p>
    <w:p w14:paraId="68417F9F"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7FA4" w14:textId="77777777" w:rsidR="003F44EC" w:rsidRDefault="003F44EC" w:rsidP="003F44EC">
      <w:r>
        <w:separator/>
      </w:r>
    </w:p>
  </w:endnote>
  <w:endnote w:type="continuationSeparator" w:id="0">
    <w:p w14:paraId="68417FA5"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FA8"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FA9"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FAB"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7FA2" w14:textId="77777777" w:rsidR="003F44EC" w:rsidRDefault="003F44EC" w:rsidP="003F44EC">
      <w:r>
        <w:separator/>
      </w:r>
    </w:p>
  </w:footnote>
  <w:footnote w:type="continuationSeparator" w:id="0">
    <w:p w14:paraId="68417FA3" w14:textId="77777777" w:rsidR="003F44EC" w:rsidRDefault="003F44EC"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FA6"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FA7"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FAA"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26A2F"/>
    <w:multiLevelType w:val="hybridMultilevel"/>
    <w:tmpl w:val="BD8AC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B94A04"/>
    <w:multiLevelType w:val="multilevel"/>
    <w:tmpl w:val="FC945DB2"/>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abstractNum w:abstractNumId="5" w15:restartNumberingAfterBreak="0">
    <w:nsid w:val="19F44C2D"/>
    <w:multiLevelType w:val="multilevel"/>
    <w:tmpl w:val="369ED65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8" w15:restartNumberingAfterBreak="0">
    <w:nsid w:val="3FA60599"/>
    <w:multiLevelType w:val="multilevel"/>
    <w:tmpl w:val="CDEC8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A0B16"/>
    <w:multiLevelType w:val="multilevel"/>
    <w:tmpl w:val="D646EA94"/>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14C6DA5"/>
    <w:multiLevelType w:val="hybridMultilevel"/>
    <w:tmpl w:val="F132C182"/>
    <w:lvl w:ilvl="0" w:tplc="192633E6">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75F43"/>
    <w:multiLevelType w:val="multilevel"/>
    <w:tmpl w:val="C8ACFBBA"/>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314E72"/>
    <w:multiLevelType w:val="hybridMultilevel"/>
    <w:tmpl w:val="E968BE20"/>
    <w:lvl w:ilvl="0" w:tplc="FE3E48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400461"/>
    <w:multiLevelType w:val="multilevel"/>
    <w:tmpl w:val="409AA81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7636C3"/>
    <w:multiLevelType w:val="hybridMultilevel"/>
    <w:tmpl w:val="B43AAD5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abstractNumId w:val="1"/>
  </w:num>
  <w:num w:numId="2">
    <w:abstractNumId w:val="10"/>
  </w:num>
  <w:num w:numId="3">
    <w:abstractNumId w:val="2"/>
  </w:num>
  <w:num w:numId="4">
    <w:abstractNumId w:val="17"/>
  </w:num>
  <w:num w:numId="5">
    <w:abstractNumId w:val="6"/>
  </w:num>
  <w:num w:numId="6">
    <w:abstractNumId w:val="11"/>
  </w:num>
  <w:num w:numId="7">
    <w:abstractNumId w:val="9"/>
  </w:num>
  <w:num w:numId="8">
    <w:abstractNumId w:val="7"/>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3"/>
  </w:num>
  <w:num w:numId="14">
    <w:abstractNumId w:val="4"/>
  </w:num>
  <w:num w:numId="15">
    <w:abstractNumId w:val="4"/>
    <w:lvlOverride w:ilvl="0">
      <w:lvl w:ilvl="0">
        <w:start w:val="7"/>
        <w:numFmt w:val="decimal"/>
        <w:lvlText w:val="Section %1  "/>
        <w:lvlJc w:val="left"/>
        <w:pPr>
          <w:ind w:left="0" w:firstLine="0"/>
        </w:pPr>
        <w:rPr>
          <w:rFonts w:ascii="Arial" w:hAnsi="Arial"/>
          <w:b/>
          <w:i w:val="0"/>
          <w:sz w:val="20"/>
          <w:szCs w:val="20"/>
        </w:rPr>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lvlOverride w:ilvl="2"/>
    <w:lvlOverride w:ilvl="3"/>
    <w:lvlOverride w:ilvl="4"/>
    <w:lvlOverride w:ilvl="5"/>
    <w:lvlOverride w:ilvl="6"/>
    <w:lvlOverride w:ilvl="7"/>
    <w:lvlOverride w:ilvl="8"/>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2C25"/>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44EC"/>
    <w:rsid w:val="00411E0E"/>
    <w:rsid w:val="00426B85"/>
    <w:rsid w:val="00467724"/>
    <w:rsid w:val="00491B79"/>
    <w:rsid w:val="004979D1"/>
    <w:rsid w:val="004C13AC"/>
    <w:rsid w:val="004C7498"/>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6E5B2A"/>
    <w:rsid w:val="00702558"/>
    <w:rsid w:val="00710211"/>
    <w:rsid w:val="00734DA1"/>
    <w:rsid w:val="0074406A"/>
    <w:rsid w:val="00750582"/>
    <w:rsid w:val="00751216"/>
    <w:rsid w:val="007553C7"/>
    <w:rsid w:val="0076219C"/>
    <w:rsid w:val="007652CF"/>
    <w:rsid w:val="00766C82"/>
    <w:rsid w:val="007707C8"/>
    <w:rsid w:val="0077327A"/>
    <w:rsid w:val="00775063"/>
    <w:rsid w:val="00777EF1"/>
    <w:rsid w:val="007931F6"/>
    <w:rsid w:val="007C058A"/>
    <w:rsid w:val="007C5BBB"/>
    <w:rsid w:val="007D26AD"/>
    <w:rsid w:val="007D26D8"/>
    <w:rsid w:val="007E3780"/>
    <w:rsid w:val="00801D1C"/>
    <w:rsid w:val="00810644"/>
    <w:rsid w:val="008113C3"/>
    <w:rsid w:val="00816191"/>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D7616"/>
    <w:rsid w:val="009E0923"/>
    <w:rsid w:val="009E79DE"/>
    <w:rsid w:val="009E7B02"/>
    <w:rsid w:val="009F257C"/>
    <w:rsid w:val="009F5493"/>
    <w:rsid w:val="00A323E2"/>
    <w:rsid w:val="00A5269C"/>
    <w:rsid w:val="00A53D8C"/>
    <w:rsid w:val="00A573AA"/>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554E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3B5E"/>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417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498"/>
  </w:style>
  <w:style w:type="paragraph" w:styleId="Heading1">
    <w:name w:val="heading 1"/>
    <w:basedOn w:val="Normal"/>
    <w:next w:val="Normal"/>
    <w:uiPriority w:val="9"/>
    <w:qFormat/>
    <w:rsid w:val="005700D8"/>
    <w:pPr>
      <w:keepNext/>
      <w:numPr>
        <w:numId w:val="2"/>
      </w:numPr>
      <w:outlineLvl w:val="0"/>
    </w:pPr>
    <w:rPr>
      <w:rFonts w:ascii="Arial" w:hAnsi="Arial"/>
      <w:b/>
      <w:sz w:val="32"/>
    </w:rPr>
  </w:style>
  <w:style w:type="paragraph" w:styleId="Heading2">
    <w:name w:val="heading 2"/>
    <w:basedOn w:val="Normal"/>
    <w:next w:val="Normal"/>
    <w:uiPriority w:val="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uiPriority w:val="9"/>
    <w:qFormat/>
    <w:rsid w:val="005700D8"/>
    <w:pPr>
      <w:keepNext/>
      <w:numPr>
        <w:ilvl w:val="2"/>
        <w:numId w:val="2"/>
      </w:numPr>
      <w:outlineLvl w:val="2"/>
    </w:pPr>
    <w:rPr>
      <w:b/>
      <w:sz w:val="24"/>
    </w:rPr>
  </w:style>
  <w:style w:type="paragraph" w:styleId="Heading4">
    <w:name w:val="heading 4"/>
    <w:basedOn w:val="Normal"/>
    <w:next w:val="Normal"/>
    <w:uiPriority w:val="9"/>
    <w:qFormat/>
    <w:rsid w:val="005700D8"/>
    <w:pPr>
      <w:keepNext/>
      <w:numPr>
        <w:ilvl w:val="3"/>
        <w:numId w:val="2"/>
      </w:numPr>
      <w:outlineLvl w:val="3"/>
    </w:pPr>
    <w:rPr>
      <w:i/>
      <w:color w:val="FF0000"/>
    </w:rPr>
  </w:style>
  <w:style w:type="paragraph" w:styleId="Heading5">
    <w:name w:val="heading 5"/>
    <w:basedOn w:val="Normal"/>
    <w:next w:val="Normal"/>
    <w:uiPriority w:val="9"/>
    <w:qFormat/>
    <w:rsid w:val="005700D8"/>
    <w:pPr>
      <w:keepNext/>
      <w:numPr>
        <w:ilvl w:val="4"/>
        <w:numId w:val="2"/>
      </w:numPr>
      <w:outlineLvl w:val="4"/>
    </w:pPr>
    <w:rPr>
      <w:i/>
    </w:rPr>
  </w:style>
  <w:style w:type="paragraph" w:styleId="Heading6">
    <w:name w:val="heading 6"/>
    <w:basedOn w:val="Normal"/>
    <w:next w:val="Normal"/>
    <w:uiPriority w:val="9"/>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7553C7"/>
    <w:rPr>
      <w:color w:val="605E5C"/>
      <w:shd w:val="clear" w:color="auto" w:fill="E1DFDD"/>
    </w:rPr>
  </w:style>
  <w:style w:type="paragraph" w:customStyle="1" w:styleId="Roundbullet">
    <w:name w:val="Round bullet"/>
    <w:qFormat/>
    <w:rsid w:val="007553C7"/>
    <w:pPr>
      <w:numPr>
        <w:numId w:val="13"/>
      </w:numPr>
      <w:spacing w:after="80"/>
      <w:ind w:left="340" w:hanging="340"/>
    </w:pPr>
    <w:rPr>
      <w:rFonts w:ascii="Arial" w:eastAsia="Arial" w:hAnsi="Arial"/>
      <w:sz w:val="22"/>
      <w:szCs w:val="22"/>
      <w:lang w:eastAsia="en-US"/>
    </w:rPr>
  </w:style>
  <w:style w:type="numbering" w:customStyle="1" w:styleId="WWOutlineListStyle">
    <w:name w:val="WW_OutlineListStyle"/>
    <w:rsid w:val="004C7498"/>
    <w:pPr>
      <w:numPr>
        <w:numId w:val="14"/>
      </w:numPr>
    </w:pPr>
  </w:style>
  <w:style w:type="character" w:customStyle="1" w:styleId="BlockText1">
    <w:name w:val="Block Text1"/>
    <w:basedOn w:val="DefaultParagraphFont"/>
    <w:uiPriority w:val="1"/>
    <w:qFormat/>
    <w:rsid w:val="00B554E0"/>
    <w:rPr>
      <w:rFonts w:ascii="Arial" w:eastAsia="Times New Roman" w:hAnsi="Arial" w:cs="Times New Roman"/>
      <w:sz w:val="22"/>
      <w:vertAlign w:val="baseline"/>
    </w:rPr>
  </w:style>
  <w:style w:type="paragraph" w:customStyle="1" w:styleId="Style3">
    <w:name w:val="Style3"/>
    <w:basedOn w:val="Normal"/>
    <w:link w:val="Style3Char"/>
    <w:qFormat/>
    <w:rsid w:val="00B554E0"/>
    <w:pPr>
      <w:spacing w:before="60"/>
      <w:outlineLvl w:val="3"/>
    </w:pPr>
    <w:rPr>
      <w:rFonts w:ascii="Arial Bold" w:hAnsi="Arial Bold" w:cs="Calibri"/>
      <w:b/>
      <w:bCs/>
      <w:sz w:val="28"/>
      <w:szCs w:val="32"/>
      <w:lang w:eastAsia="en-US"/>
    </w:rPr>
  </w:style>
  <w:style w:type="character" w:customStyle="1" w:styleId="Style3Char">
    <w:name w:val="Style3 Char"/>
    <w:basedOn w:val="DefaultParagraphFont"/>
    <w:link w:val="Style3"/>
    <w:rsid w:val="00B554E0"/>
    <w:rPr>
      <w:rFonts w:ascii="Arial Bold" w:hAnsi="Arial Bold" w:cs="Calibri"/>
      <w:b/>
      <w:bCs/>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1387402">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stelle.nma@environment-agency.gov.uk" TargetMode="External"/><Relationship Id="rId18" Type="http://schemas.openxmlformats.org/officeDocument/2006/relationships/hyperlink" Target="https://www.gov.uk/browse/business/waste-environment" TargetMode="External"/><Relationship Id="rId26"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21" Type="http://schemas.openxmlformats.org/officeDocument/2006/relationships/hyperlink" Target="mailto:Pippa.CurtisJackson@environment-agency.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echa.europa.eu/documents/10162/13632/information%20_requirements_r7c_en.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Estelle.nma@environment-agency.gov.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ha.europa.eu/documents/10162/13632/%20information_requirements_r7b_en.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echa.europa.eu/documents/10162/13632%20/information_requirements_r7a_en.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browse/business/waste-environment/environmental-regula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echa.europa.eu/web/%20guest/guidance-documents/guidance-on-reach" TargetMode="External"/><Relationship Id="rId27" Type="http://schemas.openxmlformats.org/officeDocument/2006/relationships/hyperlink" Target="mailto:Estelle.nma@environment-agency.gov.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1" ma:contentTypeDescription="Create a new document." ma:contentTypeScope="" ma:versionID="ba8410d65f752a01ac0a714134d858b1">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6d6c2f5a175365f6dd16a6e0d362eab6"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BF19-AFC4-4F8A-8357-DEA4617B56B0}">
  <ds:schemaRefs>
    <ds:schemaRef ds:uri="662745e8-e224-48e8-a2e3-254862b8c2f5"/>
    <ds:schemaRef ds:uri="http://purl.org/dc/dcmitype/"/>
    <ds:schemaRef ds:uri="http://purl.org/dc/terms/"/>
    <ds:schemaRef ds:uri="d26a641d-0244-432a-ad36-2b846fe4d96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33d32f3-03cb-401f-b67b-2b59f29688df"/>
    <ds:schemaRef ds:uri="http://schemas.microsoft.com/office/2006/metadata/properties"/>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9107D2BE-F243-4498-9E46-AFACDCE50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D8866-7E50-49BA-B882-3D6CE0669806}">
  <ds:schemaRefs>
    <ds:schemaRef ds:uri="Microsoft.SharePoint.Taxonomy.ContentTypeSync"/>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11182</Words>
  <Characters>65331</Characters>
  <Application>Microsoft Office Word</Application>
  <DocSecurity>0</DocSecurity>
  <Lines>544</Lines>
  <Paragraphs>152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76361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2020-05-20T09:27:00Z</dcterms:created>
  <dcterms:modified xsi:type="dcterms:W3CDTF">2022-08-22T11:26:00Z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9;#Government|2a8adc03-0681-4b04-8a8d-f2ceaece18ea</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ies>
</file>