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072DB" w14:textId="77777777" w:rsidR="009F273E" w:rsidRDefault="009F273E" w:rsidP="009F273E">
      <w:pPr>
        <w:spacing w:after="0" w:line="259" w:lineRule="auto"/>
        <w:rPr>
          <w:rFonts w:ascii="Arial" w:hAnsi="Arial" w:cs="Arial"/>
          <w:b/>
          <w:sz w:val="36"/>
        </w:rPr>
      </w:pPr>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p>
    <w:p w14:paraId="70D32CFF" w14:textId="77777777" w:rsidR="009F273E" w:rsidRDefault="009F273E" w:rsidP="009F273E">
      <w:pPr>
        <w:spacing w:after="0" w:line="259" w:lineRule="auto"/>
        <w:rPr>
          <w:rFonts w:ascii="Arial" w:hAnsi="Arial" w:cs="Arial"/>
          <w:b/>
          <w:sz w:val="36"/>
        </w:rPr>
      </w:pPr>
    </w:p>
    <w:p w14:paraId="70723323"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14:paraId="6820B355" w14:textId="77777777" w:rsidR="009F273E" w:rsidRPr="009F273E" w:rsidRDefault="009F273E">
      <w:pPr>
        <w:spacing w:after="0" w:line="259" w:lineRule="auto"/>
        <w:rPr>
          <w:rFonts w:ascii="Arial" w:hAnsi="Arial" w:cs="Arial"/>
          <w:b/>
          <w:sz w:val="24"/>
          <w:szCs w:val="24"/>
        </w:rPr>
      </w:pPr>
    </w:p>
    <w:p w14:paraId="498CBA31" w14:textId="77777777" w:rsidR="009F273E" w:rsidRPr="009F273E" w:rsidRDefault="009F273E">
      <w:pPr>
        <w:spacing w:after="0" w:line="259" w:lineRule="auto"/>
        <w:rPr>
          <w:rFonts w:ascii="Arial" w:hAnsi="Arial" w:cs="Arial"/>
          <w:b/>
          <w:sz w:val="24"/>
          <w:szCs w:val="24"/>
        </w:rPr>
      </w:pPr>
    </w:p>
    <w:p w14:paraId="36CFBC5F" w14:textId="5E69D09C" w:rsidR="004A4734" w:rsidRPr="001C046E" w:rsidRDefault="003B1167">
      <w:pPr>
        <w:spacing w:after="0" w:line="259" w:lineRule="auto"/>
        <w:rPr>
          <w:rFonts w:ascii="Arial" w:hAnsi="Arial" w:cs="Arial"/>
          <w:sz w:val="24"/>
          <w:szCs w:val="24"/>
        </w:rPr>
      </w:pPr>
      <w:r>
        <w:rPr>
          <w:rFonts w:ascii="Arial" w:hAnsi="Arial" w:cs="Arial"/>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D500B0">
        <w:rPr>
          <w:rFonts w:ascii="Arial" w:hAnsi="Arial" w:cs="Arial"/>
          <w:sz w:val="24"/>
          <w:szCs w:val="24"/>
        </w:rPr>
        <w:tab/>
      </w:r>
      <w:r w:rsidR="001C046E" w:rsidRPr="001C046E">
        <w:rPr>
          <w:rFonts w:ascii="Arial" w:hAnsi="Arial" w:cs="Arial"/>
          <w:b/>
          <w:sz w:val="24"/>
          <w:szCs w:val="24"/>
        </w:rPr>
        <w:t>CCSO20A68</w:t>
      </w:r>
    </w:p>
    <w:p w14:paraId="5A7A68CB" w14:textId="77777777" w:rsidR="00D500B0" w:rsidRPr="001C046E" w:rsidRDefault="00D500B0" w:rsidP="00FE264D">
      <w:pPr>
        <w:spacing w:after="0" w:line="259" w:lineRule="auto"/>
        <w:rPr>
          <w:rFonts w:ascii="Arial" w:hAnsi="Arial" w:cs="Arial"/>
          <w:sz w:val="24"/>
          <w:szCs w:val="24"/>
        </w:rPr>
      </w:pPr>
    </w:p>
    <w:p w14:paraId="25131D3F" w14:textId="25F47732" w:rsidR="00FE264D" w:rsidRPr="009F273E" w:rsidRDefault="00D500B0" w:rsidP="00FE264D">
      <w:pPr>
        <w:spacing w:after="0" w:line="259" w:lineRule="auto"/>
        <w:rPr>
          <w:rFonts w:ascii="Arial" w:hAnsi="Arial" w:cs="Arial"/>
          <w:b/>
          <w:sz w:val="24"/>
          <w:szCs w:val="24"/>
        </w:rPr>
      </w:pPr>
      <w:r w:rsidRPr="001C046E">
        <w:rPr>
          <w:rFonts w:ascii="Arial" w:hAnsi="Arial" w:cs="Arial"/>
          <w:sz w:val="24"/>
          <w:szCs w:val="24"/>
        </w:rPr>
        <w:t>THE BUYER</w:t>
      </w:r>
      <w:r w:rsidR="00563DA5" w:rsidRPr="001C046E">
        <w:rPr>
          <w:rFonts w:ascii="Arial" w:hAnsi="Arial" w:cs="Arial"/>
          <w:sz w:val="24"/>
          <w:szCs w:val="24"/>
        </w:rPr>
        <w:t>:</w:t>
      </w:r>
      <w:r w:rsidRPr="001C046E">
        <w:rPr>
          <w:rFonts w:ascii="Arial" w:hAnsi="Arial" w:cs="Arial"/>
          <w:sz w:val="24"/>
          <w:szCs w:val="24"/>
        </w:rPr>
        <w:tab/>
      </w:r>
      <w:r w:rsidRPr="001C046E">
        <w:rPr>
          <w:rFonts w:ascii="Arial" w:hAnsi="Arial" w:cs="Arial"/>
          <w:sz w:val="24"/>
          <w:szCs w:val="24"/>
        </w:rPr>
        <w:tab/>
      </w:r>
      <w:r w:rsidRPr="001C046E">
        <w:rPr>
          <w:rFonts w:ascii="Arial" w:hAnsi="Arial" w:cs="Arial"/>
          <w:sz w:val="24"/>
          <w:szCs w:val="24"/>
        </w:rPr>
        <w:tab/>
      </w:r>
      <w:r w:rsidR="001C046E" w:rsidRPr="001C046E">
        <w:rPr>
          <w:rFonts w:ascii="Arial" w:hAnsi="Arial" w:cs="Arial"/>
          <w:b/>
          <w:sz w:val="24"/>
          <w:szCs w:val="24"/>
        </w:rPr>
        <w:t>Ministry of Defence</w:t>
      </w:r>
    </w:p>
    <w:p w14:paraId="6955CA22" w14:textId="77777777" w:rsidR="00FE264D" w:rsidRPr="00D500B0" w:rsidRDefault="00D500B0" w:rsidP="00FE264D">
      <w:pPr>
        <w:spacing w:after="0" w:line="259" w:lineRule="auto"/>
        <w:rPr>
          <w:rFonts w:ascii="Arial" w:hAnsi="Arial" w:cs="Arial"/>
          <w:sz w:val="24"/>
          <w:szCs w:val="24"/>
        </w:rPr>
      </w:pPr>
      <w:r w:rsidRPr="00D500B0">
        <w:rPr>
          <w:rFonts w:ascii="Arial" w:hAnsi="Arial" w:cs="Arial"/>
          <w:sz w:val="24"/>
          <w:szCs w:val="24"/>
        </w:rPr>
        <w:t xml:space="preserve"> </w:t>
      </w:r>
    </w:p>
    <w:p w14:paraId="38743B94" w14:textId="575EC150" w:rsidR="00E5289F" w:rsidRPr="00E5289F" w:rsidRDefault="00FE264D" w:rsidP="006D710B">
      <w:pPr>
        <w:spacing w:after="0" w:line="259" w:lineRule="auto"/>
        <w:rPr>
          <w:rFonts w:ascii="Arial" w:hAnsi="Arial" w:cs="Arial"/>
          <w:sz w:val="24"/>
          <w:szCs w:val="24"/>
        </w:rPr>
      </w:pPr>
      <w:r w:rsidRPr="00D500B0">
        <w:rPr>
          <w:rFonts w:ascii="Arial" w:hAnsi="Arial" w:cs="Arial"/>
          <w:sz w:val="24"/>
          <w:szCs w:val="24"/>
        </w:rPr>
        <w:t>B</w:t>
      </w:r>
      <w:r w:rsidR="00D500B0" w:rsidRPr="00D500B0">
        <w:rPr>
          <w:rFonts w:ascii="Arial" w:hAnsi="Arial" w:cs="Arial"/>
          <w:sz w:val="24"/>
          <w:szCs w:val="24"/>
        </w:rPr>
        <w:t>UYER ADDRESS</w:t>
      </w:r>
      <w:r w:rsidR="00D500B0">
        <w:rPr>
          <w:rFonts w:ascii="Arial" w:hAnsi="Arial" w:cs="Arial"/>
          <w:sz w:val="24"/>
          <w:szCs w:val="24"/>
        </w:rPr>
        <w:tab/>
      </w:r>
      <w:r w:rsidR="00D500B0">
        <w:rPr>
          <w:rFonts w:ascii="Arial" w:hAnsi="Arial" w:cs="Arial"/>
          <w:sz w:val="24"/>
          <w:szCs w:val="24"/>
        </w:rPr>
        <w:tab/>
      </w:r>
      <w:r w:rsidR="00D500B0">
        <w:rPr>
          <w:rFonts w:ascii="Arial" w:hAnsi="Arial" w:cs="Arial"/>
          <w:sz w:val="24"/>
          <w:szCs w:val="24"/>
        </w:rPr>
        <w:tab/>
      </w:r>
      <w:r w:rsidR="006D710B" w:rsidRPr="006D710B">
        <w:rPr>
          <w:rFonts w:ascii="Arial" w:hAnsi="Arial" w:cs="Arial"/>
          <w:b/>
          <w:sz w:val="24"/>
          <w:szCs w:val="24"/>
        </w:rPr>
        <w:t>REDACTED</w:t>
      </w:r>
    </w:p>
    <w:p w14:paraId="5E1E63A5" w14:textId="77777777" w:rsidR="00E5289F" w:rsidRPr="00E5289F" w:rsidRDefault="00E5289F" w:rsidP="00E5289F">
      <w:pPr>
        <w:spacing w:after="0" w:line="259" w:lineRule="auto"/>
        <w:ind w:left="2880" w:firstLine="720"/>
        <w:rPr>
          <w:rFonts w:ascii="Arial" w:hAnsi="Arial" w:cs="Arial"/>
          <w:sz w:val="24"/>
          <w:szCs w:val="24"/>
        </w:rPr>
      </w:pPr>
      <w:r w:rsidRPr="00E5289F">
        <w:rPr>
          <w:rFonts w:ascii="Arial" w:hAnsi="Arial" w:cs="Arial"/>
          <w:sz w:val="24"/>
          <w:szCs w:val="24"/>
        </w:rPr>
        <w:t xml:space="preserve">MOD </w:t>
      </w:r>
      <w:proofErr w:type="spellStart"/>
      <w:r w:rsidRPr="00E5289F">
        <w:rPr>
          <w:rFonts w:ascii="Arial" w:hAnsi="Arial" w:cs="Arial"/>
          <w:sz w:val="24"/>
          <w:szCs w:val="24"/>
        </w:rPr>
        <w:t>Corsham</w:t>
      </w:r>
      <w:proofErr w:type="spellEnd"/>
    </w:p>
    <w:p w14:paraId="4EE1AAB3" w14:textId="77777777" w:rsidR="00E5289F" w:rsidRPr="00E5289F" w:rsidRDefault="00E5289F" w:rsidP="00E5289F">
      <w:pPr>
        <w:spacing w:after="0" w:line="259" w:lineRule="auto"/>
        <w:ind w:left="2880" w:firstLine="720"/>
        <w:rPr>
          <w:rFonts w:ascii="Arial" w:hAnsi="Arial" w:cs="Arial"/>
          <w:sz w:val="24"/>
          <w:szCs w:val="24"/>
        </w:rPr>
      </w:pPr>
      <w:proofErr w:type="spellStart"/>
      <w:r w:rsidRPr="00E5289F">
        <w:rPr>
          <w:rFonts w:ascii="Arial" w:hAnsi="Arial" w:cs="Arial"/>
          <w:sz w:val="24"/>
          <w:szCs w:val="24"/>
        </w:rPr>
        <w:t>Westwells</w:t>
      </w:r>
      <w:proofErr w:type="spellEnd"/>
      <w:r w:rsidRPr="00E5289F">
        <w:rPr>
          <w:rFonts w:ascii="Arial" w:hAnsi="Arial" w:cs="Arial"/>
          <w:sz w:val="24"/>
          <w:szCs w:val="24"/>
        </w:rPr>
        <w:t xml:space="preserve"> Road</w:t>
      </w:r>
    </w:p>
    <w:p w14:paraId="425E753C" w14:textId="77777777" w:rsidR="00E5289F" w:rsidRPr="00E5289F" w:rsidRDefault="00E5289F" w:rsidP="00E5289F">
      <w:pPr>
        <w:spacing w:after="0" w:line="259" w:lineRule="auto"/>
        <w:ind w:left="2880" w:firstLine="720"/>
        <w:rPr>
          <w:rFonts w:ascii="Arial" w:hAnsi="Arial" w:cs="Arial"/>
          <w:sz w:val="24"/>
          <w:szCs w:val="24"/>
        </w:rPr>
      </w:pPr>
      <w:r w:rsidRPr="00E5289F">
        <w:rPr>
          <w:rFonts w:ascii="Arial" w:hAnsi="Arial" w:cs="Arial"/>
          <w:sz w:val="24"/>
          <w:szCs w:val="24"/>
        </w:rPr>
        <w:t>CORSHAM</w:t>
      </w:r>
    </w:p>
    <w:p w14:paraId="1B3868CC" w14:textId="33F0C3C3" w:rsidR="00FE264D" w:rsidRPr="00E5289F" w:rsidRDefault="00E5289F" w:rsidP="00E5289F">
      <w:pPr>
        <w:spacing w:after="0" w:line="259" w:lineRule="auto"/>
        <w:ind w:left="2880" w:firstLine="720"/>
        <w:rPr>
          <w:rFonts w:ascii="Arial" w:hAnsi="Arial" w:cs="Arial"/>
          <w:sz w:val="24"/>
          <w:szCs w:val="24"/>
        </w:rPr>
      </w:pPr>
      <w:r w:rsidRPr="00E5289F">
        <w:rPr>
          <w:rFonts w:ascii="Arial" w:hAnsi="Arial" w:cs="Arial"/>
          <w:sz w:val="24"/>
          <w:szCs w:val="24"/>
        </w:rPr>
        <w:t>SN13 9NR</w:t>
      </w:r>
    </w:p>
    <w:p w14:paraId="5E1929E8" w14:textId="77777777" w:rsidR="00FE264D" w:rsidRPr="009F273E" w:rsidRDefault="00FE264D">
      <w:pPr>
        <w:spacing w:after="0" w:line="259" w:lineRule="auto"/>
        <w:rPr>
          <w:rFonts w:ascii="Arial" w:hAnsi="Arial" w:cs="Arial"/>
          <w:sz w:val="24"/>
          <w:szCs w:val="24"/>
        </w:rPr>
      </w:pPr>
    </w:p>
    <w:p w14:paraId="06699448" w14:textId="3F56B48F" w:rsidR="004A4734" w:rsidRPr="009F273E" w:rsidRDefault="00D500B0">
      <w:pPr>
        <w:spacing w:line="240" w:lineRule="auto"/>
        <w:rPr>
          <w:rFonts w:ascii="Arial" w:hAnsi="Arial" w:cs="Arial"/>
          <w:sz w:val="24"/>
          <w:szCs w:val="24"/>
        </w:rPr>
      </w:pPr>
      <w:r w:rsidRPr="00D500B0">
        <w:rPr>
          <w:rFonts w:ascii="Arial" w:hAnsi="Arial" w:cs="Arial"/>
          <w:sz w:val="24"/>
          <w:szCs w:val="24"/>
        </w:rPr>
        <w:t>THE SUPPLIER</w:t>
      </w:r>
      <w:r w:rsidR="00563DA5" w:rsidRPr="00D500B0">
        <w:rPr>
          <w:rFonts w:ascii="Arial" w:hAnsi="Arial" w:cs="Arial"/>
          <w:sz w:val="24"/>
          <w:szCs w:val="24"/>
        </w:rPr>
        <w:t>:</w:t>
      </w:r>
      <w:r w:rsidR="00563DA5"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0E1FC7" w:rsidRPr="000E1FC7">
        <w:rPr>
          <w:rFonts w:ascii="Arial" w:hAnsi="Arial" w:cs="Arial"/>
          <w:sz w:val="24"/>
          <w:szCs w:val="24"/>
        </w:rPr>
        <w:t>Software Box Ltd</w:t>
      </w:r>
      <w:r w:rsidR="007D2E98" w:rsidRPr="000E1FC7">
        <w:rPr>
          <w:rFonts w:ascii="Arial" w:hAnsi="Arial" w:cs="Arial"/>
          <w:b/>
          <w:sz w:val="24"/>
          <w:szCs w:val="24"/>
        </w:rPr>
        <w:t xml:space="preserve"> </w:t>
      </w:r>
    </w:p>
    <w:p w14:paraId="69E7BEE0" w14:textId="39FA7B9A" w:rsidR="000E1FC7" w:rsidRPr="000E1FC7" w:rsidRDefault="00D500B0">
      <w:pPr>
        <w:spacing w:line="240" w:lineRule="auto"/>
        <w:rPr>
          <w:rFonts w:ascii="Arial" w:hAnsi="Arial" w:cs="Arial"/>
          <w:sz w:val="24"/>
          <w:szCs w:val="24"/>
        </w:rPr>
      </w:pPr>
      <w:r w:rsidRPr="00D500B0">
        <w:rPr>
          <w:rFonts w:ascii="Arial" w:hAnsi="Arial" w:cs="Arial"/>
          <w:sz w:val="24"/>
          <w:szCs w:val="24"/>
        </w:rPr>
        <w:t>SUPPLIER ADDRESS</w:t>
      </w:r>
      <w:r w:rsidR="00CB39A4" w:rsidRPr="00D500B0">
        <w:rPr>
          <w:rFonts w:ascii="Arial" w:hAnsi="Arial" w:cs="Arial"/>
          <w:sz w:val="24"/>
          <w:szCs w:val="24"/>
        </w:rPr>
        <w:t>:</w:t>
      </w:r>
      <w:r w:rsidR="00CB39A4" w:rsidRPr="009F273E">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000E1FC7" w:rsidRPr="000E1FC7">
        <w:rPr>
          <w:rFonts w:ascii="Arial" w:hAnsi="Arial" w:cs="Arial"/>
          <w:sz w:val="24"/>
          <w:szCs w:val="24"/>
        </w:rPr>
        <w:t>East Moor House</w:t>
      </w:r>
    </w:p>
    <w:p w14:paraId="0E301CAF" w14:textId="77777777" w:rsidR="000E1FC7" w:rsidRPr="000E1FC7" w:rsidRDefault="000E1FC7" w:rsidP="000E1FC7">
      <w:pPr>
        <w:spacing w:line="240" w:lineRule="auto"/>
        <w:ind w:left="2880" w:firstLine="720"/>
        <w:rPr>
          <w:rFonts w:ascii="Arial" w:hAnsi="Arial" w:cs="Arial"/>
          <w:sz w:val="24"/>
          <w:szCs w:val="24"/>
        </w:rPr>
      </w:pPr>
      <w:r w:rsidRPr="000E1FC7">
        <w:rPr>
          <w:rFonts w:ascii="Arial" w:hAnsi="Arial" w:cs="Arial"/>
          <w:sz w:val="24"/>
          <w:szCs w:val="24"/>
        </w:rPr>
        <w:t>Green Business Park</w:t>
      </w:r>
    </w:p>
    <w:p w14:paraId="1611C894" w14:textId="77777777" w:rsidR="000E1FC7" w:rsidRPr="000E1FC7" w:rsidRDefault="000E1FC7" w:rsidP="000E1FC7">
      <w:pPr>
        <w:spacing w:line="240" w:lineRule="auto"/>
        <w:ind w:left="2880" w:firstLine="720"/>
        <w:rPr>
          <w:rFonts w:ascii="Arial" w:hAnsi="Arial" w:cs="Arial"/>
          <w:sz w:val="24"/>
          <w:szCs w:val="24"/>
        </w:rPr>
      </w:pPr>
      <w:r w:rsidRPr="000E1FC7">
        <w:rPr>
          <w:rFonts w:ascii="Arial" w:hAnsi="Arial" w:cs="Arial"/>
          <w:sz w:val="24"/>
          <w:szCs w:val="24"/>
        </w:rPr>
        <w:t>York</w:t>
      </w:r>
    </w:p>
    <w:p w14:paraId="1B6A5052" w14:textId="65520189" w:rsidR="004A4734" w:rsidRPr="000E1FC7" w:rsidRDefault="000E1FC7" w:rsidP="000E1FC7">
      <w:pPr>
        <w:spacing w:line="240" w:lineRule="auto"/>
        <w:ind w:left="2880" w:firstLine="720"/>
        <w:rPr>
          <w:rFonts w:ascii="Arial" w:hAnsi="Arial" w:cs="Arial"/>
          <w:sz w:val="24"/>
          <w:szCs w:val="24"/>
        </w:rPr>
      </w:pPr>
      <w:r w:rsidRPr="000E1FC7">
        <w:rPr>
          <w:rFonts w:ascii="Arial" w:hAnsi="Arial" w:cs="Arial"/>
          <w:sz w:val="24"/>
          <w:szCs w:val="24"/>
        </w:rPr>
        <w:t>YO61 1ET</w:t>
      </w:r>
      <w:r w:rsidR="00CB39A4" w:rsidRPr="000E1FC7">
        <w:rPr>
          <w:rFonts w:ascii="Arial" w:hAnsi="Arial" w:cs="Arial"/>
          <w:b/>
          <w:sz w:val="24"/>
          <w:szCs w:val="24"/>
        </w:rPr>
        <w:t xml:space="preserve"> </w:t>
      </w:r>
    </w:p>
    <w:p w14:paraId="58981C2D" w14:textId="59397062" w:rsidR="004A4734" w:rsidRPr="009F273E" w:rsidRDefault="006C1CBB">
      <w:pPr>
        <w:spacing w:line="240" w:lineRule="auto"/>
        <w:rPr>
          <w:rFonts w:ascii="Arial" w:hAnsi="Arial" w:cs="Arial"/>
          <w:b/>
          <w:sz w:val="24"/>
          <w:szCs w:val="24"/>
        </w:rPr>
      </w:pPr>
      <w:r w:rsidRPr="00D500B0">
        <w:rPr>
          <w:rFonts w:ascii="Arial" w:hAnsi="Arial" w:cs="Arial"/>
          <w:sz w:val="24"/>
          <w:szCs w:val="24"/>
        </w:rPr>
        <w:t>REGISTRA</w:t>
      </w:r>
      <w:r>
        <w:rPr>
          <w:rFonts w:ascii="Arial" w:hAnsi="Arial" w:cs="Arial"/>
          <w:sz w:val="24"/>
          <w:szCs w:val="24"/>
        </w:rPr>
        <w:t>TION NUMBER</w:t>
      </w:r>
      <w:r w:rsidR="00CB39A4" w:rsidRPr="00D500B0">
        <w:rPr>
          <w:rFonts w:ascii="Arial" w:hAnsi="Arial" w:cs="Arial"/>
          <w:sz w:val="24"/>
          <w:szCs w:val="24"/>
        </w:rPr>
        <w:t>:</w:t>
      </w:r>
      <w:r w:rsidR="00CB39A4" w:rsidRPr="009F273E">
        <w:rPr>
          <w:rFonts w:ascii="Arial" w:hAnsi="Arial" w:cs="Arial"/>
          <w:b/>
          <w:sz w:val="24"/>
          <w:szCs w:val="24"/>
        </w:rPr>
        <w:t xml:space="preserve"> </w:t>
      </w:r>
      <w:r w:rsidR="00D500B0">
        <w:rPr>
          <w:rFonts w:ascii="Arial" w:hAnsi="Arial" w:cs="Arial"/>
          <w:b/>
          <w:sz w:val="24"/>
          <w:szCs w:val="24"/>
        </w:rPr>
        <w:tab/>
      </w:r>
      <w:r w:rsidR="000E1FC7" w:rsidRPr="000E1FC7">
        <w:rPr>
          <w:rStyle w:val="Strong"/>
          <w:rFonts w:ascii="Arial" w:hAnsi="Arial" w:cs="Arial"/>
          <w:color w:val="0B0C0C"/>
          <w:sz w:val="24"/>
          <w:szCs w:val="24"/>
          <w:bdr w:val="none" w:sz="0" w:space="0" w:color="auto" w:frame="1"/>
          <w:shd w:val="clear" w:color="auto" w:fill="FFFFFF"/>
        </w:rPr>
        <w:t>02109168</w:t>
      </w:r>
    </w:p>
    <w:p w14:paraId="5E7DC1A3" w14:textId="1E9460DB" w:rsidR="004A4734" w:rsidRPr="003E73F1" w:rsidRDefault="008A7999">
      <w:pPr>
        <w:spacing w:line="240" w:lineRule="auto"/>
        <w:rPr>
          <w:rFonts w:ascii="Arial" w:hAnsi="Arial" w:cs="Arial"/>
          <w:sz w:val="24"/>
          <w:szCs w:val="24"/>
        </w:rPr>
      </w:pPr>
      <w:r w:rsidRPr="003E73F1">
        <w:rPr>
          <w:rFonts w:ascii="Arial" w:hAnsi="Arial" w:cs="Arial"/>
          <w:sz w:val="24"/>
          <w:szCs w:val="24"/>
        </w:rPr>
        <w:t xml:space="preserve">DUNS </w:t>
      </w:r>
      <w:r w:rsidR="003E73F1" w:rsidRPr="003E73F1">
        <w:rPr>
          <w:rFonts w:ascii="Arial" w:hAnsi="Arial" w:cs="Arial"/>
          <w:sz w:val="24"/>
          <w:szCs w:val="24"/>
        </w:rPr>
        <w:t>NUMBER</w:t>
      </w:r>
      <w:r w:rsidR="00CB39A4" w:rsidRPr="003E73F1">
        <w:rPr>
          <w:rFonts w:ascii="Arial" w:hAnsi="Arial" w:cs="Arial"/>
          <w:sz w:val="24"/>
          <w:szCs w:val="24"/>
        </w:rPr>
        <w:t xml:space="preserve">: </w:t>
      </w:r>
      <w:r w:rsidR="00FE264D" w:rsidRPr="003E73F1">
        <w:rPr>
          <w:rFonts w:ascii="Arial" w:hAnsi="Arial" w:cs="Arial"/>
          <w:sz w:val="24"/>
          <w:szCs w:val="24"/>
        </w:rPr>
        <w:t xml:space="preserve">      </w:t>
      </w:r>
      <w:r w:rsidR="003E73F1">
        <w:rPr>
          <w:rFonts w:ascii="Arial" w:hAnsi="Arial" w:cs="Arial"/>
          <w:sz w:val="24"/>
          <w:szCs w:val="24"/>
        </w:rPr>
        <w:tab/>
      </w:r>
      <w:r w:rsidR="003E73F1">
        <w:rPr>
          <w:rFonts w:ascii="Arial" w:hAnsi="Arial" w:cs="Arial"/>
          <w:sz w:val="24"/>
          <w:szCs w:val="24"/>
        </w:rPr>
        <w:tab/>
      </w:r>
      <w:r w:rsidR="0084404E">
        <w:rPr>
          <w:rFonts w:ascii="Arial" w:hAnsi="Arial" w:cs="Arial"/>
          <w:b/>
          <w:sz w:val="24"/>
          <w:szCs w:val="24"/>
        </w:rPr>
        <w:t>Not known</w:t>
      </w:r>
    </w:p>
    <w:p w14:paraId="197A7B82" w14:textId="58E00754" w:rsidR="003676A4" w:rsidRPr="009F273E" w:rsidRDefault="003676A4">
      <w:pPr>
        <w:spacing w:line="240" w:lineRule="auto"/>
        <w:rPr>
          <w:rFonts w:ascii="Arial" w:hAnsi="Arial" w:cs="Arial"/>
          <w:b/>
          <w:sz w:val="24"/>
          <w:szCs w:val="24"/>
        </w:rPr>
      </w:pPr>
      <w:r w:rsidRPr="003E73F1">
        <w:rPr>
          <w:rFonts w:ascii="Arial" w:hAnsi="Arial" w:cs="Arial"/>
          <w:sz w:val="24"/>
          <w:szCs w:val="24"/>
        </w:rPr>
        <w:t>SID4GOV ID:</w:t>
      </w:r>
      <w:r w:rsidR="003E73F1">
        <w:rPr>
          <w:rFonts w:ascii="Arial" w:hAnsi="Arial" w:cs="Arial"/>
          <w:b/>
          <w:sz w:val="24"/>
          <w:szCs w:val="24"/>
        </w:rPr>
        <w:t xml:space="preserve">                 </w:t>
      </w:r>
      <w:r w:rsidR="003E73F1">
        <w:rPr>
          <w:rFonts w:ascii="Arial" w:hAnsi="Arial" w:cs="Arial"/>
          <w:b/>
          <w:sz w:val="24"/>
          <w:szCs w:val="24"/>
        </w:rPr>
        <w:tab/>
      </w:r>
      <w:r w:rsidR="003E73F1">
        <w:rPr>
          <w:rFonts w:ascii="Arial" w:hAnsi="Arial" w:cs="Arial"/>
          <w:b/>
          <w:sz w:val="24"/>
          <w:szCs w:val="24"/>
        </w:rPr>
        <w:tab/>
      </w:r>
      <w:r w:rsidR="0084404E">
        <w:rPr>
          <w:rFonts w:ascii="Arial" w:hAnsi="Arial" w:cs="Arial"/>
          <w:b/>
          <w:sz w:val="24"/>
          <w:szCs w:val="24"/>
        </w:rPr>
        <w:t>Not known</w:t>
      </w:r>
    </w:p>
    <w:p w14:paraId="445171B0" w14:textId="6C5CFF0B" w:rsidR="00AB0BC2" w:rsidRPr="009F273E" w:rsidRDefault="00AB0BC2" w:rsidP="00AB0BC2">
      <w:pPr>
        <w:spacing w:after="0" w:line="259" w:lineRule="auto"/>
        <w:rPr>
          <w:rFonts w:ascii="Arial" w:hAnsi="Arial" w:cs="Arial"/>
          <w:sz w:val="24"/>
          <w:szCs w:val="24"/>
        </w:rPr>
      </w:pPr>
    </w:p>
    <w:p w14:paraId="03834F53" w14:textId="77777777" w:rsidR="004A4734" w:rsidRDefault="003E73F1">
      <w:pPr>
        <w:spacing w:after="0" w:line="259" w:lineRule="auto"/>
        <w:rPr>
          <w:rFonts w:ascii="Arial" w:hAnsi="Arial" w:cs="Arial"/>
          <w:sz w:val="24"/>
          <w:szCs w:val="24"/>
        </w:rPr>
      </w:pPr>
      <w:r>
        <w:rPr>
          <w:rFonts w:ascii="Arial" w:hAnsi="Arial" w:cs="Arial"/>
          <w:sz w:val="24"/>
          <w:szCs w:val="24"/>
        </w:rPr>
        <w:t>APPLICABLE FRAMEWORK CONTRACT</w:t>
      </w:r>
    </w:p>
    <w:p w14:paraId="5F86C338" w14:textId="77777777" w:rsidR="003E73F1" w:rsidRPr="003E73F1" w:rsidRDefault="003E73F1">
      <w:pPr>
        <w:spacing w:after="0" w:line="259" w:lineRule="auto"/>
        <w:rPr>
          <w:rFonts w:ascii="Arial" w:hAnsi="Arial" w:cs="Arial"/>
          <w:sz w:val="24"/>
          <w:szCs w:val="24"/>
        </w:rPr>
      </w:pPr>
    </w:p>
    <w:p w14:paraId="4FFC31A8" w14:textId="1C02BDE0" w:rsidR="00D17FF8" w:rsidRDefault="00CB39A4">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54312C">
        <w:rPr>
          <w:rFonts w:ascii="Arial" w:hAnsi="Arial" w:cs="Arial"/>
          <w:sz w:val="24"/>
          <w:szCs w:val="24"/>
        </w:rPr>
        <w:t xml:space="preserve"> and</w:t>
      </w:r>
      <w:r w:rsidR="0054312C" w:rsidRPr="0054312C">
        <w:rPr>
          <w:rFonts w:ascii="Arial" w:hAnsi="Arial" w:cs="Arial"/>
          <w:sz w:val="24"/>
          <w:szCs w:val="24"/>
        </w:rPr>
        <w:t xml:space="preserve"> </w:t>
      </w:r>
      <w:r w:rsidR="0054312C" w:rsidRPr="009F273E">
        <w:rPr>
          <w:rFonts w:ascii="Arial" w:hAnsi="Arial" w:cs="Arial"/>
          <w:sz w:val="24"/>
          <w:szCs w:val="24"/>
        </w:rPr>
        <w:t xml:space="preserve">dated </w:t>
      </w:r>
      <w:r w:rsidR="0084404E">
        <w:rPr>
          <w:rFonts w:ascii="Arial" w:hAnsi="Arial" w:cs="Arial"/>
          <w:sz w:val="24"/>
          <w:szCs w:val="24"/>
        </w:rPr>
        <w:t>2</w:t>
      </w:r>
      <w:r w:rsidR="000F2FE6">
        <w:rPr>
          <w:rFonts w:ascii="Arial" w:hAnsi="Arial" w:cs="Arial"/>
          <w:sz w:val="24"/>
          <w:szCs w:val="24"/>
        </w:rPr>
        <w:t>5</w:t>
      </w:r>
      <w:r w:rsidR="0084404E" w:rsidRPr="0084404E">
        <w:rPr>
          <w:rFonts w:ascii="Arial" w:hAnsi="Arial" w:cs="Arial"/>
          <w:sz w:val="24"/>
          <w:szCs w:val="24"/>
          <w:vertAlign w:val="superscript"/>
        </w:rPr>
        <w:t>th</w:t>
      </w:r>
      <w:r w:rsidR="0084404E">
        <w:rPr>
          <w:rFonts w:ascii="Arial" w:hAnsi="Arial" w:cs="Arial"/>
          <w:sz w:val="24"/>
          <w:szCs w:val="24"/>
        </w:rPr>
        <w:t xml:space="preserve"> August 2020.</w:t>
      </w:r>
    </w:p>
    <w:p w14:paraId="1909CC9B" w14:textId="709DF244" w:rsidR="004A4734" w:rsidRPr="009F273E" w:rsidRDefault="003E73F1">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7D2E98" w:rsidRPr="009F273E">
        <w:rPr>
          <w:rFonts w:ascii="Arial" w:hAnsi="Arial" w:cs="Arial"/>
          <w:sz w:val="24"/>
          <w:szCs w:val="24"/>
        </w:rPr>
        <w:t>number</w:t>
      </w:r>
      <w:r w:rsidR="00063AF2">
        <w:rPr>
          <w:rFonts w:ascii="Arial" w:hAnsi="Arial" w:cs="Arial"/>
          <w:sz w:val="24"/>
          <w:szCs w:val="24"/>
        </w:rPr>
        <w:t xml:space="preserve"> RM6068</w:t>
      </w:r>
      <w:r w:rsidR="007D2E98" w:rsidRPr="009F273E">
        <w:rPr>
          <w:rFonts w:ascii="Arial" w:hAnsi="Arial" w:cs="Arial"/>
          <w:sz w:val="24"/>
          <w:szCs w:val="24"/>
        </w:rPr>
        <w:t xml:space="preserve"> </w:t>
      </w:r>
      <w:r w:rsidR="00CB39A4" w:rsidRPr="009F273E">
        <w:rPr>
          <w:rFonts w:ascii="Arial" w:hAnsi="Arial" w:cs="Arial"/>
          <w:sz w:val="24"/>
          <w:szCs w:val="24"/>
        </w:rPr>
        <w:t>for the provision o</w:t>
      </w:r>
      <w:r w:rsidR="00063AF2">
        <w:rPr>
          <w:rFonts w:ascii="Arial" w:hAnsi="Arial" w:cs="Arial"/>
          <w:sz w:val="24"/>
          <w:szCs w:val="24"/>
        </w:rPr>
        <w:t xml:space="preserve">f Technology Products and </w:t>
      </w:r>
      <w:r w:rsidR="003F583A">
        <w:rPr>
          <w:rFonts w:ascii="Arial" w:hAnsi="Arial" w:cs="Arial"/>
          <w:sz w:val="24"/>
          <w:szCs w:val="24"/>
        </w:rPr>
        <w:t xml:space="preserve">Associated </w:t>
      </w:r>
      <w:r w:rsidR="00063AF2">
        <w:rPr>
          <w:rFonts w:ascii="Arial" w:hAnsi="Arial" w:cs="Arial"/>
          <w:sz w:val="24"/>
          <w:szCs w:val="24"/>
        </w:rPr>
        <w:t>Services</w:t>
      </w:r>
      <w:r w:rsidR="007941E3" w:rsidRPr="009F273E">
        <w:rPr>
          <w:rFonts w:ascii="Arial" w:hAnsi="Arial" w:cs="Arial"/>
          <w:sz w:val="24"/>
          <w:szCs w:val="24"/>
        </w:rPr>
        <w:t>.</w:t>
      </w:r>
      <w:r w:rsidR="00F00201" w:rsidRPr="009F273E">
        <w:rPr>
          <w:rFonts w:ascii="Arial" w:hAnsi="Arial" w:cs="Arial"/>
          <w:sz w:val="24"/>
          <w:szCs w:val="24"/>
        </w:rPr>
        <w:t xml:space="preserve">   </w:t>
      </w:r>
    </w:p>
    <w:p w14:paraId="27FB103B" w14:textId="77777777" w:rsidR="004A4734" w:rsidRPr="009F273E" w:rsidRDefault="004A4734">
      <w:pPr>
        <w:tabs>
          <w:tab w:val="left" w:pos="2257"/>
        </w:tabs>
        <w:spacing w:after="0" w:line="259" w:lineRule="auto"/>
        <w:rPr>
          <w:rFonts w:ascii="Arial" w:hAnsi="Arial" w:cs="Arial"/>
          <w:b/>
          <w:sz w:val="24"/>
          <w:szCs w:val="24"/>
        </w:rPr>
      </w:pPr>
    </w:p>
    <w:p w14:paraId="11D901EE" w14:textId="08ADA55B" w:rsidR="002315F2" w:rsidRPr="001C046E" w:rsidRDefault="00CB39A4" w:rsidP="001C046E">
      <w:pPr>
        <w:tabs>
          <w:tab w:val="left" w:pos="2257"/>
        </w:tabs>
        <w:spacing w:after="0" w:line="259" w:lineRule="auto"/>
        <w:ind w:left="2880" w:hanging="2880"/>
        <w:rPr>
          <w:rFonts w:ascii="Arial" w:hAnsi="Arial" w:cs="Arial"/>
          <w:sz w:val="24"/>
          <w:szCs w:val="24"/>
        </w:rPr>
      </w:pPr>
      <w:r w:rsidRPr="005B7837">
        <w:rPr>
          <w:rFonts w:ascii="Arial" w:hAnsi="Arial" w:cs="Arial"/>
          <w:sz w:val="24"/>
          <w:szCs w:val="24"/>
        </w:rPr>
        <w:t xml:space="preserve">CALL-OFF </w:t>
      </w:r>
      <w:r w:rsidRPr="001C046E">
        <w:rPr>
          <w:rFonts w:ascii="Arial" w:hAnsi="Arial" w:cs="Arial"/>
          <w:sz w:val="24"/>
          <w:szCs w:val="24"/>
        </w:rPr>
        <w:t>LOT(S):</w:t>
      </w:r>
    </w:p>
    <w:p w14:paraId="779481EF" w14:textId="77777777" w:rsidR="002315F2" w:rsidRPr="001C046E" w:rsidRDefault="002315F2" w:rsidP="002315F2">
      <w:pPr>
        <w:numPr>
          <w:ilvl w:val="0"/>
          <w:numId w:val="14"/>
        </w:numPr>
        <w:suppressAutoHyphens/>
        <w:autoSpaceDN w:val="0"/>
        <w:spacing w:after="0" w:line="240" w:lineRule="auto"/>
        <w:textAlignment w:val="baseline"/>
        <w:rPr>
          <w:rFonts w:ascii="Arial" w:eastAsia="STZhongsong" w:hAnsi="Arial" w:cs="Arial"/>
          <w:sz w:val="24"/>
          <w:szCs w:val="24"/>
          <w:lang w:eastAsia="zh-CN"/>
        </w:rPr>
      </w:pPr>
      <w:r w:rsidRPr="001C046E">
        <w:rPr>
          <w:rFonts w:ascii="Arial" w:eastAsia="STZhongsong" w:hAnsi="Arial" w:cs="Arial"/>
          <w:sz w:val="24"/>
          <w:szCs w:val="24"/>
          <w:lang w:eastAsia="zh-CN"/>
        </w:rPr>
        <w:t>Lot 3 Software &amp; Associated Services</w:t>
      </w:r>
    </w:p>
    <w:p w14:paraId="560765F6" w14:textId="039F9B07" w:rsidR="00110B3B" w:rsidRDefault="00110B3B">
      <w:pPr>
        <w:rPr>
          <w:rFonts w:ascii="Arial" w:hAnsi="Arial" w:cs="Arial"/>
          <w:b/>
          <w:sz w:val="24"/>
          <w:szCs w:val="24"/>
        </w:rPr>
      </w:pPr>
    </w:p>
    <w:p w14:paraId="74DF8487" w14:textId="77777777" w:rsidR="005B7837" w:rsidRPr="005B7837" w:rsidRDefault="00CB39A4">
      <w:pPr>
        <w:keepNext/>
        <w:spacing w:after="0" w:line="259" w:lineRule="auto"/>
        <w:rPr>
          <w:rFonts w:ascii="Arial" w:hAnsi="Arial" w:cs="Arial"/>
          <w:sz w:val="24"/>
          <w:szCs w:val="24"/>
        </w:rPr>
      </w:pPr>
      <w:r w:rsidRPr="005B7837">
        <w:rPr>
          <w:rFonts w:ascii="Arial" w:hAnsi="Arial" w:cs="Arial"/>
          <w:sz w:val="24"/>
          <w:szCs w:val="24"/>
        </w:rPr>
        <w:t>CALL-OFF INCORPORATED TERMS</w:t>
      </w:r>
    </w:p>
    <w:p w14:paraId="3DEC1A0B" w14:textId="77777777" w:rsidR="00003A25"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missing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25AFDA29" w14:textId="77777777" w:rsidR="004A4734" w:rsidRPr="00003A25" w:rsidRDefault="00CB39A4" w:rsidP="00003A25">
      <w:pPr>
        <w:pStyle w:val="ListParagraph"/>
        <w:numPr>
          <w:ilvl w:val="0"/>
          <w:numId w:val="5"/>
        </w:numPr>
        <w:rPr>
          <w:rFonts w:ascii="Arial" w:hAnsi="Arial" w:cs="Arial"/>
          <w:sz w:val="24"/>
          <w:szCs w:val="24"/>
        </w:rPr>
      </w:pPr>
      <w:r w:rsidRPr="00003A25">
        <w:rPr>
          <w:rFonts w:ascii="Arial" w:hAnsi="Arial" w:cs="Arial"/>
          <w:sz w:val="24"/>
          <w:szCs w:val="24"/>
        </w:rPr>
        <w:lastRenderedPageBreak/>
        <w:t>This Order Form including the Call-Off Special Terms and Call-Off Special Schedules.</w:t>
      </w:r>
    </w:p>
    <w:p w14:paraId="66511947" w14:textId="7445DC06" w:rsidR="004A4734" w:rsidRPr="00003A25" w:rsidRDefault="009B0D98">
      <w:pPr>
        <w:pStyle w:val="ListParagraph"/>
        <w:numPr>
          <w:ilvl w:val="0"/>
          <w:numId w:val="5"/>
        </w:numPr>
        <w:spacing w:after="0" w:line="259" w:lineRule="auto"/>
        <w:rPr>
          <w:rFonts w:ascii="Arial" w:hAnsi="Arial" w:cs="Arial"/>
          <w:sz w:val="24"/>
          <w:szCs w:val="24"/>
        </w:rPr>
      </w:pPr>
      <w:r w:rsidRPr="00003A25">
        <w:rPr>
          <w:rStyle w:val="Emphasis"/>
          <w:rFonts w:ascii="Arial" w:hAnsi="Arial" w:cs="Arial"/>
          <w:i w:val="0"/>
          <w:sz w:val="24"/>
          <w:szCs w:val="24"/>
        </w:rPr>
        <w:t>Joint Schedule 1</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r w:rsidR="00E64EDA">
        <w:rPr>
          <w:rStyle w:val="Emphasis"/>
          <w:rFonts w:ascii="Arial" w:hAnsi="Arial" w:cs="Arial"/>
          <w:i w:val="0"/>
          <w:iCs w:val="0"/>
          <w:sz w:val="24"/>
          <w:szCs w:val="24"/>
        </w:rPr>
        <w:t>RM6068</w:t>
      </w:r>
    </w:p>
    <w:p w14:paraId="0D105557" w14:textId="3DCDF355" w:rsidR="00DF2308" w:rsidRPr="00D3070F" w:rsidRDefault="00CB39A4" w:rsidP="00D3070F">
      <w:pPr>
        <w:pStyle w:val="ListParagraph"/>
        <w:keepNext/>
        <w:numPr>
          <w:ilvl w:val="0"/>
          <w:numId w:val="5"/>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The following</w:t>
      </w:r>
      <w:r w:rsidR="008925D4" w:rsidRPr="009F273E">
        <w:rPr>
          <w:rStyle w:val="Emphasis"/>
          <w:rFonts w:ascii="Arial" w:hAnsi="Arial" w:cs="Arial"/>
          <w:i w:val="0"/>
          <w:sz w:val="24"/>
          <w:szCs w:val="24"/>
        </w:rPr>
        <w:t xml:space="preserve"> Schedule</w:t>
      </w:r>
      <w:r w:rsidR="00DF2308">
        <w:rPr>
          <w:rStyle w:val="Emphasis"/>
          <w:rFonts w:ascii="Arial" w:hAnsi="Arial" w:cs="Arial"/>
          <w:i w:val="0"/>
          <w:sz w:val="24"/>
          <w:szCs w:val="24"/>
        </w:rPr>
        <w:t>s in equal order of precedence:</w:t>
      </w:r>
    </w:p>
    <w:p w14:paraId="46A69A43" w14:textId="77777777" w:rsidR="00553075" w:rsidRPr="00DF2308" w:rsidRDefault="00553075" w:rsidP="00DF2308">
      <w:pPr>
        <w:pStyle w:val="ListParagraph"/>
        <w:keepNext/>
        <w:spacing w:after="0" w:line="259" w:lineRule="auto"/>
        <w:rPr>
          <w:rStyle w:val="Emphasis"/>
          <w:rFonts w:ascii="Arial" w:hAnsi="Arial" w:cs="Arial"/>
          <w:i w:val="0"/>
          <w:iCs w:val="0"/>
          <w:sz w:val="24"/>
          <w:szCs w:val="24"/>
        </w:rPr>
      </w:pPr>
    </w:p>
    <w:p w14:paraId="0078C3E7" w14:textId="07B8304F" w:rsidR="0054312C" w:rsidRPr="0054312C" w:rsidRDefault="0054312C" w:rsidP="0054312C">
      <w:pPr>
        <w:pStyle w:val="ListParagraph"/>
        <w:numPr>
          <w:ilvl w:val="0"/>
          <w:numId w:val="10"/>
        </w:numPr>
        <w:rPr>
          <w:rStyle w:val="Emphasis"/>
          <w:rFonts w:ascii="Arial" w:hAnsi="Arial" w:cs="Arial"/>
          <w:i w:val="0"/>
          <w:iCs w:val="0"/>
          <w:sz w:val="24"/>
          <w:szCs w:val="24"/>
        </w:rPr>
      </w:pPr>
      <w:r w:rsidRPr="0054312C">
        <w:rPr>
          <w:rStyle w:val="Emphasis"/>
          <w:rFonts w:ascii="Arial" w:hAnsi="Arial" w:cs="Arial"/>
          <w:i w:val="0"/>
          <w:iCs w:val="0"/>
          <w:sz w:val="24"/>
          <w:szCs w:val="24"/>
        </w:rPr>
        <w:t>Joint Schedules</w:t>
      </w:r>
      <w:r w:rsidR="00DF2308">
        <w:rPr>
          <w:rStyle w:val="Emphasis"/>
          <w:rFonts w:ascii="Arial" w:hAnsi="Arial" w:cs="Arial"/>
          <w:i w:val="0"/>
          <w:iCs w:val="0"/>
          <w:sz w:val="24"/>
          <w:szCs w:val="24"/>
        </w:rPr>
        <w:t xml:space="preserve"> for</w:t>
      </w:r>
      <w:r w:rsidR="00063AF2">
        <w:rPr>
          <w:rStyle w:val="Emphasis"/>
          <w:rFonts w:ascii="Arial" w:hAnsi="Arial" w:cs="Arial"/>
          <w:i w:val="0"/>
          <w:iCs w:val="0"/>
          <w:sz w:val="24"/>
          <w:szCs w:val="24"/>
        </w:rPr>
        <w:t xml:space="preserve"> RM6068</w:t>
      </w:r>
      <w:r w:rsidRPr="0054312C">
        <w:rPr>
          <w:rStyle w:val="Emphasis"/>
          <w:rFonts w:ascii="Arial" w:hAnsi="Arial" w:cs="Arial"/>
          <w:i w:val="0"/>
          <w:iCs w:val="0"/>
          <w:sz w:val="24"/>
          <w:szCs w:val="24"/>
        </w:rPr>
        <w:t xml:space="preserve"> </w:t>
      </w:r>
    </w:p>
    <w:p w14:paraId="340013F0" w14:textId="77777777" w:rsidR="004A4734" w:rsidRPr="009F273E" w:rsidRDefault="00CB39A4" w:rsidP="0054312C">
      <w:pPr>
        <w:pStyle w:val="ListParagraph"/>
        <w:numPr>
          <w:ilvl w:val="1"/>
          <w:numId w:val="10"/>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2 (Variation Form)</w:t>
      </w:r>
      <w:r w:rsidR="0054312C">
        <w:rPr>
          <w:rStyle w:val="Emphasis"/>
          <w:rFonts w:ascii="Arial" w:hAnsi="Arial" w:cs="Arial"/>
          <w:i w:val="0"/>
          <w:sz w:val="24"/>
          <w:szCs w:val="24"/>
        </w:rPr>
        <w:t xml:space="preserve"> </w:t>
      </w:r>
    </w:p>
    <w:p w14:paraId="0209BFAD" w14:textId="77777777" w:rsidR="004A4734" w:rsidRPr="009F273E" w:rsidRDefault="003F397E" w:rsidP="0054312C">
      <w:pPr>
        <w:pStyle w:val="ListParagraph"/>
        <w:numPr>
          <w:ilvl w:val="1"/>
          <w:numId w:val="10"/>
        </w:numPr>
        <w:spacing w:after="0" w:line="259" w:lineRule="auto"/>
        <w:rPr>
          <w:rStyle w:val="Emphasis"/>
          <w:rFonts w:ascii="Arial" w:hAnsi="Arial" w:cs="Arial"/>
          <w:i w:val="0"/>
          <w:sz w:val="24"/>
          <w:szCs w:val="24"/>
          <w:lang w:eastAsia="en-GB"/>
        </w:rPr>
      </w:pPr>
      <w:r w:rsidRPr="009F273E">
        <w:rPr>
          <w:rStyle w:val="Emphasis"/>
          <w:rFonts w:ascii="Arial" w:hAnsi="Arial" w:cs="Arial"/>
          <w:i w:val="0"/>
          <w:sz w:val="24"/>
          <w:szCs w:val="24"/>
        </w:rPr>
        <w:t>Joint Schedule</w:t>
      </w:r>
      <w:r w:rsidR="00CB39A4" w:rsidRPr="009F273E">
        <w:rPr>
          <w:rStyle w:val="Emphasis"/>
          <w:rFonts w:ascii="Arial" w:hAnsi="Arial" w:cs="Arial"/>
          <w:i w:val="0"/>
          <w:sz w:val="24"/>
          <w:szCs w:val="24"/>
        </w:rPr>
        <w:t xml:space="preserve"> 3 (Insurance Requirements)</w:t>
      </w:r>
    </w:p>
    <w:p w14:paraId="7E53A25D" w14:textId="128C3259" w:rsidR="004A4734" w:rsidRPr="00CF25AF" w:rsidRDefault="00CB39A4" w:rsidP="00CF25AF">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Joint Sc</w:t>
      </w:r>
      <w:r w:rsidR="003F397E" w:rsidRPr="009F273E">
        <w:rPr>
          <w:rStyle w:val="Emphasis"/>
          <w:rFonts w:ascii="Arial" w:hAnsi="Arial" w:cs="Arial"/>
          <w:i w:val="0"/>
          <w:sz w:val="24"/>
          <w:szCs w:val="24"/>
        </w:rPr>
        <w:t>hedule</w:t>
      </w:r>
      <w:r w:rsidRPr="009F273E">
        <w:rPr>
          <w:rStyle w:val="Emphasis"/>
          <w:rFonts w:ascii="Arial" w:hAnsi="Arial" w:cs="Arial"/>
          <w:i w:val="0"/>
          <w:sz w:val="24"/>
          <w:szCs w:val="24"/>
        </w:rPr>
        <w:t xml:space="preserve"> 4 (Commercially Sensitive Information)</w:t>
      </w:r>
    </w:p>
    <w:p w14:paraId="76EF38C0" w14:textId="77777777" w:rsidR="005C0DB5" w:rsidRPr="009F273E" w:rsidRDefault="005C0DB5"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 xml:space="preserve">Joint Schedule </w:t>
      </w:r>
      <w:r w:rsidR="009F273E">
        <w:rPr>
          <w:rStyle w:val="Emphasis"/>
          <w:rFonts w:ascii="Arial" w:hAnsi="Arial" w:cs="Arial"/>
          <w:i w:val="0"/>
          <w:sz w:val="24"/>
          <w:szCs w:val="24"/>
        </w:rPr>
        <w:t xml:space="preserve">10 (Rectification Plan) </w:t>
      </w:r>
      <w:r w:rsidR="009F273E">
        <w:rPr>
          <w:rStyle w:val="Emphasis"/>
          <w:rFonts w:ascii="Arial" w:hAnsi="Arial" w:cs="Arial"/>
          <w:i w:val="0"/>
          <w:sz w:val="24"/>
          <w:szCs w:val="24"/>
        </w:rPr>
        <w:tab/>
      </w:r>
      <w:r w:rsidR="009F273E">
        <w:rPr>
          <w:rStyle w:val="Emphasis"/>
          <w:rFonts w:ascii="Arial" w:hAnsi="Arial" w:cs="Arial"/>
          <w:i w:val="0"/>
          <w:sz w:val="24"/>
          <w:szCs w:val="24"/>
        </w:rPr>
        <w:tab/>
      </w:r>
      <w:r w:rsidRPr="009F273E">
        <w:rPr>
          <w:rStyle w:val="Emphasis"/>
          <w:rFonts w:ascii="Arial" w:hAnsi="Arial" w:cs="Arial"/>
          <w:i w:val="0"/>
          <w:sz w:val="24"/>
          <w:szCs w:val="24"/>
        </w:rPr>
        <w:tab/>
      </w:r>
    </w:p>
    <w:p w14:paraId="6F76F176" w14:textId="7F1D49C4" w:rsidR="00063AF2" w:rsidRPr="009041B6" w:rsidRDefault="005B7837" w:rsidP="00B2085B">
      <w:pPr>
        <w:pStyle w:val="ListParagraph"/>
        <w:numPr>
          <w:ilvl w:val="1"/>
          <w:numId w:val="10"/>
        </w:numPr>
        <w:spacing w:after="0" w:line="259" w:lineRule="auto"/>
        <w:rPr>
          <w:rStyle w:val="Emphasis"/>
          <w:rFonts w:ascii="Arial" w:hAnsi="Arial" w:cs="Arial"/>
          <w:i w:val="0"/>
          <w:sz w:val="24"/>
          <w:szCs w:val="24"/>
        </w:rPr>
      </w:pPr>
      <w:r>
        <w:rPr>
          <w:rStyle w:val="Emphasis"/>
          <w:rFonts w:ascii="Arial" w:hAnsi="Arial" w:cs="Arial"/>
          <w:i w:val="0"/>
          <w:sz w:val="24"/>
          <w:szCs w:val="24"/>
        </w:rPr>
        <w:t>Joint Schedule 11</w:t>
      </w:r>
      <w:r w:rsidR="005C0DB5" w:rsidRPr="009F273E">
        <w:rPr>
          <w:rStyle w:val="Emphasis"/>
          <w:rFonts w:ascii="Arial" w:hAnsi="Arial" w:cs="Arial"/>
          <w:i w:val="0"/>
          <w:sz w:val="24"/>
          <w:szCs w:val="24"/>
        </w:rPr>
        <w:t xml:space="preserve"> (</w:t>
      </w:r>
      <w:r w:rsidR="005C0DB5" w:rsidRPr="009041B6">
        <w:rPr>
          <w:rStyle w:val="Emphasis"/>
          <w:rFonts w:ascii="Arial" w:hAnsi="Arial" w:cs="Arial"/>
          <w:i w:val="0"/>
          <w:sz w:val="24"/>
          <w:szCs w:val="24"/>
        </w:rPr>
        <w:t>Processing Data)</w:t>
      </w:r>
      <w:r w:rsidR="005C0DB5" w:rsidRPr="009041B6">
        <w:rPr>
          <w:rStyle w:val="Emphasis"/>
          <w:rFonts w:ascii="Arial" w:hAnsi="Arial" w:cs="Arial"/>
          <w:i w:val="0"/>
          <w:sz w:val="24"/>
          <w:szCs w:val="24"/>
        </w:rPr>
        <w:tab/>
      </w:r>
      <w:r w:rsidR="005C0DB5" w:rsidRPr="009041B6">
        <w:rPr>
          <w:rStyle w:val="Emphasis"/>
          <w:rFonts w:ascii="Arial" w:hAnsi="Arial" w:cs="Arial"/>
          <w:i w:val="0"/>
          <w:sz w:val="24"/>
          <w:szCs w:val="24"/>
        </w:rPr>
        <w:tab/>
      </w:r>
    </w:p>
    <w:p w14:paraId="411A2FB5" w14:textId="62E7EA12" w:rsidR="005C0DB5" w:rsidRPr="009041B6" w:rsidRDefault="0054312C" w:rsidP="0054312C">
      <w:pPr>
        <w:pStyle w:val="ListParagraph"/>
        <w:numPr>
          <w:ilvl w:val="0"/>
          <w:numId w:val="10"/>
        </w:numPr>
        <w:rPr>
          <w:rStyle w:val="Emphasis"/>
          <w:rFonts w:ascii="Arial" w:hAnsi="Arial" w:cs="Arial"/>
          <w:i w:val="0"/>
          <w:iCs w:val="0"/>
          <w:sz w:val="24"/>
          <w:szCs w:val="24"/>
        </w:rPr>
      </w:pPr>
      <w:r w:rsidRPr="009041B6">
        <w:rPr>
          <w:rStyle w:val="Emphasis"/>
          <w:rFonts w:ascii="Arial" w:hAnsi="Arial" w:cs="Arial"/>
          <w:i w:val="0"/>
          <w:iCs w:val="0"/>
          <w:sz w:val="24"/>
          <w:szCs w:val="24"/>
        </w:rPr>
        <w:t>Call-Off Schedules</w:t>
      </w:r>
      <w:r w:rsidR="00DF2308" w:rsidRPr="009041B6">
        <w:rPr>
          <w:rStyle w:val="Emphasis"/>
          <w:rFonts w:ascii="Arial" w:hAnsi="Arial" w:cs="Arial"/>
          <w:i w:val="0"/>
          <w:iCs w:val="0"/>
          <w:sz w:val="24"/>
          <w:szCs w:val="24"/>
        </w:rPr>
        <w:t xml:space="preserve"> for</w:t>
      </w:r>
      <w:r w:rsidRPr="009041B6">
        <w:rPr>
          <w:rStyle w:val="Emphasis"/>
          <w:rFonts w:ascii="Arial" w:hAnsi="Arial" w:cs="Arial"/>
          <w:i w:val="0"/>
          <w:iCs w:val="0"/>
          <w:sz w:val="24"/>
          <w:szCs w:val="24"/>
        </w:rPr>
        <w:t xml:space="preserve"> </w:t>
      </w:r>
      <w:r w:rsidR="00CF25AF" w:rsidRPr="009041B6">
        <w:rPr>
          <w:rFonts w:ascii="Arial" w:hAnsi="Arial" w:cs="Arial"/>
          <w:sz w:val="24"/>
          <w:szCs w:val="24"/>
        </w:rPr>
        <w:t>CCSO20A68</w:t>
      </w:r>
      <w:r w:rsidR="005C0DB5" w:rsidRPr="009041B6">
        <w:rPr>
          <w:rStyle w:val="Emphasis"/>
          <w:rFonts w:ascii="Arial" w:hAnsi="Arial" w:cs="Arial"/>
          <w:i w:val="0"/>
          <w:sz w:val="24"/>
          <w:szCs w:val="24"/>
        </w:rPr>
        <w:tab/>
      </w:r>
      <w:r w:rsidR="005C0DB5" w:rsidRPr="009041B6">
        <w:rPr>
          <w:rStyle w:val="Emphasis"/>
          <w:rFonts w:ascii="Arial" w:hAnsi="Arial" w:cs="Arial"/>
          <w:i w:val="0"/>
          <w:sz w:val="24"/>
          <w:szCs w:val="24"/>
        </w:rPr>
        <w:tab/>
      </w:r>
    </w:p>
    <w:p w14:paraId="511867EA" w14:textId="3C879EF3" w:rsidR="004A4734" w:rsidRPr="0084404E" w:rsidRDefault="003D7714" w:rsidP="0054312C">
      <w:pPr>
        <w:pStyle w:val="ListParagraph"/>
        <w:numPr>
          <w:ilvl w:val="1"/>
          <w:numId w:val="10"/>
        </w:numPr>
        <w:spacing w:after="0" w:line="259" w:lineRule="auto"/>
        <w:rPr>
          <w:rStyle w:val="Emphasis"/>
          <w:rFonts w:ascii="Arial" w:hAnsi="Arial" w:cs="Arial"/>
          <w:i w:val="0"/>
          <w:sz w:val="24"/>
          <w:szCs w:val="24"/>
        </w:rPr>
      </w:pPr>
      <w:r w:rsidRPr="0084404E">
        <w:rPr>
          <w:rStyle w:val="Emphasis"/>
          <w:rFonts w:ascii="Arial" w:hAnsi="Arial" w:cs="Arial"/>
          <w:i w:val="0"/>
          <w:sz w:val="24"/>
          <w:szCs w:val="24"/>
        </w:rPr>
        <w:t>Call-Off Schedule 5</w:t>
      </w:r>
      <w:r w:rsidR="00CB39A4" w:rsidRPr="0084404E">
        <w:rPr>
          <w:rStyle w:val="Emphasis"/>
          <w:rFonts w:ascii="Arial" w:hAnsi="Arial" w:cs="Arial"/>
          <w:i w:val="0"/>
          <w:sz w:val="24"/>
          <w:szCs w:val="24"/>
        </w:rPr>
        <w:t xml:space="preserve"> </w:t>
      </w:r>
      <w:r w:rsidR="00873886" w:rsidRPr="0084404E">
        <w:rPr>
          <w:rStyle w:val="Emphasis"/>
          <w:rFonts w:ascii="Arial" w:hAnsi="Arial" w:cs="Arial"/>
          <w:i w:val="0"/>
          <w:sz w:val="24"/>
          <w:szCs w:val="24"/>
        </w:rPr>
        <w:t>(</w:t>
      </w:r>
      <w:r w:rsidR="00CF25AF" w:rsidRPr="0084404E">
        <w:rPr>
          <w:rStyle w:val="Emphasis"/>
          <w:rFonts w:ascii="Arial" w:hAnsi="Arial" w:cs="Arial"/>
          <w:i w:val="0"/>
          <w:sz w:val="24"/>
          <w:szCs w:val="24"/>
        </w:rPr>
        <w:t>Pricing Details)</w:t>
      </w:r>
    </w:p>
    <w:p w14:paraId="26B41B6F" w14:textId="0494F7FC" w:rsidR="004A4734" w:rsidRPr="009041B6" w:rsidRDefault="00CB39A4" w:rsidP="0054312C">
      <w:pPr>
        <w:pStyle w:val="ListParagraph"/>
        <w:numPr>
          <w:ilvl w:val="1"/>
          <w:numId w:val="10"/>
        </w:numPr>
        <w:spacing w:after="0" w:line="259" w:lineRule="auto"/>
        <w:rPr>
          <w:rStyle w:val="Emphasis"/>
          <w:rFonts w:ascii="Arial" w:hAnsi="Arial" w:cs="Arial"/>
          <w:i w:val="0"/>
          <w:sz w:val="24"/>
          <w:szCs w:val="24"/>
        </w:rPr>
      </w:pPr>
      <w:r w:rsidRPr="009041B6">
        <w:rPr>
          <w:rStyle w:val="Emphasis"/>
          <w:rFonts w:ascii="Arial" w:hAnsi="Arial" w:cs="Arial"/>
          <w:i w:val="0"/>
          <w:sz w:val="24"/>
          <w:szCs w:val="24"/>
        </w:rPr>
        <w:t>Call-Of</w:t>
      </w:r>
      <w:r w:rsidR="005C303F" w:rsidRPr="009041B6">
        <w:rPr>
          <w:rStyle w:val="Emphasis"/>
          <w:rFonts w:ascii="Arial" w:hAnsi="Arial" w:cs="Arial"/>
          <w:i w:val="0"/>
          <w:sz w:val="24"/>
          <w:szCs w:val="24"/>
        </w:rPr>
        <w:t>f Schedule 17 (M</w:t>
      </w:r>
      <w:r w:rsidR="00664398" w:rsidRPr="009041B6">
        <w:rPr>
          <w:rStyle w:val="Emphasis"/>
          <w:rFonts w:ascii="Arial" w:hAnsi="Arial" w:cs="Arial"/>
          <w:i w:val="0"/>
          <w:sz w:val="24"/>
          <w:szCs w:val="24"/>
        </w:rPr>
        <w:t>O</w:t>
      </w:r>
      <w:r w:rsidR="00CF25AF" w:rsidRPr="009041B6">
        <w:rPr>
          <w:rStyle w:val="Emphasis"/>
          <w:rFonts w:ascii="Arial" w:hAnsi="Arial" w:cs="Arial"/>
          <w:i w:val="0"/>
          <w:sz w:val="24"/>
          <w:szCs w:val="24"/>
        </w:rPr>
        <w:t>D Terms)</w:t>
      </w:r>
      <w:r w:rsidR="005C303F" w:rsidRPr="009041B6">
        <w:rPr>
          <w:rStyle w:val="Emphasis"/>
          <w:rFonts w:ascii="Arial" w:hAnsi="Arial" w:cs="Arial"/>
          <w:i w:val="0"/>
          <w:sz w:val="24"/>
          <w:szCs w:val="24"/>
        </w:rPr>
        <w:tab/>
      </w:r>
    </w:p>
    <w:p w14:paraId="54799DD6" w14:textId="2AF468D6" w:rsidR="000C665A" w:rsidRPr="009F273E" w:rsidRDefault="000C665A">
      <w:pPr>
        <w:pStyle w:val="ListParagraph"/>
        <w:numPr>
          <w:ilvl w:val="0"/>
          <w:numId w:val="5"/>
        </w:numPr>
        <w:spacing w:after="0" w:line="259" w:lineRule="auto"/>
        <w:rPr>
          <w:rStyle w:val="Emphasis"/>
          <w:rFonts w:ascii="Arial" w:hAnsi="Arial" w:cs="Arial"/>
          <w:i w:val="0"/>
          <w:iCs w:val="0"/>
          <w:sz w:val="24"/>
          <w:szCs w:val="24"/>
        </w:rPr>
      </w:pPr>
      <w:r w:rsidRPr="009F273E">
        <w:rPr>
          <w:rFonts w:ascii="Arial" w:hAnsi="Arial" w:cs="Arial"/>
          <w:sz w:val="24"/>
          <w:szCs w:val="24"/>
        </w:rPr>
        <w:t>CCS Core Terms (v</w:t>
      </w:r>
      <w:r w:rsidR="005B7837">
        <w:rPr>
          <w:rFonts w:ascii="Arial" w:hAnsi="Arial" w:cs="Arial"/>
          <w:sz w:val="24"/>
          <w:szCs w:val="24"/>
        </w:rPr>
        <w:t>ersion 3.0</w:t>
      </w:r>
      <w:r w:rsidR="00E4117B">
        <w:rPr>
          <w:rFonts w:ascii="Arial" w:hAnsi="Arial" w:cs="Arial"/>
          <w:sz w:val="24"/>
          <w:szCs w:val="24"/>
        </w:rPr>
        <w:t>.</w:t>
      </w:r>
      <w:r w:rsidR="002315F2">
        <w:rPr>
          <w:rFonts w:ascii="Arial" w:hAnsi="Arial" w:cs="Arial"/>
          <w:sz w:val="24"/>
          <w:szCs w:val="24"/>
        </w:rPr>
        <w:t>6</w:t>
      </w:r>
      <w:r w:rsidRPr="009F273E">
        <w:rPr>
          <w:rFonts w:ascii="Arial" w:hAnsi="Arial" w:cs="Arial"/>
          <w:sz w:val="24"/>
          <w:szCs w:val="24"/>
        </w:rPr>
        <w:t>)</w:t>
      </w:r>
    </w:p>
    <w:p w14:paraId="58A909DC" w14:textId="6F9713C3" w:rsidR="004A4734" w:rsidRPr="009F273E" w:rsidRDefault="00CB39A4">
      <w:pPr>
        <w:pStyle w:val="ListParagraph"/>
        <w:numPr>
          <w:ilvl w:val="0"/>
          <w:numId w:val="5"/>
        </w:numPr>
        <w:spacing w:after="0" w:line="259" w:lineRule="auto"/>
        <w:rPr>
          <w:rFonts w:ascii="Arial" w:hAnsi="Arial" w:cs="Arial"/>
          <w:sz w:val="24"/>
          <w:szCs w:val="24"/>
        </w:rPr>
      </w:pPr>
      <w:r w:rsidRPr="009F273E">
        <w:rPr>
          <w:rStyle w:val="Emphasis"/>
          <w:rFonts w:ascii="Arial" w:hAnsi="Arial" w:cs="Arial"/>
          <w:i w:val="0"/>
          <w:sz w:val="24"/>
          <w:szCs w:val="24"/>
        </w:rPr>
        <w:t>Joint Schedule 5 (C</w:t>
      </w:r>
      <w:r w:rsidR="0054312C">
        <w:rPr>
          <w:rStyle w:val="Emphasis"/>
          <w:rFonts w:ascii="Arial" w:hAnsi="Arial" w:cs="Arial"/>
          <w:i w:val="0"/>
          <w:sz w:val="24"/>
          <w:szCs w:val="24"/>
        </w:rPr>
        <w:t>orporate Social Responsibility)</w:t>
      </w:r>
      <w:r w:rsidR="00063AF2">
        <w:rPr>
          <w:rStyle w:val="Emphasis"/>
          <w:rFonts w:ascii="Arial" w:hAnsi="Arial" w:cs="Arial"/>
          <w:i w:val="0"/>
          <w:sz w:val="24"/>
          <w:szCs w:val="24"/>
        </w:rPr>
        <w:t xml:space="preserve"> RM6068</w:t>
      </w:r>
      <w:r w:rsidR="0054312C">
        <w:rPr>
          <w:rStyle w:val="Emphasis"/>
          <w:rFonts w:ascii="Arial" w:hAnsi="Arial" w:cs="Arial"/>
          <w:i w:val="0"/>
          <w:sz w:val="24"/>
          <w:szCs w:val="24"/>
        </w:rPr>
        <w:t xml:space="preserve"> </w:t>
      </w:r>
    </w:p>
    <w:p w14:paraId="69570FCF" w14:textId="77777777" w:rsidR="004304AB" w:rsidRPr="009F273E" w:rsidRDefault="004304AB" w:rsidP="004304AB">
      <w:pPr>
        <w:pStyle w:val="ListParagraph"/>
        <w:spacing w:after="0" w:line="259" w:lineRule="auto"/>
        <w:rPr>
          <w:rFonts w:ascii="Arial" w:hAnsi="Arial" w:cs="Arial"/>
          <w:sz w:val="24"/>
          <w:szCs w:val="24"/>
          <w:highlight w:val="yellow"/>
        </w:rPr>
      </w:pPr>
    </w:p>
    <w:p w14:paraId="4C066418" w14:textId="77777777"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2C3ADC23" w14:textId="77777777" w:rsidR="004A4734" w:rsidRPr="003809EC" w:rsidRDefault="004A4734">
      <w:pPr>
        <w:tabs>
          <w:tab w:val="left" w:pos="2257"/>
        </w:tabs>
        <w:spacing w:after="0" w:line="259" w:lineRule="auto"/>
        <w:rPr>
          <w:rFonts w:ascii="Arial" w:hAnsi="Arial" w:cs="Arial"/>
          <w:sz w:val="24"/>
          <w:szCs w:val="24"/>
        </w:rPr>
      </w:pPr>
    </w:p>
    <w:p w14:paraId="691C085F" w14:textId="77777777" w:rsidR="004A4734" w:rsidRPr="003809EC" w:rsidRDefault="003809EC">
      <w:pPr>
        <w:tabs>
          <w:tab w:val="left" w:pos="2257"/>
        </w:tabs>
        <w:spacing w:after="0" w:line="259" w:lineRule="auto"/>
        <w:rPr>
          <w:rFonts w:ascii="Arial" w:hAnsi="Arial" w:cs="Arial"/>
          <w:sz w:val="24"/>
          <w:szCs w:val="24"/>
        </w:rPr>
      </w:pPr>
      <w:r>
        <w:rPr>
          <w:rFonts w:ascii="Arial" w:hAnsi="Arial" w:cs="Arial"/>
          <w:sz w:val="24"/>
          <w:szCs w:val="24"/>
        </w:rPr>
        <w:t>CALL-OFF SPECIAL TERMS</w:t>
      </w:r>
    </w:p>
    <w:p w14:paraId="5287C8B1" w14:textId="7596585A" w:rsidR="00531C4D" w:rsidRPr="009F273E" w:rsidRDefault="003809EC" w:rsidP="00D3070F">
      <w:pPr>
        <w:tabs>
          <w:tab w:val="left" w:pos="2257"/>
        </w:tabs>
        <w:spacing w:after="0" w:line="259" w:lineRule="auto"/>
        <w:rPr>
          <w:rFonts w:ascii="Arial" w:hAnsi="Arial" w:cs="Arial"/>
          <w:sz w:val="24"/>
          <w:szCs w:val="24"/>
        </w:rPr>
      </w:pPr>
      <w:r>
        <w:rPr>
          <w:rFonts w:ascii="Arial" w:hAnsi="Arial" w:cs="Arial"/>
          <w:sz w:val="24"/>
          <w:szCs w:val="24"/>
        </w:rPr>
        <w:t xml:space="preserve">The following Special Terms are </w:t>
      </w:r>
      <w:r w:rsidR="00CB39A4" w:rsidRPr="009F273E">
        <w:rPr>
          <w:rFonts w:ascii="Arial" w:hAnsi="Arial" w:cs="Arial"/>
          <w:sz w:val="24"/>
          <w:szCs w:val="24"/>
        </w:rPr>
        <w:t>incorporated into this Call-Off Contract:</w:t>
      </w:r>
    </w:p>
    <w:p w14:paraId="3E2B21FE" w14:textId="318A40F5" w:rsidR="004A4734" w:rsidRPr="009F273E" w:rsidRDefault="00D3070F">
      <w:pPr>
        <w:spacing w:after="0"/>
        <w:ind w:right="936"/>
        <w:rPr>
          <w:rFonts w:ascii="Arial" w:hAnsi="Arial" w:cs="Arial"/>
          <w:sz w:val="24"/>
          <w:szCs w:val="24"/>
        </w:rPr>
      </w:pPr>
      <w:r>
        <w:rPr>
          <w:rFonts w:ascii="Arial" w:hAnsi="Arial" w:cs="Arial"/>
          <w:sz w:val="24"/>
          <w:szCs w:val="24"/>
        </w:rPr>
        <w:t>None</w:t>
      </w:r>
    </w:p>
    <w:p w14:paraId="17C3D223" w14:textId="77777777" w:rsidR="004A4734" w:rsidRPr="009F273E" w:rsidRDefault="004A4734">
      <w:pPr>
        <w:spacing w:after="0" w:line="259" w:lineRule="auto"/>
        <w:rPr>
          <w:rFonts w:ascii="Arial" w:hAnsi="Arial" w:cs="Arial"/>
          <w:b/>
          <w:sz w:val="24"/>
          <w:szCs w:val="24"/>
        </w:rPr>
      </w:pPr>
    </w:p>
    <w:p w14:paraId="4E61396B" w14:textId="5AB550C0" w:rsidR="004A4734" w:rsidRPr="003809EC" w:rsidRDefault="00CB39A4">
      <w:pPr>
        <w:spacing w:after="0" w:line="259" w:lineRule="auto"/>
        <w:rPr>
          <w:rFonts w:ascii="Arial" w:hAnsi="Arial" w:cs="Arial"/>
          <w:sz w:val="24"/>
          <w:szCs w:val="24"/>
        </w:rPr>
      </w:pPr>
      <w:r w:rsidRPr="003809EC">
        <w:rPr>
          <w:rFonts w:ascii="Arial" w:hAnsi="Arial" w:cs="Arial"/>
          <w:sz w:val="24"/>
          <w:szCs w:val="24"/>
        </w:rPr>
        <w:t>CALL-OFF START DATE:</w:t>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84404E">
        <w:rPr>
          <w:rFonts w:ascii="Arial" w:hAnsi="Arial" w:cs="Arial"/>
          <w:b/>
          <w:sz w:val="24"/>
          <w:szCs w:val="24"/>
        </w:rPr>
        <w:t>1</w:t>
      </w:r>
      <w:r w:rsidR="0084404E" w:rsidRPr="0084404E">
        <w:rPr>
          <w:rFonts w:ascii="Arial" w:hAnsi="Arial" w:cs="Arial"/>
          <w:b/>
          <w:sz w:val="24"/>
          <w:szCs w:val="24"/>
          <w:vertAlign w:val="superscript"/>
        </w:rPr>
        <w:t>st</w:t>
      </w:r>
      <w:r w:rsidR="0084404E">
        <w:rPr>
          <w:rFonts w:ascii="Arial" w:hAnsi="Arial" w:cs="Arial"/>
          <w:b/>
          <w:sz w:val="24"/>
          <w:szCs w:val="24"/>
        </w:rPr>
        <w:t xml:space="preserve"> September 2020</w:t>
      </w:r>
    </w:p>
    <w:p w14:paraId="02E49A43" w14:textId="77777777" w:rsidR="004A4734" w:rsidRPr="003809EC" w:rsidRDefault="004A4734">
      <w:pPr>
        <w:spacing w:after="0" w:line="259" w:lineRule="auto"/>
        <w:rPr>
          <w:rFonts w:ascii="Arial" w:hAnsi="Arial" w:cs="Arial"/>
          <w:sz w:val="24"/>
          <w:szCs w:val="24"/>
        </w:rPr>
      </w:pPr>
    </w:p>
    <w:p w14:paraId="16FEAE65" w14:textId="3A76F057" w:rsidR="004A4734" w:rsidRPr="003809EC" w:rsidRDefault="00CB39A4">
      <w:pPr>
        <w:spacing w:after="0" w:line="259" w:lineRule="auto"/>
        <w:rPr>
          <w:rFonts w:ascii="Arial" w:hAnsi="Arial" w:cs="Arial"/>
          <w:sz w:val="24"/>
          <w:szCs w:val="24"/>
        </w:rPr>
      </w:pPr>
      <w:r w:rsidRPr="003809EC">
        <w:rPr>
          <w:rFonts w:ascii="Arial" w:hAnsi="Arial" w:cs="Arial"/>
          <w:sz w:val="24"/>
          <w:szCs w:val="24"/>
        </w:rPr>
        <w:t xml:space="preserve">CALL-OFF EXPIRY DATE: </w:t>
      </w:r>
      <w:r w:rsidR="003809EC">
        <w:rPr>
          <w:rFonts w:ascii="Arial" w:hAnsi="Arial" w:cs="Arial"/>
          <w:sz w:val="24"/>
          <w:szCs w:val="24"/>
        </w:rPr>
        <w:tab/>
      </w:r>
      <w:r w:rsidR="003809EC">
        <w:rPr>
          <w:rFonts w:ascii="Arial" w:hAnsi="Arial" w:cs="Arial"/>
          <w:sz w:val="24"/>
          <w:szCs w:val="24"/>
        </w:rPr>
        <w:tab/>
      </w:r>
      <w:r w:rsidR="0084404E">
        <w:rPr>
          <w:rFonts w:ascii="Arial" w:hAnsi="Arial" w:cs="Arial"/>
          <w:b/>
          <w:sz w:val="24"/>
          <w:szCs w:val="24"/>
        </w:rPr>
        <w:t>31</w:t>
      </w:r>
      <w:r w:rsidR="0084404E" w:rsidRPr="0084404E">
        <w:rPr>
          <w:rFonts w:ascii="Arial" w:hAnsi="Arial" w:cs="Arial"/>
          <w:b/>
          <w:sz w:val="24"/>
          <w:szCs w:val="24"/>
          <w:vertAlign w:val="superscript"/>
        </w:rPr>
        <w:t>st</w:t>
      </w:r>
      <w:r w:rsidR="0084404E">
        <w:rPr>
          <w:rFonts w:ascii="Arial" w:hAnsi="Arial" w:cs="Arial"/>
          <w:b/>
          <w:sz w:val="24"/>
          <w:szCs w:val="24"/>
        </w:rPr>
        <w:t xml:space="preserve"> August 202</w:t>
      </w:r>
      <w:r w:rsidR="009C4446">
        <w:rPr>
          <w:rFonts w:ascii="Arial" w:hAnsi="Arial" w:cs="Arial"/>
          <w:b/>
          <w:sz w:val="24"/>
          <w:szCs w:val="24"/>
        </w:rPr>
        <w:t>1</w:t>
      </w:r>
    </w:p>
    <w:p w14:paraId="4375190F" w14:textId="77777777" w:rsidR="004A4734" w:rsidRPr="003809EC" w:rsidRDefault="004A4734">
      <w:pPr>
        <w:spacing w:after="0" w:line="259" w:lineRule="auto"/>
        <w:rPr>
          <w:rFonts w:ascii="Arial" w:hAnsi="Arial" w:cs="Arial"/>
          <w:sz w:val="24"/>
          <w:szCs w:val="24"/>
        </w:rPr>
      </w:pPr>
    </w:p>
    <w:p w14:paraId="7E4F200C" w14:textId="28A2EDE0" w:rsidR="004A4734" w:rsidRDefault="00CB39A4">
      <w:pPr>
        <w:spacing w:after="0" w:line="259" w:lineRule="auto"/>
        <w:rPr>
          <w:rFonts w:ascii="Arial" w:hAnsi="Arial" w:cs="Arial"/>
          <w:sz w:val="24"/>
          <w:szCs w:val="24"/>
        </w:rPr>
      </w:pPr>
      <w:r w:rsidRPr="003809EC">
        <w:rPr>
          <w:rFonts w:ascii="Arial" w:hAnsi="Arial" w:cs="Arial"/>
          <w:sz w:val="24"/>
          <w:szCs w:val="24"/>
        </w:rPr>
        <w:t>CALL-OFF INITIAL PERIOD:</w:t>
      </w:r>
      <w:r w:rsidR="003809EC">
        <w:rPr>
          <w:rFonts w:ascii="Arial" w:hAnsi="Arial" w:cs="Arial"/>
          <w:sz w:val="24"/>
          <w:szCs w:val="24"/>
        </w:rPr>
        <w:tab/>
      </w:r>
      <w:r w:rsidR="003809EC">
        <w:rPr>
          <w:rFonts w:ascii="Arial" w:hAnsi="Arial" w:cs="Arial"/>
          <w:sz w:val="24"/>
          <w:szCs w:val="24"/>
        </w:rPr>
        <w:tab/>
      </w:r>
      <w:r w:rsidR="0084404E">
        <w:rPr>
          <w:rFonts w:ascii="Arial" w:hAnsi="Arial" w:cs="Arial"/>
          <w:b/>
          <w:sz w:val="24"/>
          <w:szCs w:val="24"/>
        </w:rPr>
        <w:t>12 months</w:t>
      </w:r>
      <w:r w:rsidR="009F273E" w:rsidRPr="003809EC">
        <w:rPr>
          <w:rFonts w:ascii="Arial" w:hAnsi="Arial" w:cs="Arial"/>
          <w:sz w:val="24"/>
          <w:szCs w:val="24"/>
        </w:rPr>
        <w:t xml:space="preserve"> </w:t>
      </w:r>
    </w:p>
    <w:p w14:paraId="3D60B093" w14:textId="77777777" w:rsidR="00FB6CC0" w:rsidRDefault="00FB6CC0">
      <w:pPr>
        <w:spacing w:after="0" w:line="259" w:lineRule="auto"/>
        <w:rPr>
          <w:rFonts w:ascii="Arial" w:hAnsi="Arial" w:cs="Arial"/>
          <w:sz w:val="24"/>
          <w:szCs w:val="24"/>
        </w:rPr>
      </w:pPr>
    </w:p>
    <w:p w14:paraId="4162C002" w14:textId="63B18B12" w:rsidR="00FB6CC0" w:rsidRPr="003809EC" w:rsidRDefault="00FB6CC0">
      <w:pPr>
        <w:spacing w:after="0" w:line="259" w:lineRule="auto"/>
        <w:rPr>
          <w:rFonts w:ascii="Arial" w:hAnsi="Arial" w:cs="Arial"/>
          <w:sz w:val="24"/>
          <w:szCs w:val="24"/>
        </w:rPr>
      </w:pPr>
      <w:r>
        <w:rPr>
          <w:rFonts w:ascii="Arial" w:hAnsi="Arial" w:cs="Arial"/>
          <w:sz w:val="24"/>
          <w:szCs w:val="24"/>
        </w:rPr>
        <w:t>CALL-OFF OPTIONAL EXTENSION</w:t>
      </w:r>
      <w:r>
        <w:rPr>
          <w:rFonts w:ascii="Arial" w:hAnsi="Arial" w:cs="Arial"/>
          <w:sz w:val="24"/>
          <w:szCs w:val="24"/>
        </w:rPr>
        <w:tab/>
      </w:r>
      <w:r w:rsidR="0084404E">
        <w:rPr>
          <w:rFonts w:ascii="Arial" w:hAnsi="Arial" w:cs="Arial"/>
          <w:b/>
          <w:sz w:val="24"/>
          <w:szCs w:val="24"/>
        </w:rPr>
        <w:t>NA</w:t>
      </w:r>
    </w:p>
    <w:p w14:paraId="666F9572" w14:textId="082222A3" w:rsidR="00FB6CC0" w:rsidRDefault="00FB6CC0">
      <w:pPr>
        <w:spacing w:after="0" w:line="259" w:lineRule="auto"/>
        <w:rPr>
          <w:rFonts w:ascii="Arial" w:hAnsi="Arial" w:cs="Arial"/>
          <w:sz w:val="24"/>
          <w:szCs w:val="24"/>
        </w:rPr>
      </w:pPr>
      <w:r>
        <w:rPr>
          <w:rFonts w:ascii="Arial" w:hAnsi="Arial" w:cs="Arial"/>
          <w:sz w:val="24"/>
          <w:szCs w:val="24"/>
        </w:rPr>
        <w:t>PERIOD</w:t>
      </w:r>
    </w:p>
    <w:p w14:paraId="13DFAD41" w14:textId="77777777" w:rsidR="006635AE" w:rsidRPr="003809EC" w:rsidRDefault="006635AE">
      <w:pPr>
        <w:spacing w:after="0" w:line="259" w:lineRule="auto"/>
        <w:rPr>
          <w:rFonts w:ascii="Arial" w:hAnsi="Arial" w:cs="Arial"/>
          <w:sz w:val="24"/>
          <w:szCs w:val="24"/>
        </w:rPr>
      </w:pPr>
    </w:p>
    <w:p w14:paraId="1A1FEFC1" w14:textId="77777777" w:rsidR="001D084D" w:rsidRPr="003809EC" w:rsidRDefault="001D084D" w:rsidP="001D084D">
      <w:pPr>
        <w:spacing w:after="0" w:line="259" w:lineRule="auto"/>
        <w:rPr>
          <w:rFonts w:ascii="Arial" w:hAnsi="Arial" w:cs="Arial"/>
          <w:sz w:val="24"/>
          <w:szCs w:val="24"/>
        </w:rPr>
      </w:pPr>
      <w:r>
        <w:rPr>
          <w:rFonts w:ascii="Arial" w:hAnsi="Arial" w:cs="Arial"/>
          <w:sz w:val="24"/>
          <w:szCs w:val="24"/>
        </w:rPr>
        <w:t>CALL-OFF DELIVERABLES</w:t>
      </w:r>
      <w:r w:rsidRPr="003809EC">
        <w:rPr>
          <w:rFonts w:ascii="Arial" w:hAnsi="Arial" w:cs="Arial"/>
          <w:sz w:val="24"/>
          <w:szCs w:val="24"/>
        </w:rPr>
        <w:t xml:space="preserve"> </w:t>
      </w:r>
    </w:p>
    <w:p w14:paraId="70B39F2C" w14:textId="77777777" w:rsidR="004F76CE" w:rsidRPr="001A45DF" w:rsidRDefault="004F76CE" w:rsidP="004F76CE">
      <w:pPr>
        <w:pStyle w:val="Heading1"/>
        <w:tabs>
          <w:tab w:val="clear" w:pos="720"/>
        </w:tabs>
        <w:overflowPunct w:val="0"/>
        <w:autoSpaceDE w:val="0"/>
        <w:autoSpaceDN w:val="0"/>
        <w:spacing w:before="240" w:after="120"/>
        <w:textAlignment w:val="baseline"/>
        <w:rPr>
          <w:sz w:val="32"/>
          <w:szCs w:val="32"/>
        </w:rPr>
      </w:pPr>
      <w:bookmarkStart w:id="0" w:name="_Toc297554774"/>
      <w:bookmarkStart w:id="1" w:name="_Toc368573030"/>
      <w:bookmarkStart w:id="2" w:name="_Toc46474209"/>
      <w:bookmarkStart w:id="3" w:name="_Toc296415793"/>
      <w:r w:rsidRPr="001A45DF">
        <w:rPr>
          <w:sz w:val="32"/>
          <w:szCs w:val="32"/>
        </w:rPr>
        <w:t>scope of requirement</w:t>
      </w:r>
      <w:bookmarkEnd w:id="0"/>
      <w:bookmarkEnd w:id="1"/>
      <w:bookmarkEnd w:id="2"/>
      <w:r w:rsidRPr="001A45DF">
        <w:rPr>
          <w:sz w:val="32"/>
          <w:szCs w:val="32"/>
        </w:rPr>
        <w:t xml:space="preserve"> </w:t>
      </w:r>
    </w:p>
    <w:p w14:paraId="35EE5B30" w14:textId="77777777" w:rsidR="004F76CE" w:rsidRPr="00B94242" w:rsidRDefault="004F76CE" w:rsidP="004F76CE">
      <w:pPr>
        <w:pStyle w:val="Heading2"/>
        <w:tabs>
          <w:tab w:val="clear" w:pos="720"/>
          <w:tab w:val="num" w:pos="862"/>
        </w:tabs>
        <w:overflowPunct w:val="0"/>
        <w:autoSpaceDE w:val="0"/>
        <w:autoSpaceDN w:val="0"/>
        <w:spacing w:after="120"/>
        <w:ind w:left="709" w:hanging="709"/>
        <w:textAlignment w:val="baseline"/>
        <w:rPr>
          <w:sz w:val="24"/>
          <w:szCs w:val="24"/>
        </w:rPr>
      </w:pPr>
      <w:bookmarkStart w:id="4" w:name="_Toc368573031"/>
      <w:bookmarkEnd w:id="3"/>
      <w:r w:rsidRPr="00B94242">
        <w:rPr>
          <w:sz w:val="24"/>
          <w:szCs w:val="24"/>
        </w:rPr>
        <w:t>The scope of this requirement extends to the annual renewal of support and maintenance and renewal of existing licences</w:t>
      </w:r>
      <w:r>
        <w:rPr>
          <w:sz w:val="24"/>
          <w:szCs w:val="24"/>
        </w:rPr>
        <w:t>.  In</w:t>
      </w:r>
      <w:r w:rsidRPr="00B94242">
        <w:rPr>
          <w:sz w:val="24"/>
          <w:szCs w:val="24"/>
        </w:rPr>
        <w:t xml:space="preserve"> some cases </w:t>
      </w:r>
      <w:r>
        <w:rPr>
          <w:sz w:val="24"/>
          <w:szCs w:val="24"/>
        </w:rPr>
        <w:t>T</w:t>
      </w:r>
      <w:r w:rsidRPr="00B94242">
        <w:rPr>
          <w:sz w:val="24"/>
          <w:szCs w:val="24"/>
        </w:rPr>
        <w:t>rade-ups are required</w:t>
      </w:r>
      <w:r>
        <w:rPr>
          <w:sz w:val="24"/>
          <w:szCs w:val="24"/>
        </w:rPr>
        <w:t>, where End of Life products are traded-up to currently Supported products</w:t>
      </w:r>
      <w:r w:rsidRPr="00B94242">
        <w:rPr>
          <w:sz w:val="24"/>
          <w:szCs w:val="24"/>
        </w:rPr>
        <w:t xml:space="preserve">. The scope of the requirement </w:t>
      </w:r>
      <w:r w:rsidRPr="00B94242">
        <w:rPr>
          <w:b/>
          <w:sz w:val="24"/>
          <w:szCs w:val="24"/>
        </w:rPr>
        <w:t>does not</w:t>
      </w:r>
      <w:r w:rsidRPr="00B94242">
        <w:rPr>
          <w:sz w:val="24"/>
          <w:szCs w:val="24"/>
        </w:rPr>
        <w:t xml:space="preserve"> extend to new licences.</w:t>
      </w:r>
    </w:p>
    <w:p w14:paraId="142D1230" w14:textId="77777777" w:rsidR="004F76CE" w:rsidRPr="00B94242" w:rsidRDefault="004F76CE" w:rsidP="004F76CE">
      <w:pPr>
        <w:pStyle w:val="Heading2"/>
        <w:tabs>
          <w:tab w:val="clear" w:pos="720"/>
          <w:tab w:val="num" w:pos="862"/>
        </w:tabs>
        <w:overflowPunct w:val="0"/>
        <w:autoSpaceDE w:val="0"/>
        <w:autoSpaceDN w:val="0"/>
        <w:spacing w:after="120"/>
        <w:ind w:left="709" w:hanging="709"/>
        <w:textAlignment w:val="baseline"/>
        <w:rPr>
          <w:sz w:val="24"/>
          <w:szCs w:val="24"/>
        </w:rPr>
      </w:pPr>
      <w:r w:rsidRPr="00B94242">
        <w:rPr>
          <w:sz w:val="24"/>
          <w:szCs w:val="24"/>
        </w:rPr>
        <w:t>There are varying start dates for the renewals, these dates can be found in Annex A – Requirement Specification.</w:t>
      </w:r>
    </w:p>
    <w:p w14:paraId="201F756F" w14:textId="77777777" w:rsidR="004F76CE" w:rsidRDefault="004F76CE" w:rsidP="004F76CE">
      <w:pPr>
        <w:pStyle w:val="Heading1"/>
        <w:spacing w:after="120"/>
        <w:rPr>
          <w:sz w:val="32"/>
          <w:szCs w:val="32"/>
        </w:rPr>
      </w:pPr>
      <w:bookmarkStart w:id="5" w:name="_Toc46474210"/>
      <w:r w:rsidRPr="001A45DF">
        <w:rPr>
          <w:sz w:val="32"/>
          <w:szCs w:val="32"/>
        </w:rPr>
        <w:lastRenderedPageBreak/>
        <w:t>The requirement</w:t>
      </w:r>
      <w:bookmarkEnd w:id="4"/>
      <w:bookmarkEnd w:id="5"/>
    </w:p>
    <w:p w14:paraId="71E8ED6D" w14:textId="77777777" w:rsidR="004F76CE" w:rsidRPr="00B94242" w:rsidRDefault="004F76CE" w:rsidP="004F76CE">
      <w:pPr>
        <w:pStyle w:val="Heading2"/>
        <w:tabs>
          <w:tab w:val="clear" w:pos="720"/>
          <w:tab w:val="num" w:pos="709"/>
        </w:tabs>
        <w:spacing w:after="120"/>
        <w:ind w:left="709" w:hanging="709"/>
        <w:jc w:val="left"/>
        <w:rPr>
          <w:rFonts w:cs="Arial"/>
          <w:sz w:val="24"/>
          <w:szCs w:val="24"/>
        </w:rPr>
      </w:pPr>
      <w:r>
        <w:rPr>
          <w:rFonts w:cs="Arial"/>
          <w:sz w:val="24"/>
          <w:szCs w:val="24"/>
        </w:rPr>
        <w:t xml:space="preserve">The requirement is for the </w:t>
      </w:r>
      <w:r w:rsidRPr="00B94242">
        <w:rPr>
          <w:rFonts w:cs="Arial"/>
          <w:sz w:val="24"/>
          <w:szCs w:val="24"/>
        </w:rPr>
        <w:t>renewal of existing licences, support and maintenance.</w:t>
      </w:r>
      <w:r>
        <w:rPr>
          <w:rFonts w:cs="Arial"/>
          <w:sz w:val="24"/>
          <w:szCs w:val="24"/>
        </w:rPr>
        <w:t xml:space="preserve"> A </w:t>
      </w:r>
      <w:r w:rsidRPr="00B94242">
        <w:rPr>
          <w:rFonts w:cs="Arial"/>
          <w:sz w:val="24"/>
          <w:szCs w:val="24"/>
        </w:rPr>
        <w:t xml:space="preserve">full </w:t>
      </w:r>
      <w:r>
        <w:rPr>
          <w:rFonts w:cs="Arial"/>
          <w:sz w:val="24"/>
          <w:szCs w:val="24"/>
        </w:rPr>
        <w:t>breakdown of which</w:t>
      </w:r>
      <w:r w:rsidRPr="00B94242">
        <w:rPr>
          <w:rFonts w:cs="Arial"/>
          <w:sz w:val="24"/>
          <w:szCs w:val="24"/>
        </w:rPr>
        <w:t xml:space="preserve"> is detailed in Annex A – Requirement Specification document.</w:t>
      </w:r>
    </w:p>
    <w:p w14:paraId="0FE96117" w14:textId="77777777" w:rsidR="004F76CE" w:rsidRPr="00B94242" w:rsidRDefault="004F76CE" w:rsidP="004F76CE">
      <w:pPr>
        <w:pStyle w:val="Heading2"/>
        <w:spacing w:after="120"/>
        <w:ind w:left="709" w:hanging="709"/>
        <w:rPr>
          <w:rFonts w:cs="Arial"/>
          <w:sz w:val="24"/>
          <w:szCs w:val="24"/>
        </w:rPr>
      </w:pPr>
      <w:r w:rsidRPr="00B94242">
        <w:rPr>
          <w:rFonts w:cs="Arial"/>
          <w:sz w:val="24"/>
          <w:szCs w:val="24"/>
        </w:rPr>
        <w:t>Annex A – Requirement Specification is composed of three sheets, the breakdown of each sheet is as follows:</w:t>
      </w:r>
    </w:p>
    <w:p w14:paraId="073E77D1" w14:textId="77777777" w:rsidR="004F76CE" w:rsidRPr="00B94242" w:rsidRDefault="004F76CE" w:rsidP="004F76CE">
      <w:pPr>
        <w:pStyle w:val="Heading2"/>
        <w:spacing w:after="120"/>
        <w:ind w:left="709" w:hanging="709"/>
        <w:rPr>
          <w:rFonts w:cs="Arial"/>
          <w:sz w:val="24"/>
          <w:szCs w:val="24"/>
        </w:rPr>
      </w:pPr>
      <w:r w:rsidRPr="00B94242">
        <w:rPr>
          <w:rFonts w:cs="Arial"/>
          <w:b/>
          <w:sz w:val="24"/>
          <w:szCs w:val="24"/>
          <w:u w:val="single"/>
        </w:rPr>
        <w:t>Renewal List</w:t>
      </w:r>
      <w:r>
        <w:rPr>
          <w:rFonts w:cs="Arial"/>
          <w:b/>
          <w:sz w:val="24"/>
          <w:szCs w:val="24"/>
          <w:u w:val="single"/>
        </w:rPr>
        <w:t xml:space="preserve"> – Annex A</w:t>
      </w:r>
    </w:p>
    <w:p w14:paraId="028732D8" w14:textId="77777777" w:rsidR="004F76CE" w:rsidRPr="00E046E4" w:rsidRDefault="004F76CE" w:rsidP="004F76CE">
      <w:pPr>
        <w:pStyle w:val="Heading3"/>
        <w:numPr>
          <w:ilvl w:val="0"/>
          <w:numId w:val="0"/>
        </w:numPr>
        <w:ind w:left="709"/>
        <w:rPr>
          <w:rFonts w:cs="Arial"/>
          <w:sz w:val="24"/>
          <w:szCs w:val="24"/>
        </w:rPr>
      </w:pPr>
      <w:r w:rsidRPr="00E046E4">
        <w:rPr>
          <w:rFonts w:cs="Arial"/>
          <w:sz w:val="24"/>
          <w:szCs w:val="24"/>
        </w:rPr>
        <w:t xml:space="preserve">This sheet contains three (3) tabs: </w:t>
      </w:r>
    </w:p>
    <w:p w14:paraId="17B63880" w14:textId="77777777" w:rsidR="004F76CE" w:rsidRPr="00651C65" w:rsidRDefault="004F76CE" w:rsidP="004F76CE">
      <w:pPr>
        <w:pStyle w:val="Heading3"/>
        <w:rPr>
          <w:sz w:val="24"/>
          <w:szCs w:val="24"/>
        </w:rPr>
      </w:pPr>
      <w:r w:rsidRPr="00651C65">
        <w:rPr>
          <w:sz w:val="24"/>
          <w:szCs w:val="24"/>
        </w:rPr>
        <w:t xml:space="preserve">“SMITS S&amp;M Renewal Sept 2020” tab, which outlines the product description, account detail, serial number, token number details for the support and maintenance that are due for renewal under this contract. Included on this sheet are the expiry dates, the level of support and maintenance required. The Comments column lists requests to co-term expiry dates, as well as Annual Renewals for 12 months renewal and identifying Riverbed items to be traded-up, which are End of Life. </w:t>
      </w:r>
    </w:p>
    <w:p w14:paraId="44A24A8A" w14:textId="77777777" w:rsidR="004F76CE" w:rsidRPr="00651C65" w:rsidRDefault="004F76CE" w:rsidP="004F76CE">
      <w:pPr>
        <w:pStyle w:val="Heading3"/>
        <w:rPr>
          <w:sz w:val="24"/>
          <w:szCs w:val="24"/>
        </w:rPr>
      </w:pPr>
      <w:r w:rsidRPr="00651C65">
        <w:rPr>
          <w:sz w:val="24"/>
          <w:szCs w:val="24"/>
        </w:rPr>
        <w:t xml:space="preserve">“SAP Renewal” tab is referenced from the line item 497 SAP Business Objects Business Intelligence Platform 4.2, this tab provides the License Key, Product License details and Quantities to enable a Quote to be provided. </w:t>
      </w:r>
    </w:p>
    <w:p w14:paraId="211257EB" w14:textId="38BE6839" w:rsidR="004F76CE" w:rsidRPr="00651C65" w:rsidRDefault="004F76CE" w:rsidP="004F76CE">
      <w:pPr>
        <w:pStyle w:val="Heading3"/>
        <w:rPr>
          <w:sz w:val="24"/>
          <w:szCs w:val="24"/>
        </w:rPr>
      </w:pPr>
      <w:r w:rsidRPr="00651C65">
        <w:rPr>
          <w:sz w:val="24"/>
          <w:szCs w:val="24"/>
        </w:rPr>
        <w:t xml:space="preserve">“Riverbed Trade Up” tab, itemises the </w:t>
      </w:r>
      <w:r>
        <w:rPr>
          <w:sz w:val="24"/>
          <w:szCs w:val="24"/>
        </w:rPr>
        <w:t xml:space="preserve">new </w:t>
      </w:r>
      <w:r w:rsidRPr="00651C65">
        <w:rPr>
          <w:sz w:val="24"/>
          <w:szCs w:val="24"/>
        </w:rPr>
        <w:t>Riverbed software being traded-up</w:t>
      </w:r>
      <w:r>
        <w:rPr>
          <w:sz w:val="24"/>
          <w:szCs w:val="24"/>
        </w:rPr>
        <w:t xml:space="preserve"> </w:t>
      </w:r>
      <w:proofErr w:type="gramStart"/>
      <w:r>
        <w:rPr>
          <w:sz w:val="24"/>
          <w:szCs w:val="24"/>
        </w:rPr>
        <w:t xml:space="preserve">and </w:t>
      </w:r>
      <w:r w:rsidRPr="00651C65">
        <w:rPr>
          <w:sz w:val="24"/>
          <w:szCs w:val="24"/>
        </w:rPr>
        <w:t xml:space="preserve"> provid</w:t>
      </w:r>
      <w:r>
        <w:rPr>
          <w:sz w:val="24"/>
          <w:szCs w:val="24"/>
        </w:rPr>
        <w:t>es</w:t>
      </w:r>
      <w:proofErr w:type="gramEnd"/>
      <w:r>
        <w:rPr>
          <w:sz w:val="24"/>
          <w:szCs w:val="24"/>
        </w:rPr>
        <w:t xml:space="preserve"> </w:t>
      </w:r>
      <w:r w:rsidRPr="00651C65">
        <w:rPr>
          <w:sz w:val="24"/>
          <w:szCs w:val="24"/>
        </w:rPr>
        <w:t xml:space="preserve"> </w:t>
      </w:r>
      <w:r>
        <w:rPr>
          <w:sz w:val="24"/>
          <w:szCs w:val="24"/>
        </w:rPr>
        <w:t xml:space="preserve">additional </w:t>
      </w:r>
      <w:r w:rsidRPr="00651C65">
        <w:rPr>
          <w:sz w:val="24"/>
          <w:szCs w:val="24"/>
        </w:rPr>
        <w:t>details,</w:t>
      </w:r>
      <w:r>
        <w:rPr>
          <w:sz w:val="24"/>
          <w:szCs w:val="24"/>
        </w:rPr>
        <w:t xml:space="preserve"> such as</w:t>
      </w:r>
      <w:r w:rsidRPr="00651C65">
        <w:rPr>
          <w:sz w:val="24"/>
          <w:szCs w:val="24"/>
        </w:rPr>
        <w:t xml:space="preserve"> the Support requirements and additional Software required.</w:t>
      </w:r>
    </w:p>
    <w:p w14:paraId="57C3864C" w14:textId="77777777" w:rsidR="004F76CE" w:rsidRPr="00651C65" w:rsidRDefault="004F76CE" w:rsidP="004F76CE">
      <w:pPr>
        <w:pStyle w:val="Heading2"/>
        <w:rPr>
          <w:b/>
          <w:sz w:val="24"/>
          <w:szCs w:val="24"/>
        </w:rPr>
      </w:pPr>
      <w:r w:rsidRPr="00651C65">
        <w:rPr>
          <w:b/>
          <w:sz w:val="24"/>
          <w:szCs w:val="24"/>
        </w:rPr>
        <w:t>Licence Renewals:</w:t>
      </w:r>
    </w:p>
    <w:p w14:paraId="0303E6BB" w14:textId="77777777" w:rsidR="004F76CE" w:rsidRPr="00B94242" w:rsidRDefault="004F76CE" w:rsidP="004F76CE">
      <w:pPr>
        <w:pStyle w:val="Heading2"/>
        <w:tabs>
          <w:tab w:val="clear" w:pos="720"/>
          <w:tab w:val="num" w:pos="709"/>
        </w:tabs>
        <w:spacing w:after="120"/>
        <w:ind w:left="709" w:hanging="709"/>
        <w:rPr>
          <w:rFonts w:cs="Arial"/>
          <w:sz w:val="24"/>
          <w:szCs w:val="24"/>
        </w:rPr>
      </w:pPr>
      <w:r>
        <w:rPr>
          <w:rFonts w:cs="Arial"/>
          <w:sz w:val="24"/>
          <w:szCs w:val="24"/>
        </w:rPr>
        <w:t xml:space="preserve">In Annex A the </w:t>
      </w:r>
      <w:r w:rsidRPr="00C87EF0">
        <w:rPr>
          <w:rFonts w:cs="Arial"/>
          <w:sz w:val="24"/>
          <w:szCs w:val="24"/>
        </w:rPr>
        <w:t>“SMITS S&amp;M Renewal Sept 2020” tab</w:t>
      </w:r>
      <w:r w:rsidRPr="00C87EF0" w:rsidDel="00C87EF0">
        <w:rPr>
          <w:rFonts w:cs="Arial"/>
          <w:sz w:val="24"/>
          <w:szCs w:val="24"/>
        </w:rPr>
        <w:t xml:space="preserve"> </w:t>
      </w:r>
      <w:r>
        <w:rPr>
          <w:rFonts w:cs="Arial"/>
          <w:sz w:val="24"/>
          <w:szCs w:val="24"/>
        </w:rPr>
        <w:t>outlines the</w:t>
      </w:r>
      <w:r w:rsidRPr="00B94242">
        <w:rPr>
          <w:rFonts w:cs="Arial"/>
          <w:sz w:val="24"/>
          <w:szCs w:val="24"/>
        </w:rPr>
        <w:t xml:space="preserve"> Requirement Specification </w:t>
      </w:r>
      <w:r>
        <w:rPr>
          <w:rFonts w:cs="Arial"/>
          <w:sz w:val="24"/>
          <w:szCs w:val="24"/>
        </w:rPr>
        <w:t>of</w:t>
      </w:r>
      <w:r w:rsidRPr="00B94242">
        <w:rPr>
          <w:rFonts w:cs="Arial"/>
          <w:sz w:val="24"/>
          <w:szCs w:val="24"/>
        </w:rPr>
        <w:t xml:space="preserve"> the licences and quantities that are to be renewed</w:t>
      </w:r>
      <w:r>
        <w:rPr>
          <w:rFonts w:cs="Arial"/>
          <w:sz w:val="24"/>
          <w:szCs w:val="24"/>
        </w:rPr>
        <w:t>,</w:t>
      </w:r>
      <w:r w:rsidRPr="00B94242">
        <w:rPr>
          <w:rFonts w:cs="Arial"/>
          <w:sz w:val="24"/>
          <w:szCs w:val="24"/>
        </w:rPr>
        <w:t xml:space="preserve"> </w:t>
      </w:r>
      <w:r>
        <w:rPr>
          <w:rFonts w:cs="Arial"/>
          <w:sz w:val="24"/>
          <w:szCs w:val="24"/>
        </w:rPr>
        <w:t>including the</w:t>
      </w:r>
      <w:r w:rsidRPr="00B94242">
        <w:rPr>
          <w:rFonts w:cs="Arial"/>
          <w:sz w:val="24"/>
          <w:szCs w:val="24"/>
        </w:rPr>
        <w:t xml:space="preserve"> </w:t>
      </w:r>
      <w:r>
        <w:rPr>
          <w:rFonts w:cs="Arial"/>
          <w:sz w:val="24"/>
          <w:szCs w:val="24"/>
        </w:rPr>
        <w:t>request</w:t>
      </w:r>
      <w:r w:rsidRPr="00B94242">
        <w:rPr>
          <w:rFonts w:cs="Arial"/>
          <w:sz w:val="24"/>
          <w:szCs w:val="24"/>
        </w:rPr>
        <w:t xml:space="preserve"> </w:t>
      </w:r>
      <w:r>
        <w:rPr>
          <w:rFonts w:cs="Arial"/>
          <w:sz w:val="24"/>
          <w:szCs w:val="24"/>
        </w:rPr>
        <w:t xml:space="preserve">in some cases, </w:t>
      </w:r>
      <w:r w:rsidRPr="00B94242">
        <w:rPr>
          <w:rFonts w:cs="Arial"/>
          <w:sz w:val="24"/>
          <w:szCs w:val="24"/>
        </w:rPr>
        <w:t xml:space="preserve">to co-term the renewals </w:t>
      </w:r>
      <w:r>
        <w:rPr>
          <w:rFonts w:cs="Arial"/>
          <w:sz w:val="24"/>
          <w:szCs w:val="24"/>
        </w:rPr>
        <w:t xml:space="preserve">to </w:t>
      </w:r>
      <w:r w:rsidRPr="00B94242">
        <w:rPr>
          <w:rFonts w:cs="Arial"/>
          <w:sz w:val="24"/>
          <w:szCs w:val="24"/>
        </w:rPr>
        <w:t>September 2021.</w:t>
      </w:r>
    </w:p>
    <w:p w14:paraId="47B75499" w14:textId="77777777" w:rsidR="004F76CE" w:rsidRPr="00B94242" w:rsidRDefault="004F76CE" w:rsidP="004F76CE">
      <w:pPr>
        <w:pStyle w:val="Heading2"/>
        <w:spacing w:after="120"/>
        <w:ind w:left="709" w:hanging="709"/>
        <w:rPr>
          <w:rFonts w:cs="Arial"/>
          <w:sz w:val="24"/>
          <w:szCs w:val="24"/>
        </w:rPr>
      </w:pPr>
      <w:r w:rsidRPr="00B94242">
        <w:rPr>
          <w:rFonts w:cs="Arial"/>
          <w:sz w:val="24"/>
          <w:szCs w:val="24"/>
        </w:rPr>
        <w:t>If there are any late/reinstatement fees that will apply, Potential Providers are asked to outline the cost of these in A</w:t>
      </w:r>
      <w:r>
        <w:rPr>
          <w:rFonts w:cs="Arial"/>
          <w:sz w:val="24"/>
          <w:szCs w:val="24"/>
        </w:rPr>
        <w:t>ttachment 4</w:t>
      </w:r>
      <w:r w:rsidRPr="00B94242">
        <w:rPr>
          <w:rFonts w:cs="Arial"/>
          <w:sz w:val="24"/>
          <w:szCs w:val="24"/>
        </w:rPr>
        <w:t xml:space="preserve"> – Price Schedule.</w:t>
      </w:r>
    </w:p>
    <w:p w14:paraId="5F35420E" w14:textId="77777777" w:rsidR="004F76CE" w:rsidRPr="00B94242" w:rsidRDefault="004F76CE" w:rsidP="004F76CE">
      <w:pPr>
        <w:pStyle w:val="Heading2"/>
        <w:numPr>
          <w:ilvl w:val="0"/>
          <w:numId w:val="0"/>
        </w:numPr>
        <w:spacing w:after="120"/>
        <w:ind w:left="709"/>
        <w:rPr>
          <w:rFonts w:cs="Arial"/>
          <w:sz w:val="24"/>
          <w:szCs w:val="24"/>
        </w:rPr>
      </w:pPr>
      <w:r w:rsidRPr="00B94242">
        <w:rPr>
          <w:rFonts w:cs="Arial"/>
          <w:b/>
          <w:sz w:val="24"/>
          <w:szCs w:val="24"/>
        </w:rPr>
        <w:t>Support and Maintenance:</w:t>
      </w:r>
    </w:p>
    <w:p w14:paraId="19340714" w14:textId="77777777" w:rsidR="004F76CE" w:rsidRPr="00B94242" w:rsidRDefault="004F76CE" w:rsidP="004F76CE">
      <w:pPr>
        <w:pStyle w:val="Heading2"/>
        <w:spacing w:after="120"/>
        <w:ind w:left="709" w:hanging="709"/>
        <w:rPr>
          <w:rFonts w:cs="Arial"/>
          <w:sz w:val="24"/>
          <w:szCs w:val="24"/>
        </w:rPr>
      </w:pPr>
      <w:r w:rsidRPr="00B94242">
        <w:rPr>
          <w:rFonts w:cs="Arial"/>
          <w:sz w:val="24"/>
          <w:szCs w:val="24"/>
        </w:rPr>
        <w:t>The Authority require the following support and maintenance levels as outlined in the table below:</w:t>
      </w:r>
    </w:p>
    <w:tbl>
      <w:tblPr>
        <w:tblStyle w:val="TableGrid"/>
        <w:tblW w:w="8188" w:type="dxa"/>
        <w:tblInd w:w="709" w:type="dxa"/>
        <w:tblLook w:val="04A0" w:firstRow="1" w:lastRow="0" w:firstColumn="1" w:lastColumn="0" w:noHBand="0" w:noVBand="1"/>
      </w:tblPr>
      <w:tblGrid>
        <w:gridCol w:w="2165"/>
        <w:gridCol w:w="6023"/>
      </w:tblGrid>
      <w:tr w:rsidR="004F76CE" w:rsidRPr="00B94242" w14:paraId="47AA5B25" w14:textId="77777777" w:rsidTr="00102149">
        <w:tc>
          <w:tcPr>
            <w:tcW w:w="2165" w:type="dxa"/>
            <w:shd w:val="clear" w:color="auto" w:fill="B8CCE4" w:themeFill="accent1" w:themeFillTint="66"/>
          </w:tcPr>
          <w:p w14:paraId="7C0044A2" w14:textId="77777777" w:rsidR="004F76CE" w:rsidRPr="00B94242" w:rsidRDefault="004F76CE" w:rsidP="00102149">
            <w:pPr>
              <w:pStyle w:val="Heading2"/>
              <w:numPr>
                <w:ilvl w:val="0"/>
                <w:numId w:val="0"/>
              </w:numPr>
              <w:tabs>
                <w:tab w:val="num" w:pos="1004"/>
              </w:tabs>
              <w:spacing w:after="120"/>
              <w:jc w:val="center"/>
              <w:outlineLvl w:val="1"/>
              <w:rPr>
                <w:rFonts w:cs="Arial"/>
                <w:b/>
                <w:sz w:val="24"/>
                <w:szCs w:val="24"/>
              </w:rPr>
            </w:pPr>
            <w:r w:rsidRPr="00B94242">
              <w:rPr>
                <w:rFonts w:cs="Arial"/>
                <w:b/>
                <w:sz w:val="24"/>
                <w:szCs w:val="24"/>
              </w:rPr>
              <w:t>Product Support</w:t>
            </w:r>
          </w:p>
        </w:tc>
        <w:tc>
          <w:tcPr>
            <w:tcW w:w="6023" w:type="dxa"/>
            <w:shd w:val="clear" w:color="auto" w:fill="B8CCE4" w:themeFill="accent1" w:themeFillTint="66"/>
          </w:tcPr>
          <w:p w14:paraId="3155E7CC" w14:textId="77777777" w:rsidR="004F76CE" w:rsidRPr="00B94242" w:rsidRDefault="004F76CE" w:rsidP="00102149">
            <w:pPr>
              <w:pStyle w:val="Heading2"/>
              <w:numPr>
                <w:ilvl w:val="0"/>
                <w:numId w:val="0"/>
              </w:numPr>
              <w:tabs>
                <w:tab w:val="num" w:pos="1004"/>
              </w:tabs>
              <w:spacing w:after="120"/>
              <w:jc w:val="center"/>
              <w:outlineLvl w:val="1"/>
              <w:rPr>
                <w:rFonts w:cs="Arial"/>
                <w:b/>
                <w:sz w:val="24"/>
                <w:szCs w:val="24"/>
              </w:rPr>
            </w:pPr>
            <w:r w:rsidRPr="00B94242">
              <w:rPr>
                <w:rFonts w:cs="Arial"/>
                <w:b/>
                <w:sz w:val="24"/>
                <w:szCs w:val="24"/>
              </w:rPr>
              <w:t>Support Provisions</w:t>
            </w:r>
          </w:p>
        </w:tc>
      </w:tr>
      <w:tr w:rsidR="004F76CE" w:rsidRPr="00B94242" w14:paraId="5EB7F49F" w14:textId="77777777" w:rsidTr="00102149">
        <w:tc>
          <w:tcPr>
            <w:tcW w:w="2165" w:type="dxa"/>
          </w:tcPr>
          <w:p w14:paraId="6D7772B4" w14:textId="77777777" w:rsidR="004F76CE" w:rsidRPr="00B94242" w:rsidRDefault="004F76CE" w:rsidP="00102149">
            <w:pPr>
              <w:pStyle w:val="Heading2"/>
              <w:numPr>
                <w:ilvl w:val="0"/>
                <w:numId w:val="0"/>
              </w:numPr>
              <w:tabs>
                <w:tab w:val="num" w:pos="1004"/>
              </w:tabs>
              <w:spacing w:after="120"/>
              <w:jc w:val="left"/>
              <w:outlineLvl w:val="1"/>
              <w:rPr>
                <w:rFonts w:cs="Arial"/>
                <w:sz w:val="24"/>
                <w:szCs w:val="24"/>
              </w:rPr>
            </w:pPr>
            <w:r w:rsidRPr="00B94242">
              <w:rPr>
                <w:rFonts w:cs="Arial"/>
                <w:sz w:val="24"/>
                <w:szCs w:val="24"/>
              </w:rPr>
              <w:t>BMC Continuous Support and Maintenance</w:t>
            </w:r>
          </w:p>
        </w:tc>
        <w:tc>
          <w:tcPr>
            <w:tcW w:w="6023" w:type="dxa"/>
          </w:tcPr>
          <w:p w14:paraId="1A78628C" w14:textId="77777777" w:rsidR="004F76CE" w:rsidRPr="00B94242" w:rsidRDefault="004F76CE" w:rsidP="00102149">
            <w:pPr>
              <w:pStyle w:val="Heading2"/>
              <w:numPr>
                <w:ilvl w:val="0"/>
                <w:numId w:val="0"/>
              </w:numPr>
              <w:tabs>
                <w:tab w:val="num" w:pos="1004"/>
              </w:tabs>
              <w:spacing w:after="120"/>
              <w:jc w:val="left"/>
              <w:outlineLvl w:val="1"/>
              <w:rPr>
                <w:rFonts w:cs="Arial"/>
                <w:sz w:val="24"/>
                <w:szCs w:val="24"/>
              </w:rPr>
            </w:pPr>
            <w:r w:rsidRPr="00B94242">
              <w:rPr>
                <w:rFonts w:cs="Arial"/>
                <w:sz w:val="24"/>
                <w:szCs w:val="24"/>
              </w:rPr>
              <w:t xml:space="preserve">As part of the </w:t>
            </w:r>
            <w:r w:rsidRPr="00B94242">
              <w:rPr>
                <w:rFonts w:cs="Arial"/>
                <w:b/>
                <w:sz w:val="24"/>
                <w:szCs w:val="24"/>
              </w:rPr>
              <w:t>Continuous BMC Support and Maintenance</w:t>
            </w:r>
            <w:r w:rsidRPr="00B94242">
              <w:rPr>
                <w:rFonts w:cs="Arial"/>
                <w:sz w:val="24"/>
                <w:szCs w:val="24"/>
              </w:rPr>
              <w:t xml:space="preserve"> required for the BMC Products in Annex </w:t>
            </w:r>
            <w:proofErr w:type="gramStart"/>
            <w:r w:rsidRPr="00B94242">
              <w:rPr>
                <w:rFonts w:cs="Arial"/>
                <w:sz w:val="24"/>
                <w:szCs w:val="24"/>
              </w:rPr>
              <w:t>A</w:t>
            </w:r>
            <w:proofErr w:type="gramEnd"/>
            <w:r w:rsidRPr="00B94242">
              <w:rPr>
                <w:rFonts w:cs="Arial"/>
                <w:sz w:val="24"/>
                <w:szCs w:val="24"/>
              </w:rPr>
              <w:t xml:space="preserve"> – Requirement Specification, the following provisions will apply;</w:t>
            </w:r>
          </w:p>
          <w:p w14:paraId="176951C7" w14:textId="77777777" w:rsidR="004F76CE" w:rsidRPr="00B94242" w:rsidRDefault="004F76CE" w:rsidP="004F76CE">
            <w:pPr>
              <w:pStyle w:val="Heading2"/>
              <w:numPr>
                <w:ilvl w:val="0"/>
                <w:numId w:val="19"/>
              </w:numPr>
              <w:overflowPunct w:val="0"/>
              <w:autoSpaceDE w:val="0"/>
              <w:autoSpaceDN w:val="0"/>
              <w:spacing w:after="120"/>
              <w:jc w:val="left"/>
              <w:textAlignment w:val="baseline"/>
              <w:outlineLvl w:val="1"/>
              <w:rPr>
                <w:rFonts w:cs="Arial"/>
                <w:sz w:val="24"/>
                <w:szCs w:val="24"/>
              </w:rPr>
            </w:pPr>
            <w:r w:rsidRPr="00B94242">
              <w:rPr>
                <w:rFonts w:cs="Arial"/>
                <w:sz w:val="24"/>
                <w:szCs w:val="24"/>
              </w:rPr>
              <w:t>Access to 24 x 7 website, phone and email support and;</w:t>
            </w:r>
          </w:p>
          <w:p w14:paraId="3E730C9F" w14:textId="77777777" w:rsidR="004F76CE" w:rsidRPr="00B94242" w:rsidRDefault="004F76CE" w:rsidP="004F76CE">
            <w:pPr>
              <w:pStyle w:val="Heading2"/>
              <w:numPr>
                <w:ilvl w:val="0"/>
                <w:numId w:val="19"/>
              </w:numPr>
              <w:overflowPunct w:val="0"/>
              <w:autoSpaceDE w:val="0"/>
              <w:autoSpaceDN w:val="0"/>
              <w:spacing w:after="120"/>
              <w:jc w:val="left"/>
              <w:textAlignment w:val="baseline"/>
              <w:outlineLvl w:val="1"/>
              <w:rPr>
                <w:rFonts w:cs="Arial"/>
                <w:sz w:val="24"/>
                <w:szCs w:val="24"/>
              </w:rPr>
            </w:pPr>
            <w:r w:rsidRPr="00B94242">
              <w:rPr>
                <w:rFonts w:cs="Arial"/>
                <w:sz w:val="24"/>
                <w:szCs w:val="24"/>
              </w:rPr>
              <w:lastRenderedPageBreak/>
              <w:t>Software support including maintenance releases and major upgrades throughout the twelve (12) month contract term.</w:t>
            </w:r>
          </w:p>
        </w:tc>
      </w:tr>
      <w:tr w:rsidR="004F76CE" w:rsidRPr="00B94242" w14:paraId="7DBC02D4" w14:textId="77777777" w:rsidTr="00102149">
        <w:tc>
          <w:tcPr>
            <w:tcW w:w="2165" w:type="dxa"/>
          </w:tcPr>
          <w:p w14:paraId="52304ED4" w14:textId="77777777" w:rsidR="004F76CE" w:rsidRPr="00B94242" w:rsidRDefault="004F76CE" w:rsidP="00102149">
            <w:pPr>
              <w:pStyle w:val="Heading2"/>
              <w:numPr>
                <w:ilvl w:val="0"/>
                <w:numId w:val="0"/>
              </w:numPr>
              <w:tabs>
                <w:tab w:val="num" w:pos="1004"/>
              </w:tabs>
              <w:spacing w:after="120"/>
              <w:jc w:val="left"/>
              <w:outlineLvl w:val="1"/>
              <w:rPr>
                <w:rFonts w:cs="Arial"/>
                <w:sz w:val="24"/>
                <w:szCs w:val="24"/>
              </w:rPr>
            </w:pPr>
            <w:r w:rsidRPr="00B94242">
              <w:rPr>
                <w:rFonts w:cs="Arial"/>
                <w:sz w:val="24"/>
                <w:szCs w:val="24"/>
              </w:rPr>
              <w:lastRenderedPageBreak/>
              <w:t>Pulse Secure</w:t>
            </w:r>
          </w:p>
        </w:tc>
        <w:tc>
          <w:tcPr>
            <w:tcW w:w="6023" w:type="dxa"/>
          </w:tcPr>
          <w:p w14:paraId="224CF768" w14:textId="77777777" w:rsidR="004F76CE" w:rsidRPr="00B94242" w:rsidRDefault="004F76CE" w:rsidP="00102149">
            <w:pPr>
              <w:pStyle w:val="Heading2"/>
              <w:numPr>
                <w:ilvl w:val="0"/>
                <w:numId w:val="0"/>
              </w:numPr>
              <w:tabs>
                <w:tab w:val="num" w:pos="1004"/>
              </w:tabs>
              <w:spacing w:after="120"/>
              <w:jc w:val="left"/>
              <w:outlineLvl w:val="1"/>
              <w:rPr>
                <w:rFonts w:cs="Arial"/>
                <w:sz w:val="24"/>
                <w:szCs w:val="24"/>
              </w:rPr>
            </w:pPr>
            <w:r w:rsidRPr="00B94242">
              <w:rPr>
                <w:rFonts w:cs="Arial"/>
                <w:sz w:val="24"/>
                <w:szCs w:val="24"/>
              </w:rPr>
              <w:t xml:space="preserve">Refer </w:t>
            </w:r>
            <w:r>
              <w:rPr>
                <w:rFonts w:cs="Arial"/>
                <w:sz w:val="24"/>
                <w:szCs w:val="24"/>
              </w:rPr>
              <w:t xml:space="preserve">to </w:t>
            </w:r>
            <w:r w:rsidRPr="00B94242">
              <w:rPr>
                <w:rFonts w:cs="Arial"/>
                <w:sz w:val="24"/>
                <w:szCs w:val="24"/>
              </w:rPr>
              <w:t>Annex A</w:t>
            </w:r>
          </w:p>
        </w:tc>
      </w:tr>
      <w:tr w:rsidR="004F76CE" w:rsidRPr="00B94242" w14:paraId="3620C476" w14:textId="77777777" w:rsidTr="00102149">
        <w:tc>
          <w:tcPr>
            <w:tcW w:w="2165" w:type="dxa"/>
          </w:tcPr>
          <w:p w14:paraId="30C58C1B" w14:textId="77777777" w:rsidR="004F76CE" w:rsidRPr="00B94242" w:rsidRDefault="004F76CE" w:rsidP="00102149">
            <w:pPr>
              <w:pStyle w:val="Heading2"/>
              <w:numPr>
                <w:ilvl w:val="0"/>
                <w:numId w:val="0"/>
              </w:numPr>
              <w:tabs>
                <w:tab w:val="num" w:pos="1004"/>
              </w:tabs>
              <w:spacing w:after="120"/>
              <w:jc w:val="left"/>
              <w:outlineLvl w:val="1"/>
              <w:rPr>
                <w:rFonts w:cs="Arial"/>
                <w:sz w:val="24"/>
                <w:szCs w:val="24"/>
              </w:rPr>
            </w:pPr>
            <w:r w:rsidRPr="00B94242">
              <w:rPr>
                <w:rFonts w:cs="Arial"/>
                <w:sz w:val="24"/>
                <w:szCs w:val="24"/>
              </w:rPr>
              <w:t>Deep Secure Standard Support and Maintenance</w:t>
            </w:r>
          </w:p>
        </w:tc>
        <w:tc>
          <w:tcPr>
            <w:tcW w:w="6023" w:type="dxa"/>
          </w:tcPr>
          <w:p w14:paraId="259CC2D9" w14:textId="77777777" w:rsidR="004F76CE" w:rsidRPr="00B94242" w:rsidRDefault="004F76CE" w:rsidP="00102149">
            <w:pPr>
              <w:pStyle w:val="Heading2"/>
              <w:numPr>
                <w:ilvl w:val="0"/>
                <w:numId w:val="0"/>
              </w:numPr>
              <w:tabs>
                <w:tab w:val="num" w:pos="1004"/>
              </w:tabs>
              <w:spacing w:after="120"/>
              <w:jc w:val="left"/>
              <w:outlineLvl w:val="1"/>
              <w:rPr>
                <w:rFonts w:cs="Arial"/>
                <w:sz w:val="24"/>
                <w:szCs w:val="24"/>
              </w:rPr>
            </w:pPr>
            <w:r w:rsidRPr="00B94242">
              <w:rPr>
                <w:rFonts w:cs="Arial"/>
                <w:sz w:val="24"/>
                <w:szCs w:val="24"/>
              </w:rPr>
              <w:t xml:space="preserve">As part of the </w:t>
            </w:r>
            <w:r w:rsidRPr="00B94242">
              <w:rPr>
                <w:rFonts w:cs="Arial"/>
                <w:b/>
                <w:sz w:val="24"/>
                <w:szCs w:val="24"/>
              </w:rPr>
              <w:t>Standard Support and Maintenance</w:t>
            </w:r>
            <w:r w:rsidRPr="00B94242">
              <w:rPr>
                <w:rFonts w:cs="Arial"/>
                <w:sz w:val="24"/>
                <w:szCs w:val="24"/>
              </w:rPr>
              <w:t xml:space="preserve"> required for the Deep Secure Products in Annex </w:t>
            </w:r>
            <w:proofErr w:type="gramStart"/>
            <w:r w:rsidRPr="00B94242">
              <w:rPr>
                <w:rFonts w:cs="Arial"/>
                <w:sz w:val="24"/>
                <w:szCs w:val="24"/>
              </w:rPr>
              <w:t>A</w:t>
            </w:r>
            <w:proofErr w:type="gramEnd"/>
            <w:r w:rsidRPr="00B94242">
              <w:rPr>
                <w:rFonts w:cs="Arial"/>
                <w:sz w:val="24"/>
                <w:szCs w:val="24"/>
              </w:rPr>
              <w:t xml:space="preserve"> – Requirement Specification, the following provision will apply;</w:t>
            </w:r>
          </w:p>
          <w:p w14:paraId="09EBCCE9" w14:textId="77777777" w:rsidR="004F76CE" w:rsidRPr="00B94242" w:rsidRDefault="004F76CE" w:rsidP="004F76CE">
            <w:pPr>
              <w:pStyle w:val="Heading2"/>
              <w:numPr>
                <w:ilvl w:val="0"/>
                <w:numId w:val="20"/>
              </w:numPr>
              <w:overflowPunct w:val="0"/>
              <w:autoSpaceDE w:val="0"/>
              <w:autoSpaceDN w:val="0"/>
              <w:spacing w:after="120"/>
              <w:jc w:val="left"/>
              <w:textAlignment w:val="baseline"/>
              <w:outlineLvl w:val="1"/>
              <w:rPr>
                <w:rFonts w:cs="Arial"/>
                <w:sz w:val="24"/>
                <w:szCs w:val="24"/>
              </w:rPr>
            </w:pPr>
            <w:r w:rsidRPr="00B94242">
              <w:rPr>
                <w:rFonts w:cs="Arial"/>
                <w:sz w:val="24"/>
                <w:szCs w:val="24"/>
              </w:rPr>
              <w:t>Access to phone and email support during the hours of Monday to Friday 08:30 – 17:30, excluding Bank and Public Holidays.</w:t>
            </w:r>
          </w:p>
        </w:tc>
      </w:tr>
      <w:tr w:rsidR="004F76CE" w:rsidRPr="00B94242" w14:paraId="4A02D3ED" w14:textId="77777777" w:rsidTr="00102149">
        <w:tc>
          <w:tcPr>
            <w:tcW w:w="2165" w:type="dxa"/>
          </w:tcPr>
          <w:p w14:paraId="221DB717" w14:textId="77777777" w:rsidR="004F76CE" w:rsidRPr="00B94242" w:rsidRDefault="004F76CE" w:rsidP="00102149">
            <w:pPr>
              <w:pStyle w:val="Heading2"/>
              <w:numPr>
                <w:ilvl w:val="0"/>
                <w:numId w:val="0"/>
              </w:numPr>
              <w:tabs>
                <w:tab w:val="num" w:pos="1004"/>
              </w:tabs>
              <w:spacing w:after="120"/>
              <w:jc w:val="left"/>
              <w:outlineLvl w:val="1"/>
              <w:rPr>
                <w:rFonts w:cs="Arial"/>
                <w:sz w:val="24"/>
                <w:szCs w:val="24"/>
              </w:rPr>
            </w:pPr>
            <w:r w:rsidRPr="00B94242">
              <w:rPr>
                <w:rFonts w:cs="Arial"/>
                <w:sz w:val="24"/>
                <w:szCs w:val="24"/>
              </w:rPr>
              <w:t xml:space="preserve">Effective Technologies </w:t>
            </w:r>
            <w:r>
              <w:rPr>
                <w:rFonts w:cs="Arial"/>
                <w:sz w:val="24"/>
                <w:szCs w:val="24"/>
              </w:rPr>
              <w:t>-</w:t>
            </w:r>
            <w:r w:rsidRPr="00B94242">
              <w:rPr>
                <w:rFonts w:cs="Arial"/>
                <w:sz w:val="24"/>
                <w:szCs w:val="24"/>
              </w:rPr>
              <w:t>Transport for ITSM Suite</w:t>
            </w:r>
          </w:p>
        </w:tc>
        <w:tc>
          <w:tcPr>
            <w:tcW w:w="6023" w:type="dxa"/>
          </w:tcPr>
          <w:p w14:paraId="6905A71F" w14:textId="77777777" w:rsidR="004F76CE" w:rsidRPr="00B94242" w:rsidRDefault="004F76CE" w:rsidP="00102149">
            <w:pPr>
              <w:pStyle w:val="Heading2"/>
              <w:numPr>
                <w:ilvl w:val="0"/>
                <w:numId w:val="0"/>
              </w:numPr>
              <w:tabs>
                <w:tab w:val="num" w:pos="1004"/>
              </w:tabs>
              <w:spacing w:after="120"/>
              <w:jc w:val="left"/>
              <w:outlineLvl w:val="1"/>
              <w:rPr>
                <w:rFonts w:cs="Arial"/>
                <w:sz w:val="24"/>
                <w:szCs w:val="24"/>
              </w:rPr>
            </w:pPr>
            <w:r w:rsidRPr="00B94242">
              <w:rPr>
                <w:rFonts w:cs="Arial"/>
                <w:sz w:val="24"/>
                <w:szCs w:val="24"/>
              </w:rPr>
              <w:t xml:space="preserve">Effective Technologies Transport - Standard Support </w:t>
            </w:r>
          </w:p>
          <w:p w14:paraId="18E95231" w14:textId="77777777" w:rsidR="004F76CE" w:rsidRPr="00B94242" w:rsidRDefault="004F76CE" w:rsidP="004F76CE">
            <w:pPr>
              <w:pStyle w:val="Heading2"/>
              <w:numPr>
                <w:ilvl w:val="0"/>
                <w:numId w:val="21"/>
              </w:numPr>
              <w:overflowPunct w:val="0"/>
              <w:autoSpaceDE w:val="0"/>
              <w:autoSpaceDN w:val="0"/>
              <w:spacing w:after="120"/>
              <w:jc w:val="left"/>
              <w:textAlignment w:val="baseline"/>
              <w:outlineLvl w:val="1"/>
              <w:rPr>
                <w:rFonts w:cs="Arial"/>
                <w:sz w:val="24"/>
                <w:szCs w:val="24"/>
              </w:rPr>
            </w:pPr>
            <w:r w:rsidRPr="00B94242">
              <w:rPr>
                <w:rFonts w:cs="Arial"/>
                <w:sz w:val="24"/>
                <w:szCs w:val="24"/>
              </w:rPr>
              <w:t>Monday - Friday 9:00AM - 5:00PM Pacific Time, 1 business day response, Support tickets for Effect Tech raised with Fusion</w:t>
            </w:r>
          </w:p>
        </w:tc>
      </w:tr>
      <w:tr w:rsidR="004F76CE" w:rsidRPr="00B94242" w14:paraId="6DD10965" w14:textId="77777777" w:rsidTr="00102149">
        <w:tc>
          <w:tcPr>
            <w:tcW w:w="2165" w:type="dxa"/>
          </w:tcPr>
          <w:p w14:paraId="698918CA" w14:textId="77777777" w:rsidR="004F76CE" w:rsidRPr="00B94242" w:rsidRDefault="004F76CE" w:rsidP="00102149">
            <w:pPr>
              <w:pStyle w:val="Heading2"/>
              <w:numPr>
                <w:ilvl w:val="0"/>
                <w:numId w:val="0"/>
              </w:numPr>
              <w:tabs>
                <w:tab w:val="num" w:pos="1004"/>
              </w:tabs>
              <w:spacing w:after="120"/>
              <w:jc w:val="left"/>
              <w:outlineLvl w:val="1"/>
              <w:rPr>
                <w:rFonts w:cs="Arial"/>
                <w:sz w:val="24"/>
                <w:szCs w:val="24"/>
              </w:rPr>
            </w:pPr>
            <w:proofErr w:type="spellStart"/>
            <w:r w:rsidRPr="00B94242">
              <w:rPr>
                <w:rFonts w:cs="Arial"/>
                <w:sz w:val="24"/>
                <w:szCs w:val="24"/>
              </w:rPr>
              <w:t>Gigamon</w:t>
            </w:r>
            <w:proofErr w:type="spellEnd"/>
            <w:r w:rsidRPr="00B94242">
              <w:rPr>
                <w:rFonts w:cs="Arial"/>
                <w:sz w:val="24"/>
                <w:szCs w:val="24"/>
              </w:rPr>
              <w:t xml:space="preserve"> Premium Support</w:t>
            </w:r>
          </w:p>
        </w:tc>
        <w:tc>
          <w:tcPr>
            <w:tcW w:w="6023" w:type="dxa"/>
          </w:tcPr>
          <w:p w14:paraId="4B88FA96" w14:textId="77777777" w:rsidR="004F76CE" w:rsidRPr="00B94242" w:rsidRDefault="004F76CE" w:rsidP="00102149">
            <w:pPr>
              <w:pStyle w:val="Heading2"/>
              <w:numPr>
                <w:ilvl w:val="0"/>
                <w:numId w:val="0"/>
              </w:numPr>
              <w:tabs>
                <w:tab w:val="num" w:pos="1004"/>
              </w:tabs>
              <w:spacing w:after="120"/>
              <w:ind w:left="720" w:hanging="720"/>
              <w:outlineLvl w:val="1"/>
              <w:rPr>
                <w:rFonts w:cs="Arial"/>
                <w:sz w:val="24"/>
                <w:szCs w:val="24"/>
              </w:rPr>
            </w:pPr>
            <w:proofErr w:type="spellStart"/>
            <w:r w:rsidRPr="00B94242">
              <w:rPr>
                <w:rFonts w:cs="Arial"/>
                <w:sz w:val="24"/>
                <w:szCs w:val="24"/>
              </w:rPr>
              <w:t>Gigamon</w:t>
            </w:r>
            <w:proofErr w:type="spellEnd"/>
            <w:r w:rsidRPr="00B94242">
              <w:rPr>
                <w:rFonts w:cs="Arial"/>
                <w:sz w:val="24"/>
                <w:szCs w:val="24"/>
              </w:rPr>
              <w:t xml:space="preserve"> </w:t>
            </w:r>
            <w:r w:rsidRPr="00B31D2B">
              <w:rPr>
                <w:rFonts w:cs="Arial"/>
                <w:sz w:val="24"/>
                <w:szCs w:val="24"/>
              </w:rPr>
              <w:t>Elite</w:t>
            </w:r>
            <w:r>
              <w:rPr>
                <w:rFonts w:cs="Arial"/>
                <w:sz w:val="24"/>
                <w:szCs w:val="24"/>
              </w:rPr>
              <w:t xml:space="preserve"> </w:t>
            </w:r>
            <w:r w:rsidRPr="00B31D2B">
              <w:rPr>
                <w:rFonts w:cs="Arial"/>
                <w:sz w:val="24"/>
                <w:szCs w:val="24"/>
              </w:rPr>
              <w:t>(or Premium)</w:t>
            </w:r>
            <w:r>
              <w:rPr>
                <w:rFonts w:cs="Arial"/>
                <w:sz w:val="24"/>
                <w:szCs w:val="24"/>
              </w:rPr>
              <w:t xml:space="preserve"> </w:t>
            </w:r>
            <w:r w:rsidRPr="00B31D2B">
              <w:rPr>
                <w:rFonts w:cs="Arial"/>
                <w:sz w:val="24"/>
                <w:szCs w:val="24"/>
              </w:rPr>
              <w:t>Software and</w:t>
            </w:r>
            <w:r>
              <w:rPr>
                <w:rFonts w:cs="Arial"/>
                <w:sz w:val="24"/>
                <w:szCs w:val="24"/>
              </w:rPr>
              <w:t xml:space="preserve"> </w:t>
            </w:r>
            <w:r w:rsidRPr="00B31D2B">
              <w:rPr>
                <w:rFonts w:cs="Arial"/>
                <w:sz w:val="24"/>
                <w:szCs w:val="24"/>
              </w:rPr>
              <w:t>Product</w:t>
            </w:r>
            <w:r>
              <w:rPr>
                <w:rFonts w:cs="Arial"/>
                <w:sz w:val="24"/>
                <w:szCs w:val="24"/>
              </w:rPr>
              <w:t xml:space="preserve"> </w:t>
            </w:r>
            <w:r w:rsidRPr="00B31D2B">
              <w:rPr>
                <w:rFonts w:cs="Arial"/>
                <w:sz w:val="24"/>
                <w:szCs w:val="24"/>
              </w:rPr>
              <w:t>Support</w:t>
            </w:r>
            <w:r>
              <w:rPr>
                <w:rFonts w:cs="Arial"/>
                <w:sz w:val="24"/>
                <w:szCs w:val="24"/>
              </w:rPr>
              <w:t xml:space="preserve"> </w:t>
            </w:r>
            <w:r w:rsidRPr="00B31D2B">
              <w:rPr>
                <w:rFonts w:cs="Arial"/>
                <w:sz w:val="24"/>
                <w:szCs w:val="24"/>
              </w:rPr>
              <w:t xml:space="preserve">Maintenance </w:t>
            </w:r>
            <w:r w:rsidRPr="00B31D2B">
              <w:rPr>
                <w:rFonts w:cs="Arial"/>
                <w:sz w:val="24"/>
                <w:szCs w:val="24"/>
              </w:rPr>
              <w:cr/>
            </w:r>
          </w:p>
          <w:p w14:paraId="61023A56" w14:textId="77777777" w:rsidR="004F76CE" w:rsidRPr="00B94242" w:rsidRDefault="004F76CE" w:rsidP="004F76CE">
            <w:pPr>
              <w:pStyle w:val="Heading2"/>
              <w:numPr>
                <w:ilvl w:val="0"/>
                <w:numId w:val="21"/>
              </w:numPr>
              <w:overflowPunct w:val="0"/>
              <w:autoSpaceDE w:val="0"/>
              <w:autoSpaceDN w:val="0"/>
              <w:spacing w:after="120"/>
              <w:jc w:val="left"/>
              <w:textAlignment w:val="baseline"/>
              <w:outlineLvl w:val="1"/>
              <w:rPr>
                <w:rFonts w:cs="Arial"/>
                <w:sz w:val="24"/>
                <w:szCs w:val="24"/>
              </w:rPr>
            </w:pPr>
            <w:r w:rsidRPr="00B94242">
              <w:rPr>
                <w:rFonts w:cs="Arial"/>
                <w:sz w:val="24"/>
                <w:szCs w:val="24"/>
              </w:rPr>
              <w:t>Same Day Shipment Hardware Advance Replacement</w:t>
            </w:r>
          </w:p>
          <w:p w14:paraId="2D84DA06" w14:textId="77777777" w:rsidR="004F76CE" w:rsidRPr="00B94242" w:rsidRDefault="004F76CE" w:rsidP="004F76CE">
            <w:pPr>
              <w:pStyle w:val="Heading2"/>
              <w:numPr>
                <w:ilvl w:val="0"/>
                <w:numId w:val="21"/>
              </w:numPr>
              <w:overflowPunct w:val="0"/>
              <w:autoSpaceDE w:val="0"/>
              <w:autoSpaceDN w:val="0"/>
              <w:spacing w:after="120"/>
              <w:jc w:val="left"/>
              <w:textAlignment w:val="baseline"/>
              <w:outlineLvl w:val="1"/>
              <w:rPr>
                <w:rFonts w:cs="Arial"/>
                <w:sz w:val="24"/>
                <w:szCs w:val="24"/>
              </w:rPr>
            </w:pPr>
            <w:r w:rsidRPr="00B94242">
              <w:rPr>
                <w:rFonts w:cs="Arial"/>
                <w:sz w:val="24"/>
                <w:szCs w:val="24"/>
              </w:rPr>
              <w:t>Next Business Day Delivery On-site Hardware Replacement</w:t>
            </w:r>
          </w:p>
          <w:p w14:paraId="5CACD76B" w14:textId="77777777" w:rsidR="004F76CE" w:rsidRPr="00B94242" w:rsidRDefault="004F76CE" w:rsidP="00102149">
            <w:pPr>
              <w:pStyle w:val="Heading2"/>
              <w:numPr>
                <w:ilvl w:val="0"/>
                <w:numId w:val="0"/>
              </w:numPr>
              <w:tabs>
                <w:tab w:val="num" w:pos="1004"/>
              </w:tabs>
              <w:spacing w:after="120"/>
              <w:jc w:val="left"/>
              <w:outlineLvl w:val="1"/>
              <w:rPr>
                <w:rFonts w:cs="Arial"/>
                <w:sz w:val="24"/>
                <w:szCs w:val="24"/>
              </w:rPr>
            </w:pPr>
            <w:r>
              <w:rPr>
                <w:rFonts w:cs="Arial"/>
                <w:sz w:val="24"/>
                <w:szCs w:val="24"/>
              </w:rPr>
              <w:t>24x7x365</w:t>
            </w:r>
            <w:r w:rsidRPr="00B94242">
              <w:rPr>
                <w:rFonts w:cs="Arial"/>
                <w:sz w:val="24"/>
                <w:szCs w:val="24"/>
              </w:rPr>
              <w:t xml:space="preserve"> Technical Support Availability</w:t>
            </w:r>
          </w:p>
        </w:tc>
      </w:tr>
      <w:tr w:rsidR="004F76CE" w:rsidRPr="00B94242" w14:paraId="6900FF87" w14:textId="77777777" w:rsidTr="00102149">
        <w:tc>
          <w:tcPr>
            <w:tcW w:w="2165" w:type="dxa"/>
          </w:tcPr>
          <w:p w14:paraId="07626C9E" w14:textId="77777777" w:rsidR="004F76CE" w:rsidRPr="00B94242" w:rsidRDefault="004F76CE" w:rsidP="00102149">
            <w:pPr>
              <w:pStyle w:val="Heading2"/>
              <w:numPr>
                <w:ilvl w:val="0"/>
                <w:numId w:val="0"/>
              </w:numPr>
              <w:tabs>
                <w:tab w:val="num" w:pos="1004"/>
              </w:tabs>
              <w:spacing w:after="120"/>
              <w:jc w:val="left"/>
              <w:outlineLvl w:val="1"/>
              <w:rPr>
                <w:rFonts w:cs="Arial"/>
                <w:sz w:val="24"/>
                <w:szCs w:val="24"/>
              </w:rPr>
            </w:pPr>
            <w:proofErr w:type="spellStart"/>
            <w:r>
              <w:rPr>
                <w:rFonts w:cs="Arial"/>
                <w:sz w:val="24"/>
                <w:szCs w:val="24"/>
              </w:rPr>
              <w:t>IPSwitch</w:t>
            </w:r>
            <w:proofErr w:type="spellEnd"/>
          </w:p>
        </w:tc>
        <w:tc>
          <w:tcPr>
            <w:tcW w:w="6023" w:type="dxa"/>
          </w:tcPr>
          <w:p w14:paraId="65EDA5DD" w14:textId="77777777" w:rsidR="004F76CE" w:rsidRPr="00B94242" w:rsidRDefault="004F76CE" w:rsidP="00102149">
            <w:pPr>
              <w:pStyle w:val="Heading2"/>
              <w:numPr>
                <w:ilvl w:val="0"/>
                <w:numId w:val="0"/>
              </w:numPr>
              <w:spacing w:after="120"/>
              <w:ind w:left="720" w:hanging="720"/>
              <w:jc w:val="left"/>
              <w:outlineLvl w:val="1"/>
              <w:rPr>
                <w:rFonts w:cs="Arial"/>
                <w:sz w:val="24"/>
                <w:szCs w:val="24"/>
              </w:rPr>
            </w:pPr>
            <w:r w:rsidRPr="00B94242">
              <w:rPr>
                <w:rFonts w:cs="Arial"/>
                <w:sz w:val="24"/>
                <w:szCs w:val="24"/>
              </w:rPr>
              <w:t xml:space="preserve">Refer </w:t>
            </w:r>
            <w:r>
              <w:rPr>
                <w:rFonts w:cs="Arial"/>
                <w:sz w:val="24"/>
                <w:szCs w:val="24"/>
              </w:rPr>
              <w:t xml:space="preserve">to </w:t>
            </w:r>
            <w:r w:rsidRPr="00B94242">
              <w:rPr>
                <w:rFonts w:cs="Arial"/>
                <w:sz w:val="24"/>
                <w:szCs w:val="24"/>
              </w:rPr>
              <w:t>Annex A</w:t>
            </w:r>
            <w:r w:rsidRPr="00B94242" w:rsidDel="00F66A0D">
              <w:rPr>
                <w:rFonts w:cs="Arial"/>
                <w:sz w:val="24"/>
                <w:szCs w:val="24"/>
              </w:rPr>
              <w:t xml:space="preserve"> </w:t>
            </w:r>
          </w:p>
        </w:tc>
      </w:tr>
      <w:tr w:rsidR="004F76CE" w:rsidRPr="00B94242" w14:paraId="61976CA7" w14:textId="77777777" w:rsidTr="00102149">
        <w:tc>
          <w:tcPr>
            <w:tcW w:w="2165" w:type="dxa"/>
          </w:tcPr>
          <w:p w14:paraId="6657BBA0" w14:textId="77777777" w:rsidR="004F76CE" w:rsidRPr="00B94242" w:rsidRDefault="004F76CE" w:rsidP="00102149">
            <w:pPr>
              <w:pStyle w:val="Heading2"/>
              <w:numPr>
                <w:ilvl w:val="0"/>
                <w:numId w:val="0"/>
              </w:numPr>
              <w:tabs>
                <w:tab w:val="num" w:pos="1004"/>
              </w:tabs>
              <w:spacing w:after="120"/>
              <w:jc w:val="left"/>
              <w:outlineLvl w:val="1"/>
              <w:rPr>
                <w:rFonts w:cs="Arial"/>
                <w:sz w:val="24"/>
                <w:szCs w:val="24"/>
              </w:rPr>
            </w:pPr>
            <w:r w:rsidRPr="00B94242">
              <w:rPr>
                <w:rFonts w:cs="Arial"/>
                <w:sz w:val="24"/>
                <w:szCs w:val="24"/>
              </w:rPr>
              <w:t>Riverbed Gold Support and Maintenance</w:t>
            </w:r>
          </w:p>
        </w:tc>
        <w:tc>
          <w:tcPr>
            <w:tcW w:w="6023" w:type="dxa"/>
          </w:tcPr>
          <w:p w14:paraId="4EC5E44E" w14:textId="77777777" w:rsidR="004F76CE" w:rsidRPr="00B94242" w:rsidRDefault="004F76CE" w:rsidP="00102149">
            <w:pPr>
              <w:pStyle w:val="Heading2"/>
              <w:numPr>
                <w:ilvl w:val="0"/>
                <w:numId w:val="0"/>
              </w:numPr>
              <w:tabs>
                <w:tab w:val="num" w:pos="1004"/>
              </w:tabs>
              <w:spacing w:after="120"/>
              <w:jc w:val="left"/>
              <w:outlineLvl w:val="1"/>
              <w:rPr>
                <w:rFonts w:cs="Arial"/>
                <w:sz w:val="24"/>
                <w:szCs w:val="24"/>
              </w:rPr>
            </w:pPr>
            <w:r w:rsidRPr="00B94242">
              <w:rPr>
                <w:rFonts w:cs="Arial"/>
                <w:sz w:val="24"/>
                <w:szCs w:val="24"/>
              </w:rPr>
              <w:t xml:space="preserve">As part of the </w:t>
            </w:r>
            <w:r w:rsidRPr="00B94242">
              <w:rPr>
                <w:rFonts w:cs="Arial"/>
                <w:b/>
                <w:sz w:val="24"/>
                <w:szCs w:val="24"/>
              </w:rPr>
              <w:t>Gold Support and Maintenance</w:t>
            </w:r>
            <w:r w:rsidRPr="00B94242">
              <w:rPr>
                <w:rFonts w:cs="Arial"/>
                <w:sz w:val="24"/>
                <w:szCs w:val="24"/>
              </w:rPr>
              <w:t xml:space="preserve"> required for the Riverbed products in Annex </w:t>
            </w:r>
            <w:proofErr w:type="gramStart"/>
            <w:r w:rsidRPr="00B94242">
              <w:rPr>
                <w:rFonts w:cs="Arial"/>
                <w:sz w:val="24"/>
                <w:szCs w:val="24"/>
              </w:rPr>
              <w:t>A</w:t>
            </w:r>
            <w:proofErr w:type="gramEnd"/>
            <w:r w:rsidRPr="00B94242">
              <w:rPr>
                <w:rFonts w:cs="Arial"/>
                <w:sz w:val="24"/>
                <w:szCs w:val="24"/>
              </w:rPr>
              <w:t xml:space="preserve"> – Requirement Specification, the following provisions will apply;</w:t>
            </w:r>
          </w:p>
          <w:p w14:paraId="18D475DB" w14:textId="77777777" w:rsidR="004F76CE" w:rsidRPr="00B94242" w:rsidRDefault="004F76CE" w:rsidP="004F76CE">
            <w:pPr>
              <w:pStyle w:val="Heading2"/>
              <w:numPr>
                <w:ilvl w:val="0"/>
                <w:numId w:val="18"/>
              </w:numPr>
              <w:overflowPunct w:val="0"/>
              <w:autoSpaceDE w:val="0"/>
              <w:autoSpaceDN w:val="0"/>
              <w:spacing w:after="120"/>
              <w:jc w:val="left"/>
              <w:textAlignment w:val="baseline"/>
              <w:outlineLvl w:val="1"/>
              <w:rPr>
                <w:rFonts w:cs="Arial"/>
                <w:sz w:val="24"/>
                <w:szCs w:val="24"/>
              </w:rPr>
            </w:pPr>
            <w:r w:rsidRPr="00B94242">
              <w:rPr>
                <w:rFonts w:cs="Arial"/>
                <w:sz w:val="24"/>
                <w:szCs w:val="24"/>
              </w:rPr>
              <w:t>Access to 24 x 7 website, phone and email support and;</w:t>
            </w:r>
          </w:p>
          <w:p w14:paraId="29BA0D27" w14:textId="77777777" w:rsidR="004F76CE" w:rsidRPr="00B94242" w:rsidRDefault="004F76CE" w:rsidP="004F76CE">
            <w:pPr>
              <w:pStyle w:val="Heading2"/>
              <w:numPr>
                <w:ilvl w:val="0"/>
                <w:numId w:val="20"/>
              </w:numPr>
              <w:overflowPunct w:val="0"/>
              <w:autoSpaceDE w:val="0"/>
              <w:autoSpaceDN w:val="0"/>
              <w:spacing w:after="120"/>
              <w:jc w:val="left"/>
              <w:textAlignment w:val="baseline"/>
              <w:outlineLvl w:val="1"/>
              <w:rPr>
                <w:rFonts w:cs="Arial"/>
                <w:sz w:val="24"/>
                <w:szCs w:val="24"/>
              </w:rPr>
            </w:pPr>
            <w:r w:rsidRPr="00B94242">
              <w:rPr>
                <w:rFonts w:cs="Arial"/>
                <w:sz w:val="24"/>
                <w:szCs w:val="24"/>
              </w:rPr>
              <w:t>Software support including maintenance releases and major upgrades throughout the twelve (12) month contract term.</w:t>
            </w:r>
          </w:p>
        </w:tc>
      </w:tr>
      <w:tr w:rsidR="004F76CE" w:rsidRPr="00B94242" w14:paraId="1CF0C71A" w14:textId="77777777" w:rsidTr="00102149">
        <w:tc>
          <w:tcPr>
            <w:tcW w:w="2165" w:type="dxa"/>
          </w:tcPr>
          <w:p w14:paraId="09303A8F" w14:textId="77777777" w:rsidR="004F76CE" w:rsidRPr="00B94242" w:rsidRDefault="004F76CE" w:rsidP="00102149">
            <w:pPr>
              <w:pStyle w:val="Heading2"/>
              <w:numPr>
                <w:ilvl w:val="0"/>
                <w:numId w:val="0"/>
              </w:numPr>
              <w:tabs>
                <w:tab w:val="num" w:pos="1004"/>
              </w:tabs>
              <w:spacing w:after="120"/>
              <w:jc w:val="left"/>
              <w:outlineLvl w:val="1"/>
              <w:rPr>
                <w:rFonts w:cs="Arial"/>
                <w:sz w:val="24"/>
                <w:szCs w:val="24"/>
              </w:rPr>
            </w:pPr>
            <w:r w:rsidRPr="00B94242">
              <w:rPr>
                <w:rFonts w:cs="Arial"/>
                <w:sz w:val="24"/>
                <w:szCs w:val="24"/>
              </w:rPr>
              <w:t>McAfee</w:t>
            </w:r>
          </w:p>
        </w:tc>
        <w:tc>
          <w:tcPr>
            <w:tcW w:w="6023" w:type="dxa"/>
          </w:tcPr>
          <w:p w14:paraId="1A43250B" w14:textId="77777777" w:rsidR="004F76CE" w:rsidRPr="00B94242" w:rsidRDefault="004F76CE" w:rsidP="00102149">
            <w:pPr>
              <w:pStyle w:val="Heading2"/>
              <w:numPr>
                <w:ilvl w:val="0"/>
                <w:numId w:val="0"/>
              </w:numPr>
              <w:spacing w:after="120"/>
              <w:ind w:left="720" w:hanging="720"/>
              <w:jc w:val="left"/>
              <w:outlineLvl w:val="1"/>
              <w:rPr>
                <w:rFonts w:cs="Arial"/>
                <w:sz w:val="24"/>
                <w:szCs w:val="24"/>
              </w:rPr>
            </w:pPr>
            <w:r w:rsidRPr="00B94242">
              <w:rPr>
                <w:rFonts w:cs="Arial"/>
                <w:sz w:val="24"/>
                <w:szCs w:val="24"/>
              </w:rPr>
              <w:t xml:space="preserve">Refer </w:t>
            </w:r>
            <w:r>
              <w:rPr>
                <w:rFonts w:cs="Arial"/>
                <w:sz w:val="24"/>
                <w:szCs w:val="24"/>
              </w:rPr>
              <w:t xml:space="preserve">to </w:t>
            </w:r>
            <w:r w:rsidRPr="00B94242">
              <w:rPr>
                <w:rFonts w:cs="Arial"/>
                <w:sz w:val="24"/>
                <w:szCs w:val="24"/>
              </w:rPr>
              <w:t>Annex A</w:t>
            </w:r>
          </w:p>
        </w:tc>
      </w:tr>
      <w:tr w:rsidR="004F76CE" w:rsidRPr="00B94242" w14:paraId="7E609ED6" w14:textId="77777777" w:rsidTr="00102149">
        <w:tc>
          <w:tcPr>
            <w:tcW w:w="2165" w:type="dxa"/>
          </w:tcPr>
          <w:p w14:paraId="5C12FB72" w14:textId="77777777" w:rsidR="004F76CE" w:rsidRPr="00B94242" w:rsidRDefault="004F76CE" w:rsidP="00102149">
            <w:pPr>
              <w:pStyle w:val="Heading2"/>
              <w:numPr>
                <w:ilvl w:val="0"/>
                <w:numId w:val="0"/>
              </w:numPr>
              <w:tabs>
                <w:tab w:val="num" w:pos="1004"/>
              </w:tabs>
              <w:spacing w:after="120"/>
              <w:jc w:val="left"/>
              <w:outlineLvl w:val="1"/>
              <w:rPr>
                <w:rFonts w:cs="Arial"/>
                <w:sz w:val="24"/>
                <w:szCs w:val="24"/>
              </w:rPr>
            </w:pPr>
            <w:r>
              <w:rPr>
                <w:rFonts w:cs="Arial"/>
                <w:sz w:val="24"/>
                <w:szCs w:val="24"/>
              </w:rPr>
              <w:t>SAP</w:t>
            </w:r>
          </w:p>
        </w:tc>
        <w:tc>
          <w:tcPr>
            <w:tcW w:w="6023" w:type="dxa"/>
          </w:tcPr>
          <w:p w14:paraId="5F453DCC" w14:textId="77777777" w:rsidR="004F76CE" w:rsidRPr="00B94242" w:rsidRDefault="004F76CE" w:rsidP="00102149">
            <w:pPr>
              <w:pStyle w:val="Heading2"/>
              <w:numPr>
                <w:ilvl w:val="0"/>
                <w:numId w:val="0"/>
              </w:numPr>
              <w:spacing w:after="120"/>
              <w:ind w:left="720" w:hanging="720"/>
              <w:jc w:val="left"/>
              <w:outlineLvl w:val="1"/>
              <w:rPr>
                <w:rFonts w:cs="Arial"/>
                <w:sz w:val="24"/>
                <w:szCs w:val="24"/>
              </w:rPr>
            </w:pPr>
            <w:r w:rsidRPr="00B94242" w:rsidDel="00B31D2B">
              <w:rPr>
                <w:rFonts w:cs="Arial"/>
                <w:sz w:val="24"/>
                <w:szCs w:val="24"/>
              </w:rPr>
              <w:t xml:space="preserve">Refer </w:t>
            </w:r>
            <w:r w:rsidDel="00B31D2B">
              <w:rPr>
                <w:rFonts w:cs="Arial"/>
                <w:sz w:val="24"/>
                <w:szCs w:val="24"/>
              </w:rPr>
              <w:t xml:space="preserve">to </w:t>
            </w:r>
            <w:r w:rsidRPr="00B94242" w:rsidDel="00B31D2B">
              <w:rPr>
                <w:rFonts w:cs="Arial"/>
                <w:sz w:val="24"/>
                <w:szCs w:val="24"/>
              </w:rPr>
              <w:t>Annex A</w:t>
            </w:r>
          </w:p>
        </w:tc>
      </w:tr>
      <w:tr w:rsidR="004F76CE" w:rsidRPr="00B94242" w14:paraId="1E1616DB" w14:textId="77777777" w:rsidTr="00102149">
        <w:tc>
          <w:tcPr>
            <w:tcW w:w="2165" w:type="dxa"/>
          </w:tcPr>
          <w:p w14:paraId="5BBA6EE0" w14:textId="77777777" w:rsidR="004F76CE" w:rsidRPr="00B94242" w:rsidRDefault="004F76CE" w:rsidP="00102149">
            <w:pPr>
              <w:pStyle w:val="Heading2"/>
              <w:numPr>
                <w:ilvl w:val="0"/>
                <w:numId w:val="0"/>
              </w:numPr>
              <w:tabs>
                <w:tab w:val="num" w:pos="1004"/>
              </w:tabs>
              <w:spacing w:after="120"/>
              <w:jc w:val="left"/>
              <w:outlineLvl w:val="1"/>
              <w:rPr>
                <w:rFonts w:cs="Arial"/>
                <w:sz w:val="24"/>
                <w:szCs w:val="24"/>
              </w:rPr>
            </w:pPr>
            <w:proofErr w:type="spellStart"/>
            <w:r w:rsidRPr="00B94242">
              <w:rPr>
                <w:rFonts w:cs="Arial"/>
                <w:sz w:val="24"/>
                <w:szCs w:val="24"/>
              </w:rPr>
              <w:t>Veeam</w:t>
            </w:r>
            <w:proofErr w:type="spellEnd"/>
          </w:p>
        </w:tc>
        <w:tc>
          <w:tcPr>
            <w:tcW w:w="6023" w:type="dxa"/>
          </w:tcPr>
          <w:p w14:paraId="1A3C8063" w14:textId="77777777" w:rsidR="004F76CE" w:rsidRPr="00B94242" w:rsidRDefault="004F76CE" w:rsidP="00102149">
            <w:pPr>
              <w:pStyle w:val="Heading2"/>
              <w:numPr>
                <w:ilvl w:val="0"/>
                <w:numId w:val="0"/>
              </w:numPr>
              <w:tabs>
                <w:tab w:val="num" w:pos="1004"/>
              </w:tabs>
              <w:spacing w:after="120"/>
              <w:jc w:val="left"/>
              <w:outlineLvl w:val="1"/>
              <w:rPr>
                <w:rFonts w:cs="Arial"/>
                <w:sz w:val="24"/>
                <w:szCs w:val="24"/>
              </w:rPr>
            </w:pPr>
            <w:r w:rsidRPr="00B94242">
              <w:rPr>
                <w:rFonts w:cs="Arial"/>
                <w:sz w:val="24"/>
                <w:szCs w:val="24"/>
              </w:rPr>
              <w:t xml:space="preserve">Refer </w:t>
            </w:r>
            <w:r>
              <w:rPr>
                <w:rFonts w:cs="Arial"/>
                <w:sz w:val="24"/>
                <w:szCs w:val="24"/>
              </w:rPr>
              <w:t xml:space="preserve">to </w:t>
            </w:r>
            <w:r w:rsidRPr="00B94242">
              <w:rPr>
                <w:rFonts w:cs="Arial"/>
                <w:sz w:val="24"/>
                <w:szCs w:val="24"/>
              </w:rPr>
              <w:t>Annex A</w:t>
            </w:r>
          </w:p>
        </w:tc>
      </w:tr>
    </w:tbl>
    <w:p w14:paraId="50778E93" w14:textId="77777777" w:rsidR="004F76CE" w:rsidRPr="00B94242" w:rsidRDefault="004F76CE" w:rsidP="004F76CE">
      <w:pPr>
        <w:pStyle w:val="Heading1"/>
        <w:numPr>
          <w:ilvl w:val="0"/>
          <w:numId w:val="0"/>
        </w:numPr>
        <w:spacing w:after="120"/>
        <w:rPr>
          <w:rFonts w:cs="Arial"/>
          <w:sz w:val="24"/>
          <w:szCs w:val="24"/>
        </w:rPr>
      </w:pPr>
    </w:p>
    <w:p w14:paraId="15A56E07" w14:textId="77777777" w:rsidR="004F76CE" w:rsidRPr="001A45DF" w:rsidRDefault="004F76CE" w:rsidP="004F76CE">
      <w:pPr>
        <w:pStyle w:val="Heading1"/>
        <w:spacing w:after="120"/>
        <w:rPr>
          <w:sz w:val="32"/>
          <w:szCs w:val="32"/>
        </w:rPr>
      </w:pPr>
      <w:bookmarkStart w:id="6" w:name="_Toc368573032"/>
      <w:bookmarkStart w:id="7" w:name="_Toc46474211"/>
      <w:r w:rsidRPr="001A45DF">
        <w:rPr>
          <w:sz w:val="32"/>
          <w:szCs w:val="32"/>
        </w:rPr>
        <w:t>key milestones</w:t>
      </w:r>
      <w:bookmarkEnd w:id="6"/>
      <w:r w:rsidRPr="001A45DF">
        <w:rPr>
          <w:sz w:val="32"/>
          <w:szCs w:val="32"/>
        </w:rPr>
        <w:t xml:space="preserve"> and Deliverables</w:t>
      </w:r>
      <w:bookmarkEnd w:id="7"/>
    </w:p>
    <w:p w14:paraId="067AC71B" w14:textId="77777777" w:rsidR="004F76CE" w:rsidRPr="00BE2B92" w:rsidRDefault="004F76CE" w:rsidP="004F76CE">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BE2B92">
        <w:rPr>
          <w:rFonts w:cs="Arial"/>
          <w:sz w:val="24"/>
          <w:szCs w:val="24"/>
        </w:rPr>
        <w:t>The Potential Provider should note the following project milestones that the Authority will measure the quality of delivery against:</w:t>
      </w:r>
    </w:p>
    <w:tbl>
      <w:tblPr>
        <w:tblStyle w:val="TableGrid"/>
        <w:tblW w:w="4447" w:type="pct"/>
        <w:tblInd w:w="675" w:type="dxa"/>
        <w:tblLook w:val="04A0" w:firstRow="1" w:lastRow="0" w:firstColumn="1" w:lastColumn="0" w:noHBand="0" w:noVBand="1"/>
      </w:tblPr>
      <w:tblGrid>
        <w:gridCol w:w="1388"/>
        <w:gridCol w:w="4067"/>
        <w:gridCol w:w="2564"/>
      </w:tblGrid>
      <w:tr w:rsidR="004F76CE" w:rsidRPr="00BE2B92" w14:paraId="6C1EBBE9" w14:textId="77777777" w:rsidTr="00102149">
        <w:tc>
          <w:tcPr>
            <w:tcW w:w="1388" w:type="dxa"/>
            <w:shd w:val="clear" w:color="auto" w:fill="C6D9F1" w:themeFill="text2" w:themeFillTint="33"/>
            <w:vAlign w:val="center"/>
          </w:tcPr>
          <w:p w14:paraId="2F351201" w14:textId="77777777" w:rsidR="004F76CE" w:rsidRPr="00BE2B92" w:rsidRDefault="004F76CE" w:rsidP="00102149">
            <w:pPr>
              <w:pStyle w:val="Heading3"/>
              <w:numPr>
                <w:ilvl w:val="0"/>
                <w:numId w:val="0"/>
              </w:numPr>
              <w:spacing w:after="120"/>
              <w:jc w:val="center"/>
              <w:outlineLvl w:val="2"/>
              <w:rPr>
                <w:b/>
                <w:sz w:val="24"/>
                <w:szCs w:val="24"/>
              </w:rPr>
            </w:pPr>
            <w:r w:rsidRPr="00BE2B92">
              <w:rPr>
                <w:b/>
                <w:sz w:val="24"/>
                <w:szCs w:val="24"/>
              </w:rPr>
              <w:lastRenderedPageBreak/>
              <w:t>Milestone</w:t>
            </w:r>
          </w:p>
        </w:tc>
        <w:tc>
          <w:tcPr>
            <w:tcW w:w="4068" w:type="dxa"/>
            <w:shd w:val="clear" w:color="auto" w:fill="C6D9F1" w:themeFill="text2" w:themeFillTint="33"/>
            <w:vAlign w:val="center"/>
          </w:tcPr>
          <w:p w14:paraId="220076DF" w14:textId="77777777" w:rsidR="004F76CE" w:rsidRPr="00BE2B92" w:rsidRDefault="004F76CE" w:rsidP="00102149">
            <w:pPr>
              <w:pStyle w:val="Heading3"/>
              <w:numPr>
                <w:ilvl w:val="0"/>
                <w:numId w:val="0"/>
              </w:numPr>
              <w:spacing w:after="120"/>
              <w:jc w:val="center"/>
              <w:outlineLvl w:val="2"/>
              <w:rPr>
                <w:b/>
                <w:sz w:val="24"/>
                <w:szCs w:val="24"/>
              </w:rPr>
            </w:pPr>
            <w:r w:rsidRPr="00BE2B92">
              <w:rPr>
                <w:b/>
                <w:sz w:val="24"/>
                <w:szCs w:val="24"/>
              </w:rPr>
              <w:t>Description</w:t>
            </w:r>
          </w:p>
        </w:tc>
        <w:tc>
          <w:tcPr>
            <w:tcW w:w="2565" w:type="dxa"/>
            <w:shd w:val="clear" w:color="auto" w:fill="C6D9F1" w:themeFill="text2" w:themeFillTint="33"/>
            <w:vAlign w:val="center"/>
          </w:tcPr>
          <w:p w14:paraId="06DD1FEF" w14:textId="77777777" w:rsidR="004F76CE" w:rsidRPr="00BE2B92" w:rsidRDefault="004F76CE" w:rsidP="00102149">
            <w:pPr>
              <w:pStyle w:val="Heading3"/>
              <w:numPr>
                <w:ilvl w:val="0"/>
                <w:numId w:val="0"/>
              </w:numPr>
              <w:spacing w:after="120"/>
              <w:jc w:val="center"/>
              <w:outlineLvl w:val="2"/>
              <w:rPr>
                <w:b/>
                <w:sz w:val="24"/>
                <w:szCs w:val="24"/>
              </w:rPr>
            </w:pPr>
            <w:r w:rsidRPr="00BE2B92">
              <w:rPr>
                <w:b/>
                <w:sz w:val="24"/>
                <w:szCs w:val="24"/>
              </w:rPr>
              <w:t>Timeframe</w:t>
            </w:r>
          </w:p>
        </w:tc>
      </w:tr>
      <w:tr w:rsidR="004F76CE" w:rsidRPr="00BE2B92" w14:paraId="7CD4D31F" w14:textId="77777777" w:rsidTr="00102149">
        <w:tc>
          <w:tcPr>
            <w:tcW w:w="1388" w:type="dxa"/>
            <w:vAlign w:val="center"/>
          </w:tcPr>
          <w:p w14:paraId="721BBA4D" w14:textId="77777777" w:rsidR="004F76CE" w:rsidRPr="00BE2B92" w:rsidRDefault="004F76CE" w:rsidP="00102149">
            <w:pPr>
              <w:pStyle w:val="Heading3"/>
              <w:numPr>
                <w:ilvl w:val="0"/>
                <w:numId w:val="0"/>
              </w:numPr>
              <w:spacing w:after="120"/>
              <w:jc w:val="center"/>
              <w:outlineLvl w:val="2"/>
              <w:rPr>
                <w:sz w:val="24"/>
                <w:szCs w:val="24"/>
              </w:rPr>
            </w:pPr>
            <w:r w:rsidRPr="00BE2B92">
              <w:rPr>
                <w:sz w:val="24"/>
                <w:szCs w:val="24"/>
              </w:rPr>
              <w:t>1</w:t>
            </w:r>
          </w:p>
        </w:tc>
        <w:tc>
          <w:tcPr>
            <w:tcW w:w="4068" w:type="dxa"/>
            <w:vAlign w:val="center"/>
          </w:tcPr>
          <w:p w14:paraId="2CC7021A" w14:textId="77777777" w:rsidR="004F76CE" w:rsidRPr="00BE2B92" w:rsidRDefault="004F76CE" w:rsidP="00102149">
            <w:pPr>
              <w:pStyle w:val="Heading3"/>
              <w:numPr>
                <w:ilvl w:val="0"/>
                <w:numId w:val="0"/>
              </w:numPr>
              <w:spacing w:after="120"/>
              <w:jc w:val="left"/>
              <w:outlineLvl w:val="2"/>
              <w:rPr>
                <w:sz w:val="24"/>
                <w:szCs w:val="24"/>
              </w:rPr>
            </w:pPr>
            <w:r w:rsidRPr="00BE2B92">
              <w:rPr>
                <w:sz w:val="24"/>
                <w:szCs w:val="24"/>
              </w:rPr>
              <w:t>Implementation of licences support and maintenance where previous cover has expired.</w:t>
            </w:r>
          </w:p>
        </w:tc>
        <w:tc>
          <w:tcPr>
            <w:tcW w:w="2565" w:type="dxa"/>
            <w:vAlign w:val="center"/>
          </w:tcPr>
          <w:p w14:paraId="69A86919" w14:textId="77777777" w:rsidR="004F76CE" w:rsidRPr="00BE2B92" w:rsidRDefault="004F76CE" w:rsidP="00102149">
            <w:pPr>
              <w:pStyle w:val="Heading3"/>
              <w:numPr>
                <w:ilvl w:val="0"/>
                <w:numId w:val="0"/>
              </w:numPr>
              <w:spacing w:after="120"/>
              <w:jc w:val="left"/>
              <w:outlineLvl w:val="2"/>
              <w:rPr>
                <w:sz w:val="24"/>
                <w:szCs w:val="24"/>
              </w:rPr>
            </w:pPr>
            <w:r w:rsidRPr="00BE2B92">
              <w:rPr>
                <w:sz w:val="24"/>
                <w:szCs w:val="24"/>
              </w:rPr>
              <w:t>Within five (5) days of receipt of purchase order</w:t>
            </w:r>
          </w:p>
        </w:tc>
      </w:tr>
      <w:tr w:rsidR="004F76CE" w:rsidRPr="00BE2B92" w14:paraId="3801CFB0" w14:textId="77777777" w:rsidTr="00102149">
        <w:tc>
          <w:tcPr>
            <w:tcW w:w="1388" w:type="dxa"/>
            <w:vAlign w:val="center"/>
          </w:tcPr>
          <w:p w14:paraId="0BB453CF" w14:textId="77777777" w:rsidR="004F76CE" w:rsidRPr="00BE2B92" w:rsidRDefault="004F76CE" w:rsidP="00102149">
            <w:pPr>
              <w:pStyle w:val="Heading3"/>
              <w:numPr>
                <w:ilvl w:val="0"/>
                <w:numId w:val="0"/>
              </w:numPr>
              <w:spacing w:after="120"/>
              <w:jc w:val="center"/>
              <w:outlineLvl w:val="2"/>
              <w:rPr>
                <w:sz w:val="24"/>
                <w:szCs w:val="24"/>
              </w:rPr>
            </w:pPr>
            <w:r w:rsidRPr="00BE2B92">
              <w:rPr>
                <w:sz w:val="24"/>
                <w:szCs w:val="24"/>
              </w:rPr>
              <w:t>2</w:t>
            </w:r>
          </w:p>
        </w:tc>
        <w:tc>
          <w:tcPr>
            <w:tcW w:w="4068" w:type="dxa"/>
            <w:vAlign w:val="center"/>
          </w:tcPr>
          <w:p w14:paraId="1FFFF64E" w14:textId="77777777" w:rsidR="004F76CE" w:rsidRPr="00BE2B92" w:rsidRDefault="004F76CE" w:rsidP="00102149">
            <w:pPr>
              <w:pStyle w:val="Heading3"/>
              <w:numPr>
                <w:ilvl w:val="0"/>
                <w:numId w:val="0"/>
              </w:numPr>
              <w:spacing w:after="120"/>
              <w:jc w:val="left"/>
              <w:outlineLvl w:val="2"/>
              <w:rPr>
                <w:sz w:val="24"/>
                <w:szCs w:val="24"/>
              </w:rPr>
            </w:pPr>
            <w:r w:rsidRPr="00BE2B92">
              <w:rPr>
                <w:sz w:val="24"/>
                <w:szCs w:val="24"/>
              </w:rPr>
              <w:t>Implementation of licences/support and maintenance where renewal is due at future date.</w:t>
            </w:r>
          </w:p>
        </w:tc>
        <w:tc>
          <w:tcPr>
            <w:tcW w:w="2565" w:type="dxa"/>
            <w:vAlign w:val="center"/>
          </w:tcPr>
          <w:p w14:paraId="3998DA77" w14:textId="77777777" w:rsidR="004F76CE" w:rsidRPr="00BE2B92" w:rsidRDefault="004F76CE" w:rsidP="00102149">
            <w:pPr>
              <w:pStyle w:val="Heading3"/>
              <w:numPr>
                <w:ilvl w:val="0"/>
                <w:numId w:val="0"/>
              </w:numPr>
              <w:spacing w:after="120"/>
              <w:jc w:val="left"/>
              <w:outlineLvl w:val="2"/>
              <w:rPr>
                <w:sz w:val="24"/>
                <w:szCs w:val="24"/>
              </w:rPr>
            </w:pPr>
            <w:r w:rsidRPr="00BE2B92">
              <w:rPr>
                <w:sz w:val="24"/>
                <w:szCs w:val="24"/>
              </w:rPr>
              <w:t>Upon date of renewal</w:t>
            </w:r>
          </w:p>
        </w:tc>
      </w:tr>
    </w:tbl>
    <w:p w14:paraId="0FAA7B16" w14:textId="77777777" w:rsidR="004F76CE" w:rsidRDefault="004F76CE" w:rsidP="004F76CE">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8" w:name="_Toc368573039"/>
      <w:bookmarkStart w:id="9" w:name="_Toc46474217"/>
      <w:bookmarkStart w:id="10" w:name="_Toc302637211"/>
      <w:r w:rsidRPr="001A45DF">
        <w:rPr>
          <w:rFonts w:cs="Arial"/>
          <w:sz w:val="32"/>
          <w:szCs w:val="32"/>
        </w:rPr>
        <w:t>service levels and performance</w:t>
      </w:r>
      <w:bookmarkEnd w:id="8"/>
      <w:bookmarkEnd w:id="9"/>
    </w:p>
    <w:p w14:paraId="1A40B85C" w14:textId="77777777" w:rsidR="004F76CE" w:rsidRPr="0065383E" w:rsidRDefault="004F76CE" w:rsidP="004F76CE">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65383E">
        <w:rPr>
          <w:sz w:val="24"/>
          <w:szCs w:val="24"/>
        </w:rPr>
        <w:t>The Authority will measure the quality of the Supplier’s delivery by:</w:t>
      </w:r>
    </w:p>
    <w:tbl>
      <w:tblPr>
        <w:tblStyle w:val="TableGrid"/>
        <w:tblW w:w="0" w:type="auto"/>
        <w:tblInd w:w="720" w:type="dxa"/>
        <w:tblLook w:val="04A0" w:firstRow="1" w:lastRow="0" w:firstColumn="1" w:lastColumn="0" w:noHBand="0" w:noVBand="1"/>
      </w:tblPr>
      <w:tblGrid>
        <w:gridCol w:w="1164"/>
        <w:gridCol w:w="1743"/>
        <w:gridCol w:w="3769"/>
        <w:gridCol w:w="1620"/>
      </w:tblGrid>
      <w:tr w:rsidR="004F76CE" w:rsidRPr="0065383E" w14:paraId="0DA819C1" w14:textId="77777777" w:rsidTr="00102149">
        <w:tc>
          <w:tcPr>
            <w:tcW w:w="1048" w:type="dxa"/>
            <w:shd w:val="clear" w:color="auto" w:fill="DBE5F1" w:themeFill="accent1" w:themeFillTint="33"/>
          </w:tcPr>
          <w:p w14:paraId="3FED7232" w14:textId="77777777" w:rsidR="004F76CE" w:rsidRPr="0065383E" w:rsidRDefault="004F76CE" w:rsidP="00102149">
            <w:pPr>
              <w:pStyle w:val="Heading2"/>
              <w:numPr>
                <w:ilvl w:val="0"/>
                <w:numId w:val="0"/>
              </w:numPr>
              <w:jc w:val="center"/>
              <w:outlineLvl w:val="1"/>
              <w:rPr>
                <w:b/>
                <w:sz w:val="24"/>
                <w:szCs w:val="24"/>
              </w:rPr>
            </w:pPr>
            <w:r w:rsidRPr="0065383E">
              <w:rPr>
                <w:b/>
                <w:sz w:val="24"/>
                <w:szCs w:val="24"/>
              </w:rPr>
              <w:t>KPI/SLA</w:t>
            </w:r>
          </w:p>
        </w:tc>
        <w:tc>
          <w:tcPr>
            <w:tcW w:w="1771" w:type="dxa"/>
            <w:shd w:val="clear" w:color="auto" w:fill="DBE5F1" w:themeFill="accent1" w:themeFillTint="33"/>
          </w:tcPr>
          <w:p w14:paraId="1342BAAA" w14:textId="77777777" w:rsidR="004F76CE" w:rsidRPr="0065383E" w:rsidRDefault="004F76CE" w:rsidP="00102149">
            <w:pPr>
              <w:pStyle w:val="Heading2"/>
              <w:numPr>
                <w:ilvl w:val="0"/>
                <w:numId w:val="0"/>
              </w:numPr>
              <w:jc w:val="center"/>
              <w:outlineLvl w:val="1"/>
              <w:rPr>
                <w:b/>
                <w:sz w:val="24"/>
                <w:szCs w:val="24"/>
              </w:rPr>
            </w:pPr>
            <w:r w:rsidRPr="0065383E">
              <w:rPr>
                <w:b/>
                <w:sz w:val="24"/>
                <w:szCs w:val="24"/>
              </w:rPr>
              <w:t>Service Area</w:t>
            </w:r>
          </w:p>
        </w:tc>
        <w:tc>
          <w:tcPr>
            <w:tcW w:w="3827" w:type="dxa"/>
            <w:shd w:val="clear" w:color="auto" w:fill="DBE5F1" w:themeFill="accent1" w:themeFillTint="33"/>
          </w:tcPr>
          <w:p w14:paraId="01FFBEB7" w14:textId="77777777" w:rsidR="004F76CE" w:rsidRPr="0065383E" w:rsidRDefault="004F76CE" w:rsidP="00102149">
            <w:pPr>
              <w:pStyle w:val="Heading2"/>
              <w:numPr>
                <w:ilvl w:val="0"/>
                <w:numId w:val="0"/>
              </w:numPr>
              <w:jc w:val="center"/>
              <w:outlineLvl w:val="1"/>
              <w:rPr>
                <w:b/>
                <w:sz w:val="24"/>
                <w:szCs w:val="24"/>
              </w:rPr>
            </w:pPr>
            <w:r w:rsidRPr="0065383E">
              <w:rPr>
                <w:b/>
                <w:sz w:val="24"/>
                <w:szCs w:val="24"/>
              </w:rPr>
              <w:t>KPI/SLA Description</w:t>
            </w:r>
          </w:p>
        </w:tc>
        <w:tc>
          <w:tcPr>
            <w:tcW w:w="1653" w:type="dxa"/>
            <w:shd w:val="clear" w:color="auto" w:fill="DBE5F1" w:themeFill="accent1" w:themeFillTint="33"/>
          </w:tcPr>
          <w:p w14:paraId="4B441360" w14:textId="77777777" w:rsidR="004F76CE" w:rsidRPr="0065383E" w:rsidRDefault="004F76CE" w:rsidP="00102149">
            <w:pPr>
              <w:pStyle w:val="Heading2"/>
              <w:numPr>
                <w:ilvl w:val="0"/>
                <w:numId w:val="0"/>
              </w:numPr>
              <w:jc w:val="center"/>
              <w:outlineLvl w:val="1"/>
              <w:rPr>
                <w:b/>
                <w:sz w:val="24"/>
                <w:szCs w:val="24"/>
              </w:rPr>
            </w:pPr>
            <w:r w:rsidRPr="0065383E">
              <w:rPr>
                <w:b/>
                <w:sz w:val="24"/>
                <w:szCs w:val="24"/>
              </w:rPr>
              <w:t>Target</w:t>
            </w:r>
          </w:p>
        </w:tc>
      </w:tr>
      <w:tr w:rsidR="004F76CE" w:rsidRPr="0065383E" w14:paraId="0F62ED27" w14:textId="77777777" w:rsidTr="00102149">
        <w:tc>
          <w:tcPr>
            <w:tcW w:w="1048" w:type="dxa"/>
          </w:tcPr>
          <w:p w14:paraId="04F0BD5C" w14:textId="77777777" w:rsidR="004F76CE" w:rsidRPr="0065383E" w:rsidRDefault="004F76CE" w:rsidP="00102149">
            <w:pPr>
              <w:pStyle w:val="Heading2"/>
              <w:numPr>
                <w:ilvl w:val="0"/>
                <w:numId w:val="0"/>
              </w:numPr>
              <w:jc w:val="center"/>
              <w:outlineLvl w:val="1"/>
              <w:rPr>
                <w:sz w:val="24"/>
                <w:szCs w:val="24"/>
              </w:rPr>
            </w:pPr>
            <w:r w:rsidRPr="0065383E">
              <w:rPr>
                <w:sz w:val="24"/>
                <w:szCs w:val="24"/>
              </w:rPr>
              <w:t>1</w:t>
            </w:r>
          </w:p>
        </w:tc>
        <w:tc>
          <w:tcPr>
            <w:tcW w:w="1771" w:type="dxa"/>
          </w:tcPr>
          <w:p w14:paraId="229D2766" w14:textId="77777777" w:rsidR="004F76CE" w:rsidRPr="0065383E" w:rsidRDefault="004F76CE" w:rsidP="00102149">
            <w:pPr>
              <w:pStyle w:val="Heading2"/>
              <w:numPr>
                <w:ilvl w:val="0"/>
                <w:numId w:val="0"/>
              </w:numPr>
              <w:jc w:val="left"/>
              <w:outlineLvl w:val="1"/>
              <w:rPr>
                <w:sz w:val="24"/>
                <w:szCs w:val="24"/>
              </w:rPr>
            </w:pPr>
            <w:r w:rsidRPr="0065383E">
              <w:rPr>
                <w:sz w:val="24"/>
                <w:szCs w:val="24"/>
              </w:rPr>
              <w:t>Service Delivery</w:t>
            </w:r>
          </w:p>
        </w:tc>
        <w:tc>
          <w:tcPr>
            <w:tcW w:w="3827" w:type="dxa"/>
          </w:tcPr>
          <w:p w14:paraId="01FD37A5" w14:textId="77777777" w:rsidR="004F76CE" w:rsidRPr="0065383E" w:rsidRDefault="004F76CE" w:rsidP="00102149">
            <w:pPr>
              <w:pStyle w:val="Heading2"/>
              <w:numPr>
                <w:ilvl w:val="0"/>
                <w:numId w:val="0"/>
              </w:numPr>
              <w:jc w:val="left"/>
              <w:outlineLvl w:val="1"/>
              <w:rPr>
                <w:sz w:val="24"/>
                <w:szCs w:val="24"/>
              </w:rPr>
            </w:pPr>
            <w:r w:rsidRPr="0065383E">
              <w:rPr>
                <w:sz w:val="24"/>
                <w:szCs w:val="24"/>
              </w:rPr>
              <w:t xml:space="preserve">All licences support and maintenance to be implemented/renewed in line with the dates listed in </w:t>
            </w:r>
            <w:proofErr w:type="gramStart"/>
            <w:r w:rsidRPr="0065383E">
              <w:rPr>
                <w:sz w:val="24"/>
                <w:szCs w:val="24"/>
              </w:rPr>
              <w:t>Annex</w:t>
            </w:r>
            <w:proofErr w:type="gramEnd"/>
            <w:r w:rsidRPr="0065383E">
              <w:rPr>
                <w:sz w:val="24"/>
                <w:szCs w:val="24"/>
              </w:rPr>
              <w:t xml:space="preserve"> A – Requirement Specification;</w:t>
            </w:r>
          </w:p>
        </w:tc>
        <w:tc>
          <w:tcPr>
            <w:tcW w:w="1653" w:type="dxa"/>
          </w:tcPr>
          <w:p w14:paraId="6A4C6245" w14:textId="77777777" w:rsidR="004F76CE" w:rsidRPr="0065383E" w:rsidRDefault="004F76CE" w:rsidP="00102149">
            <w:pPr>
              <w:pStyle w:val="Heading2"/>
              <w:numPr>
                <w:ilvl w:val="0"/>
                <w:numId w:val="0"/>
              </w:numPr>
              <w:outlineLvl w:val="1"/>
              <w:rPr>
                <w:sz w:val="24"/>
                <w:szCs w:val="24"/>
              </w:rPr>
            </w:pPr>
            <w:r w:rsidRPr="0065383E">
              <w:rPr>
                <w:sz w:val="24"/>
                <w:szCs w:val="24"/>
              </w:rPr>
              <w:t>100%</w:t>
            </w:r>
          </w:p>
        </w:tc>
      </w:tr>
      <w:tr w:rsidR="004F76CE" w:rsidRPr="0065383E" w14:paraId="2BF3E450" w14:textId="77777777" w:rsidTr="00102149">
        <w:tc>
          <w:tcPr>
            <w:tcW w:w="1048" w:type="dxa"/>
          </w:tcPr>
          <w:p w14:paraId="6130B3DA" w14:textId="77777777" w:rsidR="004F76CE" w:rsidRPr="0065383E" w:rsidRDefault="004F76CE" w:rsidP="00102149">
            <w:pPr>
              <w:pStyle w:val="Heading2"/>
              <w:numPr>
                <w:ilvl w:val="0"/>
                <w:numId w:val="0"/>
              </w:numPr>
              <w:jc w:val="center"/>
              <w:outlineLvl w:val="1"/>
              <w:rPr>
                <w:sz w:val="24"/>
                <w:szCs w:val="24"/>
              </w:rPr>
            </w:pPr>
            <w:r w:rsidRPr="0065383E">
              <w:rPr>
                <w:sz w:val="24"/>
                <w:szCs w:val="24"/>
              </w:rPr>
              <w:t>2</w:t>
            </w:r>
          </w:p>
        </w:tc>
        <w:tc>
          <w:tcPr>
            <w:tcW w:w="1771" w:type="dxa"/>
          </w:tcPr>
          <w:p w14:paraId="2470A55D" w14:textId="77777777" w:rsidR="004F76CE" w:rsidRPr="0065383E" w:rsidRDefault="004F76CE" w:rsidP="00102149">
            <w:pPr>
              <w:pStyle w:val="Heading2"/>
              <w:numPr>
                <w:ilvl w:val="0"/>
                <w:numId w:val="0"/>
              </w:numPr>
              <w:jc w:val="left"/>
              <w:outlineLvl w:val="1"/>
              <w:rPr>
                <w:sz w:val="24"/>
                <w:szCs w:val="24"/>
              </w:rPr>
            </w:pPr>
            <w:r w:rsidRPr="0065383E">
              <w:rPr>
                <w:sz w:val="24"/>
                <w:szCs w:val="24"/>
              </w:rPr>
              <w:t>Service Delivery</w:t>
            </w:r>
          </w:p>
        </w:tc>
        <w:tc>
          <w:tcPr>
            <w:tcW w:w="3827" w:type="dxa"/>
          </w:tcPr>
          <w:p w14:paraId="10849B3C" w14:textId="77777777" w:rsidR="004F76CE" w:rsidRPr="0065383E" w:rsidRDefault="004F76CE" w:rsidP="00102149">
            <w:pPr>
              <w:pStyle w:val="Heading2"/>
              <w:numPr>
                <w:ilvl w:val="0"/>
                <w:numId w:val="0"/>
              </w:numPr>
              <w:jc w:val="left"/>
              <w:outlineLvl w:val="1"/>
              <w:rPr>
                <w:sz w:val="24"/>
                <w:szCs w:val="24"/>
              </w:rPr>
            </w:pPr>
            <w:r w:rsidRPr="0065383E">
              <w:rPr>
                <w:sz w:val="24"/>
                <w:szCs w:val="24"/>
              </w:rPr>
              <w:t>Potential providers are to adhere to each of the SLA’s offered under the required support and maintenance packages</w:t>
            </w:r>
            <w:r>
              <w:rPr>
                <w:sz w:val="24"/>
                <w:szCs w:val="24"/>
              </w:rPr>
              <w:t xml:space="preserve">, as listed in Annex A, </w:t>
            </w:r>
            <w:r w:rsidRPr="00651C65">
              <w:rPr>
                <w:sz w:val="24"/>
                <w:szCs w:val="24"/>
              </w:rPr>
              <w:t>“SMITS S&amp;M Renewal Sept 2020” tab</w:t>
            </w:r>
            <w:r>
              <w:rPr>
                <w:sz w:val="24"/>
                <w:szCs w:val="24"/>
              </w:rPr>
              <w:t>, Support SLA Level column</w:t>
            </w:r>
            <w:r w:rsidRPr="0065383E">
              <w:rPr>
                <w:sz w:val="24"/>
                <w:szCs w:val="24"/>
              </w:rPr>
              <w:t>;</w:t>
            </w:r>
          </w:p>
        </w:tc>
        <w:tc>
          <w:tcPr>
            <w:tcW w:w="1653" w:type="dxa"/>
          </w:tcPr>
          <w:p w14:paraId="4A43F3FC" w14:textId="77777777" w:rsidR="004F76CE" w:rsidRPr="0065383E" w:rsidRDefault="004F76CE" w:rsidP="00102149">
            <w:pPr>
              <w:pStyle w:val="Heading2"/>
              <w:numPr>
                <w:ilvl w:val="0"/>
                <w:numId w:val="0"/>
              </w:numPr>
              <w:outlineLvl w:val="1"/>
              <w:rPr>
                <w:sz w:val="24"/>
                <w:szCs w:val="24"/>
              </w:rPr>
            </w:pPr>
            <w:r w:rsidRPr="0065383E">
              <w:rPr>
                <w:sz w:val="24"/>
                <w:szCs w:val="24"/>
              </w:rPr>
              <w:t>100%</w:t>
            </w:r>
          </w:p>
        </w:tc>
      </w:tr>
      <w:tr w:rsidR="004F76CE" w:rsidRPr="0065383E" w14:paraId="3FC2D5C0" w14:textId="77777777" w:rsidTr="00102149">
        <w:tc>
          <w:tcPr>
            <w:tcW w:w="1048" w:type="dxa"/>
          </w:tcPr>
          <w:p w14:paraId="468A9BC4" w14:textId="77777777" w:rsidR="004F76CE" w:rsidRPr="0065383E" w:rsidRDefault="004F76CE" w:rsidP="00102149">
            <w:pPr>
              <w:pStyle w:val="Heading2"/>
              <w:numPr>
                <w:ilvl w:val="0"/>
                <w:numId w:val="0"/>
              </w:numPr>
              <w:jc w:val="center"/>
              <w:outlineLvl w:val="1"/>
              <w:rPr>
                <w:sz w:val="24"/>
                <w:szCs w:val="24"/>
              </w:rPr>
            </w:pPr>
            <w:r w:rsidRPr="0065383E">
              <w:rPr>
                <w:sz w:val="24"/>
                <w:szCs w:val="24"/>
              </w:rPr>
              <w:t>3</w:t>
            </w:r>
          </w:p>
        </w:tc>
        <w:tc>
          <w:tcPr>
            <w:tcW w:w="1771" w:type="dxa"/>
          </w:tcPr>
          <w:p w14:paraId="4E868BB7" w14:textId="77777777" w:rsidR="004F76CE" w:rsidRPr="0065383E" w:rsidRDefault="004F76CE" w:rsidP="00102149">
            <w:pPr>
              <w:pStyle w:val="Heading2"/>
              <w:numPr>
                <w:ilvl w:val="0"/>
                <w:numId w:val="0"/>
              </w:numPr>
              <w:jc w:val="left"/>
              <w:outlineLvl w:val="1"/>
              <w:rPr>
                <w:sz w:val="24"/>
                <w:szCs w:val="24"/>
              </w:rPr>
            </w:pPr>
            <w:r w:rsidRPr="0065383E">
              <w:rPr>
                <w:sz w:val="24"/>
                <w:szCs w:val="24"/>
              </w:rPr>
              <w:t xml:space="preserve">Service Delivery – Riverbed and BMC </w:t>
            </w:r>
          </w:p>
        </w:tc>
        <w:tc>
          <w:tcPr>
            <w:tcW w:w="3827" w:type="dxa"/>
          </w:tcPr>
          <w:p w14:paraId="1AAAB955" w14:textId="77777777" w:rsidR="004F76CE" w:rsidRPr="0065383E" w:rsidRDefault="004F76CE" w:rsidP="00102149">
            <w:pPr>
              <w:pStyle w:val="Heading2"/>
              <w:numPr>
                <w:ilvl w:val="0"/>
                <w:numId w:val="0"/>
              </w:numPr>
              <w:jc w:val="left"/>
              <w:outlineLvl w:val="1"/>
              <w:rPr>
                <w:sz w:val="24"/>
                <w:szCs w:val="24"/>
              </w:rPr>
            </w:pPr>
            <w:r w:rsidRPr="0065383E">
              <w:rPr>
                <w:sz w:val="24"/>
                <w:szCs w:val="24"/>
              </w:rPr>
              <w:t>Access to 24 x 7 website, phone and email support throughout the duration of the twelve (12) month contract term;</w:t>
            </w:r>
          </w:p>
        </w:tc>
        <w:tc>
          <w:tcPr>
            <w:tcW w:w="1653" w:type="dxa"/>
          </w:tcPr>
          <w:p w14:paraId="2294C128" w14:textId="77777777" w:rsidR="004F76CE" w:rsidRPr="0065383E" w:rsidRDefault="004F76CE" w:rsidP="00102149">
            <w:pPr>
              <w:pStyle w:val="Heading2"/>
              <w:numPr>
                <w:ilvl w:val="0"/>
                <w:numId w:val="0"/>
              </w:numPr>
              <w:outlineLvl w:val="1"/>
              <w:rPr>
                <w:sz w:val="24"/>
                <w:szCs w:val="24"/>
              </w:rPr>
            </w:pPr>
            <w:r w:rsidRPr="0065383E">
              <w:rPr>
                <w:sz w:val="24"/>
                <w:szCs w:val="24"/>
              </w:rPr>
              <w:t>100%</w:t>
            </w:r>
          </w:p>
        </w:tc>
      </w:tr>
      <w:tr w:rsidR="004F76CE" w:rsidRPr="0065383E" w14:paraId="1E10572E" w14:textId="77777777" w:rsidTr="00102149">
        <w:tc>
          <w:tcPr>
            <w:tcW w:w="1048" w:type="dxa"/>
          </w:tcPr>
          <w:p w14:paraId="308F05C3" w14:textId="77777777" w:rsidR="004F76CE" w:rsidRPr="0065383E" w:rsidRDefault="004F76CE" w:rsidP="00102149">
            <w:pPr>
              <w:pStyle w:val="Heading2"/>
              <w:numPr>
                <w:ilvl w:val="0"/>
                <w:numId w:val="0"/>
              </w:numPr>
              <w:jc w:val="center"/>
              <w:outlineLvl w:val="1"/>
              <w:rPr>
                <w:sz w:val="24"/>
                <w:szCs w:val="24"/>
              </w:rPr>
            </w:pPr>
            <w:r w:rsidRPr="0065383E">
              <w:rPr>
                <w:sz w:val="24"/>
                <w:szCs w:val="24"/>
              </w:rPr>
              <w:t>4</w:t>
            </w:r>
          </w:p>
        </w:tc>
        <w:tc>
          <w:tcPr>
            <w:tcW w:w="1771" w:type="dxa"/>
          </w:tcPr>
          <w:p w14:paraId="79DCC99A" w14:textId="77777777" w:rsidR="004F76CE" w:rsidRPr="0065383E" w:rsidRDefault="004F76CE" w:rsidP="00102149">
            <w:pPr>
              <w:pStyle w:val="Heading2"/>
              <w:numPr>
                <w:ilvl w:val="0"/>
                <w:numId w:val="0"/>
              </w:numPr>
              <w:jc w:val="left"/>
              <w:outlineLvl w:val="1"/>
              <w:rPr>
                <w:sz w:val="24"/>
                <w:szCs w:val="24"/>
              </w:rPr>
            </w:pPr>
            <w:r w:rsidRPr="0065383E">
              <w:rPr>
                <w:sz w:val="24"/>
                <w:szCs w:val="24"/>
              </w:rPr>
              <w:t>Service Delivery – Deep Secure products</w:t>
            </w:r>
          </w:p>
        </w:tc>
        <w:tc>
          <w:tcPr>
            <w:tcW w:w="3827" w:type="dxa"/>
          </w:tcPr>
          <w:p w14:paraId="262F08E4" w14:textId="77777777" w:rsidR="004F76CE" w:rsidRPr="0065383E" w:rsidRDefault="004F76CE" w:rsidP="00102149">
            <w:pPr>
              <w:pStyle w:val="Heading2"/>
              <w:numPr>
                <w:ilvl w:val="0"/>
                <w:numId w:val="0"/>
              </w:numPr>
              <w:jc w:val="left"/>
              <w:outlineLvl w:val="1"/>
              <w:rPr>
                <w:sz w:val="24"/>
                <w:szCs w:val="24"/>
              </w:rPr>
            </w:pPr>
            <w:r w:rsidRPr="0065383E">
              <w:rPr>
                <w:rFonts w:cs="Arial"/>
                <w:sz w:val="24"/>
                <w:szCs w:val="24"/>
              </w:rPr>
              <w:t>Access to phone and email support during the hours of Monday to Friday 08:30 – 17:30, excluding Bank and Public Holidays.</w:t>
            </w:r>
          </w:p>
        </w:tc>
        <w:tc>
          <w:tcPr>
            <w:tcW w:w="1653" w:type="dxa"/>
          </w:tcPr>
          <w:p w14:paraId="7574D4B0" w14:textId="77777777" w:rsidR="004F76CE" w:rsidRPr="0065383E" w:rsidRDefault="004F76CE" w:rsidP="00102149">
            <w:pPr>
              <w:pStyle w:val="Heading2"/>
              <w:numPr>
                <w:ilvl w:val="0"/>
                <w:numId w:val="0"/>
              </w:numPr>
              <w:outlineLvl w:val="1"/>
              <w:rPr>
                <w:sz w:val="24"/>
                <w:szCs w:val="24"/>
              </w:rPr>
            </w:pPr>
            <w:r w:rsidRPr="0065383E">
              <w:rPr>
                <w:sz w:val="24"/>
                <w:szCs w:val="24"/>
              </w:rPr>
              <w:t>100%</w:t>
            </w:r>
          </w:p>
        </w:tc>
      </w:tr>
      <w:tr w:rsidR="004F76CE" w:rsidRPr="0065383E" w14:paraId="6D4145E8" w14:textId="77777777" w:rsidTr="00102149">
        <w:tc>
          <w:tcPr>
            <w:tcW w:w="1048" w:type="dxa"/>
          </w:tcPr>
          <w:p w14:paraId="73ED4145" w14:textId="77777777" w:rsidR="004F76CE" w:rsidRPr="0065383E" w:rsidRDefault="004F76CE" w:rsidP="00102149">
            <w:pPr>
              <w:pStyle w:val="Heading2"/>
              <w:numPr>
                <w:ilvl w:val="0"/>
                <w:numId w:val="0"/>
              </w:numPr>
              <w:jc w:val="center"/>
              <w:outlineLvl w:val="1"/>
              <w:rPr>
                <w:sz w:val="24"/>
                <w:szCs w:val="24"/>
              </w:rPr>
            </w:pPr>
            <w:r w:rsidRPr="0065383E">
              <w:rPr>
                <w:sz w:val="24"/>
                <w:szCs w:val="24"/>
              </w:rPr>
              <w:t>5</w:t>
            </w:r>
          </w:p>
        </w:tc>
        <w:tc>
          <w:tcPr>
            <w:tcW w:w="1771" w:type="dxa"/>
          </w:tcPr>
          <w:p w14:paraId="6FEDF1CB" w14:textId="77777777" w:rsidR="004F76CE" w:rsidRPr="0065383E" w:rsidRDefault="004F76CE" w:rsidP="00102149">
            <w:pPr>
              <w:pStyle w:val="Heading2"/>
              <w:numPr>
                <w:ilvl w:val="0"/>
                <w:numId w:val="0"/>
              </w:numPr>
              <w:jc w:val="left"/>
              <w:outlineLvl w:val="1"/>
              <w:rPr>
                <w:sz w:val="24"/>
                <w:szCs w:val="24"/>
              </w:rPr>
            </w:pPr>
            <w:r w:rsidRPr="0065383E">
              <w:rPr>
                <w:sz w:val="24"/>
                <w:szCs w:val="24"/>
              </w:rPr>
              <w:t>Service Delivery – Riverbed and BMC products</w:t>
            </w:r>
          </w:p>
        </w:tc>
        <w:tc>
          <w:tcPr>
            <w:tcW w:w="3827" w:type="dxa"/>
          </w:tcPr>
          <w:p w14:paraId="1661F129" w14:textId="77777777" w:rsidR="004F76CE" w:rsidRPr="0065383E" w:rsidRDefault="004F76CE" w:rsidP="00102149">
            <w:pPr>
              <w:pStyle w:val="Heading2"/>
              <w:numPr>
                <w:ilvl w:val="0"/>
                <w:numId w:val="0"/>
              </w:numPr>
              <w:jc w:val="left"/>
              <w:outlineLvl w:val="1"/>
              <w:rPr>
                <w:sz w:val="24"/>
                <w:szCs w:val="24"/>
              </w:rPr>
            </w:pPr>
            <w:r w:rsidRPr="0065383E">
              <w:rPr>
                <w:sz w:val="24"/>
                <w:szCs w:val="24"/>
              </w:rPr>
              <w:t>The Authority to receive all software support, including maintenance releases and major upgrades throughout the life span of the twelve (12) month contract.</w:t>
            </w:r>
          </w:p>
        </w:tc>
        <w:tc>
          <w:tcPr>
            <w:tcW w:w="1653" w:type="dxa"/>
          </w:tcPr>
          <w:p w14:paraId="466D6179" w14:textId="77777777" w:rsidR="004F76CE" w:rsidRPr="0065383E" w:rsidRDefault="004F76CE" w:rsidP="00102149">
            <w:pPr>
              <w:pStyle w:val="Heading2"/>
              <w:numPr>
                <w:ilvl w:val="0"/>
                <w:numId w:val="0"/>
              </w:numPr>
              <w:outlineLvl w:val="1"/>
              <w:rPr>
                <w:sz w:val="24"/>
                <w:szCs w:val="24"/>
              </w:rPr>
            </w:pPr>
            <w:r w:rsidRPr="0065383E">
              <w:rPr>
                <w:sz w:val="24"/>
                <w:szCs w:val="24"/>
              </w:rPr>
              <w:t>100%</w:t>
            </w:r>
          </w:p>
        </w:tc>
      </w:tr>
    </w:tbl>
    <w:p w14:paraId="7C23C525" w14:textId="77777777" w:rsidR="004F76CE" w:rsidRPr="0065383E" w:rsidRDefault="004F76CE" w:rsidP="004F76CE">
      <w:pPr>
        <w:pStyle w:val="Heading2"/>
        <w:numPr>
          <w:ilvl w:val="0"/>
          <w:numId w:val="0"/>
        </w:numPr>
        <w:rPr>
          <w:sz w:val="24"/>
          <w:szCs w:val="24"/>
        </w:rPr>
      </w:pPr>
    </w:p>
    <w:p w14:paraId="02361021" w14:textId="38CA6281" w:rsidR="001D084D" w:rsidRPr="004F76CE" w:rsidRDefault="004F76CE" w:rsidP="004F76CE">
      <w:pPr>
        <w:pStyle w:val="Heading2"/>
        <w:rPr>
          <w:sz w:val="24"/>
          <w:szCs w:val="24"/>
        </w:rPr>
      </w:pPr>
      <w:r w:rsidRPr="0065383E">
        <w:rPr>
          <w:sz w:val="24"/>
          <w:szCs w:val="24"/>
        </w:rPr>
        <w:t xml:space="preserve">Where the </w:t>
      </w:r>
      <w:r>
        <w:rPr>
          <w:sz w:val="24"/>
          <w:szCs w:val="24"/>
        </w:rPr>
        <w:t>Potential Provider</w:t>
      </w:r>
      <w:r w:rsidRPr="0065383E">
        <w:rPr>
          <w:sz w:val="24"/>
          <w:szCs w:val="24"/>
        </w:rPr>
        <w:t xml:space="preserve"> fails at any of the above KPI’s, the Authority will, in the first instance, seek a mutually agreeable resolution. However, if this is not possible, the Authority reserves the right to cancel the agreement and seek </w:t>
      </w:r>
      <w:r w:rsidRPr="0065383E">
        <w:rPr>
          <w:sz w:val="24"/>
          <w:szCs w:val="24"/>
        </w:rPr>
        <w:lastRenderedPageBreak/>
        <w:t>alternative services from the next ranked Potential Provider during the procurement event.</w:t>
      </w:r>
      <w:bookmarkEnd w:id="10"/>
    </w:p>
    <w:p w14:paraId="3109381A" w14:textId="73203FEF" w:rsid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LOCATION FOR DELIVERY</w:t>
      </w:r>
    </w:p>
    <w:p w14:paraId="3741B992" w14:textId="77777777" w:rsidR="004F76CE" w:rsidRPr="00ED3390" w:rsidRDefault="004F76CE" w:rsidP="006635AE">
      <w:pPr>
        <w:tabs>
          <w:tab w:val="left" w:pos="2257"/>
        </w:tabs>
        <w:spacing w:after="0" w:line="259" w:lineRule="auto"/>
        <w:rPr>
          <w:rFonts w:ascii="Arial" w:hAnsi="Arial" w:cs="Arial"/>
          <w:sz w:val="24"/>
          <w:szCs w:val="24"/>
        </w:rPr>
      </w:pPr>
    </w:p>
    <w:p w14:paraId="7A5FF7CF" w14:textId="77777777" w:rsidR="004F76CE" w:rsidRPr="00E171D6" w:rsidRDefault="004F76CE" w:rsidP="004F76CE">
      <w:pPr>
        <w:pStyle w:val="Heading2"/>
        <w:tabs>
          <w:tab w:val="clear" w:pos="720"/>
          <w:tab w:val="num" w:pos="709"/>
        </w:tabs>
        <w:spacing w:after="120"/>
        <w:ind w:left="709" w:hanging="709"/>
        <w:rPr>
          <w:sz w:val="24"/>
          <w:szCs w:val="24"/>
        </w:rPr>
      </w:pPr>
      <w:r w:rsidRPr="00E171D6">
        <w:rPr>
          <w:sz w:val="24"/>
          <w:szCs w:val="24"/>
        </w:rPr>
        <w:t xml:space="preserve">The location for delivery will be required electronically. Additional information regarding the delivery location will be disclosed to the </w:t>
      </w:r>
      <w:r>
        <w:rPr>
          <w:sz w:val="24"/>
          <w:szCs w:val="24"/>
        </w:rPr>
        <w:t>s</w:t>
      </w:r>
      <w:r w:rsidRPr="00E171D6">
        <w:rPr>
          <w:sz w:val="24"/>
          <w:szCs w:val="24"/>
        </w:rPr>
        <w:t xml:space="preserve">uccessful </w:t>
      </w:r>
      <w:r>
        <w:rPr>
          <w:sz w:val="24"/>
          <w:szCs w:val="24"/>
        </w:rPr>
        <w:t>s</w:t>
      </w:r>
      <w:r w:rsidRPr="00E171D6">
        <w:rPr>
          <w:sz w:val="24"/>
          <w:szCs w:val="24"/>
        </w:rPr>
        <w:t>upplier upon Contract Award.</w:t>
      </w:r>
    </w:p>
    <w:p w14:paraId="03753930" w14:textId="77777777" w:rsidR="006635AE" w:rsidRDefault="006635AE" w:rsidP="006635AE">
      <w:pPr>
        <w:tabs>
          <w:tab w:val="left" w:pos="2257"/>
        </w:tabs>
        <w:spacing w:after="0" w:line="259" w:lineRule="auto"/>
        <w:rPr>
          <w:rFonts w:ascii="Arial" w:hAnsi="Arial" w:cs="Arial"/>
          <w:sz w:val="24"/>
          <w:szCs w:val="24"/>
        </w:rPr>
      </w:pPr>
    </w:p>
    <w:p w14:paraId="431F8CCD" w14:textId="77777777" w:rsidR="006635AE" w:rsidRP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DATES FOR DELIVERY OF THE DELIVERABLES</w:t>
      </w:r>
    </w:p>
    <w:tbl>
      <w:tblPr>
        <w:tblStyle w:val="TableGrid"/>
        <w:tblW w:w="4447" w:type="pct"/>
        <w:tblInd w:w="675" w:type="dxa"/>
        <w:tblLook w:val="04A0" w:firstRow="1" w:lastRow="0" w:firstColumn="1" w:lastColumn="0" w:noHBand="0" w:noVBand="1"/>
      </w:tblPr>
      <w:tblGrid>
        <w:gridCol w:w="1388"/>
        <w:gridCol w:w="4067"/>
        <w:gridCol w:w="2564"/>
      </w:tblGrid>
      <w:tr w:rsidR="00863773" w:rsidRPr="00BE2B92" w14:paraId="1666B546" w14:textId="77777777" w:rsidTr="00102149">
        <w:tc>
          <w:tcPr>
            <w:tcW w:w="1388" w:type="dxa"/>
            <w:shd w:val="clear" w:color="auto" w:fill="C6D9F1" w:themeFill="text2" w:themeFillTint="33"/>
            <w:vAlign w:val="center"/>
          </w:tcPr>
          <w:p w14:paraId="07DC06A0" w14:textId="77777777" w:rsidR="00863773" w:rsidRPr="00BE2B92" w:rsidRDefault="00863773" w:rsidP="00102149">
            <w:pPr>
              <w:pStyle w:val="Heading3"/>
              <w:numPr>
                <w:ilvl w:val="0"/>
                <w:numId w:val="0"/>
              </w:numPr>
              <w:spacing w:after="120"/>
              <w:jc w:val="center"/>
              <w:outlineLvl w:val="2"/>
              <w:rPr>
                <w:b/>
                <w:sz w:val="24"/>
                <w:szCs w:val="24"/>
              </w:rPr>
            </w:pPr>
            <w:r w:rsidRPr="00BE2B92">
              <w:rPr>
                <w:b/>
                <w:sz w:val="24"/>
                <w:szCs w:val="24"/>
              </w:rPr>
              <w:t>Milestone</w:t>
            </w:r>
          </w:p>
        </w:tc>
        <w:tc>
          <w:tcPr>
            <w:tcW w:w="4068" w:type="dxa"/>
            <w:shd w:val="clear" w:color="auto" w:fill="C6D9F1" w:themeFill="text2" w:themeFillTint="33"/>
            <w:vAlign w:val="center"/>
          </w:tcPr>
          <w:p w14:paraId="1EF6D888" w14:textId="77777777" w:rsidR="00863773" w:rsidRPr="00BE2B92" w:rsidRDefault="00863773" w:rsidP="00102149">
            <w:pPr>
              <w:pStyle w:val="Heading3"/>
              <w:numPr>
                <w:ilvl w:val="0"/>
                <w:numId w:val="0"/>
              </w:numPr>
              <w:spacing w:after="120"/>
              <w:jc w:val="center"/>
              <w:outlineLvl w:val="2"/>
              <w:rPr>
                <w:b/>
                <w:sz w:val="24"/>
                <w:szCs w:val="24"/>
              </w:rPr>
            </w:pPr>
            <w:r w:rsidRPr="00BE2B92">
              <w:rPr>
                <w:b/>
                <w:sz w:val="24"/>
                <w:szCs w:val="24"/>
              </w:rPr>
              <w:t>Description</w:t>
            </w:r>
          </w:p>
        </w:tc>
        <w:tc>
          <w:tcPr>
            <w:tcW w:w="2565" w:type="dxa"/>
            <w:shd w:val="clear" w:color="auto" w:fill="C6D9F1" w:themeFill="text2" w:themeFillTint="33"/>
            <w:vAlign w:val="center"/>
          </w:tcPr>
          <w:p w14:paraId="7EDD99EA" w14:textId="77777777" w:rsidR="00863773" w:rsidRPr="00BE2B92" w:rsidRDefault="00863773" w:rsidP="00102149">
            <w:pPr>
              <w:pStyle w:val="Heading3"/>
              <w:numPr>
                <w:ilvl w:val="0"/>
                <w:numId w:val="0"/>
              </w:numPr>
              <w:spacing w:after="120"/>
              <w:jc w:val="center"/>
              <w:outlineLvl w:val="2"/>
              <w:rPr>
                <w:b/>
                <w:sz w:val="24"/>
                <w:szCs w:val="24"/>
              </w:rPr>
            </w:pPr>
            <w:r w:rsidRPr="00BE2B92">
              <w:rPr>
                <w:b/>
                <w:sz w:val="24"/>
                <w:szCs w:val="24"/>
              </w:rPr>
              <w:t>Timeframe</w:t>
            </w:r>
          </w:p>
        </w:tc>
      </w:tr>
      <w:tr w:rsidR="00863773" w:rsidRPr="00BE2B92" w14:paraId="5D1093B1" w14:textId="77777777" w:rsidTr="00102149">
        <w:tc>
          <w:tcPr>
            <w:tcW w:w="1388" w:type="dxa"/>
            <w:vAlign w:val="center"/>
          </w:tcPr>
          <w:p w14:paraId="7D44FD4B" w14:textId="77777777" w:rsidR="00863773" w:rsidRPr="00BE2B92" w:rsidRDefault="00863773" w:rsidP="00102149">
            <w:pPr>
              <w:pStyle w:val="Heading3"/>
              <w:numPr>
                <w:ilvl w:val="0"/>
                <w:numId w:val="0"/>
              </w:numPr>
              <w:spacing w:after="120"/>
              <w:jc w:val="center"/>
              <w:outlineLvl w:val="2"/>
              <w:rPr>
                <w:sz w:val="24"/>
                <w:szCs w:val="24"/>
              </w:rPr>
            </w:pPr>
            <w:r w:rsidRPr="00BE2B92">
              <w:rPr>
                <w:sz w:val="24"/>
                <w:szCs w:val="24"/>
              </w:rPr>
              <w:t>1</w:t>
            </w:r>
          </w:p>
        </w:tc>
        <w:tc>
          <w:tcPr>
            <w:tcW w:w="4068" w:type="dxa"/>
            <w:vAlign w:val="center"/>
          </w:tcPr>
          <w:p w14:paraId="5AB60F4B" w14:textId="77777777" w:rsidR="00863773" w:rsidRPr="00BE2B92" w:rsidRDefault="00863773" w:rsidP="00102149">
            <w:pPr>
              <w:pStyle w:val="Heading3"/>
              <w:numPr>
                <w:ilvl w:val="0"/>
                <w:numId w:val="0"/>
              </w:numPr>
              <w:spacing w:after="120"/>
              <w:jc w:val="left"/>
              <w:outlineLvl w:val="2"/>
              <w:rPr>
                <w:sz w:val="24"/>
                <w:szCs w:val="24"/>
              </w:rPr>
            </w:pPr>
            <w:r w:rsidRPr="00BE2B92">
              <w:rPr>
                <w:sz w:val="24"/>
                <w:szCs w:val="24"/>
              </w:rPr>
              <w:t>Implementation of licences support and maintenance where previous cover has expired.</w:t>
            </w:r>
          </w:p>
        </w:tc>
        <w:tc>
          <w:tcPr>
            <w:tcW w:w="2565" w:type="dxa"/>
            <w:vAlign w:val="center"/>
          </w:tcPr>
          <w:p w14:paraId="1575A390" w14:textId="77777777" w:rsidR="00863773" w:rsidRPr="00BE2B92" w:rsidRDefault="00863773" w:rsidP="00102149">
            <w:pPr>
              <w:pStyle w:val="Heading3"/>
              <w:numPr>
                <w:ilvl w:val="0"/>
                <w:numId w:val="0"/>
              </w:numPr>
              <w:spacing w:after="120"/>
              <w:jc w:val="left"/>
              <w:outlineLvl w:val="2"/>
              <w:rPr>
                <w:sz w:val="24"/>
                <w:szCs w:val="24"/>
              </w:rPr>
            </w:pPr>
            <w:r w:rsidRPr="00BE2B92">
              <w:rPr>
                <w:sz w:val="24"/>
                <w:szCs w:val="24"/>
              </w:rPr>
              <w:t>Within five (5) days of receipt of purchase order</w:t>
            </w:r>
          </w:p>
        </w:tc>
      </w:tr>
      <w:tr w:rsidR="00863773" w:rsidRPr="00BE2B92" w14:paraId="2559CF90" w14:textId="77777777" w:rsidTr="00102149">
        <w:tc>
          <w:tcPr>
            <w:tcW w:w="1388" w:type="dxa"/>
            <w:vAlign w:val="center"/>
          </w:tcPr>
          <w:p w14:paraId="5FFED8F9" w14:textId="77777777" w:rsidR="00863773" w:rsidRPr="00BE2B92" w:rsidRDefault="00863773" w:rsidP="00102149">
            <w:pPr>
              <w:pStyle w:val="Heading3"/>
              <w:numPr>
                <w:ilvl w:val="0"/>
                <w:numId w:val="0"/>
              </w:numPr>
              <w:spacing w:after="120"/>
              <w:jc w:val="center"/>
              <w:outlineLvl w:val="2"/>
              <w:rPr>
                <w:sz w:val="24"/>
                <w:szCs w:val="24"/>
              </w:rPr>
            </w:pPr>
            <w:r w:rsidRPr="00BE2B92">
              <w:rPr>
                <w:sz w:val="24"/>
                <w:szCs w:val="24"/>
              </w:rPr>
              <w:t>2</w:t>
            </w:r>
          </w:p>
        </w:tc>
        <w:tc>
          <w:tcPr>
            <w:tcW w:w="4068" w:type="dxa"/>
            <w:vAlign w:val="center"/>
          </w:tcPr>
          <w:p w14:paraId="4ED6A2F8" w14:textId="77777777" w:rsidR="00863773" w:rsidRPr="00BE2B92" w:rsidRDefault="00863773" w:rsidP="00102149">
            <w:pPr>
              <w:pStyle w:val="Heading3"/>
              <w:numPr>
                <w:ilvl w:val="0"/>
                <w:numId w:val="0"/>
              </w:numPr>
              <w:spacing w:after="120"/>
              <w:jc w:val="left"/>
              <w:outlineLvl w:val="2"/>
              <w:rPr>
                <w:sz w:val="24"/>
                <w:szCs w:val="24"/>
              </w:rPr>
            </w:pPr>
            <w:r w:rsidRPr="00BE2B92">
              <w:rPr>
                <w:sz w:val="24"/>
                <w:szCs w:val="24"/>
              </w:rPr>
              <w:t>Implementation of licences/support and maintenance where renewal is due at future date.</w:t>
            </w:r>
          </w:p>
        </w:tc>
        <w:tc>
          <w:tcPr>
            <w:tcW w:w="2565" w:type="dxa"/>
            <w:vAlign w:val="center"/>
          </w:tcPr>
          <w:p w14:paraId="1B36EE1F" w14:textId="77777777" w:rsidR="00863773" w:rsidRPr="00BE2B92" w:rsidRDefault="00863773" w:rsidP="00102149">
            <w:pPr>
              <w:pStyle w:val="Heading3"/>
              <w:numPr>
                <w:ilvl w:val="0"/>
                <w:numId w:val="0"/>
              </w:numPr>
              <w:spacing w:after="120"/>
              <w:jc w:val="left"/>
              <w:outlineLvl w:val="2"/>
              <w:rPr>
                <w:sz w:val="24"/>
                <w:szCs w:val="24"/>
              </w:rPr>
            </w:pPr>
            <w:r w:rsidRPr="00BE2B92">
              <w:rPr>
                <w:sz w:val="24"/>
                <w:szCs w:val="24"/>
              </w:rPr>
              <w:t>Upon date of renewal</w:t>
            </w:r>
          </w:p>
        </w:tc>
      </w:tr>
    </w:tbl>
    <w:p w14:paraId="68BD39AF" w14:textId="4E5698CC" w:rsidR="006635AE" w:rsidRDefault="006635AE" w:rsidP="00863773">
      <w:pPr>
        <w:tabs>
          <w:tab w:val="left" w:pos="2257"/>
        </w:tabs>
        <w:spacing w:after="0" w:line="259" w:lineRule="auto"/>
        <w:rPr>
          <w:rFonts w:ascii="Arial" w:hAnsi="Arial" w:cs="Arial"/>
          <w:sz w:val="24"/>
          <w:szCs w:val="24"/>
        </w:rPr>
      </w:pPr>
    </w:p>
    <w:p w14:paraId="6BA7B12D" w14:textId="77777777" w:rsidR="00ED6C41" w:rsidRDefault="00ED6C41" w:rsidP="006635AE">
      <w:pPr>
        <w:tabs>
          <w:tab w:val="left" w:pos="2257"/>
        </w:tabs>
        <w:spacing w:after="0" w:line="259" w:lineRule="auto"/>
        <w:rPr>
          <w:rFonts w:ascii="Arial" w:hAnsi="Arial" w:cs="Arial"/>
          <w:sz w:val="24"/>
          <w:szCs w:val="24"/>
        </w:rPr>
      </w:pPr>
    </w:p>
    <w:p w14:paraId="410F91BC" w14:textId="1CBAE861" w:rsidR="00863773" w:rsidRDefault="006635AE" w:rsidP="00863773">
      <w:pPr>
        <w:tabs>
          <w:tab w:val="left" w:pos="2257"/>
        </w:tabs>
        <w:spacing w:after="0" w:line="259" w:lineRule="auto"/>
        <w:rPr>
          <w:rFonts w:ascii="Arial" w:hAnsi="Arial" w:cs="Arial"/>
          <w:sz w:val="24"/>
          <w:szCs w:val="24"/>
        </w:rPr>
      </w:pPr>
      <w:r w:rsidRPr="006635AE">
        <w:rPr>
          <w:rFonts w:ascii="Arial" w:hAnsi="Arial" w:cs="Arial"/>
          <w:sz w:val="24"/>
          <w:szCs w:val="24"/>
        </w:rPr>
        <w:t>TESTING OF DELIVERABLES</w:t>
      </w:r>
    </w:p>
    <w:p w14:paraId="44F56C01" w14:textId="6FEEF37A" w:rsidR="006635AE" w:rsidRDefault="00A4458B" w:rsidP="00863773">
      <w:pPr>
        <w:tabs>
          <w:tab w:val="left" w:pos="2257"/>
        </w:tabs>
        <w:spacing w:after="0" w:line="259" w:lineRule="auto"/>
        <w:rPr>
          <w:rFonts w:ascii="Arial" w:hAnsi="Arial" w:cs="Arial"/>
          <w:sz w:val="24"/>
          <w:szCs w:val="24"/>
        </w:rPr>
      </w:pPr>
      <w:r>
        <w:rPr>
          <w:rFonts w:ascii="Arial" w:hAnsi="Arial" w:cs="Arial"/>
          <w:sz w:val="24"/>
          <w:szCs w:val="24"/>
        </w:rPr>
        <w:t>N</w:t>
      </w:r>
      <w:r w:rsidR="00863773">
        <w:rPr>
          <w:rFonts w:ascii="Arial" w:hAnsi="Arial" w:cs="Arial"/>
          <w:sz w:val="24"/>
          <w:szCs w:val="24"/>
        </w:rPr>
        <w:t>one</w:t>
      </w:r>
    </w:p>
    <w:p w14:paraId="163D38FC" w14:textId="77777777" w:rsidR="006635AE" w:rsidRDefault="006635AE" w:rsidP="006635AE">
      <w:pPr>
        <w:tabs>
          <w:tab w:val="left" w:pos="2257"/>
        </w:tabs>
        <w:spacing w:after="0" w:line="259" w:lineRule="auto"/>
        <w:rPr>
          <w:rFonts w:ascii="Arial" w:hAnsi="Arial" w:cs="Arial"/>
          <w:b/>
          <w:sz w:val="24"/>
          <w:szCs w:val="24"/>
        </w:rPr>
      </w:pPr>
    </w:p>
    <w:p w14:paraId="6A536C67" w14:textId="77777777" w:rsidR="006635AE" w:rsidRPr="006635AE" w:rsidRDefault="006635AE" w:rsidP="006635AE">
      <w:pPr>
        <w:tabs>
          <w:tab w:val="left" w:pos="2257"/>
        </w:tabs>
        <w:spacing w:after="0" w:line="259" w:lineRule="auto"/>
        <w:rPr>
          <w:rFonts w:ascii="Arial" w:hAnsi="Arial" w:cs="Arial"/>
          <w:sz w:val="24"/>
          <w:szCs w:val="24"/>
        </w:rPr>
      </w:pPr>
      <w:r w:rsidRPr="006635AE">
        <w:rPr>
          <w:rFonts w:ascii="Arial" w:hAnsi="Arial" w:cs="Arial"/>
          <w:sz w:val="24"/>
          <w:szCs w:val="24"/>
        </w:rPr>
        <w:t>WARRANTY PERIOD</w:t>
      </w:r>
    </w:p>
    <w:p w14:paraId="4F073449" w14:textId="12382171" w:rsidR="006635AE" w:rsidRDefault="006635AE" w:rsidP="006635AE">
      <w:pPr>
        <w:tabs>
          <w:tab w:val="left" w:pos="2257"/>
        </w:tabs>
        <w:spacing w:after="0" w:line="259" w:lineRule="auto"/>
        <w:rPr>
          <w:rFonts w:ascii="Arial" w:hAnsi="Arial" w:cs="Arial"/>
          <w:sz w:val="24"/>
          <w:szCs w:val="24"/>
        </w:rPr>
      </w:pPr>
      <w:r>
        <w:rPr>
          <w:rFonts w:ascii="Arial" w:hAnsi="Arial" w:cs="Arial"/>
          <w:sz w:val="24"/>
          <w:szCs w:val="24"/>
        </w:rPr>
        <w:t>The warranty period for the purposes of Clause 3.</w:t>
      </w:r>
      <w:r w:rsidR="00513A34">
        <w:rPr>
          <w:rFonts w:ascii="Arial" w:hAnsi="Arial" w:cs="Arial"/>
          <w:sz w:val="24"/>
          <w:szCs w:val="24"/>
        </w:rPr>
        <w:t xml:space="preserve">1.2 of the Core Terms shall be </w:t>
      </w:r>
      <w:r w:rsidR="00513A34" w:rsidRPr="00513A34">
        <w:rPr>
          <w:rFonts w:ascii="Arial" w:hAnsi="Arial" w:cs="Arial"/>
          <w:sz w:val="24"/>
          <w:szCs w:val="24"/>
        </w:rPr>
        <w:t>12 months, except in the cases where co-terming of expiry dates have been r</w:t>
      </w:r>
      <w:r w:rsidR="00513A34">
        <w:rPr>
          <w:rFonts w:ascii="Arial" w:hAnsi="Arial" w:cs="Arial"/>
          <w:sz w:val="24"/>
          <w:szCs w:val="24"/>
        </w:rPr>
        <w:t>equested</w:t>
      </w:r>
      <w:r w:rsidR="00513A34" w:rsidRPr="00513A34">
        <w:rPr>
          <w:rFonts w:ascii="Arial" w:hAnsi="Arial" w:cs="Arial"/>
          <w:sz w:val="24"/>
          <w:szCs w:val="24"/>
        </w:rPr>
        <w:t xml:space="preserve"> </w:t>
      </w:r>
      <w:r w:rsidR="00513A34">
        <w:rPr>
          <w:rFonts w:ascii="Arial" w:hAnsi="Arial" w:cs="Arial"/>
          <w:sz w:val="24"/>
          <w:szCs w:val="24"/>
        </w:rPr>
        <w:t>(As per Annex A – Requirement Specification).</w:t>
      </w:r>
    </w:p>
    <w:p w14:paraId="626DA42B" w14:textId="77777777" w:rsidR="006635AE" w:rsidRPr="00ED3390" w:rsidRDefault="006635AE" w:rsidP="006635AE">
      <w:pPr>
        <w:tabs>
          <w:tab w:val="left" w:pos="2257"/>
        </w:tabs>
        <w:spacing w:after="0" w:line="259" w:lineRule="auto"/>
        <w:rPr>
          <w:rFonts w:ascii="Arial" w:hAnsi="Arial" w:cs="Arial"/>
          <w:sz w:val="24"/>
          <w:szCs w:val="24"/>
        </w:rPr>
      </w:pPr>
    </w:p>
    <w:p w14:paraId="6F157829" w14:textId="77777777" w:rsidR="00710B03" w:rsidRPr="00710B03" w:rsidRDefault="00710B03" w:rsidP="00710B03">
      <w:pPr>
        <w:tabs>
          <w:tab w:val="left" w:pos="2257"/>
        </w:tabs>
        <w:spacing w:after="0" w:line="259" w:lineRule="auto"/>
        <w:rPr>
          <w:rFonts w:ascii="Arial" w:hAnsi="Arial" w:cs="Arial"/>
          <w:sz w:val="24"/>
          <w:szCs w:val="24"/>
        </w:rPr>
      </w:pPr>
      <w:r>
        <w:rPr>
          <w:rFonts w:ascii="Arial" w:hAnsi="Arial" w:cs="Arial"/>
          <w:sz w:val="24"/>
          <w:szCs w:val="24"/>
        </w:rPr>
        <w:t xml:space="preserve">MAXIMUM LIABILITY </w:t>
      </w:r>
    </w:p>
    <w:p w14:paraId="5E169D73" w14:textId="24E9CB98" w:rsidR="00710B03" w:rsidRPr="000851C3" w:rsidRDefault="00710B03" w:rsidP="00710B03">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sidR="0096468C">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24A31E65" w14:textId="77777777" w:rsidR="00710B03" w:rsidRDefault="00710B03" w:rsidP="00710B03">
      <w:pPr>
        <w:tabs>
          <w:tab w:val="left" w:pos="2257"/>
        </w:tabs>
        <w:spacing w:after="0" w:line="259" w:lineRule="auto"/>
        <w:rPr>
          <w:rFonts w:ascii="Arial" w:hAnsi="Arial" w:cs="Arial"/>
          <w:sz w:val="24"/>
          <w:szCs w:val="24"/>
        </w:rPr>
      </w:pPr>
    </w:p>
    <w:p w14:paraId="20D1C576" w14:textId="087207C4" w:rsidR="00710B03" w:rsidRPr="00710B03" w:rsidRDefault="00710B03" w:rsidP="00710B03">
      <w:pPr>
        <w:tabs>
          <w:tab w:val="left" w:pos="2257"/>
        </w:tabs>
        <w:spacing w:after="0" w:line="259" w:lineRule="auto"/>
        <w:rPr>
          <w:rFonts w:ascii="Arial" w:hAnsi="Arial" w:cs="Arial"/>
          <w:b/>
          <w:sz w:val="24"/>
          <w:szCs w:val="24"/>
        </w:rPr>
      </w:pPr>
      <w:r>
        <w:rPr>
          <w:rFonts w:ascii="Arial" w:hAnsi="Arial" w:cs="Arial"/>
          <w:sz w:val="24"/>
          <w:szCs w:val="24"/>
        </w:rPr>
        <w:t>The Estimated Year 1 C</w:t>
      </w:r>
      <w:r w:rsidR="00633EE5">
        <w:rPr>
          <w:rFonts w:ascii="Arial" w:hAnsi="Arial" w:cs="Arial"/>
          <w:sz w:val="24"/>
          <w:szCs w:val="24"/>
        </w:rPr>
        <w:t xml:space="preserve">harges used to calculate </w:t>
      </w:r>
      <w:r>
        <w:rPr>
          <w:rFonts w:ascii="Arial" w:hAnsi="Arial" w:cs="Arial"/>
          <w:sz w:val="24"/>
          <w:szCs w:val="24"/>
        </w:rPr>
        <w:t>liability in the first Contract Year is</w:t>
      </w:r>
      <w:r w:rsidR="00544956">
        <w:rPr>
          <w:rFonts w:ascii="Arial" w:hAnsi="Arial" w:cs="Arial"/>
          <w:b/>
          <w:sz w:val="24"/>
          <w:szCs w:val="24"/>
          <w:highlight w:val="yellow"/>
        </w:rPr>
        <w:t xml:space="preserve"> </w:t>
      </w:r>
      <w:r w:rsidR="00671691">
        <w:rPr>
          <w:rFonts w:ascii="Arial" w:hAnsi="Arial" w:cs="Arial"/>
          <w:b/>
          <w:sz w:val="24"/>
          <w:szCs w:val="24"/>
        </w:rPr>
        <w:t>£1,367,950.00 (ex VAT)</w:t>
      </w:r>
      <w:r>
        <w:rPr>
          <w:rFonts w:ascii="Arial" w:hAnsi="Arial" w:cs="Arial"/>
          <w:b/>
          <w:sz w:val="24"/>
          <w:szCs w:val="24"/>
        </w:rPr>
        <w:t xml:space="preserve"> </w:t>
      </w:r>
      <w:r w:rsidRPr="000851C3">
        <w:rPr>
          <w:rFonts w:ascii="Arial" w:hAnsi="Arial" w:cs="Arial"/>
          <w:sz w:val="24"/>
          <w:szCs w:val="24"/>
        </w:rPr>
        <w:t xml:space="preserve">Estimated Charges in the first 12 months of the Contract. </w:t>
      </w:r>
    </w:p>
    <w:p w14:paraId="2A90FF42" w14:textId="77777777" w:rsidR="001D084D" w:rsidRDefault="001D084D" w:rsidP="00475B07">
      <w:pPr>
        <w:tabs>
          <w:tab w:val="left" w:pos="2257"/>
        </w:tabs>
        <w:spacing w:after="0" w:line="259" w:lineRule="auto"/>
        <w:rPr>
          <w:rFonts w:ascii="Arial" w:hAnsi="Arial" w:cs="Arial"/>
          <w:b/>
          <w:sz w:val="24"/>
          <w:szCs w:val="24"/>
        </w:rPr>
      </w:pPr>
    </w:p>
    <w:p w14:paraId="179D5415" w14:textId="7EF90137" w:rsidR="001D084D" w:rsidRDefault="001D084D" w:rsidP="001D084D">
      <w:pPr>
        <w:tabs>
          <w:tab w:val="left" w:pos="2257"/>
        </w:tabs>
        <w:spacing w:after="0" w:line="259" w:lineRule="auto"/>
        <w:rPr>
          <w:rFonts w:ascii="Arial" w:hAnsi="Arial" w:cs="Arial"/>
          <w:sz w:val="24"/>
          <w:szCs w:val="24"/>
        </w:rPr>
      </w:pPr>
      <w:r w:rsidRPr="000851C3">
        <w:rPr>
          <w:rFonts w:ascii="Arial" w:hAnsi="Arial" w:cs="Arial"/>
          <w:sz w:val="24"/>
          <w:szCs w:val="24"/>
        </w:rPr>
        <w:t>CALL-OFF CHARGES</w:t>
      </w:r>
    </w:p>
    <w:p w14:paraId="31B0A1C7" w14:textId="77777777" w:rsidR="006D710B" w:rsidRPr="000851C3" w:rsidRDefault="006D710B" w:rsidP="001D084D">
      <w:pPr>
        <w:tabs>
          <w:tab w:val="left" w:pos="2257"/>
        </w:tabs>
        <w:spacing w:after="0" w:line="259" w:lineRule="auto"/>
        <w:rPr>
          <w:rFonts w:ascii="Arial" w:hAnsi="Arial" w:cs="Arial"/>
          <w:sz w:val="24"/>
          <w:szCs w:val="24"/>
        </w:rPr>
      </w:pPr>
    </w:p>
    <w:p w14:paraId="36FFC250" w14:textId="72DFE6B3" w:rsidR="00875232" w:rsidRPr="006D710B" w:rsidRDefault="006D710B" w:rsidP="001D084D">
      <w:pPr>
        <w:tabs>
          <w:tab w:val="left" w:pos="2257"/>
        </w:tabs>
        <w:spacing w:after="0" w:line="259" w:lineRule="auto"/>
        <w:rPr>
          <w:b/>
          <w:sz w:val="28"/>
          <w:szCs w:val="28"/>
        </w:rPr>
      </w:pPr>
      <w:r w:rsidRPr="006D710B">
        <w:rPr>
          <w:b/>
          <w:sz w:val="28"/>
          <w:szCs w:val="28"/>
        </w:rPr>
        <w:t>REDACTED</w:t>
      </w:r>
    </w:p>
    <w:p w14:paraId="12A24D01" w14:textId="77777777" w:rsidR="006D710B" w:rsidRDefault="006D710B" w:rsidP="001D084D">
      <w:pPr>
        <w:tabs>
          <w:tab w:val="left" w:pos="2257"/>
        </w:tabs>
        <w:spacing w:after="0" w:line="259" w:lineRule="auto"/>
        <w:rPr>
          <w:highlight w:val="yellow"/>
        </w:rPr>
      </w:pPr>
    </w:p>
    <w:p w14:paraId="27792537" w14:textId="0FEBF034" w:rsidR="001D084D" w:rsidRPr="00B714E9" w:rsidRDefault="001D084D" w:rsidP="001D084D">
      <w:pPr>
        <w:tabs>
          <w:tab w:val="left" w:pos="2257"/>
        </w:tabs>
        <w:spacing w:after="0" w:line="259" w:lineRule="auto"/>
        <w:rPr>
          <w:rFonts w:ascii="Arial" w:hAnsi="Arial" w:cs="Arial"/>
          <w:sz w:val="24"/>
          <w:szCs w:val="24"/>
          <w:highlight w:val="yellow"/>
        </w:rPr>
      </w:pPr>
      <w:r>
        <w:rPr>
          <w:rFonts w:ascii="Arial" w:hAnsi="Arial" w:cs="Arial"/>
          <w:sz w:val="24"/>
          <w:szCs w:val="24"/>
        </w:rPr>
        <w:t>See d</w:t>
      </w:r>
      <w:r w:rsidRPr="00B714E9">
        <w:rPr>
          <w:rFonts w:ascii="Arial" w:hAnsi="Arial" w:cs="Arial"/>
          <w:sz w:val="24"/>
          <w:szCs w:val="24"/>
        </w:rPr>
        <w:t>etails</w:t>
      </w:r>
      <w:r>
        <w:rPr>
          <w:rFonts w:ascii="Arial" w:hAnsi="Arial" w:cs="Arial"/>
          <w:sz w:val="24"/>
          <w:szCs w:val="24"/>
        </w:rPr>
        <w:t xml:space="preserve"> in Call-</w:t>
      </w:r>
      <w:r w:rsidRPr="009F273E">
        <w:rPr>
          <w:rFonts w:ascii="Arial" w:hAnsi="Arial" w:cs="Arial"/>
          <w:sz w:val="24"/>
          <w:szCs w:val="24"/>
        </w:rPr>
        <w:t>Off Schedule 5 (Pricing</w:t>
      </w:r>
      <w:r w:rsidR="00875232">
        <w:rPr>
          <w:rFonts w:ascii="Arial" w:hAnsi="Arial" w:cs="Arial"/>
          <w:sz w:val="24"/>
          <w:szCs w:val="24"/>
        </w:rPr>
        <w:t xml:space="preserve"> Details) for a complete breakdown of charges.</w:t>
      </w:r>
    </w:p>
    <w:p w14:paraId="76E37876" w14:textId="77777777" w:rsidR="000434E4" w:rsidRDefault="000434E4" w:rsidP="00475B07">
      <w:pPr>
        <w:tabs>
          <w:tab w:val="left" w:pos="2257"/>
        </w:tabs>
        <w:spacing w:after="0" w:line="259" w:lineRule="auto"/>
        <w:rPr>
          <w:rFonts w:ascii="Arial" w:hAnsi="Arial" w:cs="Arial"/>
          <w:sz w:val="24"/>
          <w:szCs w:val="24"/>
          <w:highlight w:val="yellow"/>
        </w:rPr>
      </w:pPr>
      <w:r w:rsidRPr="00580CF1" w:rsidDel="000434E4">
        <w:rPr>
          <w:rFonts w:ascii="Arial" w:hAnsi="Arial" w:cs="Arial"/>
          <w:sz w:val="24"/>
          <w:szCs w:val="24"/>
          <w:highlight w:val="yellow"/>
        </w:rPr>
        <w:t xml:space="preserve"> </w:t>
      </w:r>
    </w:p>
    <w:p w14:paraId="5BAD6662" w14:textId="5A8E7B77" w:rsidR="001D084D" w:rsidRPr="000851C3" w:rsidRDefault="001D084D" w:rsidP="00ED3390">
      <w:pPr>
        <w:tabs>
          <w:tab w:val="left" w:pos="2257"/>
        </w:tabs>
        <w:spacing w:after="0" w:line="259" w:lineRule="auto"/>
        <w:rPr>
          <w:rFonts w:ascii="Arial" w:hAnsi="Arial" w:cs="Arial"/>
          <w:sz w:val="24"/>
          <w:szCs w:val="24"/>
        </w:rPr>
      </w:pPr>
      <w:r>
        <w:rPr>
          <w:rFonts w:ascii="Arial" w:hAnsi="Arial" w:cs="Arial"/>
          <w:sz w:val="24"/>
          <w:szCs w:val="24"/>
        </w:rPr>
        <w:t>The Charges will</w:t>
      </w:r>
      <w:r w:rsidRPr="00CB23C3">
        <w:rPr>
          <w:rFonts w:ascii="Arial" w:hAnsi="Arial" w:cs="Arial"/>
          <w:sz w:val="24"/>
          <w:szCs w:val="24"/>
        </w:rPr>
        <w:t xml:space="preserve"> not be impacted by any</w:t>
      </w:r>
      <w:r>
        <w:rPr>
          <w:rFonts w:ascii="Arial" w:hAnsi="Arial" w:cs="Arial"/>
          <w:sz w:val="24"/>
          <w:szCs w:val="24"/>
        </w:rPr>
        <w:t xml:space="preserve"> change to the Framework Prices. The Charges can </w:t>
      </w:r>
      <w:r w:rsidRPr="00CB23C3">
        <w:rPr>
          <w:rFonts w:ascii="Arial" w:hAnsi="Arial" w:cs="Arial"/>
          <w:sz w:val="24"/>
          <w:szCs w:val="24"/>
        </w:rPr>
        <w:t xml:space="preserve">only be changed by agreement in writing between the Buyer and the Supplier </w:t>
      </w:r>
      <w:r>
        <w:rPr>
          <w:rFonts w:ascii="Arial" w:hAnsi="Arial" w:cs="Arial"/>
          <w:sz w:val="24"/>
          <w:szCs w:val="24"/>
        </w:rPr>
        <w:t>because</w:t>
      </w:r>
      <w:r w:rsidRPr="00CB23C3">
        <w:rPr>
          <w:rFonts w:ascii="Arial" w:hAnsi="Arial" w:cs="Arial"/>
          <w:sz w:val="24"/>
          <w:szCs w:val="24"/>
        </w:rPr>
        <w:t xml:space="preserve"> of</w:t>
      </w:r>
      <w:r w:rsidR="000434E4">
        <w:rPr>
          <w:rFonts w:ascii="Arial" w:hAnsi="Arial" w:cs="Arial"/>
          <w:sz w:val="24"/>
          <w:szCs w:val="24"/>
        </w:rPr>
        <w:t xml:space="preserve"> a</w:t>
      </w:r>
      <w:r w:rsidR="00957E10">
        <w:rPr>
          <w:rFonts w:ascii="Arial" w:hAnsi="Arial" w:cs="Arial"/>
          <w:sz w:val="24"/>
          <w:szCs w:val="24"/>
        </w:rPr>
        <w:t xml:space="preserve"> </w:t>
      </w:r>
      <w:r>
        <w:rPr>
          <w:rFonts w:ascii="Arial" w:hAnsi="Arial" w:cs="Arial"/>
          <w:sz w:val="24"/>
          <w:szCs w:val="24"/>
        </w:rPr>
        <w:t>Specific Change in Law</w:t>
      </w:r>
      <w:r w:rsidR="000434E4">
        <w:rPr>
          <w:rFonts w:ascii="Arial" w:hAnsi="Arial" w:cs="Arial"/>
          <w:sz w:val="24"/>
          <w:szCs w:val="24"/>
        </w:rPr>
        <w:t xml:space="preserve"> or </w:t>
      </w:r>
      <w:r>
        <w:rPr>
          <w:rFonts w:ascii="Arial" w:hAnsi="Arial" w:cs="Arial"/>
          <w:sz w:val="24"/>
          <w:szCs w:val="24"/>
        </w:rPr>
        <w:t>B</w:t>
      </w:r>
      <w:r w:rsidRPr="000851C3">
        <w:rPr>
          <w:rFonts w:ascii="Arial" w:hAnsi="Arial" w:cs="Arial"/>
          <w:sz w:val="24"/>
          <w:szCs w:val="24"/>
        </w:rPr>
        <w:t xml:space="preserve">enchmarking </w:t>
      </w:r>
      <w:r>
        <w:rPr>
          <w:rFonts w:ascii="Arial" w:hAnsi="Arial" w:cs="Arial"/>
          <w:sz w:val="24"/>
          <w:szCs w:val="24"/>
        </w:rPr>
        <w:t>using Call-</w:t>
      </w:r>
      <w:r w:rsidRPr="000851C3">
        <w:rPr>
          <w:rFonts w:ascii="Arial" w:hAnsi="Arial" w:cs="Arial"/>
          <w:sz w:val="24"/>
          <w:szCs w:val="24"/>
        </w:rPr>
        <w:t xml:space="preserve">Off Schedule </w:t>
      </w:r>
      <w:r>
        <w:rPr>
          <w:rFonts w:ascii="Arial" w:hAnsi="Arial" w:cs="Arial"/>
          <w:sz w:val="24"/>
          <w:szCs w:val="24"/>
        </w:rPr>
        <w:t>16 (Benchmarking)</w:t>
      </w:r>
      <w:r w:rsidR="000434E4">
        <w:rPr>
          <w:rFonts w:ascii="Arial" w:hAnsi="Arial" w:cs="Arial"/>
          <w:sz w:val="24"/>
          <w:szCs w:val="24"/>
        </w:rPr>
        <w:t xml:space="preserve"> where this is used.</w:t>
      </w:r>
    </w:p>
    <w:p w14:paraId="263DA9A6" w14:textId="77777777" w:rsidR="001D084D" w:rsidRPr="009F273E" w:rsidRDefault="001D084D" w:rsidP="001D084D">
      <w:pPr>
        <w:tabs>
          <w:tab w:val="left" w:pos="2257"/>
        </w:tabs>
        <w:spacing w:after="0" w:line="259" w:lineRule="auto"/>
        <w:rPr>
          <w:rFonts w:ascii="Arial" w:hAnsi="Arial" w:cs="Arial"/>
          <w:sz w:val="24"/>
          <w:szCs w:val="24"/>
          <w:highlight w:val="yellow"/>
        </w:rPr>
      </w:pPr>
    </w:p>
    <w:p w14:paraId="26A21C4C" w14:textId="77777777" w:rsidR="001D084D" w:rsidRPr="00D3070F"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lastRenderedPageBreak/>
        <w:t>REIMB</w:t>
      </w:r>
      <w:r w:rsidRPr="00D3070F">
        <w:rPr>
          <w:rFonts w:ascii="Arial" w:hAnsi="Arial" w:cs="Arial"/>
          <w:sz w:val="24"/>
          <w:szCs w:val="24"/>
        </w:rPr>
        <w:t>URSABLE EXPENSES</w:t>
      </w:r>
    </w:p>
    <w:p w14:paraId="34246507" w14:textId="51EB9EC3" w:rsidR="001D084D" w:rsidRPr="009F273E" w:rsidRDefault="001D084D" w:rsidP="001D084D">
      <w:pPr>
        <w:tabs>
          <w:tab w:val="left" w:pos="2257"/>
        </w:tabs>
        <w:spacing w:after="0" w:line="259" w:lineRule="auto"/>
        <w:rPr>
          <w:rFonts w:ascii="Arial" w:hAnsi="Arial" w:cs="Arial"/>
          <w:sz w:val="24"/>
          <w:szCs w:val="24"/>
        </w:rPr>
      </w:pPr>
      <w:r w:rsidRPr="00D3070F">
        <w:rPr>
          <w:rFonts w:ascii="Arial" w:hAnsi="Arial" w:cs="Arial"/>
          <w:sz w:val="24"/>
          <w:szCs w:val="24"/>
        </w:rPr>
        <w:t>None</w:t>
      </w:r>
    </w:p>
    <w:p w14:paraId="73449A14" w14:textId="77777777" w:rsidR="001D084D" w:rsidRPr="009F273E" w:rsidRDefault="001D084D" w:rsidP="001D084D">
      <w:pPr>
        <w:tabs>
          <w:tab w:val="left" w:pos="2257"/>
        </w:tabs>
        <w:spacing w:after="0" w:line="259" w:lineRule="auto"/>
        <w:rPr>
          <w:rFonts w:ascii="Arial" w:hAnsi="Arial" w:cs="Arial"/>
          <w:b/>
          <w:sz w:val="24"/>
          <w:szCs w:val="24"/>
        </w:rPr>
      </w:pPr>
    </w:p>
    <w:p w14:paraId="29D7D79F"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PAYMENT METHOD</w:t>
      </w:r>
    </w:p>
    <w:p w14:paraId="527B473C" w14:textId="77777777" w:rsidR="00863773" w:rsidRDefault="00863773" w:rsidP="00863773">
      <w:pPr>
        <w:pStyle w:val="Heading2"/>
        <w:numPr>
          <w:ilvl w:val="0"/>
          <w:numId w:val="0"/>
        </w:numPr>
        <w:ind w:left="720" w:hanging="720"/>
        <w:rPr>
          <w:sz w:val="24"/>
          <w:szCs w:val="24"/>
        </w:rPr>
      </w:pPr>
      <w:r w:rsidRPr="00E171D6">
        <w:rPr>
          <w:sz w:val="24"/>
          <w:szCs w:val="24"/>
        </w:rPr>
        <w:t>Payment will be made via CP&amp;F following successful delivery of all goods.</w:t>
      </w:r>
    </w:p>
    <w:p w14:paraId="75FD6F1B" w14:textId="415E1C95" w:rsidR="00863773" w:rsidRPr="00E171D6" w:rsidRDefault="00863773" w:rsidP="00863773">
      <w:pPr>
        <w:pStyle w:val="Heading2"/>
        <w:numPr>
          <w:ilvl w:val="0"/>
          <w:numId w:val="0"/>
        </w:numPr>
        <w:rPr>
          <w:sz w:val="24"/>
          <w:szCs w:val="24"/>
        </w:rPr>
      </w:pPr>
      <w:r w:rsidRPr="00E171D6">
        <w:rPr>
          <w:rFonts w:cs="Arial"/>
          <w:color w:val="000000"/>
          <w:sz w:val="24"/>
          <w:szCs w:val="24"/>
          <w:shd w:val="clear" w:color="auto" w:fill="FFFFFF"/>
        </w:rPr>
        <w:t xml:space="preserve">Payment can only be made following satisfactory delivery of pre-agreed certified products and deliverables. </w:t>
      </w:r>
    </w:p>
    <w:p w14:paraId="014FC78F" w14:textId="5E3073C5" w:rsidR="004A4734" w:rsidRPr="00EA258F" w:rsidRDefault="00863773" w:rsidP="00EA258F">
      <w:pPr>
        <w:pStyle w:val="Heading2"/>
        <w:numPr>
          <w:ilvl w:val="0"/>
          <w:numId w:val="0"/>
        </w:numPr>
        <w:rPr>
          <w:sz w:val="24"/>
          <w:szCs w:val="24"/>
        </w:rPr>
      </w:pPr>
      <w:r w:rsidRPr="00E171D6">
        <w:rPr>
          <w:rFonts w:cs="Arial"/>
          <w:color w:val="000000"/>
          <w:sz w:val="24"/>
          <w:szCs w:val="24"/>
          <w:shd w:val="clear" w:color="auto" w:fill="FFFFFF"/>
        </w:rPr>
        <w:t xml:space="preserve">Before payment can be considered, each invoice must include a detailed elemental breakdown of work completed and the associated costs. </w:t>
      </w:r>
    </w:p>
    <w:p w14:paraId="6CA770C5" w14:textId="66DEADD0" w:rsidR="004A4734"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Pr="00BC41BF">
        <w:rPr>
          <w:rFonts w:ascii="Arial" w:hAnsi="Arial" w:cs="Arial"/>
          <w:sz w:val="24"/>
          <w:szCs w:val="24"/>
        </w:rPr>
        <w:t xml:space="preserve"> INVOIC</w:t>
      </w:r>
      <w:r w:rsidR="00BC41BF" w:rsidRPr="00BC41BF">
        <w:rPr>
          <w:rFonts w:ascii="Arial" w:hAnsi="Arial" w:cs="Arial"/>
          <w:sz w:val="24"/>
          <w:szCs w:val="24"/>
        </w:rPr>
        <w:t>E</w:t>
      </w:r>
      <w:r w:rsidRPr="00BC41BF">
        <w:rPr>
          <w:rFonts w:ascii="Arial" w:hAnsi="Arial" w:cs="Arial"/>
          <w:sz w:val="24"/>
          <w:szCs w:val="24"/>
        </w:rPr>
        <w:t xml:space="preserve"> ADDRESS: </w:t>
      </w:r>
    </w:p>
    <w:p w14:paraId="07BEE227" w14:textId="77777777" w:rsidR="00EA258F" w:rsidRPr="00BC41BF" w:rsidRDefault="00EA258F">
      <w:pPr>
        <w:tabs>
          <w:tab w:val="left" w:pos="2257"/>
        </w:tabs>
        <w:spacing w:after="0" w:line="259" w:lineRule="auto"/>
        <w:rPr>
          <w:rFonts w:ascii="Arial" w:hAnsi="Arial" w:cs="Arial"/>
          <w:sz w:val="24"/>
          <w:szCs w:val="24"/>
        </w:rPr>
      </w:pPr>
    </w:p>
    <w:p w14:paraId="186B339C" w14:textId="2740DA25" w:rsidR="004A4734" w:rsidRPr="00EA258F" w:rsidRDefault="00EA258F">
      <w:pPr>
        <w:tabs>
          <w:tab w:val="left" w:pos="2257"/>
        </w:tabs>
        <w:spacing w:after="0" w:line="259" w:lineRule="auto"/>
        <w:rPr>
          <w:rFonts w:ascii="Arial" w:eastAsia="STZhongsong" w:hAnsi="Arial" w:cs="Arial"/>
          <w:color w:val="000000"/>
          <w:sz w:val="24"/>
          <w:szCs w:val="24"/>
          <w:shd w:val="clear" w:color="auto" w:fill="FFFFFF"/>
          <w:lang w:eastAsia="zh-CN"/>
        </w:rPr>
      </w:pPr>
      <w:r w:rsidRPr="00EA258F">
        <w:rPr>
          <w:rFonts w:ascii="Arial" w:eastAsia="STZhongsong" w:hAnsi="Arial" w:cs="Arial"/>
          <w:color w:val="000000"/>
          <w:sz w:val="24"/>
          <w:szCs w:val="24"/>
          <w:shd w:val="clear" w:color="auto" w:fill="FFFFFF"/>
          <w:lang w:eastAsia="zh-CN"/>
        </w:rPr>
        <w:t>Service Management Integrated Technical Solutions (SMITS</w:t>
      </w:r>
      <w:proofErr w:type="gramStart"/>
      <w:r w:rsidRPr="00EA258F">
        <w:rPr>
          <w:rFonts w:ascii="Arial" w:eastAsia="STZhongsong" w:hAnsi="Arial" w:cs="Arial"/>
          <w:color w:val="000000"/>
          <w:sz w:val="24"/>
          <w:szCs w:val="24"/>
          <w:shd w:val="clear" w:color="auto" w:fill="FFFFFF"/>
          <w:lang w:eastAsia="zh-CN"/>
        </w:rPr>
        <w:t>)</w:t>
      </w:r>
      <w:proofErr w:type="gramEnd"/>
      <w:r w:rsidRPr="00EA258F">
        <w:rPr>
          <w:rFonts w:ascii="Arial" w:eastAsia="STZhongsong" w:hAnsi="Arial" w:cs="Arial"/>
          <w:color w:val="000000"/>
          <w:sz w:val="24"/>
          <w:szCs w:val="24"/>
          <w:shd w:val="clear" w:color="auto" w:fill="FFFFFF"/>
          <w:lang w:eastAsia="zh-CN"/>
        </w:rPr>
        <w:br/>
      </w:r>
      <w:r>
        <w:rPr>
          <w:rFonts w:ascii="Arial" w:eastAsia="STZhongsong" w:hAnsi="Arial" w:cs="Arial"/>
          <w:color w:val="000000"/>
          <w:sz w:val="24"/>
          <w:szCs w:val="24"/>
          <w:shd w:val="clear" w:color="auto" w:fill="FFFFFF"/>
          <w:lang w:eastAsia="zh-CN"/>
        </w:rPr>
        <w:t xml:space="preserve">Spur A1, Building 405, MOD </w:t>
      </w:r>
      <w:proofErr w:type="spellStart"/>
      <w:r>
        <w:rPr>
          <w:rFonts w:ascii="Arial" w:eastAsia="STZhongsong" w:hAnsi="Arial" w:cs="Arial"/>
          <w:color w:val="000000"/>
          <w:sz w:val="24"/>
          <w:szCs w:val="24"/>
          <w:shd w:val="clear" w:color="auto" w:fill="FFFFFF"/>
          <w:lang w:eastAsia="zh-CN"/>
        </w:rPr>
        <w:t>Corsham</w:t>
      </w:r>
      <w:proofErr w:type="spellEnd"/>
      <w:r>
        <w:rPr>
          <w:rFonts w:ascii="Arial" w:eastAsia="STZhongsong" w:hAnsi="Arial" w:cs="Arial"/>
          <w:color w:val="000000"/>
          <w:sz w:val="24"/>
          <w:szCs w:val="24"/>
          <w:shd w:val="clear" w:color="auto" w:fill="FFFFFF"/>
          <w:lang w:eastAsia="zh-CN"/>
        </w:rPr>
        <w:t xml:space="preserve">, </w:t>
      </w:r>
      <w:proofErr w:type="spellStart"/>
      <w:r>
        <w:rPr>
          <w:rFonts w:ascii="Arial" w:eastAsia="STZhongsong" w:hAnsi="Arial" w:cs="Arial"/>
          <w:color w:val="000000"/>
          <w:sz w:val="24"/>
          <w:szCs w:val="24"/>
          <w:shd w:val="clear" w:color="auto" w:fill="FFFFFF"/>
          <w:lang w:eastAsia="zh-CN"/>
        </w:rPr>
        <w:t>Westwells</w:t>
      </w:r>
      <w:proofErr w:type="spellEnd"/>
      <w:r>
        <w:rPr>
          <w:rFonts w:ascii="Arial" w:eastAsia="STZhongsong" w:hAnsi="Arial" w:cs="Arial"/>
          <w:color w:val="000000"/>
          <w:sz w:val="24"/>
          <w:szCs w:val="24"/>
          <w:shd w:val="clear" w:color="auto" w:fill="FFFFFF"/>
          <w:lang w:eastAsia="zh-CN"/>
        </w:rPr>
        <w:t xml:space="preserve"> Road, </w:t>
      </w:r>
      <w:proofErr w:type="spellStart"/>
      <w:r>
        <w:rPr>
          <w:rFonts w:ascii="Arial" w:eastAsia="STZhongsong" w:hAnsi="Arial" w:cs="Arial"/>
          <w:color w:val="000000"/>
          <w:sz w:val="24"/>
          <w:szCs w:val="24"/>
          <w:shd w:val="clear" w:color="auto" w:fill="FFFFFF"/>
          <w:lang w:eastAsia="zh-CN"/>
        </w:rPr>
        <w:t>Corsham</w:t>
      </w:r>
      <w:proofErr w:type="spellEnd"/>
      <w:r>
        <w:rPr>
          <w:rFonts w:ascii="Arial" w:eastAsia="STZhongsong" w:hAnsi="Arial" w:cs="Arial"/>
          <w:color w:val="000000"/>
          <w:sz w:val="24"/>
          <w:szCs w:val="24"/>
          <w:shd w:val="clear" w:color="auto" w:fill="FFFFFF"/>
          <w:lang w:eastAsia="zh-CN"/>
        </w:rPr>
        <w:t xml:space="preserve">, </w:t>
      </w:r>
      <w:r w:rsidRPr="00EA258F">
        <w:rPr>
          <w:rFonts w:ascii="Arial" w:eastAsia="STZhongsong" w:hAnsi="Arial" w:cs="Arial"/>
          <w:color w:val="000000"/>
          <w:sz w:val="24"/>
          <w:szCs w:val="24"/>
          <w:shd w:val="clear" w:color="auto" w:fill="FFFFFF"/>
          <w:lang w:eastAsia="zh-CN"/>
        </w:rPr>
        <w:t>SN13 9NR</w:t>
      </w:r>
      <w:r>
        <w:rPr>
          <w:rFonts w:ascii="Arial" w:eastAsia="STZhongsong" w:hAnsi="Arial" w:cs="Arial"/>
          <w:color w:val="000000"/>
          <w:sz w:val="24"/>
          <w:szCs w:val="24"/>
          <w:shd w:val="clear" w:color="auto" w:fill="FFFFFF"/>
          <w:lang w:eastAsia="zh-CN"/>
        </w:rPr>
        <w:t>.</w:t>
      </w:r>
    </w:p>
    <w:p w14:paraId="21ED5E4F" w14:textId="77777777" w:rsidR="00EA258F" w:rsidRPr="00BC41BF" w:rsidRDefault="00EA258F">
      <w:pPr>
        <w:tabs>
          <w:tab w:val="left" w:pos="2257"/>
        </w:tabs>
        <w:spacing w:after="0" w:line="259" w:lineRule="auto"/>
        <w:rPr>
          <w:rFonts w:ascii="Arial" w:hAnsi="Arial" w:cs="Arial"/>
          <w:sz w:val="24"/>
          <w:szCs w:val="24"/>
        </w:rPr>
      </w:pPr>
    </w:p>
    <w:p w14:paraId="63A796E0"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AUTHORISED REPRESENTATIVE</w:t>
      </w:r>
    </w:p>
    <w:p w14:paraId="30859985" w14:textId="3EA7C41F" w:rsidR="004A4734" w:rsidRPr="006D710B" w:rsidRDefault="006D710B">
      <w:pPr>
        <w:tabs>
          <w:tab w:val="left" w:pos="2257"/>
        </w:tabs>
        <w:spacing w:after="0" w:line="259" w:lineRule="auto"/>
        <w:rPr>
          <w:rFonts w:ascii="Arial" w:hAnsi="Arial" w:cs="Arial"/>
          <w:b/>
          <w:sz w:val="24"/>
          <w:szCs w:val="24"/>
        </w:rPr>
      </w:pPr>
      <w:r w:rsidRPr="006D710B">
        <w:rPr>
          <w:rFonts w:ascii="Arial" w:hAnsi="Arial" w:cs="Arial"/>
          <w:b/>
          <w:sz w:val="24"/>
          <w:szCs w:val="24"/>
        </w:rPr>
        <w:t>REDACTED</w:t>
      </w:r>
    </w:p>
    <w:p w14:paraId="5F5755E8" w14:textId="77777777" w:rsidR="001A4F1C" w:rsidRPr="009F273E" w:rsidRDefault="001A4F1C">
      <w:pPr>
        <w:tabs>
          <w:tab w:val="left" w:pos="2257"/>
        </w:tabs>
        <w:spacing w:after="0" w:line="259" w:lineRule="auto"/>
        <w:rPr>
          <w:rFonts w:ascii="Arial" w:hAnsi="Arial" w:cs="Arial"/>
          <w:sz w:val="24"/>
          <w:szCs w:val="24"/>
        </w:rPr>
      </w:pPr>
    </w:p>
    <w:p w14:paraId="105F463B" w14:textId="77777777" w:rsidR="003676A4" w:rsidRPr="00402E48" w:rsidRDefault="003676A4" w:rsidP="003676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w:t>
      </w:r>
      <w:r w:rsidR="00BC41BF" w:rsidRPr="00402E48">
        <w:rPr>
          <w:rFonts w:ascii="Arial" w:hAnsi="Arial" w:cs="Arial"/>
          <w:sz w:val="24"/>
          <w:szCs w:val="24"/>
        </w:rPr>
        <w:t>ENVIRONMENTAL POLICY</w:t>
      </w:r>
    </w:p>
    <w:p w14:paraId="1128A6BE" w14:textId="790E692C" w:rsidR="003676A4" w:rsidRPr="00402E48" w:rsidRDefault="00402E48" w:rsidP="00402E48">
      <w:pPr>
        <w:tabs>
          <w:tab w:val="left" w:pos="2257"/>
        </w:tabs>
        <w:spacing w:after="0" w:line="259" w:lineRule="auto"/>
        <w:rPr>
          <w:rFonts w:ascii="Arial" w:hAnsi="Arial" w:cs="Arial"/>
          <w:sz w:val="24"/>
          <w:szCs w:val="24"/>
        </w:rPr>
      </w:pPr>
      <w:r w:rsidRPr="00402E48">
        <w:rPr>
          <w:rFonts w:ascii="Arial" w:hAnsi="Arial" w:cs="Arial"/>
          <w:sz w:val="24"/>
          <w:szCs w:val="24"/>
        </w:rPr>
        <w:t>Not Applicable</w:t>
      </w:r>
    </w:p>
    <w:p w14:paraId="5F916F55" w14:textId="77777777" w:rsidR="004A4734" w:rsidRPr="00402E48" w:rsidRDefault="004A4734">
      <w:pPr>
        <w:tabs>
          <w:tab w:val="left" w:pos="2257"/>
        </w:tabs>
        <w:spacing w:after="0" w:line="259" w:lineRule="auto"/>
        <w:rPr>
          <w:rFonts w:ascii="Arial" w:hAnsi="Arial" w:cs="Arial"/>
          <w:sz w:val="24"/>
          <w:szCs w:val="24"/>
        </w:rPr>
      </w:pPr>
    </w:p>
    <w:p w14:paraId="69690570" w14:textId="77777777" w:rsidR="004A4734" w:rsidRPr="00402E48" w:rsidRDefault="00CB39A4">
      <w:pPr>
        <w:tabs>
          <w:tab w:val="left" w:pos="2257"/>
        </w:tabs>
        <w:spacing w:after="0" w:line="259" w:lineRule="auto"/>
        <w:rPr>
          <w:rFonts w:ascii="Arial" w:hAnsi="Arial" w:cs="Arial"/>
          <w:sz w:val="24"/>
          <w:szCs w:val="24"/>
        </w:rPr>
      </w:pPr>
      <w:r w:rsidRPr="00402E48">
        <w:rPr>
          <w:rFonts w:ascii="Arial" w:hAnsi="Arial" w:cs="Arial"/>
          <w:sz w:val="24"/>
          <w:szCs w:val="24"/>
        </w:rPr>
        <w:t>BUYER</w:t>
      </w:r>
      <w:r w:rsidR="00BC41BF" w:rsidRPr="00402E48">
        <w:rPr>
          <w:rFonts w:ascii="Arial" w:hAnsi="Arial" w:cs="Arial"/>
          <w:sz w:val="24"/>
          <w:szCs w:val="24"/>
        </w:rPr>
        <w:t>’S SECURITY POLICY</w:t>
      </w:r>
    </w:p>
    <w:p w14:paraId="67CDF1E3" w14:textId="72C3D188" w:rsidR="008B5AA5" w:rsidRPr="00402E48" w:rsidRDefault="00402E48" w:rsidP="00402E48">
      <w:pPr>
        <w:tabs>
          <w:tab w:val="left" w:pos="2257"/>
        </w:tabs>
        <w:spacing w:after="0" w:line="259" w:lineRule="auto"/>
        <w:rPr>
          <w:rFonts w:ascii="Arial" w:hAnsi="Arial" w:cs="Arial"/>
          <w:sz w:val="24"/>
          <w:szCs w:val="24"/>
        </w:rPr>
      </w:pPr>
      <w:r w:rsidRPr="00402E48">
        <w:rPr>
          <w:rFonts w:ascii="Arial" w:hAnsi="Arial" w:cs="Arial"/>
          <w:sz w:val="24"/>
          <w:szCs w:val="24"/>
        </w:rPr>
        <w:t>Not Applicable</w:t>
      </w:r>
    </w:p>
    <w:p w14:paraId="62C5774A" w14:textId="77777777" w:rsidR="004A4734" w:rsidRPr="00A340BA" w:rsidRDefault="004A4734">
      <w:pPr>
        <w:tabs>
          <w:tab w:val="left" w:pos="2257"/>
        </w:tabs>
        <w:spacing w:after="0" w:line="259" w:lineRule="auto"/>
        <w:rPr>
          <w:rFonts w:ascii="Arial" w:hAnsi="Arial" w:cs="Arial"/>
          <w:sz w:val="24"/>
          <w:szCs w:val="24"/>
        </w:rPr>
      </w:pPr>
    </w:p>
    <w:p w14:paraId="4C7E4C51" w14:textId="77777777" w:rsidR="006D0F65" w:rsidRPr="00A340BA" w:rsidRDefault="006D0F65" w:rsidP="006D0F65">
      <w:pPr>
        <w:tabs>
          <w:tab w:val="left" w:pos="2257"/>
        </w:tabs>
        <w:spacing w:after="0" w:line="259" w:lineRule="auto"/>
        <w:rPr>
          <w:rFonts w:ascii="Arial" w:hAnsi="Arial" w:cs="Arial"/>
          <w:sz w:val="24"/>
          <w:szCs w:val="24"/>
        </w:rPr>
      </w:pPr>
      <w:r w:rsidRPr="00A340BA">
        <w:rPr>
          <w:rFonts w:ascii="Arial" w:hAnsi="Arial" w:cs="Arial"/>
          <w:sz w:val="24"/>
          <w:szCs w:val="24"/>
        </w:rPr>
        <w:t>SUPP</w:t>
      </w:r>
      <w:r w:rsidR="00BC41BF" w:rsidRPr="00A340BA">
        <w:rPr>
          <w:rFonts w:ascii="Arial" w:hAnsi="Arial" w:cs="Arial"/>
          <w:sz w:val="24"/>
          <w:szCs w:val="24"/>
        </w:rPr>
        <w:t>LIER’S</w:t>
      </w:r>
      <w:r w:rsidR="00A340BA" w:rsidRPr="00A340BA">
        <w:rPr>
          <w:rFonts w:ascii="Arial" w:hAnsi="Arial" w:cs="Arial"/>
          <w:sz w:val="24"/>
          <w:szCs w:val="24"/>
        </w:rPr>
        <w:t xml:space="preserve"> AUTHORISED REPRESENTATIVE</w:t>
      </w:r>
    </w:p>
    <w:p w14:paraId="4DE87A67" w14:textId="75F68ACB" w:rsidR="001A4F1C" w:rsidRPr="006D710B" w:rsidRDefault="006D710B" w:rsidP="001A4F1C">
      <w:pPr>
        <w:tabs>
          <w:tab w:val="left" w:pos="2257"/>
        </w:tabs>
        <w:spacing w:after="0" w:line="259" w:lineRule="auto"/>
        <w:rPr>
          <w:rFonts w:ascii="Arial" w:hAnsi="Arial" w:cs="Arial"/>
          <w:b/>
          <w:sz w:val="24"/>
          <w:szCs w:val="24"/>
        </w:rPr>
      </w:pPr>
      <w:r w:rsidRPr="006D710B">
        <w:rPr>
          <w:rFonts w:ascii="Arial" w:hAnsi="Arial" w:cs="Arial"/>
          <w:b/>
          <w:sz w:val="24"/>
          <w:szCs w:val="24"/>
        </w:rPr>
        <w:t>REDACTED</w:t>
      </w:r>
    </w:p>
    <w:p w14:paraId="0CC7FB94" w14:textId="77777777" w:rsidR="008B5AA5" w:rsidRPr="00A340BA" w:rsidRDefault="008B5AA5" w:rsidP="008B5AA5">
      <w:pPr>
        <w:tabs>
          <w:tab w:val="left" w:pos="2257"/>
        </w:tabs>
        <w:spacing w:after="0" w:line="259" w:lineRule="auto"/>
        <w:rPr>
          <w:rFonts w:ascii="Arial" w:hAnsi="Arial" w:cs="Arial"/>
          <w:sz w:val="24"/>
          <w:szCs w:val="24"/>
        </w:rPr>
      </w:pPr>
    </w:p>
    <w:p w14:paraId="6F0B2080" w14:textId="77777777" w:rsidR="006D0F65" w:rsidRPr="00A340BA" w:rsidRDefault="00BC41BF" w:rsidP="006D0F65">
      <w:pPr>
        <w:tabs>
          <w:tab w:val="left" w:pos="2257"/>
        </w:tabs>
        <w:spacing w:after="0" w:line="259" w:lineRule="auto"/>
        <w:rPr>
          <w:rFonts w:ascii="Arial" w:hAnsi="Arial" w:cs="Arial"/>
          <w:sz w:val="24"/>
          <w:szCs w:val="24"/>
        </w:rPr>
      </w:pPr>
      <w:r w:rsidRPr="00A340BA">
        <w:rPr>
          <w:rFonts w:ascii="Arial" w:hAnsi="Arial" w:cs="Arial"/>
          <w:sz w:val="24"/>
          <w:szCs w:val="24"/>
        </w:rPr>
        <w:t>SUPPLIER’S CONTRACT MANAGER</w:t>
      </w:r>
    </w:p>
    <w:p w14:paraId="7B9F519F" w14:textId="77777777" w:rsidR="00CB6F6B" w:rsidRPr="006D710B" w:rsidRDefault="00CB6F6B" w:rsidP="00CB6F6B">
      <w:pPr>
        <w:tabs>
          <w:tab w:val="left" w:pos="2257"/>
        </w:tabs>
        <w:spacing w:after="0" w:line="259" w:lineRule="auto"/>
        <w:rPr>
          <w:rFonts w:ascii="Arial" w:hAnsi="Arial" w:cs="Arial"/>
          <w:b/>
          <w:sz w:val="24"/>
          <w:szCs w:val="24"/>
        </w:rPr>
      </w:pPr>
      <w:r w:rsidRPr="006D710B">
        <w:rPr>
          <w:rFonts w:ascii="Arial" w:hAnsi="Arial" w:cs="Arial"/>
          <w:b/>
          <w:sz w:val="24"/>
          <w:szCs w:val="24"/>
        </w:rPr>
        <w:t>REDACTED</w:t>
      </w:r>
    </w:p>
    <w:p w14:paraId="74AC4D0B" w14:textId="77777777" w:rsidR="006D0F65" w:rsidRPr="009F273E" w:rsidRDefault="006D0F65">
      <w:pPr>
        <w:tabs>
          <w:tab w:val="left" w:pos="2257"/>
        </w:tabs>
        <w:spacing w:after="0" w:line="259" w:lineRule="auto"/>
        <w:rPr>
          <w:rFonts w:ascii="Arial" w:hAnsi="Arial" w:cs="Arial"/>
          <w:sz w:val="24"/>
          <w:szCs w:val="24"/>
        </w:rPr>
      </w:pPr>
    </w:p>
    <w:p w14:paraId="11148AF9"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REPORT FREQUENCY</w:t>
      </w:r>
    </w:p>
    <w:p w14:paraId="705A644E" w14:textId="01E2F949" w:rsidR="004A4734" w:rsidRPr="00513A34" w:rsidRDefault="007A350D">
      <w:pPr>
        <w:tabs>
          <w:tab w:val="left" w:pos="2257"/>
        </w:tabs>
        <w:spacing w:after="0" w:line="259" w:lineRule="auto"/>
        <w:rPr>
          <w:rFonts w:ascii="Arial" w:hAnsi="Arial" w:cs="Arial"/>
          <w:sz w:val="24"/>
          <w:szCs w:val="24"/>
        </w:rPr>
      </w:pPr>
      <w:r>
        <w:rPr>
          <w:rFonts w:ascii="Arial" w:hAnsi="Arial" w:cs="Arial"/>
          <w:sz w:val="24"/>
          <w:szCs w:val="24"/>
        </w:rPr>
        <w:t>Not required</w:t>
      </w:r>
    </w:p>
    <w:p w14:paraId="153CA306" w14:textId="77777777" w:rsidR="00513A34" w:rsidRPr="009F273E" w:rsidRDefault="00513A34">
      <w:pPr>
        <w:tabs>
          <w:tab w:val="left" w:pos="2257"/>
        </w:tabs>
        <w:spacing w:after="0" w:line="259" w:lineRule="auto"/>
        <w:rPr>
          <w:rFonts w:ascii="Arial" w:hAnsi="Arial" w:cs="Arial"/>
          <w:b/>
          <w:sz w:val="24"/>
          <w:szCs w:val="24"/>
        </w:rPr>
      </w:pPr>
    </w:p>
    <w:p w14:paraId="56C702BD" w14:textId="77777777" w:rsidR="004A4734" w:rsidRPr="007A350D"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 xml:space="preserve">PROGRESS </w:t>
      </w:r>
      <w:r w:rsidRPr="007A350D">
        <w:rPr>
          <w:rFonts w:ascii="Arial" w:hAnsi="Arial" w:cs="Arial"/>
          <w:sz w:val="24"/>
          <w:szCs w:val="24"/>
        </w:rPr>
        <w:t>MEETING FREQUENCY</w:t>
      </w:r>
    </w:p>
    <w:p w14:paraId="2BC0F6FC" w14:textId="539F1035" w:rsidR="004A4734" w:rsidRPr="007A350D" w:rsidRDefault="007A350D">
      <w:pPr>
        <w:tabs>
          <w:tab w:val="left" w:pos="2257"/>
        </w:tabs>
        <w:spacing w:after="0" w:line="259" w:lineRule="auto"/>
        <w:rPr>
          <w:rFonts w:ascii="Arial" w:hAnsi="Arial" w:cs="Arial"/>
          <w:sz w:val="24"/>
          <w:szCs w:val="24"/>
        </w:rPr>
      </w:pPr>
      <w:r w:rsidRPr="007A350D">
        <w:rPr>
          <w:rFonts w:ascii="Arial" w:hAnsi="Arial" w:cs="Arial"/>
          <w:sz w:val="24"/>
          <w:szCs w:val="24"/>
        </w:rPr>
        <w:t>Not required</w:t>
      </w:r>
    </w:p>
    <w:p w14:paraId="24CFF1B9" w14:textId="77777777" w:rsidR="004A4734" w:rsidRPr="009F273E" w:rsidRDefault="004A4734">
      <w:pPr>
        <w:tabs>
          <w:tab w:val="left" w:pos="2257"/>
        </w:tabs>
        <w:spacing w:after="0" w:line="259" w:lineRule="auto"/>
        <w:rPr>
          <w:rFonts w:ascii="Arial" w:hAnsi="Arial" w:cs="Arial"/>
          <w:b/>
          <w:sz w:val="24"/>
          <w:szCs w:val="24"/>
        </w:rPr>
      </w:pPr>
    </w:p>
    <w:p w14:paraId="58790752" w14:textId="2C976BA1" w:rsidR="004A4734"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KEY STAFF</w:t>
      </w:r>
    </w:p>
    <w:p w14:paraId="4808D13C" w14:textId="08BFE7B1" w:rsidR="001A4F1C" w:rsidRDefault="001A4F1C">
      <w:pPr>
        <w:tabs>
          <w:tab w:val="left" w:pos="2257"/>
        </w:tabs>
        <w:spacing w:after="0" w:line="259" w:lineRule="auto"/>
        <w:rPr>
          <w:rFonts w:ascii="Arial" w:hAnsi="Arial" w:cs="Arial"/>
          <w:sz w:val="24"/>
          <w:szCs w:val="24"/>
        </w:rPr>
      </w:pPr>
    </w:p>
    <w:p w14:paraId="4528180A" w14:textId="1F115C03" w:rsidR="001A4F1C" w:rsidRDefault="001A4F1C">
      <w:pPr>
        <w:tabs>
          <w:tab w:val="left" w:pos="2257"/>
        </w:tabs>
        <w:spacing w:after="0" w:line="259" w:lineRule="auto"/>
        <w:rPr>
          <w:rFonts w:ascii="Arial" w:hAnsi="Arial" w:cs="Arial"/>
          <w:sz w:val="24"/>
          <w:szCs w:val="24"/>
        </w:rPr>
      </w:pPr>
      <w:r>
        <w:rPr>
          <w:rFonts w:ascii="Arial" w:hAnsi="Arial" w:cs="Arial"/>
          <w:sz w:val="24"/>
          <w:szCs w:val="24"/>
        </w:rPr>
        <w:t>Authority:</w:t>
      </w:r>
    </w:p>
    <w:p w14:paraId="7803ACCA" w14:textId="77777777" w:rsidR="008E0886" w:rsidRPr="00A340BA" w:rsidRDefault="008E0886">
      <w:pPr>
        <w:tabs>
          <w:tab w:val="left" w:pos="2257"/>
        </w:tabs>
        <w:spacing w:after="0" w:line="259" w:lineRule="auto"/>
        <w:rPr>
          <w:rFonts w:ascii="Arial" w:hAnsi="Arial" w:cs="Arial"/>
          <w:sz w:val="24"/>
          <w:szCs w:val="24"/>
        </w:rPr>
      </w:pPr>
    </w:p>
    <w:p w14:paraId="6CEF34B2" w14:textId="77777777" w:rsidR="00CB6F6B" w:rsidRPr="006D710B" w:rsidRDefault="00CB6F6B" w:rsidP="00CB6F6B">
      <w:pPr>
        <w:tabs>
          <w:tab w:val="left" w:pos="2257"/>
        </w:tabs>
        <w:spacing w:after="0" w:line="259" w:lineRule="auto"/>
        <w:rPr>
          <w:rFonts w:ascii="Arial" w:hAnsi="Arial" w:cs="Arial"/>
          <w:b/>
          <w:sz w:val="24"/>
          <w:szCs w:val="24"/>
        </w:rPr>
      </w:pPr>
      <w:r w:rsidRPr="006D710B">
        <w:rPr>
          <w:rFonts w:ascii="Arial" w:hAnsi="Arial" w:cs="Arial"/>
          <w:b/>
          <w:sz w:val="24"/>
          <w:szCs w:val="24"/>
        </w:rPr>
        <w:t>REDACTED</w:t>
      </w:r>
    </w:p>
    <w:p w14:paraId="0CC2E681" w14:textId="46D04B76" w:rsidR="008E0886" w:rsidRDefault="008E0886" w:rsidP="001A4F1C">
      <w:pPr>
        <w:tabs>
          <w:tab w:val="left" w:pos="2257"/>
        </w:tabs>
        <w:spacing w:after="0" w:line="259" w:lineRule="auto"/>
        <w:rPr>
          <w:rFonts w:ascii="Arial" w:hAnsi="Arial" w:cs="Arial"/>
          <w:sz w:val="24"/>
          <w:szCs w:val="24"/>
        </w:rPr>
      </w:pPr>
    </w:p>
    <w:p w14:paraId="5CDA4C33" w14:textId="719A0934" w:rsidR="008E0886" w:rsidRDefault="008E0886" w:rsidP="001A4F1C">
      <w:pPr>
        <w:tabs>
          <w:tab w:val="left" w:pos="2257"/>
        </w:tabs>
        <w:spacing w:after="0" w:line="259" w:lineRule="auto"/>
        <w:rPr>
          <w:rFonts w:ascii="Arial" w:hAnsi="Arial" w:cs="Arial"/>
          <w:sz w:val="24"/>
          <w:szCs w:val="24"/>
        </w:rPr>
      </w:pPr>
    </w:p>
    <w:p w14:paraId="3D5FF80B" w14:textId="5EDC2445" w:rsidR="008E0886" w:rsidRDefault="008E0886" w:rsidP="001A4F1C">
      <w:pPr>
        <w:tabs>
          <w:tab w:val="left" w:pos="2257"/>
        </w:tabs>
        <w:spacing w:after="0" w:line="259" w:lineRule="auto"/>
        <w:rPr>
          <w:rFonts w:ascii="Arial" w:hAnsi="Arial" w:cs="Arial"/>
          <w:sz w:val="24"/>
          <w:szCs w:val="24"/>
        </w:rPr>
      </w:pPr>
    </w:p>
    <w:p w14:paraId="3E6845BB" w14:textId="77777777" w:rsidR="008E0886" w:rsidRDefault="008E0886" w:rsidP="001A4F1C">
      <w:pPr>
        <w:tabs>
          <w:tab w:val="left" w:pos="2257"/>
        </w:tabs>
        <w:spacing w:after="0" w:line="259" w:lineRule="auto"/>
        <w:rPr>
          <w:rFonts w:ascii="Arial" w:hAnsi="Arial" w:cs="Arial"/>
          <w:sz w:val="24"/>
          <w:szCs w:val="24"/>
        </w:rPr>
      </w:pPr>
    </w:p>
    <w:p w14:paraId="06442865" w14:textId="7916EDBA" w:rsidR="008E0886" w:rsidRDefault="008E0886" w:rsidP="001A4F1C">
      <w:pPr>
        <w:tabs>
          <w:tab w:val="left" w:pos="2257"/>
        </w:tabs>
        <w:spacing w:after="0" w:line="259" w:lineRule="auto"/>
        <w:rPr>
          <w:rFonts w:ascii="Arial" w:hAnsi="Arial" w:cs="Arial"/>
          <w:sz w:val="24"/>
          <w:szCs w:val="24"/>
        </w:rPr>
      </w:pPr>
      <w:r>
        <w:rPr>
          <w:rFonts w:ascii="Arial" w:hAnsi="Arial" w:cs="Arial"/>
          <w:sz w:val="24"/>
          <w:szCs w:val="24"/>
        </w:rPr>
        <w:lastRenderedPageBreak/>
        <w:t>Supplier:</w:t>
      </w:r>
    </w:p>
    <w:p w14:paraId="7FAAE3A4" w14:textId="77777777" w:rsidR="008E0886" w:rsidRDefault="008E0886" w:rsidP="001A4F1C">
      <w:pPr>
        <w:tabs>
          <w:tab w:val="left" w:pos="2257"/>
        </w:tabs>
        <w:spacing w:after="0" w:line="259" w:lineRule="auto"/>
        <w:rPr>
          <w:rFonts w:ascii="Arial" w:hAnsi="Arial" w:cs="Arial"/>
          <w:sz w:val="24"/>
          <w:szCs w:val="24"/>
        </w:rPr>
      </w:pPr>
    </w:p>
    <w:p w14:paraId="5CFEF8FE" w14:textId="3C91DD75" w:rsidR="008E0886" w:rsidRPr="00CB6F6B" w:rsidRDefault="00CB6F6B" w:rsidP="001A4F1C">
      <w:pPr>
        <w:tabs>
          <w:tab w:val="left" w:pos="2257"/>
        </w:tabs>
        <w:spacing w:after="0" w:line="259" w:lineRule="auto"/>
        <w:rPr>
          <w:rFonts w:ascii="Arial" w:hAnsi="Arial" w:cs="Arial"/>
          <w:b/>
          <w:sz w:val="24"/>
          <w:szCs w:val="24"/>
        </w:rPr>
      </w:pPr>
      <w:r w:rsidRPr="00CB6F6B">
        <w:rPr>
          <w:rFonts w:ascii="Arial" w:hAnsi="Arial" w:cs="Arial"/>
          <w:b/>
          <w:sz w:val="24"/>
          <w:szCs w:val="24"/>
        </w:rPr>
        <w:t>REDACTED</w:t>
      </w:r>
    </w:p>
    <w:p w14:paraId="395D3110" w14:textId="77777777" w:rsidR="004A4734" w:rsidRPr="00A340BA" w:rsidRDefault="004A4734">
      <w:pPr>
        <w:tabs>
          <w:tab w:val="left" w:pos="2257"/>
        </w:tabs>
        <w:spacing w:after="0" w:line="259" w:lineRule="auto"/>
        <w:rPr>
          <w:rFonts w:ascii="Arial" w:hAnsi="Arial" w:cs="Arial"/>
          <w:sz w:val="24"/>
          <w:szCs w:val="24"/>
        </w:rPr>
      </w:pPr>
    </w:p>
    <w:p w14:paraId="47301651"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KEY SUBCONTRACTOR</w:t>
      </w:r>
      <w:r w:rsidR="00BC41BF" w:rsidRPr="00A340BA">
        <w:rPr>
          <w:rFonts w:ascii="Arial" w:hAnsi="Arial" w:cs="Arial"/>
          <w:sz w:val="24"/>
          <w:szCs w:val="24"/>
        </w:rPr>
        <w:t>(</w:t>
      </w:r>
      <w:r w:rsidRPr="00A340BA">
        <w:rPr>
          <w:rFonts w:ascii="Arial" w:hAnsi="Arial" w:cs="Arial"/>
          <w:sz w:val="24"/>
          <w:szCs w:val="24"/>
        </w:rPr>
        <w:t>S</w:t>
      </w:r>
      <w:r w:rsidR="00BC41BF" w:rsidRPr="00A340BA">
        <w:rPr>
          <w:rFonts w:ascii="Arial" w:hAnsi="Arial" w:cs="Arial"/>
          <w:sz w:val="24"/>
          <w:szCs w:val="24"/>
        </w:rPr>
        <w:t>)</w:t>
      </w:r>
    </w:p>
    <w:p w14:paraId="78FA22E3" w14:textId="5BDF4876" w:rsidR="004A4734" w:rsidRDefault="004A4734">
      <w:pPr>
        <w:tabs>
          <w:tab w:val="left" w:pos="2257"/>
        </w:tabs>
        <w:spacing w:after="0" w:line="259" w:lineRule="auto"/>
        <w:rPr>
          <w:rFonts w:ascii="Arial" w:hAnsi="Arial" w:cs="Arial"/>
          <w:b/>
          <w:sz w:val="24"/>
          <w:szCs w:val="24"/>
        </w:rPr>
      </w:pPr>
    </w:p>
    <w:p w14:paraId="487C0ABA" w14:textId="77777777" w:rsidR="008E0886" w:rsidRPr="00D3070F" w:rsidRDefault="008E0886" w:rsidP="008E0886">
      <w:pPr>
        <w:tabs>
          <w:tab w:val="left" w:pos="2257"/>
        </w:tabs>
        <w:spacing w:after="0" w:line="259" w:lineRule="auto"/>
        <w:rPr>
          <w:rFonts w:ascii="Arial" w:hAnsi="Arial" w:cs="Arial"/>
          <w:sz w:val="24"/>
          <w:szCs w:val="24"/>
        </w:rPr>
      </w:pPr>
      <w:r>
        <w:rPr>
          <w:rFonts w:ascii="Arial" w:hAnsi="Arial" w:cs="Arial"/>
          <w:sz w:val="24"/>
          <w:szCs w:val="24"/>
        </w:rPr>
        <w:t>Not a</w:t>
      </w:r>
      <w:r w:rsidRPr="00563DA5">
        <w:rPr>
          <w:rFonts w:ascii="Arial" w:hAnsi="Arial" w:cs="Arial"/>
          <w:sz w:val="24"/>
          <w:szCs w:val="24"/>
        </w:rPr>
        <w:t>pplicable</w:t>
      </w:r>
    </w:p>
    <w:p w14:paraId="582CD680" w14:textId="77777777" w:rsidR="008E0886" w:rsidRPr="009F273E" w:rsidRDefault="008E0886">
      <w:pPr>
        <w:tabs>
          <w:tab w:val="left" w:pos="2257"/>
        </w:tabs>
        <w:spacing w:after="0" w:line="259" w:lineRule="auto"/>
        <w:rPr>
          <w:rFonts w:ascii="Arial" w:hAnsi="Arial" w:cs="Arial"/>
          <w:b/>
          <w:sz w:val="24"/>
          <w:szCs w:val="24"/>
        </w:rPr>
      </w:pPr>
    </w:p>
    <w:p w14:paraId="2F195D05" w14:textId="175B0A74" w:rsidR="004A4734"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COM</w:t>
      </w:r>
      <w:r w:rsidR="00A340BA">
        <w:rPr>
          <w:rFonts w:ascii="Arial" w:hAnsi="Arial" w:cs="Arial"/>
          <w:sz w:val="24"/>
          <w:szCs w:val="24"/>
        </w:rPr>
        <w:t>MERCIALLY SENSITIVE INFORMATION</w:t>
      </w:r>
    </w:p>
    <w:p w14:paraId="1AACC28F" w14:textId="77777777" w:rsidR="008E0886" w:rsidRPr="00A340BA" w:rsidRDefault="008E0886">
      <w:pPr>
        <w:tabs>
          <w:tab w:val="left" w:pos="2257"/>
        </w:tabs>
        <w:spacing w:after="0" w:line="259" w:lineRule="auto"/>
        <w:rPr>
          <w:rFonts w:ascii="Arial" w:hAnsi="Arial" w:cs="Arial"/>
          <w:sz w:val="24"/>
          <w:szCs w:val="24"/>
        </w:rPr>
      </w:pPr>
    </w:p>
    <w:p w14:paraId="08BA84E3" w14:textId="09674D6E" w:rsidR="008E0886" w:rsidRDefault="008E0886" w:rsidP="008E0886">
      <w:pPr>
        <w:tabs>
          <w:tab w:val="left" w:pos="2257"/>
        </w:tabs>
        <w:spacing w:after="0" w:line="259" w:lineRule="auto"/>
        <w:rPr>
          <w:rFonts w:ascii="Arial" w:hAnsi="Arial" w:cs="Arial"/>
          <w:sz w:val="24"/>
          <w:szCs w:val="24"/>
        </w:rPr>
      </w:pPr>
      <w:r>
        <w:rPr>
          <w:rFonts w:ascii="Arial" w:hAnsi="Arial" w:cs="Arial"/>
          <w:sz w:val="24"/>
          <w:szCs w:val="24"/>
        </w:rPr>
        <w:t>This contract and all information contained herein shall be deemed commercially sensitive.</w:t>
      </w:r>
      <w:r w:rsidRPr="00563DA5">
        <w:rPr>
          <w:rFonts w:ascii="Arial" w:hAnsi="Arial" w:cs="Arial"/>
          <w:sz w:val="24"/>
          <w:szCs w:val="24"/>
        </w:rPr>
        <w:t xml:space="preserve">  </w:t>
      </w:r>
    </w:p>
    <w:p w14:paraId="5B123373" w14:textId="71716AD7" w:rsidR="00B4235A" w:rsidRDefault="00B4235A" w:rsidP="008E0886">
      <w:pPr>
        <w:tabs>
          <w:tab w:val="left" w:pos="2257"/>
        </w:tabs>
        <w:spacing w:after="0" w:line="259" w:lineRule="auto"/>
        <w:rPr>
          <w:rFonts w:ascii="Arial" w:hAnsi="Arial" w:cs="Arial"/>
          <w:sz w:val="24"/>
          <w:szCs w:val="24"/>
        </w:rPr>
      </w:pPr>
    </w:p>
    <w:p w14:paraId="271CBA9C" w14:textId="448E56E6" w:rsidR="00B4235A" w:rsidRDefault="00B4235A" w:rsidP="008E0886">
      <w:pPr>
        <w:tabs>
          <w:tab w:val="left" w:pos="2257"/>
        </w:tabs>
        <w:spacing w:after="0" w:line="259" w:lineRule="auto"/>
        <w:rPr>
          <w:rFonts w:ascii="Arial" w:hAnsi="Arial" w:cs="Arial"/>
          <w:b/>
          <w:sz w:val="24"/>
          <w:szCs w:val="24"/>
        </w:rPr>
      </w:pPr>
      <w:r w:rsidRPr="00B4235A">
        <w:rPr>
          <w:rFonts w:ascii="Arial" w:hAnsi="Arial" w:cs="Arial"/>
          <w:b/>
          <w:sz w:val="24"/>
          <w:szCs w:val="24"/>
        </w:rPr>
        <w:t xml:space="preserve">Software Box </w:t>
      </w:r>
      <w:proofErr w:type="spellStart"/>
      <w:r w:rsidRPr="00B4235A">
        <w:rPr>
          <w:rFonts w:ascii="Arial" w:hAnsi="Arial" w:cs="Arial"/>
          <w:b/>
          <w:sz w:val="24"/>
          <w:szCs w:val="24"/>
        </w:rPr>
        <w:t>Ltd’s</w:t>
      </w:r>
      <w:proofErr w:type="spellEnd"/>
      <w:r w:rsidRPr="00B4235A">
        <w:rPr>
          <w:rFonts w:ascii="Arial" w:hAnsi="Arial" w:cs="Arial"/>
          <w:b/>
          <w:sz w:val="24"/>
          <w:szCs w:val="24"/>
        </w:rPr>
        <w:t xml:space="preserve"> Technical Submission</w:t>
      </w:r>
      <w:r>
        <w:rPr>
          <w:rFonts w:ascii="Arial" w:hAnsi="Arial" w:cs="Arial"/>
          <w:b/>
          <w:sz w:val="24"/>
          <w:szCs w:val="24"/>
        </w:rPr>
        <w:t>:</w:t>
      </w:r>
    </w:p>
    <w:p w14:paraId="34ACED3B" w14:textId="7F434366" w:rsidR="002D516A" w:rsidRDefault="002D516A" w:rsidP="002D516A">
      <w:pPr>
        <w:tabs>
          <w:tab w:val="left" w:pos="2257"/>
        </w:tabs>
        <w:spacing w:after="0" w:line="259" w:lineRule="auto"/>
        <w:rPr>
          <w:rFonts w:ascii="Arial" w:hAnsi="Arial" w:cs="Arial"/>
          <w:b/>
          <w:sz w:val="24"/>
          <w:szCs w:val="24"/>
        </w:rPr>
      </w:pPr>
    </w:p>
    <w:p w14:paraId="21D50318" w14:textId="77777777" w:rsidR="00CB6F6B" w:rsidRPr="006D710B" w:rsidRDefault="00CB6F6B" w:rsidP="00CB6F6B">
      <w:pPr>
        <w:tabs>
          <w:tab w:val="left" w:pos="2257"/>
        </w:tabs>
        <w:spacing w:after="0" w:line="259" w:lineRule="auto"/>
        <w:rPr>
          <w:rFonts w:ascii="Arial" w:hAnsi="Arial" w:cs="Arial"/>
          <w:b/>
          <w:sz w:val="24"/>
          <w:szCs w:val="24"/>
        </w:rPr>
      </w:pPr>
      <w:r w:rsidRPr="006D710B">
        <w:rPr>
          <w:rFonts w:ascii="Arial" w:hAnsi="Arial" w:cs="Arial"/>
          <w:b/>
          <w:sz w:val="24"/>
          <w:szCs w:val="24"/>
        </w:rPr>
        <w:t>REDACTED</w:t>
      </w:r>
    </w:p>
    <w:p w14:paraId="2C8E32E6" w14:textId="39675430" w:rsidR="00CB6F6B" w:rsidRDefault="00CB6F6B" w:rsidP="002D516A">
      <w:pPr>
        <w:tabs>
          <w:tab w:val="left" w:pos="2257"/>
        </w:tabs>
        <w:spacing w:after="0" w:line="259" w:lineRule="auto"/>
        <w:rPr>
          <w:rFonts w:ascii="Arial" w:hAnsi="Arial" w:cs="Arial"/>
          <w:b/>
          <w:sz w:val="24"/>
          <w:szCs w:val="24"/>
        </w:rPr>
      </w:pPr>
    </w:p>
    <w:p w14:paraId="6915B9B6" w14:textId="77777777" w:rsidR="00D24C81" w:rsidRPr="00D24C81" w:rsidRDefault="00D24C81" w:rsidP="002D516A">
      <w:pPr>
        <w:tabs>
          <w:tab w:val="left" w:pos="2257"/>
        </w:tabs>
        <w:spacing w:after="0" w:line="259" w:lineRule="auto"/>
        <w:rPr>
          <w:rFonts w:ascii="Arial" w:hAnsi="Arial" w:cs="Arial"/>
          <w:sz w:val="24"/>
          <w:szCs w:val="24"/>
        </w:rPr>
      </w:pPr>
      <w:r w:rsidRPr="00D24C81">
        <w:rPr>
          <w:rFonts w:ascii="Arial" w:hAnsi="Arial" w:cs="Arial"/>
          <w:sz w:val="24"/>
          <w:szCs w:val="24"/>
        </w:rPr>
        <w:t>ADDITIONAL INSURANCES</w:t>
      </w:r>
    </w:p>
    <w:p w14:paraId="01826DB0" w14:textId="4CA77C28" w:rsidR="00D24C81" w:rsidRDefault="00D24C81" w:rsidP="00D24C81">
      <w:pPr>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p>
    <w:p w14:paraId="1071A229" w14:textId="461F6BB5" w:rsidR="00D24C81" w:rsidRDefault="00D24C81" w:rsidP="00D24C81">
      <w:pPr>
        <w:spacing w:after="0" w:line="240" w:lineRule="auto"/>
        <w:jc w:val="both"/>
        <w:rPr>
          <w:rFonts w:ascii="Arial" w:hAnsi="Arial" w:cs="Arial"/>
          <w:sz w:val="24"/>
          <w:szCs w:val="24"/>
        </w:rPr>
      </w:pPr>
    </w:p>
    <w:p w14:paraId="7266BACB" w14:textId="77777777" w:rsidR="008C1605" w:rsidRDefault="008C1605" w:rsidP="004304AB">
      <w:pPr>
        <w:spacing w:after="0" w:line="240" w:lineRule="auto"/>
        <w:jc w:val="both"/>
        <w:rPr>
          <w:rFonts w:ascii="Arial" w:hAnsi="Arial" w:cs="Arial"/>
          <w:sz w:val="24"/>
          <w:szCs w:val="24"/>
        </w:rPr>
      </w:pPr>
      <w:r>
        <w:rPr>
          <w:rFonts w:ascii="Arial" w:hAnsi="Arial" w:cs="Arial"/>
          <w:sz w:val="24"/>
          <w:szCs w:val="24"/>
        </w:rPr>
        <w:t>GUARANTEE</w:t>
      </w:r>
    </w:p>
    <w:p w14:paraId="6A18EBA5" w14:textId="6B7305FE" w:rsidR="002D516A" w:rsidRDefault="003A2178" w:rsidP="00AA20E4">
      <w:pPr>
        <w:spacing w:after="0" w:line="259" w:lineRule="auto"/>
        <w:rPr>
          <w:rFonts w:ascii="Arial" w:hAnsi="Arial" w:cs="Arial"/>
          <w:sz w:val="24"/>
          <w:szCs w:val="24"/>
        </w:rPr>
      </w:pPr>
      <w:r>
        <w:rPr>
          <w:rFonts w:ascii="Arial" w:hAnsi="Arial" w:cs="Arial"/>
          <w:sz w:val="24"/>
          <w:szCs w:val="24"/>
        </w:rPr>
        <w:t>N</w:t>
      </w:r>
      <w:r w:rsidR="0052301B" w:rsidRPr="00563DA5">
        <w:rPr>
          <w:rFonts w:ascii="Arial" w:hAnsi="Arial" w:cs="Arial"/>
          <w:sz w:val="24"/>
          <w:szCs w:val="24"/>
        </w:rPr>
        <w:t xml:space="preserve">ot </w:t>
      </w:r>
      <w:r w:rsidR="002D516A">
        <w:rPr>
          <w:rFonts w:ascii="Arial" w:hAnsi="Arial" w:cs="Arial"/>
          <w:sz w:val="24"/>
          <w:szCs w:val="24"/>
        </w:rPr>
        <w:t>a</w:t>
      </w:r>
      <w:r w:rsidR="0052301B" w:rsidRPr="00563DA5">
        <w:rPr>
          <w:rFonts w:ascii="Arial" w:hAnsi="Arial" w:cs="Arial"/>
          <w:sz w:val="24"/>
          <w:szCs w:val="24"/>
        </w:rPr>
        <w:t>pplicable</w:t>
      </w:r>
    </w:p>
    <w:p w14:paraId="785B1E4A" w14:textId="77777777" w:rsidR="004A4734" w:rsidRPr="009F273E" w:rsidRDefault="004A4734" w:rsidP="00AA20E4">
      <w:pPr>
        <w:spacing w:after="0" w:line="259" w:lineRule="auto"/>
        <w:rPr>
          <w:rFonts w:ascii="Arial" w:hAnsi="Arial" w:cs="Arial"/>
          <w:b/>
          <w:sz w:val="24"/>
          <w:szCs w:val="24"/>
          <w:highlight w:val="yellow"/>
        </w:rPr>
      </w:pPr>
    </w:p>
    <w:p w14:paraId="5AA5FF42" w14:textId="77777777" w:rsidR="008C1605" w:rsidRDefault="00CB39A4" w:rsidP="00AA20E4">
      <w:pPr>
        <w:spacing w:after="0" w:line="240" w:lineRule="auto"/>
        <w:jc w:val="both"/>
        <w:rPr>
          <w:rFonts w:ascii="Arial" w:hAnsi="Arial" w:cs="Arial"/>
          <w:sz w:val="24"/>
          <w:szCs w:val="24"/>
        </w:rPr>
      </w:pPr>
      <w:r w:rsidRPr="00A340BA">
        <w:rPr>
          <w:rFonts w:ascii="Arial" w:hAnsi="Arial" w:cs="Arial"/>
          <w:sz w:val="24"/>
          <w:szCs w:val="24"/>
        </w:rPr>
        <w:t>SOCIAL VALUE COMMITMENT</w:t>
      </w:r>
    </w:p>
    <w:p w14:paraId="2D3E62EA" w14:textId="071CF807" w:rsidR="00051257" w:rsidRPr="008C1605" w:rsidRDefault="008C1605" w:rsidP="00544956">
      <w:pPr>
        <w:spacing w:after="0" w:line="240" w:lineRule="auto"/>
        <w:jc w:val="both"/>
        <w:rPr>
          <w:rFonts w:ascii="Arial" w:hAnsi="Arial" w:cs="Arial"/>
          <w:sz w:val="24"/>
          <w:szCs w:val="24"/>
        </w:rPr>
      </w:pPr>
      <w:r>
        <w:rPr>
          <w:rFonts w:ascii="Arial" w:hAnsi="Arial" w:cs="Arial"/>
          <w:sz w:val="24"/>
          <w:szCs w:val="24"/>
        </w:rPr>
        <w:t>Not a</w:t>
      </w:r>
      <w:r w:rsidR="003B6DBC" w:rsidRPr="00563DA5">
        <w:rPr>
          <w:rFonts w:ascii="Arial" w:hAnsi="Arial" w:cs="Arial"/>
          <w:sz w:val="24"/>
          <w:szCs w:val="24"/>
        </w:rPr>
        <w:t>pplicable</w:t>
      </w:r>
    </w:p>
    <w:p w14:paraId="4D657FFA" w14:textId="77777777" w:rsidR="00BB1B63" w:rsidRPr="009F273E" w:rsidRDefault="00BB1B63">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9F273E" w14:paraId="7D6CFEA8"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9EB72E9" w14:textId="77777777" w:rsidR="004A4734" w:rsidRPr="009F273E" w:rsidRDefault="00CB39A4">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68A42D5C"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14:paraId="106DB072"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97263DF"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0F659144" w14:textId="77777777" w:rsidR="00206E68" w:rsidRPr="006D710B" w:rsidRDefault="00206E68" w:rsidP="00206E68">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D710B">
              <w:rPr>
                <w:rFonts w:ascii="Arial" w:hAnsi="Arial" w:cs="Arial"/>
                <w:b/>
                <w:sz w:val="24"/>
                <w:szCs w:val="24"/>
              </w:rPr>
              <w:t>REDACTED</w:t>
            </w:r>
          </w:p>
          <w:p w14:paraId="146E5122" w14:textId="562A1E82"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72B4723"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tcPr>
          <w:p w14:paraId="6070AD65" w14:textId="77777777" w:rsidR="00206E68" w:rsidRPr="006D710B" w:rsidRDefault="00206E68" w:rsidP="00206E68">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D710B">
              <w:rPr>
                <w:rFonts w:ascii="Arial" w:hAnsi="Arial" w:cs="Arial"/>
                <w:b/>
                <w:sz w:val="24"/>
                <w:szCs w:val="24"/>
              </w:rPr>
              <w:t>REDACTED</w:t>
            </w:r>
          </w:p>
          <w:p w14:paraId="0254F5FE"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A4734" w:rsidRPr="009F273E" w14:paraId="7A3B755B"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B16CE78"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14FBC643"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F1A4B3" w14:textId="77777777" w:rsidR="004A4734" w:rsidRPr="009F273E" w:rsidRDefault="00CB39A4">
            <w:pPr>
              <w:pStyle w:val="MarginText"/>
              <w:rPr>
                <w:rFonts w:cs="Arial"/>
                <w:sz w:val="24"/>
                <w:szCs w:val="24"/>
              </w:rPr>
            </w:pPr>
            <w:r w:rsidRPr="009F273E">
              <w:rPr>
                <w:rFonts w:cs="Arial"/>
                <w:sz w:val="24"/>
                <w:szCs w:val="24"/>
              </w:rPr>
              <w:t>Name:</w:t>
            </w:r>
          </w:p>
        </w:tc>
        <w:tc>
          <w:tcPr>
            <w:tcW w:w="3108" w:type="dxa"/>
          </w:tcPr>
          <w:p w14:paraId="66482EE2"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4A4734" w:rsidRPr="009F273E" w14:paraId="18C3E910"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6121B6B"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722AEC75" w14:textId="77777777" w:rsidR="00206E68" w:rsidRPr="006D710B" w:rsidRDefault="00206E68" w:rsidP="00206E68">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D710B">
              <w:rPr>
                <w:rFonts w:ascii="Arial" w:hAnsi="Arial" w:cs="Arial"/>
                <w:b/>
                <w:sz w:val="24"/>
                <w:szCs w:val="24"/>
              </w:rPr>
              <w:t>REDACTED</w:t>
            </w:r>
          </w:p>
          <w:p w14:paraId="0FB2BF5A"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7638D40"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Pr>
          <w:p w14:paraId="45E62ABA" w14:textId="77777777" w:rsidR="00206E68" w:rsidRPr="006D710B" w:rsidRDefault="00206E68" w:rsidP="00206E68">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6D710B">
              <w:rPr>
                <w:rFonts w:ascii="Arial" w:hAnsi="Arial" w:cs="Arial"/>
                <w:b/>
                <w:sz w:val="24"/>
                <w:szCs w:val="24"/>
              </w:rPr>
              <w:t>REDACTED</w:t>
            </w:r>
          </w:p>
          <w:p w14:paraId="212EBAE0"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bookmarkStart w:id="11" w:name="_GoBack"/>
            <w:bookmarkEnd w:id="11"/>
          </w:p>
        </w:tc>
      </w:tr>
      <w:tr w:rsidR="004A4734" w:rsidRPr="009F273E" w14:paraId="37AF7717"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ED0BB71"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18B3B379"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0F8DF21"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Pr>
          <w:p w14:paraId="2694DB58"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5577D2C9" w14:textId="5D92BF6D" w:rsidR="004A4734" w:rsidRPr="006E6D11" w:rsidRDefault="004A4734" w:rsidP="006E6D11">
      <w:pPr>
        <w:rPr>
          <w:rFonts w:ascii="Arial" w:hAnsi="Arial" w:cs="Arial"/>
        </w:rPr>
      </w:pPr>
    </w:p>
    <w:p w14:paraId="70DE4F4B" w14:textId="77777777" w:rsidR="004A4734" w:rsidRDefault="004A4734">
      <w:pPr>
        <w:tabs>
          <w:tab w:val="left" w:pos="2257"/>
        </w:tabs>
        <w:spacing w:after="0" w:line="259" w:lineRule="auto"/>
      </w:pPr>
    </w:p>
    <w:p w14:paraId="1B94EE21" w14:textId="77777777" w:rsidR="004A4734" w:rsidRDefault="004A4734">
      <w:pPr>
        <w:tabs>
          <w:tab w:val="left" w:pos="2257"/>
        </w:tabs>
        <w:spacing w:after="0" w:line="259" w:lineRule="auto"/>
      </w:pPr>
    </w:p>
    <w:p w14:paraId="3B802175" w14:textId="77777777" w:rsidR="004A4734" w:rsidRDefault="004A4734">
      <w:pPr>
        <w:tabs>
          <w:tab w:val="left" w:pos="2257"/>
        </w:tabs>
        <w:spacing w:after="0" w:line="259" w:lineRule="auto"/>
      </w:pPr>
    </w:p>
    <w:p w14:paraId="3D906B8F" w14:textId="77777777" w:rsidR="004A4734" w:rsidRDefault="004A4734">
      <w:pPr>
        <w:tabs>
          <w:tab w:val="left" w:pos="2257"/>
        </w:tabs>
        <w:spacing w:after="0" w:line="259" w:lineRule="auto"/>
      </w:pPr>
    </w:p>
    <w:p w14:paraId="687B0F8F" w14:textId="77777777" w:rsidR="004A4734" w:rsidRDefault="004A4734">
      <w:pPr>
        <w:tabs>
          <w:tab w:val="left" w:pos="2257"/>
        </w:tabs>
        <w:spacing w:after="0" w:line="259" w:lineRule="auto"/>
      </w:pPr>
    </w:p>
    <w:sectPr w:rsidR="004A4734" w:rsidSect="00623ED5">
      <w:headerReference w:type="default" r:id="rId8"/>
      <w:footerReference w:type="default" r:id="rId9"/>
      <w:headerReference w:type="first" r:id="rId10"/>
      <w:footerReference w:type="firs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28C32" w14:textId="77777777" w:rsidR="00E92550" w:rsidRDefault="00E92550">
      <w:pPr>
        <w:spacing w:after="0" w:line="240" w:lineRule="auto"/>
      </w:pPr>
      <w:r>
        <w:separator/>
      </w:r>
    </w:p>
  </w:endnote>
  <w:endnote w:type="continuationSeparator" w:id="0">
    <w:p w14:paraId="474D3D75" w14:textId="77777777" w:rsidR="00E92550" w:rsidRDefault="00E92550">
      <w:pPr>
        <w:spacing w:after="0" w:line="240" w:lineRule="auto"/>
      </w:pPr>
      <w:r>
        <w:continuationSeparator/>
      </w:r>
    </w:p>
  </w:endnote>
  <w:endnote w:type="continuationNotice" w:id="1">
    <w:p w14:paraId="7D579563" w14:textId="77777777" w:rsidR="00E92550" w:rsidRDefault="00E925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EE34B" w14:textId="77777777" w:rsidR="006D710B" w:rsidRPr="00623ED5" w:rsidRDefault="006D710B"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6068</w:t>
    </w:r>
    <w:r w:rsidRPr="00623ED5">
      <w:rPr>
        <w:rFonts w:ascii="Arial" w:hAnsi="Arial" w:cs="Arial"/>
        <w:sz w:val="20"/>
        <w:szCs w:val="20"/>
      </w:rPr>
      <w:tab/>
      <w:t xml:space="preserve">                                           </w:t>
    </w:r>
  </w:p>
  <w:p w14:paraId="2592A41E" w14:textId="09A9D74E" w:rsidR="006D710B" w:rsidRPr="00623ED5" w:rsidRDefault="006D710B" w:rsidP="009A32AB">
    <w:pPr>
      <w:pStyle w:val="Footer"/>
      <w:rPr>
        <w:rFonts w:ascii="Arial" w:hAnsi="Arial" w:cs="Arial"/>
        <w:sz w:val="20"/>
        <w:szCs w:val="20"/>
      </w:rPr>
    </w:pPr>
    <w:r w:rsidRPr="00623ED5">
      <w:rPr>
        <w:rFonts w:ascii="Arial" w:hAnsi="Arial" w:cs="Arial"/>
        <w:sz w:val="20"/>
        <w:szCs w:val="20"/>
      </w:rPr>
      <w:t>Project Version: v</w:t>
    </w:r>
    <w:r>
      <w:rPr>
        <w:rFonts w:ascii="Arial" w:hAnsi="Arial" w:cs="Arial"/>
        <w:sz w:val="20"/>
        <w:szCs w:val="20"/>
      </w:rPr>
      <w:t>0.1</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sidR="00206E68">
      <w:rPr>
        <w:rFonts w:ascii="Arial" w:hAnsi="Arial" w:cs="Arial"/>
        <w:noProof/>
        <w:sz w:val="20"/>
        <w:szCs w:val="20"/>
      </w:rPr>
      <w:t>8</w:t>
    </w:r>
    <w:r w:rsidRPr="00623ED5">
      <w:rPr>
        <w:rFonts w:ascii="Arial" w:hAnsi="Arial" w:cs="Arial"/>
        <w:noProof/>
        <w:sz w:val="20"/>
        <w:szCs w:val="20"/>
      </w:rPr>
      <w:fldChar w:fldCharType="end"/>
    </w:r>
  </w:p>
  <w:p w14:paraId="05AECDA5" w14:textId="77777777" w:rsidR="006D710B" w:rsidRPr="00623ED5" w:rsidRDefault="006D710B"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Pr>
        <w:rFonts w:ascii="Arial" w:hAnsi="Arial" w:cs="Arial"/>
        <w:sz w:val="20"/>
        <w:szCs w:val="20"/>
      </w:rPr>
      <w:t>v3.2</w:t>
    </w:r>
    <w:r w:rsidRPr="00623ED5">
      <w:rPr>
        <w:rFonts w:ascii="Arial" w:hAnsi="Arial" w:cs="Arial"/>
        <w:sz w:val="20"/>
        <w:szCs w:val="20"/>
      </w:rPr>
      <w:tab/>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A55AD" w14:textId="77777777" w:rsidR="006D710B" w:rsidRPr="008A7999" w:rsidRDefault="006D710B" w:rsidP="008C5D8E">
    <w:pPr>
      <w:tabs>
        <w:tab w:val="center" w:pos="4513"/>
        <w:tab w:val="right" w:pos="9026"/>
      </w:tabs>
      <w:overflowPunct w:val="0"/>
      <w:autoSpaceDE w:val="0"/>
      <w:autoSpaceDN w:val="0"/>
      <w:adjustRightInd w:val="0"/>
      <w:spacing w:after="0"/>
      <w:jc w:val="both"/>
      <w:rPr>
        <w:color w:val="A6A6A6" w:themeColor="background1" w:themeShade="A6"/>
      </w:rPr>
    </w:pPr>
  </w:p>
  <w:p w14:paraId="5C15A07E" w14:textId="77777777" w:rsidR="006D710B" w:rsidRPr="00623ED5" w:rsidRDefault="006D710B"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44BAE906" w14:textId="77777777" w:rsidR="006D710B" w:rsidRPr="00623ED5" w:rsidRDefault="006D710B" w:rsidP="009A32AB">
    <w:pPr>
      <w:pStyle w:val="Footer"/>
      <w:rPr>
        <w:rFonts w:ascii="Arial" w:hAnsi="Arial" w:cs="Arial"/>
        <w:sz w:val="20"/>
        <w:szCs w:val="20"/>
      </w:rPr>
    </w:pPr>
    <w:r w:rsidRPr="00623ED5">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Pr>
        <w:rFonts w:ascii="Arial" w:hAnsi="Arial" w:cs="Arial"/>
        <w:noProof/>
        <w:sz w:val="20"/>
        <w:szCs w:val="20"/>
      </w:rPr>
      <w:t>1</w:t>
    </w:r>
    <w:r w:rsidRPr="00623ED5">
      <w:rPr>
        <w:rFonts w:ascii="Arial" w:hAnsi="Arial" w:cs="Arial"/>
        <w:noProof/>
        <w:sz w:val="20"/>
        <w:szCs w:val="20"/>
      </w:rPr>
      <w:fldChar w:fldCharType="end"/>
    </w:r>
  </w:p>
  <w:p w14:paraId="518A708F" w14:textId="77777777" w:rsidR="006D710B" w:rsidRPr="00623ED5" w:rsidRDefault="006D710B"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 v3.0</w:t>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0AD76" w14:textId="77777777" w:rsidR="00E92550" w:rsidRDefault="00E92550">
      <w:pPr>
        <w:spacing w:after="0" w:line="240" w:lineRule="auto"/>
      </w:pPr>
      <w:r>
        <w:separator/>
      </w:r>
    </w:p>
  </w:footnote>
  <w:footnote w:type="continuationSeparator" w:id="0">
    <w:p w14:paraId="7D8A23F7" w14:textId="77777777" w:rsidR="00E92550" w:rsidRDefault="00E92550">
      <w:pPr>
        <w:spacing w:after="0" w:line="240" w:lineRule="auto"/>
      </w:pPr>
      <w:r>
        <w:continuationSeparator/>
      </w:r>
    </w:p>
  </w:footnote>
  <w:footnote w:type="continuationNotice" w:id="1">
    <w:p w14:paraId="1000D845" w14:textId="77777777" w:rsidR="00E92550" w:rsidRDefault="00E925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9CEA1" w14:textId="77777777" w:rsidR="006D710B" w:rsidRPr="00623ED5" w:rsidRDefault="006D710B">
    <w:pPr>
      <w:pStyle w:val="Header"/>
      <w:rPr>
        <w:rFonts w:ascii="Arial" w:hAnsi="Arial" w:cs="Arial"/>
        <w:sz w:val="20"/>
      </w:rPr>
    </w:pPr>
    <w:r w:rsidRPr="00623ED5">
      <w:rPr>
        <w:rFonts w:ascii="Arial" w:hAnsi="Arial" w:cs="Arial"/>
        <w:b/>
        <w:sz w:val="20"/>
      </w:rPr>
      <w:t>Framework Schedule 6 (Order Form Template and Call-Off Schedules)</w:t>
    </w:r>
  </w:p>
  <w:p w14:paraId="0008EBF8" w14:textId="77777777" w:rsidR="006D710B" w:rsidRPr="00623ED5" w:rsidRDefault="006D710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14DA4" w14:textId="77777777" w:rsidR="006D710B" w:rsidRPr="00623ED5" w:rsidRDefault="006D710B" w:rsidP="009A32AB">
    <w:pPr>
      <w:pStyle w:val="Header"/>
      <w:rPr>
        <w:rFonts w:ascii="Arial" w:hAnsi="Arial" w:cs="Arial"/>
        <w:sz w:val="20"/>
      </w:rPr>
    </w:pPr>
    <w:r w:rsidRPr="00623ED5">
      <w:rPr>
        <w:rFonts w:ascii="Arial" w:hAnsi="Arial" w:cs="Arial"/>
        <w:b/>
        <w:sz w:val="20"/>
      </w:rPr>
      <w:t>Framework Schedule 6 (Order Form Template and Call-Off Schedules)</w:t>
    </w:r>
  </w:p>
  <w:p w14:paraId="3E9C7F25" w14:textId="77777777" w:rsidR="006D710B" w:rsidRPr="00623ED5" w:rsidRDefault="006D710B"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768"/>
    <w:multiLevelType w:val="hybridMultilevel"/>
    <w:tmpl w:val="7CB8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D2225"/>
    <w:multiLevelType w:val="hybridMultilevel"/>
    <w:tmpl w:val="482A011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8858BF"/>
    <w:multiLevelType w:val="hybridMultilevel"/>
    <w:tmpl w:val="B1F80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17A85"/>
    <w:multiLevelType w:val="hybridMultilevel"/>
    <w:tmpl w:val="3AE61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E6DFB"/>
    <w:multiLevelType w:val="hybridMultilevel"/>
    <w:tmpl w:val="198E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2318D"/>
    <w:multiLevelType w:val="hybridMultilevel"/>
    <w:tmpl w:val="4F82C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1AE62A1"/>
    <w:multiLevelType w:val="hybridMultilevel"/>
    <w:tmpl w:val="52B0A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41A64"/>
    <w:multiLevelType w:val="hybridMultilevel"/>
    <w:tmpl w:val="44F01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7B5AB5"/>
    <w:multiLevelType w:val="hybridMultilevel"/>
    <w:tmpl w:val="4A7AB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D11F71"/>
    <w:multiLevelType w:val="hybridMultilevel"/>
    <w:tmpl w:val="E2069DA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1E30C4"/>
    <w:multiLevelType w:val="hybridMultilevel"/>
    <w:tmpl w:val="942CC9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664503"/>
    <w:multiLevelType w:val="hybridMultilevel"/>
    <w:tmpl w:val="68BC5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2" w15:restartNumberingAfterBreak="0">
    <w:nsid w:val="5A1D54BA"/>
    <w:multiLevelType w:val="hybridMultilevel"/>
    <w:tmpl w:val="411E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6BCD5FAC"/>
    <w:multiLevelType w:val="hybridMultilevel"/>
    <w:tmpl w:val="2DB625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28"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20"/>
  </w:num>
  <w:num w:numId="3">
    <w:abstractNumId w:val="26"/>
  </w:num>
  <w:num w:numId="4">
    <w:abstractNumId w:val="16"/>
  </w:num>
  <w:num w:numId="5">
    <w:abstractNumId w:val="14"/>
  </w:num>
  <w:num w:numId="6">
    <w:abstractNumId w:val="27"/>
  </w:num>
  <w:num w:numId="7">
    <w:abstractNumId w:val="24"/>
  </w:num>
  <w:num w:numId="8">
    <w:abstractNumId w:val="11"/>
  </w:num>
  <w:num w:numId="9">
    <w:abstractNumId w:val="27"/>
  </w:num>
  <w:num w:numId="10">
    <w:abstractNumId w:val="2"/>
  </w:num>
  <w:num w:numId="11">
    <w:abstractNumId w:val="6"/>
  </w:num>
  <w:num w:numId="12">
    <w:abstractNumId w:val="18"/>
  </w:num>
  <w:num w:numId="13">
    <w:abstractNumId w:val="23"/>
  </w:num>
  <w:num w:numId="14">
    <w:abstractNumId w:val="8"/>
  </w:num>
  <w:num w:numId="15">
    <w:abstractNumId w:val="21"/>
  </w:num>
  <w:num w:numId="16">
    <w:abstractNumId w:val="9"/>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2"/>
  </w:num>
  <w:num w:numId="20">
    <w:abstractNumId w:val="19"/>
  </w:num>
  <w:num w:numId="21">
    <w:abstractNumId w:val="13"/>
  </w:num>
  <w:num w:numId="22">
    <w:abstractNumId w:val="0"/>
  </w:num>
  <w:num w:numId="23">
    <w:abstractNumId w:val="15"/>
  </w:num>
  <w:num w:numId="24">
    <w:abstractNumId w:val="25"/>
  </w:num>
  <w:num w:numId="25">
    <w:abstractNumId w:val="4"/>
  </w:num>
  <w:num w:numId="26">
    <w:abstractNumId w:val="5"/>
  </w:num>
  <w:num w:numId="27">
    <w:abstractNumId w:val="1"/>
  </w:num>
  <w:num w:numId="28">
    <w:abstractNumId w:val="7"/>
  </w:num>
  <w:num w:numId="29">
    <w:abstractNumId w:val="17"/>
  </w:num>
  <w:num w:numId="30">
    <w:abstractNumId w:val="1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34"/>
    <w:rsid w:val="00003A25"/>
    <w:rsid w:val="00015276"/>
    <w:rsid w:val="000434E4"/>
    <w:rsid w:val="0004550C"/>
    <w:rsid w:val="00051257"/>
    <w:rsid w:val="00057E65"/>
    <w:rsid w:val="00063AF2"/>
    <w:rsid w:val="00066570"/>
    <w:rsid w:val="000741A2"/>
    <w:rsid w:val="000851C3"/>
    <w:rsid w:val="000851E7"/>
    <w:rsid w:val="000978E0"/>
    <w:rsid w:val="0009790D"/>
    <w:rsid w:val="000C6319"/>
    <w:rsid w:val="000C665A"/>
    <w:rsid w:val="000E1FC7"/>
    <w:rsid w:val="000F2FE6"/>
    <w:rsid w:val="00102149"/>
    <w:rsid w:val="00110B3B"/>
    <w:rsid w:val="00120D67"/>
    <w:rsid w:val="00126B1A"/>
    <w:rsid w:val="001320FC"/>
    <w:rsid w:val="00162E55"/>
    <w:rsid w:val="00173AEE"/>
    <w:rsid w:val="00183C8E"/>
    <w:rsid w:val="0019744D"/>
    <w:rsid w:val="001A4F1C"/>
    <w:rsid w:val="001C046E"/>
    <w:rsid w:val="001D084D"/>
    <w:rsid w:val="001D1CA4"/>
    <w:rsid w:val="001E0368"/>
    <w:rsid w:val="001E4597"/>
    <w:rsid w:val="001F5BDD"/>
    <w:rsid w:val="00206E68"/>
    <w:rsid w:val="00225271"/>
    <w:rsid w:val="002315F2"/>
    <w:rsid w:val="002322D4"/>
    <w:rsid w:val="00232BF8"/>
    <w:rsid w:val="00232CB2"/>
    <w:rsid w:val="0023509F"/>
    <w:rsid w:val="0028300B"/>
    <w:rsid w:val="0029283B"/>
    <w:rsid w:val="00297896"/>
    <w:rsid w:val="002A2E93"/>
    <w:rsid w:val="002A4B76"/>
    <w:rsid w:val="002B3C24"/>
    <w:rsid w:val="002B7731"/>
    <w:rsid w:val="002C3D52"/>
    <w:rsid w:val="002C5708"/>
    <w:rsid w:val="002C6E98"/>
    <w:rsid w:val="002D516A"/>
    <w:rsid w:val="0032353A"/>
    <w:rsid w:val="003270FC"/>
    <w:rsid w:val="003321CB"/>
    <w:rsid w:val="0033393C"/>
    <w:rsid w:val="003676A4"/>
    <w:rsid w:val="0037250F"/>
    <w:rsid w:val="00377A85"/>
    <w:rsid w:val="003809EC"/>
    <w:rsid w:val="003A2178"/>
    <w:rsid w:val="003B1167"/>
    <w:rsid w:val="003B6DBC"/>
    <w:rsid w:val="003C50AE"/>
    <w:rsid w:val="003D7714"/>
    <w:rsid w:val="003E73F1"/>
    <w:rsid w:val="003E7CBB"/>
    <w:rsid w:val="003F397E"/>
    <w:rsid w:val="003F4954"/>
    <w:rsid w:val="003F583A"/>
    <w:rsid w:val="00400E8E"/>
    <w:rsid w:val="00402E48"/>
    <w:rsid w:val="00422D16"/>
    <w:rsid w:val="004304AB"/>
    <w:rsid w:val="0043710D"/>
    <w:rsid w:val="00463599"/>
    <w:rsid w:val="00475B07"/>
    <w:rsid w:val="00486B15"/>
    <w:rsid w:val="004A3795"/>
    <w:rsid w:val="004A4734"/>
    <w:rsid w:val="004B2DEC"/>
    <w:rsid w:val="004B7595"/>
    <w:rsid w:val="004F26E1"/>
    <w:rsid w:val="004F76CE"/>
    <w:rsid w:val="00504E94"/>
    <w:rsid w:val="00512CE8"/>
    <w:rsid w:val="00513A34"/>
    <w:rsid w:val="0052301B"/>
    <w:rsid w:val="00531C4D"/>
    <w:rsid w:val="0053394A"/>
    <w:rsid w:val="0054312C"/>
    <w:rsid w:val="00544956"/>
    <w:rsid w:val="005503B8"/>
    <w:rsid w:val="00553075"/>
    <w:rsid w:val="00561644"/>
    <w:rsid w:val="0056265C"/>
    <w:rsid w:val="00563DA5"/>
    <w:rsid w:val="00572E27"/>
    <w:rsid w:val="00581ED7"/>
    <w:rsid w:val="005B7837"/>
    <w:rsid w:val="005C0DB5"/>
    <w:rsid w:val="005C303F"/>
    <w:rsid w:val="005C55E7"/>
    <w:rsid w:val="005D18C4"/>
    <w:rsid w:val="005D6282"/>
    <w:rsid w:val="005E0AE8"/>
    <w:rsid w:val="00606769"/>
    <w:rsid w:val="00615B10"/>
    <w:rsid w:val="00620C93"/>
    <w:rsid w:val="00623ED5"/>
    <w:rsid w:val="00630660"/>
    <w:rsid w:val="00633EE5"/>
    <w:rsid w:val="00641086"/>
    <w:rsid w:val="006451C4"/>
    <w:rsid w:val="006472C5"/>
    <w:rsid w:val="006635AE"/>
    <w:rsid w:val="00664398"/>
    <w:rsid w:val="00667337"/>
    <w:rsid w:val="00671691"/>
    <w:rsid w:val="00695ED8"/>
    <w:rsid w:val="006B3A24"/>
    <w:rsid w:val="006C1CBB"/>
    <w:rsid w:val="006D021B"/>
    <w:rsid w:val="006D0226"/>
    <w:rsid w:val="006D0F65"/>
    <w:rsid w:val="006D4FE2"/>
    <w:rsid w:val="006D710B"/>
    <w:rsid w:val="006E18A6"/>
    <w:rsid w:val="006E3724"/>
    <w:rsid w:val="006E6D11"/>
    <w:rsid w:val="00702E70"/>
    <w:rsid w:val="00710B03"/>
    <w:rsid w:val="00711829"/>
    <w:rsid w:val="007202F6"/>
    <w:rsid w:val="00741E22"/>
    <w:rsid w:val="007619A9"/>
    <w:rsid w:val="00770631"/>
    <w:rsid w:val="007733CD"/>
    <w:rsid w:val="007763FC"/>
    <w:rsid w:val="00783044"/>
    <w:rsid w:val="007941E3"/>
    <w:rsid w:val="00796FC9"/>
    <w:rsid w:val="007A350D"/>
    <w:rsid w:val="007C6148"/>
    <w:rsid w:val="007D2E98"/>
    <w:rsid w:val="007F2584"/>
    <w:rsid w:val="00802637"/>
    <w:rsid w:val="00825518"/>
    <w:rsid w:val="0084404E"/>
    <w:rsid w:val="00853A9B"/>
    <w:rsid w:val="00863773"/>
    <w:rsid w:val="00873886"/>
    <w:rsid w:val="00875232"/>
    <w:rsid w:val="008802D9"/>
    <w:rsid w:val="008861B9"/>
    <w:rsid w:val="008925D4"/>
    <w:rsid w:val="00895069"/>
    <w:rsid w:val="008A2560"/>
    <w:rsid w:val="008A7999"/>
    <w:rsid w:val="008B5AA5"/>
    <w:rsid w:val="008B7262"/>
    <w:rsid w:val="008C1605"/>
    <w:rsid w:val="008C2BCF"/>
    <w:rsid w:val="008C5D8E"/>
    <w:rsid w:val="008D4A20"/>
    <w:rsid w:val="008D5AF0"/>
    <w:rsid w:val="008D6250"/>
    <w:rsid w:val="008E0886"/>
    <w:rsid w:val="008E3131"/>
    <w:rsid w:val="0090151D"/>
    <w:rsid w:val="009041B6"/>
    <w:rsid w:val="009437E0"/>
    <w:rsid w:val="00957E10"/>
    <w:rsid w:val="00957FC0"/>
    <w:rsid w:val="00962F09"/>
    <w:rsid w:val="0096468C"/>
    <w:rsid w:val="00983172"/>
    <w:rsid w:val="009A32AB"/>
    <w:rsid w:val="009A3367"/>
    <w:rsid w:val="009B0D98"/>
    <w:rsid w:val="009B52EA"/>
    <w:rsid w:val="009C4446"/>
    <w:rsid w:val="009E0D6A"/>
    <w:rsid w:val="009F273E"/>
    <w:rsid w:val="009F27E0"/>
    <w:rsid w:val="00A03244"/>
    <w:rsid w:val="00A33B01"/>
    <w:rsid w:val="00A340BA"/>
    <w:rsid w:val="00A4458B"/>
    <w:rsid w:val="00A56C49"/>
    <w:rsid w:val="00A621D7"/>
    <w:rsid w:val="00A70226"/>
    <w:rsid w:val="00A82F1C"/>
    <w:rsid w:val="00AA20E4"/>
    <w:rsid w:val="00AB0BC2"/>
    <w:rsid w:val="00AB4ED6"/>
    <w:rsid w:val="00AC0970"/>
    <w:rsid w:val="00AD44EC"/>
    <w:rsid w:val="00AE585A"/>
    <w:rsid w:val="00B05637"/>
    <w:rsid w:val="00B16AD6"/>
    <w:rsid w:val="00B16BC8"/>
    <w:rsid w:val="00B2085B"/>
    <w:rsid w:val="00B25F4F"/>
    <w:rsid w:val="00B4235A"/>
    <w:rsid w:val="00B52B7A"/>
    <w:rsid w:val="00B539D9"/>
    <w:rsid w:val="00B6655A"/>
    <w:rsid w:val="00B714E9"/>
    <w:rsid w:val="00B863D7"/>
    <w:rsid w:val="00B87349"/>
    <w:rsid w:val="00B87C37"/>
    <w:rsid w:val="00B87D1B"/>
    <w:rsid w:val="00B9523A"/>
    <w:rsid w:val="00BA15CD"/>
    <w:rsid w:val="00BB1B63"/>
    <w:rsid w:val="00BC41BF"/>
    <w:rsid w:val="00BE671C"/>
    <w:rsid w:val="00BE704D"/>
    <w:rsid w:val="00C41001"/>
    <w:rsid w:val="00C42BF4"/>
    <w:rsid w:val="00C543F9"/>
    <w:rsid w:val="00C92729"/>
    <w:rsid w:val="00CB23C3"/>
    <w:rsid w:val="00CB39A4"/>
    <w:rsid w:val="00CB6F6B"/>
    <w:rsid w:val="00CD7897"/>
    <w:rsid w:val="00CE6859"/>
    <w:rsid w:val="00CF25AF"/>
    <w:rsid w:val="00CF2A02"/>
    <w:rsid w:val="00D07CF0"/>
    <w:rsid w:val="00D17FF8"/>
    <w:rsid w:val="00D2166E"/>
    <w:rsid w:val="00D24C81"/>
    <w:rsid w:val="00D3070F"/>
    <w:rsid w:val="00D3696B"/>
    <w:rsid w:val="00D409B8"/>
    <w:rsid w:val="00D500B0"/>
    <w:rsid w:val="00D51727"/>
    <w:rsid w:val="00D52B71"/>
    <w:rsid w:val="00D91FF4"/>
    <w:rsid w:val="00DC64F0"/>
    <w:rsid w:val="00DD394A"/>
    <w:rsid w:val="00DF2308"/>
    <w:rsid w:val="00E023CD"/>
    <w:rsid w:val="00E077F1"/>
    <w:rsid w:val="00E10DB2"/>
    <w:rsid w:val="00E21475"/>
    <w:rsid w:val="00E36190"/>
    <w:rsid w:val="00E4117B"/>
    <w:rsid w:val="00E46FDC"/>
    <w:rsid w:val="00E5118A"/>
    <w:rsid w:val="00E5289F"/>
    <w:rsid w:val="00E64EDA"/>
    <w:rsid w:val="00E74BC8"/>
    <w:rsid w:val="00E81CE7"/>
    <w:rsid w:val="00E92550"/>
    <w:rsid w:val="00E9588A"/>
    <w:rsid w:val="00EA258F"/>
    <w:rsid w:val="00EB7CA3"/>
    <w:rsid w:val="00EC0702"/>
    <w:rsid w:val="00ED3177"/>
    <w:rsid w:val="00ED3390"/>
    <w:rsid w:val="00ED6C41"/>
    <w:rsid w:val="00F00201"/>
    <w:rsid w:val="00F255B3"/>
    <w:rsid w:val="00F624A8"/>
    <w:rsid w:val="00F63402"/>
    <w:rsid w:val="00F914EA"/>
    <w:rsid w:val="00F91DD8"/>
    <w:rsid w:val="00FB0503"/>
    <w:rsid w:val="00FB201C"/>
    <w:rsid w:val="00FB406A"/>
    <w:rsid w:val="00FB6C6C"/>
    <w:rsid w:val="00FB6CC0"/>
    <w:rsid w:val="00FD0915"/>
    <w:rsid w:val="00FE26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D7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863773"/>
    <w:pPr>
      <w:keepNext/>
      <w:numPr>
        <w:numId w:val="15"/>
      </w:numPr>
      <w:adjustRightInd w:val="0"/>
      <w:spacing w:after="240" w:line="240" w:lineRule="auto"/>
      <w:jc w:val="both"/>
      <w:outlineLvl w:val="0"/>
    </w:pPr>
    <w:rPr>
      <w:rFonts w:ascii="Arial" w:eastAsia="STZhongsong" w:hAnsi="Arial"/>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863773"/>
    <w:pPr>
      <w:numPr>
        <w:ilvl w:val="1"/>
        <w:numId w:val="15"/>
      </w:numPr>
      <w:adjustRightInd w:val="0"/>
      <w:spacing w:after="240" w:line="240" w:lineRule="auto"/>
      <w:jc w:val="both"/>
      <w:outlineLvl w:val="1"/>
    </w:pPr>
    <w:rPr>
      <w:rFonts w:ascii="Arial" w:eastAsia="STZhongsong" w:hAnsi="Arial"/>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863773"/>
    <w:pPr>
      <w:numPr>
        <w:ilvl w:val="2"/>
        <w:numId w:val="15"/>
      </w:numPr>
      <w:adjustRightInd w:val="0"/>
      <w:spacing w:after="240" w:line="240" w:lineRule="auto"/>
      <w:jc w:val="both"/>
      <w:outlineLvl w:val="2"/>
    </w:pPr>
    <w:rPr>
      <w:rFonts w:ascii="Arial" w:eastAsia="STZhongsong" w:hAnsi="Arial"/>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863773"/>
    <w:pPr>
      <w:numPr>
        <w:ilvl w:val="3"/>
        <w:numId w:val="15"/>
      </w:numPr>
      <w:adjustRightInd w:val="0"/>
      <w:spacing w:after="240" w:line="240" w:lineRule="auto"/>
      <w:jc w:val="both"/>
      <w:outlineLvl w:val="3"/>
    </w:pPr>
    <w:rPr>
      <w:rFonts w:ascii="Arial" w:eastAsia="STZhongsong" w:hAnsi="Arial"/>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863773"/>
    <w:pPr>
      <w:numPr>
        <w:ilvl w:val="4"/>
        <w:numId w:val="15"/>
      </w:numPr>
      <w:adjustRightInd w:val="0"/>
      <w:spacing w:after="240" w:line="240" w:lineRule="auto"/>
      <w:jc w:val="both"/>
      <w:outlineLvl w:val="4"/>
    </w:pPr>
    <w:rPr>
      <w:rFonts w:ascii="Arial" w:eastAsia="STZhongsong" w:hAnsi="Arial"/>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863773"/>
    <w:pPr>
      <w:numPr>
        <w:ilvl w:val="5"/>
        <w:numId w:val="15"/>
      </w:numPr>
      <w:adjustRightInd w:val="0"/>
      <w:spacing w:after="240" w:line="240" w:lineRule="auto"/>
      <w:jc w:val="both"/>
      <w:outlineLvl w:val="5"/>
    </w:pPr>
    <w:rPr>
      <w:rFonts w:ascii="Arial" w:eastAsia="STZhongsong" w:hAnsi="Arial"/>
      <w:szCs w:val="20"/>
      <w:lang w:eastAsia="zh-CN"/>
    </w:rPr>
  </w:style>
  <w:style w:type="paragraph" w:styleId="Heading7">
    <w:name w:val="heading 7"/>
    <w:aliases w:val="Heading 7 (Do Not Use),Heading 7(unused),Legal Level 1.1.,L2 PIP,Lev 7,H7DO NOT USE,PA Appendix Major"/>
    <w:basedOn w:val="Normal"/>
    <w:link w:val="Heading7Char"/>
    <w:qFormat/>
    <w:rsid w:val="00863773"/>
    <w:pPr>
      <w:numPr>
        <w:ilvl w:val="6"/>
        <w:numId w:val="15"/>
      </w:numPr>
      <w:adjustRightInd w:val="0"/>
      <w:spacing w:after="240" w:line="240" w:lineRule="auto"/>
      <w:jc w:val="both"/>
      <w:outlineLvl w:val="6"/>
    </w:pPr>
    <w:rPr>
      <w:rFonts w:ascii="Arial" w:eastAsia="STZhongsong" w:hAnsi="Arial"/>
      <w:szCs w:val="20"/>
      <w:lang w:eastAsia="zh-CN"/>
    </w:rPr>
  </w:style>
  <w:style w:type="paragraph" w:styleId="Heading8">
    <w:name w:val="heading 8"/>
    <w:aliases w:val="Heading 8 (Do Not Use),Legal Level 1.1.1.,Lev 8,h8 DO NOT USE,PA Appendix Minor"/>
    <w:basedOn w:val="Normal"/>
    <w:link w:val="Heading8Char"/>
    <w:uiPriority w:val="99"/>
    <w:qFormat/>
    <w:rsid w:val="00863773"/>
    <w:pPr>
      <w:numPr>
        <w:ilvl w:val="7"/>
        <w:numId w:val="15"/>
      </w:numPr>
      <w:adjustRightInd w:val="0"/>
      <w:spacing w:after="240" w:line="240" w:lineRule="auto"/>
      <w:jc w:val="both"/>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863773"/>
    <w:pPr>
      <w:numPr>
        <w:ilvl w:val="8"/>
        <w:numId w:val="15"/>
      </w:numPr>
      <w:adjustRightInd w:val="0"/>
      <w:spacing w:after="240" w:line="240" w:lineRule="auto"/>
      <w:jc w:val="both"/>
      <w:outlineLvl w:val="8"/>
    </w:pPr>
    <w:rPr>
      <w:rFonts w:ascii="Arial" w:eastAsia="STZhongsong" w:hAnsi="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Table bullet,lp1,Bullet List,FooterText,numbered,List Paragraph1,Paragraphe de liste1,Bulletr List Paragraph,列出段落,列出段落1,List Paragraph2,List Paragraph21,Listeafsnit1,Parágrafo da Lista1,Párrafo de lista1,リスト段落1,List Paragraph11,Bullets"/>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3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863773"/>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863773"/>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863773"/>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863773"/>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863773"/>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863773"/>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863773"/>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863773"/>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863773"/>
    <w:rPr>
      <w:rFonts w:ascii="Arial" w:eastAsia="STZhongsong" w:hAnsi="Arial" w:cs="Times New Roman"/>
      <w:szCs w:val="20"/>
      <w:lang w:eastAsia="zh-CN"/>
    </w:rPr>
  </w:style>
  <w:style w:type="paragraph" w:customStyle="1" w:styleId="Level1">
    <w:name w:val="Level 1"/>
    <w:basedOn w:val="Normal"/>
    <w:rsid w:val="00863773"/>
    <w:pPr>
      <w:numPr>
        <w:numId w:val="16"/>
      </w:numPr>
      <w:spacing w:after="240" w:line="240" w:lineRule="auto"/>
      <w:jc w:val="both"/>
    </w:pPr>
    <w:rPr>
      <w:rFonts w:ascii="Arial" w:eastAsia="Times New Roman" w:hAnsi="Arial"/>
      <w:szCs w:val="20"/>
    </w:rPr>
  </w:style>
  <w:style w:type="paragraph" w:customStyle="1" w:styleId="Level2">
    <w:name w:val="Level 2"/>
    <w:basedOn w:val="Normal"/>
    <w:rsid w:val="00863773"/>
    <w:pPr>
      <w:numPr>
        <w:ilvl w:val="1"/>
        <w:numId w:val="16"/>
      </w:numPr>
      <w:spacing w:after="240" w:line="240" w:lineRule="auto"/>
      <w:jc w:val="both"/>
    </w:pPr>
    <w:rPr>
      <w:rFonts w:ascii="Arial" w:eastAsia="Times New Roman" w:hAnsi="Arial"/>
    </w:rPr>
  </w:style>
  <w:style w:type="paragraph" w:customStyle="1" w:styleId="Level3">
    <w:name w:val="Level 3"/>
    <w:basedOn w:val="Normal"/>
    <w:rsid w:val="00863773"/>
    <w:pPr>
      <w:numPr>
        <w:ilvl w:val="2"/>
        <w:numId w:val="16"/>
      </w:numPr>
      <w:spacing w:after="240" w:line="240" w:lineRule="auto"/>
      <w:jc w:val="both"/>
    </w:pPr>
    <w:rPr>
      <w:rFonts w:ascii="Arial" w:eastAsia="Times New Roman" w:hAnsi="Arial"/>
      <w:szCs w:val="20"/>
    </w:rPr>
  </w:style>
  <w:style w:type="paragraph" w:customStyle="1" w:styleId="Level4">
    <w:name w:val="Level 4"/>
    <w:basedOn w:val="Normal"/>
    <w:rsid w:val="00863773"/>
    <w:pPr>
      <w:numPr>
        <w:ilvl w:val="3"/>
        <w:numId w:val="16"/>
      </w:numPr>
      <w:spacing w:after="240" w:line="240" w:lineRule="auto"/>
      <w:jc w:val="both"/>
    </w:pPr>
    <w:rPr>
      <w:rFonts w:ascii="Arial" w:eastAsia="Times New Roman" w:hAnsi="Arial"/>
      <w:szCs w:val="20"/>
    </w:rPr>
  </w:style>
  <w:style w:type="paragraph" w:customStyle="1" w:styleId="Level5">
    <w:name w:val="Level 5"/>
    <w:basedOn w:val="Normal"/>
    <w:rsid w:val="00863773"/>
    <w:pPr>
      <w:numPr>
        <w:ilvl w:val="4"/>
        <w:numId w:val="16"/>
      </w:numPr>
      <w:spacing w:after="240" w:line="240" w:lineRule="auto"/>
      <w:jc w:val="both"/>
    </w:pPr>
    <w:rPr>
      <w:rFonts w:ascii="Arial" w:eastAsia="Times New Roman" w:hAnsi="Arial"/>
      <w:szCs w:val="20"/>
    </w:rPr>
  </w:style>
  <w:style w:type="paragraph" w:customStyle="1" w:styleId="Level6">
    <w:name w:val="Level 6"/>
    <w:basedOn w:val="Normal"/>
    <w:rsid w:val="00863773"/>
    <w:pPr>
      <w:numPr>
        <w:ilvl w:val="5"/>
        <w:numId w:val="16"/>
      </w:numPr>
      <w:spacing w:after="240" w:line="240" w:lineRule="auto"/>
      <w:jc w:val="both"/>
    </w:pPr>
    <w:rPr>
      <w:rFonts w:ascii="Arial" w:eastAsia="Times New Roman" w:hAnsi="Arial"/>
      <w:szCs w:val="20"/>
    </w:rPr>
  </w:style>
  <w:style w:type="paragraph" w:customStyle="1" w:styleId="Level7">
    <w:name w:val="Level 7"/>
    <w:basedOn w:val="Normal"/>
    <w:rsid w:val="00863773"/>
    <w:pPr>
      <w:numPr>
        <w:ilvl w:val="6"/>
        <w:numId w:val="16"/>
      </w:numPr>
      <w:spacing w:after="240" w:line="240" w:lineRule="auto"/>
      <w:jc w:val="both"/>
    </w:pPr>
    <w:rPr>
      <w:rFonts w:ascii="Arial" w:eastAsia="Times New Roman" w:hAnsi="Arial"/>
      <w:szCs w:val="20"/>
    </w:rPr>
  </w:style>
  <w:style w:type="paragraph" w:customStyle="1" w:styleId="Level8">
    <w:name w:val="Level 8"/>
    <w:basedOn w:val="Normal"/>
    <w:rsid w:val="00863773"/>
    <w:pPr>
      <w:numPr>
        <w:ilvl w:val="7"/>
        <w:numId w:val="16"/>
      </w:numPr>
      <w:spacing w:after="240" w:line="240" w:lineRule="auto"/>
      <w:jc w:val="both"/>
    </w:pPr>
    <w:rPr>
      <w:rFonts w:ascii="Arial" w:eastAsia="Times New Roman" w:hAnsi="Arial"/>
      <w:szCs w:val="20"/>
    </w:rPr>
  </w:style>
  <w:style w:type="paragraph" w:customStyle="1" w:styleId="Level9">
    <w:name w:val="Level 9"/>
    <w:basedOn w:val="Normal"/>
    <w:rsid w:val="00863773"/>
    <w:pPr>
      <w:numPr>
        <w:ilvl w:val="8"/>
        <w:numId w:val="16"/>
      </w:numPr>
      <w:spacing w:after="240" w:line="240" w:lineRule="auto"/>
      <w:jc w:val="both"/>
    </w:pPr>
    <w:rPr>
      <w:rFonts w:ascii="Arial" w:eastAsia="Times New Roman" w:hAnsi="Arial"/>
      <w:szCs w:val="20"/>
    </w:rPr>
  </w:style>
  <w:style w:type="character" w:styleId="Strong">
    <w:name w:val="Strong"/>
    <w:basedOn w:val="DefaultParagraphFont"/>
    <w:uiPriority w:val="22"/>
    <w:qFormat/>
    <w:rsid w:val="000E1FC7"/>
    <w:rPr>
      <w:b/>
      <w:bCs/>
    </w:rPr>
  </w:style>
  <w:style w:type="character" w:styleId="Hyperlink">
    <w:name w:val="Hyperlink"/>
    <w:basedOn w:val="DefaultParagraphFont"/>
    <w:uiPriority w:val="99"/>
    <w:semiHidden/>
    <w:unhideWhenUsed/>
    <w:rsid w:val="001A4F1C"/>
    <w:rPr>
      <w:color w:val="0000FF"/>
      <w:u w:val="single"/>
    </w:rPr>
  </w:style>
  <w:style w:type="character" w:customStyle="1" w:styleId="ListParagraphChar">
    <w:name w:val="List Paragraph Char"/>
    <w:aliases w:val="Table bullet Char,lp1 Char,Bullet List Char,FooterText Char,numbered Char,List Paragraph1 Char,Paragraphe de liste1 Char,Bulletr List Paragraph Char,列出段落 Char,列出段落1 Char,List Paragraph2 Char,List Paragraph21 Char,Listeafsnit1 Char"/>
    <w:link w:val="ListParagraph"/>
    <w:uiPriority w:val="34"/>
    <w:qFormat/>
    <w:locked/>
    <w:rsid w:val="00B4235A"/>
    <w:rPr>
      <w:rFonts w:ascii="Calibri" w:eastAsia="Calibri" w:hAnsi="Calibri" w:cs="Times New Roman"/>
    </w:rPr>
  </w:style>
  <w:style w:type="table" w:customStyle="1" w:styleId="TableGrid3">
    <w:name w:val="Table Grid3"/>
    <w:basedOn w:val="TableNormal"/>
    <w:next w:val="TableGrid"/>
    <w:uiPriority w:val="39"/>
    <w:rsid w:val="00B42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459229901">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195470142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22526-D027-48A2-8E3B-3F877398A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2020-08-27T12:10:00Z</dcterms:created>
  <dcterms:modified xsi:type="dcterms:W3CDTF">2020-08-27T12:11:00Z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