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5068" w:rsidRDefault="00D85068"/>
    <w:tbl>
      <w:tblPr>
        <w:tblW w:w="9900" w:type="dxa"/>
        <w:tblInd w:w="-72" w:type="dxa"/>
        <w:tblLayout w:type="fixed"/>
        <w:tblLook w:val="0000" w:firstRow="0" w:lastRow="0" w:firstColumn="0" w:lastColumn="0" w:noHBand="0" w:noVBand="0"/>
      </w:tblPr>
      <w:tblGrid>
        <w:gridCol w:w="2825"/>
        <w:gridCol w:w="1503"/>
        <w:gridCol w:w="1506"/>
        <w:gridCol w:w="2033"/>
        <w:gridCol w:w="2033"/>
      </w:tblGrid>
      <w:tr w:rsidR="00D85068" w:rsidTr="001847D1">
        <w:tc>
          <w:tcPr>
            <w:tcW w:w="4328" w:type="dxa"/>
            <w:gridSpan w:val="2"/>
            <w:tcBorders>
              <w:top w:val="dotted" w:sz="6" w:space="0" w:color="auto"/>
              <w:left w:val="dotted" w:sz="6" w:space="0" w:color="auto"/>
              <w:bottom w:val="dotted" w:sz="6" w:space="0" w:color="auto"/>
              <w:right w:val="dotted" w:sz="6" w:space="0" w:color="auto"/>
            </w:tcBorders>
          </w:tcPr>
          <w:p w:rsidR="00D85068" w:rsidRDefault="0091565C">
            <w:pPr>
              <w:spacing w:before="120" w:after="60"/>
              <w:rPr>
                <w:i/>
              </w:rPr>
            </w:pPr>
            <w:r>
              <w:rPr>
                <w:i/>
              </w:rPr>
              <w:t>This Specification replaces</w:t>
            </w:r>
          </w:p>
          <w:p w:rsidR="00D85068" w:rsidRDefault="0091565C">
            <w:pPr>
              <w:spacing w:after="120"/>
              <w:jc w:val="center"/>
              <w:rPr>
                <w:b/>
                <w:sz w:val="24"/>
              </w:rPr>
            </w:pPr>
            <w:r>
              <w:rPr>
                <w:i/>
              </w:rPr>
              <w:t>NEW</w:t>
            </w:r>
          </w:p>
        </w:tc>
        <w:tc>
          <w:tcPr>
            <w:tcW w:w="1506" w:type="dxa"/>
            <w:tcBorders>
              <w:left w:val="nil"/>
            </w:tcBorders>
          </w:tcPr>
          <w:p w:rsidR="00D85068" w:rsidRDefault="00D85068">
            <w:pPr>
              <w:spacing w:before="120" w:after="120"/>
            </w:pPr>
          </w:p>
        </w:tc>
        <w:tc>
          <w:tcPr>
            <w:tcW w:w="4066" w:type="dxa"/>
            <w:gridSpan w:val="2"/>
            <w:tcBorders>
              <w:top w:val="single" w:sz="18" w:space="0" w:color="auto"/>
              <w:left w:val="single" w:sz="18" w:space="0" w:color="auto"/>
              <w:bottom w:val="single" w:sz="18" w:space="0" w:color="auto"/>
              <w:right w:val="single" w:sz="18" w:space="0" w:color="auto"/>
            </w:tcBorders>
          </w:tcPr>
          <w:p w:rsidR="00D85068" w:rsidRDefault="0091565C">
            <w:pPr>
              <w:spacing w:before="120" w:after="240"/>
              <w:rPr>
                <w:b/>
                <w:sz w:val="24"/>
              </w:rPr>
            </w:pPr>
            <w:r>
              <w:rPr>
                <w:b/>
                <w:sz w:val="24"/>
              </w:rPr>
              <w:t>Copy Number</w:t>
            </w:r>
          </w:p>
        </w:tc>
      </w:tr>
      <w:tr w:rsidR="00D85068" w:rsidTr="001847D1">
        <w:trPr>
          <w:trHeight w:hRule="exact" w:val="160"/>
        </w:trPr>
        <w:tc>
          <w:tcPr>
            <w:tcW w:w="2825" w:type="dxa"/>
          </w:tcPr>
          <w:p w:rsidR="00D85068" w:rsidRDefault="00D85068">
            <w:pPr>
              <w:rPr>
                <w:sz w:val="16"/>
              </w:rPr>
            </w:pPr>
          </w:p>
        </w:tc>
        <w:tc>
          <w:tcPr>
            <w:tcW w:w="3009" w:type="dxa"/>
            <w:gridSpan w:val="2"/>
            <w:tcBorders>
              <w:left w:val="nil"/>
            </w:tcBorders>
          </w:tcPr>
          <w:p w:rsidR="00D85068" w:rsidRDefault="00D85068">
            <w:pPr>
              <w:rPr>
                <w:sz w:val="16"/>
              </w:rPr>
            </w:pPr>
          </w:p>
        </w:tc>
        <w:tc>
          <w:tcPr>
            <w:tcW w:w="2033" w:type="dxa"/>
            <w:tcBorders>
              <w:left w:val="nil"/>
            </w:tcBorders>
          </w:tcPr>
          <w:p w:rsidR="00D85068" w:rsidRDefault="00D85068">
            <w:pPr>
              <w:rPr>
                <w:sz w:val="16"/>
              </w:rPr>
            </w:pPr>
          </w:p>
        </w:tc>
        <w:tc>
          <w:tcPr>
            <w:tcW w:w="2033" w:type="dxa"/>
            <w:tcBorders>
              <w:left w:val="nil"/>
              <w:bottom w:val="single" w:sz="18" w:space="0" w:color="auto"/>
            </w:tcBorders>
          </w:tcPr>
          <w:p w:rsidR="00D85068" w:rsidRDefault="00D85068">
            <w:pPr>
              <w:rPr>
                <w:b/>
                <w:sz w:val="16"/>
              </w:rPr>
            </w:pPr>
          </w:p>
        </w:tc>
      </w:tr>
      <w:tr w:rsidR="00D85068" w:rsidTr="001847D1">
        <w:tc>
          <w:tcPr>
            <w:tcW w:w="5834" w:type="dxa"/>
            <w:gridSpan w:val="3"/>
            <w:tcBorders>
              <w:bottom w:val="single" w:sz="18" w:space="0" w:color="auto"/>
            </w:tcBorders>
          </w:tcPr>
          <w:p w:rsidR="00D85068" w:rsidRDefault="00D85068">
            <w:pPr>
              <w:spacing w:before="120" w:after="120"/>
              <w:rPr>
                <w:sz w:val="24"/>
              </w:rPr>
            </w:pPr>
          </w:p>
        </w:tc>
        <w:tc>
          <w:tcPr>
            <w:tcW w:w="2033" w:type="dxa"/>
            <w:tcBorders>
              <w:top w:val="single" w:sz="18" w:space="0" w:color="auto"/>
              <w:left w:val="single" w:sz="18" w:space="0" w:color="auto"/>
              <w:bottom w:val="single" w:sz="18" w:space="0" w:color="auto"/>
            </w:tcBorders>
          </w:tcPr>
          <w:p w:rsidR="00D85068" w:rsidRDefault="0091565C">
            <w:pPr>
              <w:spacing w:before="120" w:after="120"/>
              <w:rPr>
                <w:sz w:val="24"/>
              </w:rPr>
            </w:pPr>
            <w:r>
              <w:rPr>
                <w:sz w:val="24"/>
              </w:rPr>
              <w:t>Effective</w:t>
            </w:r>
          </w:p>
        </w:tc>
        <w:tc>
          <w:tcPr>
            <w:tcW w:w="2033" w:type="dxa"/>
            <w:tcBorders>
              <w:top w:val="single" w:sz="18" w:space="0" w:color="auto"/>
              <w:left w:val="nil"/>
              <w:bottom w:val="single" w:sz="18" w:space="0" w:color="auto"/>
              <w:right w:val="single" w:sz="18" w:space="0" w:color="auto"/>
            </w:tcBorders>
          </w:tcPr>
          <w:p w:rsidR="00D85068" w:rsidRDefault="00D85068">
            <w:pPr>
              <w:spacing w:before="120" w:after="120"/>
              <w:rPr>
                <w:b/>
                <w:sz w:val="24"/>
              </w:rPr>
            </w:pPr>
          </w:p>
        </w:tc>
      </w:tr>
      <w:tr w:rsidR="00D85068" w:rsidTr="001847D1">
        <w:tc>
          <w:tcPr>
            <w:tcW w:w="9900" w:type="dxa"/>
            <w:gridSpan w:val="5"/>
            <w:tcBorders>
              <w:left w:val="single" w:sz="18" w:space="0" w:color="auto"/>
              <w:right w:val="single" w:sz="18" w:space="0" w:color="auto"/>
            </w:tcBorders>
          </w:tcPr>
          <w:p w:rsidR="00D85068" w:rsidRDefault="0091565C">
            <w:pPr>
              <w:spacing w:before="120" w:after="120"/>
              <w:jc w:val="center"/>
              <w:rPr>
                <w:b/>
                <w:i/>
                <w:sz w:val="24"/>
              </w:rPr>
            </w:pPr>
            <w:r>
              <w:rPr>
                <w:b/>
                <w:i/>
                <w:sz w:val="24"/>
              </w:rPr>
              <w:t>Summary of Significant Changes</w:t>
            </w:r>
          </w:p>
        </w:tc>
      </w:tr>
      <w:tr w:rsidR="00D85068" w:rsidTr="001847D1">
        <w:tc>
          <w:tcPr>
            <w:tcW w:w="9900" w:type="dxa"/>
            <w:gridSpan w:val="5"/>
            <w:tcBorders>
              <w:left w:val="single" w:sz="18" w:space="0" w:color="auto"/>
              <w:bottom w:val="single" w:sz="18" w:space="0" w:color="auto"/>
              <w:right w:val="single" w:sz="18" w:space="0" w:color="auto"/>
            </w:tcBorders>
          </w:tcPr>
          <w:p w:rsidR="00D85068" w:rsidRDefault="00D85068">
            <w:pPr>
              <w:spacing w:before="120" w:after="120"/>
              <w:jc w:val="center"/>
            </w:pPr>
          </w:p>
        </w:tc>
      </w:tr>
      <w:tr w:rsidR="00D85068" w:rsidTr="001847D1">
        <w:tc>
          <w:tcPr>
            <w:tcW w:w="9900" w:type="dxa"/>
            <w:gridSpan w:val="5"/>
          </w:tcPr>
          <w:p w:rsidR="00D85068" w:rsidRDefault="00D85068">
            <w:pPr>
              <w:jc w:val="center"/>
            </w:pPr>
          </w:p>
        </w:tc>
      </w:tr>
      <w:tr w:rsidR="00D85068" w:rsidTr="001847D1">
        <w:tc>
          <w:tcPr>
            <w:tcW w:w="9900" w:type="dxa"/>
            <w:gridSpan w:val="5"/>
          </w:tcPr>
          <w:p w:rsidR="00D85068" w:rsidRDefault="0091565C">
            <w:pPr>
              <w:pStyle w:val="Heading4"/>
            </w:pPr>
            <w:r>
              <w:t>Purpose</w:t>
            </w:r>
          </w:p>
        </w:tc>
      </w:tr>
      <w:tr w:rsidR="00D85068" w:rsidTr="001847D1">
        <w:tc>
          <w:tcPr>
            <w:tcW w:w="9900" w:type="dxa"/>
            <w:gridSpan w:val="5"/>
          </w:tcPr>
          <w:p w:rsidR="00D85068" w:rsidRDefault="00D85068">
            <w:pPr>
              <w:spacing w:before="120" w:after="120"/>
              <w:jc w:val="center"/>
            </w:pPr>
          </w:p>
        </w:tc>
      </w:tr>
    </w:tbl>
    <w:p w:rsidR="001847D1" w:rsidRPr="00CE7CD1" w:rsidRDefault="001847D1" w:rsidP="001847D1">
      <w:pPr>
        <w:jc w:val="both"/>
        <w:rPr>
          <w:rFonts w:cs="Arial"/>
        </w:rPr>
      </w:pPr>
      <w:r w:rsidRPr="00CE7CD1">
        <w:rPr>
          <w:rFonts w:cs="Arial"/>
        </w:rPr>
        <w:t xml:space="preserve">NHS Blood and Transplant (NHSBT) are seeking </w:t>
      </w:r>
      <w:r>
        <w:rPr>
          <w:rFonts w:cs="Arial"/>
        </w:rPr>
        <w:t>provision of s</w:t>
      </w:r>
      <w:r w:rsidRPr="00CE7CD1">
        <w:rPr>
          <w:rFonts w:cs="Arial"/>
        </w:rPr>
        <w:t>imulation suite</w:t>
      </w:r>
      <w:r>
        <w:rPr>
          <w:rFonts w:cs="Arial"/>
        </w:rPr>
        <w:t>(s)</w:t>
      </w:r>
      <w:r w:rsidRPr="00CE7CD1">
        <w:rPr>
          <w:rFonts w:cs="Arial"/>
        </w:rPr>
        <w:t xml:space="preserve"> to host the medical deceased donation simulation course. The clinical knowledge and training itself is provided by NHSBT faculty.</w:t>
      </w:r>
    </w:p>
    <w:p w:rsidR="001847D1" w:rsidRPr="00CE7CD1" w:rsidRDefault="001847D1" w:rsidP="001847D1">
      <w:pPr>
        <w:jc w:val="both"/>
        <w:outlineLvl w:val="0"/>
        <w:rPr>
          <w:rFonts w:cs="Arial"/>
        </w:rPr>
      </w:pPr>
      <w:r w:rsidRPr="00CE7CD1">
        <w:rPr>
          <w:rFonts w:cs="Arial"/>
        </w:rPr>
        <w:t>NHSBT faculty, in conjunction with successful simulation (SIM) centres will deliver up to 6 Intensive Care Medicine Deceased Donation simulation courses nationally per year to clinicians across the 4 nations of the UK. Each course will facilitate training for 18 delegates and incorporate a Train the trainer element for incoming faculty.</w:t>
      </w:r>
    </w:p>
    <w:p w:rsidR="001847D1" w:rsidRPr="00CE7CD1" w:rsidRDefault="001847D1" w:rsidP="001847D1">
      <w:pPr>
        <w:jc w:val="both"/>
        <w:outlineLvl w:val="0"/>
        <w:rPr>
          <w:rFonts w:cs="Arial"/>
          <w:color w:val="000000"/>
        </w:rPr>
      </w:pPr>
    </w:p>
    <w:p w:rsidR="00D85068" w:rsidRDefault="00D85068">
      <w:pPr>
        <w:rPr>
          <w:b/>
          <w:sz w:val="24"/>
        </w:rPr>
      </w:pPr>
    </w:p>
    <w:p w:rsidR="00D85068" w:rsidRDefault="00D85068">
      <w:pPr>
        <w:rPr>
          <w:b/>
          <w:sz w:val="24"/>
        </w:rPr>
      </w:pPr>
    </w:p>
    <w:p w:rsidR="00D85068" w:rsidRDefault="00D85068">
      <w:pPr>
        <w:rPr>
          <w:b/>
          <w:sz w:val="24"/>
        </w:rPr>
      </w:pPr>
    </w:p>
    <w:tbl>
      <w:tblPr>
        <w:tblW w:w="0" w:type="auto"/>
        <w:tblLayout w:type="fixed"/>
        <w:tblLook w:val="0000" w:firstRow="0" w:lastRow="0" w:firstColumn="0" w:lastColumn="0" w:noHBand="0" w:noVBand="0"/>
      </w:tblPr>
      <w:tblGrid>
        <w:gridCol w:w="4519"/>
        <w:gridCol w:w="811"/>
        <w:gridCol w:w="4498"/>
      </w:tblGrid>
      <w:tr w:rsidR="00D85068">
        <w:tc>
          <w:tcPr>
            <w:tcW w:w="9828" w:type="dxa"/>
            <w:gridSpan w:val="3"/>
          </w:tcPr>
          <w:p w:rsidR="00D85068" w:rsidRDefault="0091565C">
            <w:pPr>
              <w:pStyle w:val="Heading2"/>
              <w:spacing w:before="60" w:after="60"/>
              <w:jc w:val="center"/>
            </w:pPr>
            <w:r>
              <w:rPr>
                <w:i/>
                <w:sz w:val="24"/>
              </w:rPr>
              <w:t>Definitions</w:t>
            </w:r>
          </w:p>
        </w:tc>
      </w:tr>
      <w:tr w:rsidR="00D85068">
        <w:tblPrEx>
          <w:tblCellMar>
            <w:left w:w="107" w:type="dxa"/>
            <w:right w:w="107" w:type="dxa"/>
          </w:tblCellMar>
        </w:tblPrEx>
        <w:tc>
          <w:tcPr>
            <w:tcW w:w="4519" w:type="dxa"/>
          </w:tcPr>
          <w:p w:rsidR="00D85068" w:rsidRDefault="00D85068">
            <w:pPr>
              <w:pStyle w:val="FrontPage"/>
            </w:pPr>
          </w:p>
        </w:tc>
        <w:tc>
          <w:tcPr>
            <w:tcW w:w="811" w:type="dxa"/>
          </w:tcPr>
          <w:p w:rsidR="00D85068" w:rsidRDefault="00D85068">
            <w:pPr>
              <w:pStyle w:val="FrontPage"/>
            </w:pPr>
          </w:p>
        </w:tc>
        <w:tc>
          <w:tcPr>
            <w:tcW w:w="4497" w:type="dxa"/>
          </w:tcPr>
          <w:p w:rsidR="00D85068" w:rsidRDefault="00D85068">
            <w:pPr>
              <w:pStyle w:val="FrontPage"/>
            </w:pPr>
          </w:p>
        </w:tc>
      </w:tr>
    </w:tbl>
    <w:p w:rsidR="00D85068" w:rsidRDefault="00D85068">
      <w:pPr>
        <w:pStyle w:val="FrontPage"/>
      </w:pPr>
    </w:p>
    <w:p w:rsidR="00D85068" w:rsidRDefault="00D85068">
      <w:pPr>
        <w:rPr>
          <w:b/>
          <w:sz w:val="24"/>
        </w:rPr>
      </w:pPr>
    </w:p>
    <w:p w:rsidR="00D85068" w:rsidRDefault="00D85068">
      <w:pPr>
        <w:rPr>
          <w:b/>
          <w:sz w:val="24"/>
        </w:rPr>
      </w:pPr>
    </w:p>
    <w:tbl>
      <w:tblPr>
        <w:tblW w:w="9828" w:type="dxa"/>
        <w:tblLayout w:type="fixed"/>
        <w:tblLook w:val="0000" w:firstRow="0" w:lastRow="0" w:firstColumn="0" w:lastColumn="0" w:noHBand="0" w:noVBand="0"/>
      </w:tblPr>
      <w:tblGrid>
        <w:gridCol w:w="4498"/>
        <w:gridCol w:w="5330"/>
      </w:tblGrid>
      <w:tr w:rsidR="00D85068" w:rsidTr="001847D1">
        <w:tc>
          <w:tcPr>
            <w:tcW w:w="9828" w:type="dxa"/>
            <w:gridSpan w:val="2"/>
          </w:tcPr>
          <w:p w:rsidR="00D85068" w:rsidRDefault="0091565C">
            <w:pPr>
              <w:pStyle w:val="Heading2"/>
              <w:spacing w:before="60" w:after="60"/>
              <w:jc w:val="center"/>
            </w:pPr>
            <w:r>
              <w:rPr>
                <w:i/>
                <w:sz w:val="24"/>
              </w:rPr>
              <w:t>Applicable Documents</w:t>
            </w:r>
          </w:p>
        </w:tc>
      </w:tr>
      <w:tr w:rsidR="001847D1" w:rsidTr="001847D1">
        <w:tblPrEx>
          <w:tblCellMar>
            <w:left w:w="107" w:type="dxa"/>
            <w:right w:w="107" w:type="dxa"/>
          </w:tblCellMar>
        </w:tblPrEx>
        <w:trPr>
          <w:gridAfter w:val="1"/>
          <w:wAfter w:w="5330" w:type="dxa"/>
        </w:trPr>
        <w:tc>
          <w:tcPr>
            <w:tcW w:w="4498" w:type="dxa"/>
          </w:tcPr>
          <w:p w:rsidR="001847D1" w:rsidRDefault="001847D1">
            <w:pPr>
              <w:pStyle w:val="FrontPage"/>
            </w:pPr>
          </w:p>
        </w:tc>
      </w:tr>
    </w:tbl>
    <w:p w:rsidR="003D7B52" w:rsidRDefault="003D7B52">
      <w:pPr>
        <w:ind w:left="-180"/>
      </w:pPr>
    </w:p>
    <w:p w:rsidR="003D7B52" w:rsidRDefault="003D7B52">
      <w:pPr>
        <w:ind w:left="-180"/>
      </w:pPr>
    </w:p>
    <w:p w:rsidR="003D7B52" w:rsidRDefault="003D7B52">
      <w:pPr>
        <w:ind w:left="-180"/>
      </w:pPr>
    </w:p>
    <w:p w:rsidR="003D7B52" w:rsidRDefault="003D7B52">
      <w:pPr>
        <w:ind w:left="-180"/>
      </w:pPr>
    </w:p>
    <w:p w:rsidR="003D7B52" w:rsidRDefault="003D7B52">
      <w:pPr>
        <w:ind w:left="-180"/>
      </w:pPr>
    </w:p>
    <w:p w:rsidR="003D7B52" w:rsidRDefault="003D7B52">
      <w:pPr>
        <w:ind w:left="-180"/>
      </w:pPr>
    </w:p>
    <w:p w:rsidR="003D7B52" w:rsidRDefault="003D7B52">
      <w:pPr>
        <w:ind w:left="-180"/>
      </w:pPr>
    </w:p>
    <w:p w:rsidR="003D7B52" w:rsidRDefault="003D7B52">
      <w:pPr>
        <w:ind w:left="-180"/>
      </w:pPr>
    </w:p>
    <w:p w:rsidR="003D7B52" w:rsidRDefault="003D7B52">
      <w:pPr>
        <w:ind w:left="-180"/>
      </w:pPr>
    </w:p>
    <w:p w:rsidR="003D7B52" w:rsidRDefault="003D7B52">
      <w:pPr>
        <w:ind w:left="-180"/>
      </w:pPr>
    </w:p>
    <w:p w:rsidR="003D7B52" w:rsidRDefault="003D7B52">
      <w:pPr>
        <w:ind w:left="-180"/>
      </w:pPr>
    </w:p>
    <w:p w:rsidR="003D7B52" w:rsidRDefault="003D7B52">
      <w:pPr>
        <w:ind w:left="-180"/>
      </w:pPr>
    </w:p>
    <w:p w:rsidR="003D7B52" w:rsidRDefault="003D7B52">
      <w:pPr>
        <w:ind w:left="-180"/>
      </w:pPr>
    </w:p>
    <w:p w:rsidR="00D85068" w:rsidRDefault="0091565C">
      <w:pPr>
        <w:ind w:left="-180"/>
      </w:pPr>
      <w:r>
        <w:br w:type="page"/>
      </w:r>
    </w:p>
    <w:p w:rsidR="00D85068" w:rsidRDefault="00D85068">
      <w:pPr>
        <w:ind w:left="-180"/>
      </w:pPr>
    </w:p>
    <w:p w:rsidR="00D85068" w:rsidRDefault="0091565C">
      <w:pPr>
        <w:ind w:left="-180"/>
      </w:pPr>
      <w:r>
        <w:rPr>
          <w:b/>
          <w:sz w:val="24"/>
        </w:rPr>
        <w:t>Requirements</w:t>
      </w:r>
      <w:r>
        <w:rPr>
          <w:sz w:val="24"/>
        </w:rPr>
        <w:t xml:space="preserve"> </w:t>
      </w:r>
    </w:p>
    <w:p w:rsidR="00D85068" w:rsidRDefault="00D85068">
      <w:pPr>
        <w:ind w:left="-180"/>
      </w:pPr>
    </w:p>
    <w:p w:rsidR="00D85068" w:rsidRDefault="00D85068">
      <w:pPr>
        <w:ind w:left="-180"/>
      </w:pPr>
    </w:p>
    <w:p w:rsidR="001847D1" w:rsidRPr="00CE7CD1" w:rsidRDefault="001847D1" w:rsidP="001847D1">
      <w:pPr>
        <w:jc w:val="both"/>
        <w:outlineLvl w:val="0"/>
        <w:rPr>
          <w:rFonts w:cs="Arial"/>
          <w:b/>
          <w:color w:val="000000"/>
        </w:rPr>
      </w:pPr>
      <w:r w:rsidRPr="00CE7CD1">
        <w:rPr>
          <w:rFonts w:cs="Arial"/>
          <w:b/>
          <w:color w:val="000000"/>
        </w:rPr>
        <w:t>Simulation centre requirements</w:t>
      </w:r>
    </w:p>
    <w:p w:rsidR="001847D1" w:rsidRPr="00CE7CD1" w:rsidRDefault="001847D1" w:rsidP="001847D1">
      <w:pPr>
        <w:jc w:val="both"/>
        <w:outlineLvl w:val="0"/>
        <w:rPr>
          <w:rFonts w:cs="Arial"/>
          <w:color w:val="000000"/>
        </w:rPr>
      </w:pPr>
    </w:p>
    <w:p w:rsidR="001847D1" w:rsidRPr="00CE7CD1" w:rsidRDefault="001847D1" w:rsidP="001847D1">
      <w:pPr>
        <w:contextualSpacing/>
        <w:jc w:val="both"/>
        <w:outlineLvl w:val="0"/>
        <w:rPr>
          <w:rFonts w:cs="Arial"/>
          <w:color w:val="000000"/>
        </w:rPr>
      </w:pPr>
      <w:r w:rsidRPr="00CE7CD1">
        <w:rPr>
          <w:rFonts w:cs="Arial"/>
          <w:color w:val="000000"/>
        </w:rPr>
        <w:t>A locally based CLOD (or Regional-CLOD), who is currently or has previously been part of the sim course faculty. The RCLOD/CLOD must be associated with the SIM Centre and act as local course leader.</w:t>
      </w:r>
    </w:p>
    <w:p w:rsidR="001847D1" w:rsidRPr="00CE7CD1" w:rsidRDefault="001847D1" w:rsidP="001847D1">
      <w:pPr>
        <w:contextualSpacing/>
        <w:jc w:val="both"/>
        <w:outlineLvl w:val="0"/>
        <w:rPr>
          <w:rFonts w:cs="Arial"/>
          <w:color w:val="000000"/>
        </w:rPr>
      </w:pPr>
    </w:p>
    <w:p w:rsidR="001847D1" w:rsidRPr="00CE7CD1" w:rsidRDefault="001847D1" w:rsidP="001847D1">
      <w:pPr>
        <w:widowControl w:val="0"/>
        <w:autoSpaceDE w:val="0"/>
        <w:autoSpaceDN w:val="0"/>
        <w:adjustRightInd w:val="0"/>
        <w:contextualSpacing/>
        <w:jc w:val="both"/>
        <w:outlineLvl w:val="0"/>
        <w:rPr>
          <w:rFonts w:eastAsia="Arial" w:cs="Arial"/>
          <w:bCs/>
          <w:color w:val="1A1A1A"/>
        </w:rPr>
      </w:pPr>
      <w:r w:rsidRPr="00CE7CD1">
        <w:rPr>
          <w:rFonts w:eastAsia="Arial" w:cs="Arial"/>
          <w:bCs/>
          <w:color w:val="1A1A1A"/>
        </w:rPr>
        <w:t>Able to provide an 07:30 opening time and to ensure all rooms are ready and working for a punctual 08:30 start.  Access to the sim suite should be available during the afternoon of day 1, with setup being led by NHSBT faculty with the assistance of the local centre staff.</w:t>
      </w:r>
    </w:p>
    <w:p w:rsidR="001847D1" w:rsidRPr="00CE7CD1" w:rsidRDefault="001847D1" w:rsidP="001847D1">
      <w:pPr>
        <w:widowControl w:val="0"/>
        <w:autoSpaceDE w:val="0"/>
        <w:autoSpaceDN w:val="0"/>
        <w:adjustRightInd w:val="0"/>
        <w:contextualSpacing/>
        <w:jc w:val="both"/>
        <w:outlineLvl w:val="0"/>
        <w:rPr>
          <w:rFonts w:eastAsia="Arial" w:cs="Arial"/>
          <w:bCs/>
          <w:color w:val="1A1A1A"/>
        </w:rPr>
      </w:pPr>
    </w:p>
    <w:p w:rsidR="001847D1" w:rsidRPr="00CE7CD1" w:rsidRDefault="001847D1" w:rsidP="001847D1">
      <w:pPr>
        <w:widowControl w:val="0"/>
        <w:autoSpaceDE w:val="0"/>
        <w:autoSpaceDN w:val="0"/>
        <w:adjustRightInd w:val="0"/>
        <w:contextualSpacing/>
        <w:jc w:val="both"/>
        <w:outlineLvl w:val="0"/>
        <w:rPr>
          <w:rFonts w:eastAsia="Arial" w:cs="Arial"/>
          <w:bCs/>
          <w:color w:val="1A1A1A"/>
        </w:rPr>
      </w:pPr>
      <w:r w:rsidRPr="00CE7CD1">
        <w:rPr>
          <w:rFonts w:eastAsia="Arial" w:cs="Arial"/>
          <w:bCs/>
          <w:color w:val="1A1A1A"/>
        </w:rPr>
        <w:t>Provision of a lunchtime meal and tea and coffee during the morning and afternoon breaks catering up to 40 delegates/faculty.</w:t>
      </w:r>
    </w:p>
    <w:p w:rsidR="001847D1" w:rsidRPr="00CE7CD1" w:rsidRDefault="001847D1" w:rsidP="001847D1">
      <w:pPr>
        <w:jc w:val="both"/>
        <w:rPr>
          <w:rFonts w:cs="Arial"/>
        </w:rPr>
      </w:pPr>
    </w:p>
    <w:p w:rsidR="001847D1" w:rsidRPr="00CE7CD1" w:rsidRDefault="001847D1" w:rsidP="001847D1">
      <w:pPr>
        <w:widowControl w:val="0"/>
        <w:autoSpaceDE w:val="0"/>
        <w:autoSpaceDN w:val="0"/>
        <w:adjustRightInd w:val="0"/>
        <w:contextualSpacing/>
        <w:jc w:val="both"/>
        <w:outlineLvl w:val="0"/>
        <w:rPr>
          <w:rFonts w:eastAsia="Arial" w:cs="Arial"/>
          <w:bCs/>
          <w:color w:val="1A1A1A"/>
        </w:rPr>
      </w:pPr>
      <w:r w:rsidRPr="00CE7CD1">
        <w:rPr>
          <w:rFonts w:eastAsia="Arial" w:cs="Arial"/>
          <w:bCs/>
          <w:color w:val="1A1A1A"/>
        </w:rPr>
        <w:t>Equipment / resources</w:t>
      </w:r>
    </w:p>
    <w:p w:rsidR="001847D1" w:rsidRPr="00CE7CD1" w:rsidRDefault="001847D1" w:rsidP="001847D1">
      <w:pPr>
        <w:widowControl w:val="0"/>
        <w:autoSpaceDE w:val="0"/>
        <w:autoSpaceDN w:val="0"/>
        <w:adjustRightInd w:val="0"/>
        <w:contextualSpacing/>
        <w:jc w:val="both"/>
        <w:outlineLvl w:val="0"/>
        <w:rPr>
          <w:rFonts w:eastAsia="Arial" w:cs="Arial"/>
          <w:bCs/>
          <w:color w:val="1A1A1A"/>
        </w:rPr>
      </w:pPr>
    </w:p>
    <w:p w:rsidR="001847D1" w:rsidRPr="00CE7CD1" w:rsidRDefault="001847D1" w:rsidP="001847D1">
      <w:pPr>
        <w:widowControl w:val="0"/>
        <w:autoSpaceDE w:val="0"/>
        <w:autoSpaceDN w:val="0"/>
        <w:adjustRightInd w:val="0"/>
        <w:contextualSpacing/>
        <w:jc w:val="both"/>
        <w:outlineLvl w:val="0"/>
        <w:rPr>
          <w:rFonts w:eastAsia="Arial" w:cs="Arial"/>
          <w:bCs/>
          <w:color w:val="1A1A1A"/>
        </w:rPr>
      </w:pPr>
      <w:r w:rsidRPr="00CE7CD1">
        <w:rPr>
          <w:rFonts w:eastAsia="Arial" w:cs="Arial"/>
          <w:bCs/>
          <w:color w:val="1A1A1A"/>
        </w:rPr>
        <w:t>8 separate rooms to incorporate</w:t>
      </w:r>
    </w:p>
    <w:p w:rsidR="001847D1" w:rsidRPr="00CE7CD1" w:rsidRDefault="001847D1" w:rsidP="001847D1">
      <w:pPr>
        <w:widowControl w:val="0"/>
        <w:autoSpaceDE w:val="0"/>
        <w:autoSpaceDN w:val="0"/>
        <w:adjustRightInd w:val="0"/>
        <w:contextualSpacing/>
        <w:jc w:val="both"/>
        <w:outlineLvl w:val="0"/>
        <w:rPr>
          <w:rFonts w:eastAsia="Arial" w:cs="Arial"/>
          <w:bCs/>
          <w:color w:val="1A1A1A"/>
        </w:rPr>
      </w:pPr>
    </w:p>
    <w:p w:rsidR="001847D1" w:rsidRPr="00CE7CD1" w:rsidRDefault="001847D1" w:rsidP="001847D1">
      <w:pPr>
        <w:widowControl w:val="0"/>
        <w:numPr>
          <w:ilvl w:val="1"/>
          <w:numId w:val="2"/>
        </w:numPr>
        <w:autoSpaceDE w:val="0"/>
        <w:autoSpaceDN w:val="0"/>
        <w:adjustRightInd w:val="0"/>
        <w:contextualSpacing/>
        <w:jc w:val="both"/>
        <w:outlineLvl w:val="0"/>
        <w:rPr>
          <w:rFonts w:eastAsia="Arial" w:cs="Arial"/>
          <w:color w:val="1A1A1A"/>
        </w:rPr>
      </w:pPr>
      <w:r w:rsidRPr="00CE7CD1">
        <w:rPr>
          <w:rFonts w:eastAsia="Arial" w:cs="Arial"/>
          <w:color w:val="1A1A1A"/>
        </w:rPr>
        <w:t>1 High fidelity simulation mannequin with an ICU mechanical ventilator and all associated consumables and technician for donor optimisation workshop</w:t>
      </w:r>
    </w:p>
    <w:p w:rsidR="001847D1" w:rsidRPr="00CE7CD1" w:rsidRDefault="001847D1" w:rsidP="001847D1">
      <w:pPr>
        <w:widowControl w:val="0"/>
        <w:numPr>
          <w:ilvl w:val="1"/>
          <w:numId w:val="2"/>
        </w:numPr>
        <w:autoSpaceDE w:val="0"/>
        <w:autoSpaceDN w:val="0"/>
        <w:adjustRightInd w:val="0"/>
        <w:contextualSpacing/>
        <w:jc w:val="both"/>
        <w:rPr>
          <w:rFonts w:eastAsia="Arial" w:cs="Arial"/>
          <w:color w:val="1A1A1A"/>
        </w:rPr>
      </w:pPr>
      <w:r w:rsidRPr="00CE7CD1">
        <w:rPr>
          <w:rFonts w:eastAsia="Arial" w:cs="Arial"/>
          <w:color w:val="1A1A1A"/>
        </w:rPr>
        <w:t>1 ‘standard intubating’ simulation mannequin (+/- an ICU mechanical ventilator) and all associated consumables for diagnosing death using neurological criteria workshop, with necessary brainstem testing equipment</w:t>
      </w:r>
    </w:p>
    <w:p w:rsidR="001847D1" w:rsidRPr="00CE7CD1" w:rsidRDefault="001847D1" w:rsidP="001847D1">
      <w:pPr>
        <w:widowControl w:val="0"/>
        <w:numPr>
          <w:ilvl w:val="1"/>
          <w:numId w:val="2"/>
        </w:numPr>
        <w:autoSpaceDE w:val="0"/>
        <w:autoSpaceDN w:val="0"/>
        <w:adjustRightInd w:val="0"/>
        <w:contextualSpacing/>
        <w:jc w:val="both"/>
        <w:rPr>
          <w:rFonts w:eastAsia="Arial" w:cs="Arial"/>
          <w:color w:val="1A1A1A"/>
        </w:rPr>
      </w:pPr>
      <w:r w:rsidRPr="00CE7CD1">
        <w:rPr>
          <w:rFonts w:eastAsia="Arial" w:cs="Arial"/>
          <w:color w:val="1A1A1A"/>
        </w:rPr>
        <w:t>1 High fidelity simulation mannequin, an ICU mechanical ventilator and all associated consumables and technician where realistic physiological responses to withdrawal of life sustaining treatment can be simulated, ideally with an anaesthetic machine.</w:t>
      </w:r>
    </w:p>
    <w:p w:rsidR="001847D1" w:rsidRPr="00CE7CD1" w:rsidRDefault="001847D1" w:rsidP="001847D1">
      <w:pPr>
        <w:widowControl w:val="0"/>
        <w:numPr>
          <w:ilvl w:val="1"/>
          <w:numId w:val="2"/>
        </w:numPr>
        <w:autoSpaceDE w:val="0"/>
        <w:autoSpaceDN w:val="0"/>
        <w:adjustRightInd w:val="0"/>
        <w:contextualSpacing/>
        <w:jc w:val="both"/>
        <w:rPr>
          <w:rFonts w:eastAsia="Arial" w:cs="Arial"/>
          <w:color w:val="1A1A1A"/>
        </w:rPr>
      </w:pPr>
      <w:r w:rsidRPr="00CE7CD1">
        <w:rPr>
          <w:rFonts w:eastAsia="Arial" w:cs="Arial"/>
          <w:color w:val="1A1A1A"/>
        </w:rPr>
        <w:t>3 communication rooms set up for 4 participants and 3 observers with Wi-Fi to play a short video</w:t>
      </w:r>
    </w:p>
    <w:p w:rsidR="001847D1" w:rsidRPr="00CE7CD1" w:rsidRDefault="001847D1" w:rsidP="001847D1">
      <w:pPr>
        <w:widowControl w:val="0"/>
        <w:numPr>
          <w:ilvl w:val="1"/>
          <w:numId w:val="2"/>
        </w:numPr>
        <w:autoSpaceDE w:val="0"/>
        <w:autoSpaceDN w:val="0"/>
        <w:adjustRightInd w:val="0"/>
        <w:contextualSpacing/>
        <w:jc w:val="both"/>
        <w:rPr>
          <w:rFonts w:eastAsia="Arial" w:cs="Arial"/>
          <w:color w:val="1A1A1A"/>
        </w:rPr>
      </w:pPr>
      <w:r w:rsidRPr="00CE7CD1">
        <w:rPr>
          <w:rFonts w:eastAsia="Arial" w:cs="Arial"/>
          <w:color w:val="1A1A1A"/>
        </w:rPr>
        <w:t>1 tutorial / participant room with flip charts and PowerPoint to accommodate up to 40 people</w:t>
      </w:r>
    </w:p>
    <w:p w:rsidR="001847D1" w:rsidRPr="00CE7CD1" w:rsidRDefault="001847D1" w:rsidP="001847D1">
      <w:pPr>
        <w:widowControl w:val="0"/>
        <w:numPr>
          <w:ilvl w:val="1"/>
          <w:numId w:val="2"/>
        </w:numPr>
        <w:autoSpaceDE w:val="0"/>
        <w:autoSpaceDN w:val="0"/>
        <w:adjustRightInd w:val="0"/>
        <w:contextualSpacing/>
        <w:jc w:val="both"/>
        <w:rPr>
          <w:rFonts w:eastAsia="Arial" w:cs="Arial"/>
          <w:color w:val="1A1A1A"/>
        </w:rPr>
      </w:pPr>
      <w:r w:rsidRPr="00CE7CD1">
        <w:rPr>
          <w:rFonts w:eastAsia="Arial" w:cs="Arial"/>
          <w:color w:val="1A1A1A"/>
        </w:rPr>
        <w:t>1 faculty room</w:t>
      </w:r>
    </w:p>
    <w:p w:rsidR="001847D1" w:rsidRPr="00CE7CD1" w:rsidRDefault="001847D1" w:rsidP="001847D1">
      <w:pPr>
        <w:ind w:left="2160"/>
        <w:jc w:val="both"/>
        <w:rPr>
          <w:rFonts w:cs="Arial"/>
          <w:color w:val="000000"/>
        </w:rPr>
      </w:pPr>
    </w:p>
    <w:p w:rsidR="001847D1" w:rsidRPr="00CE7CD1" w:rsidRDefault="00A102CD" w:rsidP="001847D1">
      <w:pPr>
        <w:jc w:val="both"/>
        <w:rPr>
          <w:rFonts w:cs="Arial"/>
        </w:rPr>
      </w:pPr>
      <w:r>
        <w:rPr>
          <w:rFonts w:cs="Arial"/>
        </w:rPr>
        <w:t>S</w:t>
      </w:r>
      <w:r w:rsidR="001847D1" w:rsidRPr="00CE7CD1">
        <w:rPr>
          <w:rFonts w:cs="Arial"/>
        </w:rPr>
        <w:t>imulation suite equipment and resources must be fully functioning and fit for purpose.</w:t>
      </w:r>
    </w:p>
    <w:p w:rsidR="001847D1" w:rsidRPr="00CE7CD1" w:rsidRDefault="001847D1" w:rsidP="001847D1">
      <w:pPr>
        <w:jc w:val="both"/>
        <w:rPr>
          <w:rFonts w:cs="Arial"/>
        </w:rPr>
      </w:pPr>
    </w:p>
    <w:p w:rsidR="001847D1" w:rsidRPr="00CE7CD1" w:rsidRDefault="001847D1" w:rsidP="001847D1">
      <w:pPr>
        <w:jc w:val="both"/>
        <w:rPr>
          <w:rFonts w:cs="Arial"/>
          <w:color w:val="000000"/>
        </w:rPr>
      </w:pPr>
      <w:r w:rsidRPr="00CE7CD1">
        <w:rPr>
          <w:rFonts w:cs="Arial"/>
          <w:color w:val="000000"/>
        </w:rPr>
        <w:t>Simulation suite must be affiliated to a medical school, university or acute NHS hospital trust and have uninterrupted Wi-Fi access throughout the entire centre</w:t>
      </w:r>
    </w:p>
    <w:p w:rsidR="001847D1" w:rsidRPr="00CE7CD1" w:rsidRDefault="001847D1" w:rsidP="001847D1">
      <w:pPr>
        <w:jc w:val="both"/>
        <w:rPr>
          <w:rFonts w:cs="Arial"/>
          <w:color w:val="000000"/>
        </w:rPr>
      </w:pPr>
    </w:p>
    <w:p w:rsidR="001847D1" w:rsidRPr="00CE7CD1" w:rsidRDefault="001847D1" w:rsidP="001847D1">
      <w:pPr>
        <w:jc w:val="both"/>
        <w:rPr>
          <w:rFonts w:cs="Arial"/>
          <w:color w:val="000000"/>
        </w:rPr>
      </w:pPr>
      <w:r w:rsidRPr="00CE7CD1">
        <w:rPr>
          <w:rFonts w:cs="Arial"/>
          <w:color w:val="000000"/>
        </w:rPr>
        <w:t>Provision of an additional break out room with computer, and telephone would be desirable.</w:t>
      </w:r>
    </w:p>
    <w:p w:rsidR="001847D1" w:rsidRPr="00CE7CD1" w:rsidRDefault="001847D1" w:rsidP="001847D1">
      <w:pPr>
        <w:jc w:val="both"/>
        <w:rPr>
          <w:rFonts w:cs="Arial"/>
          <w:color w:val="000000"/>
        </w:rPr>
      </w:pPr>
    </w:p>
    <w:p w:rsidR="001847D1" w:rsidRPr="00CE7CD1" w:rsidRDefault="001847D1" w:rsidP="001847D1">
      <w:pPr>
        <w:jc w:val="both"/>
        <w:rPr>
          <w:rFonts w:cs="Arial"/>
          <w:color w:val="000000"/>
        </w:rPr>
      </w:pPr>
      <w:r w:rsidRPr="00CE7CD1">
        <w:rPr>
          <w:rFonts w:cs="Arial"/>
          <w:color w:val="000000"/>
        </w:rPr>
        <w:t>Simulation staff should work in collaboration with NHSBT staff to resolve any issues or concerns relating to the running of the course.</w:t>
      </w:r>
    </w:p>
    <w:p w:rsidR="001847D1" w:rsidRPr="00CE7CD1" w:rsidRDefault="001847D1" w:rsidP="001847D1">
      <w:pPr>
        <w:jc w:val="both"/>
        <w:rPr>
          <w:rFonts w:cs="Arial"/>
          <w:color w:val="000000"/>
        </w:rPr>
      </w:pPr>
    </w:p>
    <w:p w:rsidR="001847D1" w:rsidRPr="00CE7CD1" w:rsidRDefault="001847D1" w:rsidP="001847D1">
      <w:pPr>
        <w:jc w:val="both"/>
        <w:rPr>
          <w:rFonts w:cs="Arial"/>
          <w:color w:val="000000"/>
        </w:rPr>
      </w:pPr>
      <w:r w:rsidRPr="00CE7CD1">
        <w:rPr>
          <w:rFonts w:cs="Arial"/>
          <w:color w:val="000000"/>
        </w:rPr>
        <w:t>Bidders should have designated administrative support to ensure successful running of the courses to include organisation of catering.</w:t>
      </w:r>
    </w:p>
    <w:p w:rsidR="001847D1" w:rsidRPr="00CE7CD1" w:rsidRDefault="001847D1" w:rsidP="001847D1">
      <w:pPr>
        <w:jc w:val="both"/>
        <w:rPr>
          <w:rFonts w:cs="Arial"/>
          <w:color w:val="000000"/>
        </w:rPr>
      </w:pPr>
    </w:p>
    <w:p w:rsidR="001847D1" w:rsidRPr="00CE7CD1" w:rsidRDefault="001847D1" w:rsidP="001847D1">
      <w:pPr>
        <w:jc w:val="both"/>
        <w:rPr>
          <w:rFonts w:cs="Arial"/>
          <w:color w:val="000000"/>
        </w:rPr>
      </w:pPr>
      <w:r w:rsidRPr="00CE7CD1">
        <w:rPr>
          <w:rFonts w:cs="Arial"/>
          <w:color w:val="000000"/>
        </w:rPr>
        <w:t>Bidders should be responsive to all communication within 2 working days.</w:t>
      </w:r>
    </w:p>
    <w:p w:rsidR="001847D1" w:rsidRPr="00CE7CD1" w:rsidRDefault="001847D1" w:rsidP="001847D1">
      <w:pPr>
        <w:jc w:val="both"/>
        <w:rPr>
          <w:rFonts w:cs="Arial"/>
          <w:color w:val="000000"/>
        </w:rPr>
      </w:pPr>
    </w:p>
    <w:p w:rsidR="001847D1" w:rsidRPr="00CE7CD1" w:rsidRDefault="001847D1" w:rsidP="001847D1">
      <w:pPr>
        <w:jc w:val="both"/>
        <w:rPr>
          <w:rFonts w:cs="Arial"/>
          <w:color w:val="000000"/>
        </w:rPr>
      </w:pPr>
      <w:r w:rsidRPr="00CE7CD1">
        <w:rPr>
          <w:rFonts w:cs="Arial"/>
          <w:color w:val="000000"/>
        </w:rPr>
        <w:t>Bidders will hold public liability insurance to a minimum value of £10 million to cover both NHSBT and non-NHSBT employees (evidence of this will be required throughout the process).</w:t>
      </w:r>
    </w:p>
    <w:p w:rsidR="001847D1" w:rsidRPr="00CE7CD1" w:rsidRDefault="001847D1" w:rsidP="001847D1">
      <w:pPr>
        <w:jc w:val="both"/>
        <w:rPr>
          <w:rFonts w:cs="Arial"/>
          <w:color w:val="000000"/>
        </w:rPr>
      </w:pPr>
    </w:p>
    <w:p w:rsidR="001847D1" w:rsidRDefault="001847D1" w:rsidP="001847D1">
      <w:pPr>
        <w:jc w:val="both"/>
        <w:rPr>
          <w:rFonts w:cs="Arial"/>
          <w:color w:val="000000"/>
        </w:rPr>
      </w:pPr>
      <w:r w:rsidRPr="00CE7CD1">
        <w:rPr>
          <w:rFonts w:cs="Arial"/>
          <w:color w:val="000000"/>
        </w:rPr>
        <w:t>Bidders will have ability to organise and book actors for the communication scenarios. (No more than 6)</w:t>
      </w:r>
    </w:p>
    <w:p w:rsidR="003D7B52" w:rsidRDefault="003D7B52" w:rsidP="001847D1">
      <w:pPr>
        <w:jc w:val="both"/>
        <w:rPr>
          <w:rFonts w:cs="Arial"/>
          <w:color w:val="000000"/>
        </w:rPr>
      </w:pPr>
    </w:p>
    <w:p w:rsidR="003D7B52" w:rsidRDefault="003D7B52" w:rsidP="001847D1">
      <w:pPr>
        <w:jc w:val="both"/>
        <w:rPr>
          <w:rFonts w:cs="Arial"/>
          <w:color w:val="000000"/>
        </w:rPr>
      </w:pPr>
    </w:p>
    <w:p w:rsidR="003D7B52" w:rsidRPr="00CE7CD1" w:rsidRDefault="003D7B52" w:rsidP="001847D1">
      <w:pPr>
        <w:jc w:val="both"/>
        <w:rPr>
          <w:rFonts w:cs="Arial"/>
          <w:color w:val="000000"/>
        </w:rPr>
      </w:pPr>
    </w:p>
    <w:p w:rsidR="001847D1" w:rsidRPr="00CE7CD1" w:rsidRDefault="001847D1" w:rsidP="001847D1">
      <w:pPr>
        <w:jc w:val="both"/>
        <w:outlineLvl w:val="0"/>
        <w:rPr>
          <w:rFonts w:cs="Arial"/>
          <w:color w:val="000000"/>
        </w:rPr>
      </w:pPr>
    </w:p>
    <w:p w:rsidR="001847D1" w:rsidRPr="00CE7CD1" w:rsidRDefault="001847D1" w:rsidP="001847D1">
      <w:pPr>
        <w:jc w:val="both"/>
        <w:outlineLvl w:val="0"/>
        <w:rPr>
          <w:rFonts w:cs="Arial"/>
          <w:b/>
        </w:rPr>
      </w:pPr>
      <w:r w:rsidRPr="00CE7CD1">
        <w:rPr>
          <w:rFonts w:cs="Arial"/>
          <w:b/>
        </w:rPr>
        <w:lastRenderedPageBreak/>
        <w:t>Medical Deceased Donation Simulation Course Content:</w:t>
      </w:r>
    </w:p>
    <w:p w:rsidR="001847D1" w:rsidRPr="00CE7CD1" w:rsidRDefault="001847D1" w:rsidP="001847D1">
      <w:pPr>
        <w:jc w:val="both"/>
        <w:outlineLvl w:val="0"/>
        <w:rPr>
          <w:rFonts w:cs="Arial"/>
        </w:rPr>
      </w:pPr>
    </w:p>
    <w:p w:rsidR="001847D1" w:rsidRPr="00CE7CD1" w:rsidRDefault="001847D1" w:rsidP="001847D1">
      <w:pPr>
        <w:jc w:val="both"/>
        <w:outlineLvl w:val="0"/>
        <w:rPr>
          <w:rFonts w:cs="Arial"/>
          <w:color w:val="000000"/>
        </w:rPr>
      </w:pPr>
      <w:r w:rsidRPr="00CE7CD1">
        <w:rPr>
          <w:rFonts w:cs="Arial"/>
        </w:rPr>
        <w:t>O</w:t>
      </w:r>
      <w:r w:rsidRPr="00CE7CD1">
        <w:rPr>
          <w:rFonts w:cs="Arial"/>
          <w:color w:val="000000"/>
        </w:rPr>
        <w:t>verall Learning Objectives:</w:t>
      </w:r>
    </w:p>
    <w:p w:rsidR="001847D1" w:rsidRPr="00CE7CD1" w:rsidRDefault="001847D1" w:rsidP="001847D1">
      <w:pPr>
        <w:jc w:val="both"/>
        <w:outlineLvl w:val="0"/>
        <w:rPr>
          <w:rFonts w:cs="Arial"/>
          <w:color w:val="000000"/>
        </w:rPr>
      </w:pPr>
    </w:p>
    <w:p w:rsidR="001847D1" w:rsidRPr="00CE7CD1" w:rsidRDefault="001847D1" w:rsidP="001847D1">
      <w:pPr>
        <w:jc w:val="both"/>
        <w:outlineLvl w:val="0"/>
        <w:rPr>
          <w:rFonts w:cs="Arial"/>
          <w:color w:val="000000"/>
        </w:rPr>
      </w:pPr>
      <w:r w:rsidRPr="00CE7CD1">
        <w:rPr>
          <w:rFonts w:cs="Arial"/>
          <w:color w:val="000000"/>
        </w:rPr>
        <w:t>Intensive care medicine trainees will:</w:t>
      </w:r>
    </w:p>
    <w:p w:rsidR="001847D1" w:rsidRPr="00CE7CD1" w:rsidRDefault="001847D1" w:rsidP="001847D1">
      <w:pPr>
        <w:numPr>
          <w:ilvl w:val="0"/>
          <w:numId w:val="1"/>
        </w:numPr>
        <w:jc w:val="both"/>
        <w:outlineLvl w:val="0"/>
        <w:rPr>
          <w:rFonts w:cs="Arial"/>
          <w:color w:val="000000"/>
        </w:rPr>
      </w:pPr>
      <w:r w:rsidRPr="00CE7CD1">
        <w:rPr>
          <w:rFonts w:cs="Arial"/>
          <w:color w:val="000000"/>
        </w:rPr>
        <w:t xml:space="preserve">Gain an appreciation of the benefits deceased organ donation can bring to bereaved ICU families and to transplant recipients. </w:t>
      </w:r>
    </w:p>
    <w:p w:rsidR="001847D1" w:rsidRPr="00CE7CD1" w:rsidRDefault="001847D1" w:rsidP="001847D1">
      <w:pPr>
        <w:numPr>
          <w:ilvl w:val="0"/>
          <w:numId w:val="1"/>
        </w:numPr>
        <w:jc w:val="both"/>
        <w:outlineLvl w:val="0"/>
        <w:rPr>
          <w:rFonts w:cs="Arial"/>
          <w:color w:val="000000"/>
        </w:rPr>
      </w:pPr>
      <w:r w:rsidRPr="00CE7CD1">
        <w:rPr>
          <w:rFonts w:cs="Arial"/>
          <w:color w:val="000000"/>
        </w:rPr>
        <w:t xml:space="preserve">Gain knowledge and skills in diagnosing death and organ donation. </w:t>
      </w:r>
    </w:p>
    <w:p w:rsidR="001847D1" w:rsidRPr="00CE7CD1" w:rsidRDefault="001847D1" w:rsidP="001847D1">
      <w:pPr>
        <w:numPr>
          <w:ilvl w:val="0"/>
          <w:numId w:val="1"/>
        </w:numPr>
        <w:jc w:val="both"/>
        <w:outlineLvl w:val="0"/>
        <w:rPr>
          <w:rFonts w:cs="Arial"/>
          <w:color w:val="000000"/>
        </w:rPr>
      </w:pPr>
      <w:r w:rsidRPr="00CE7CD1">
        <w:rPr>
          <w:rFonts w:cs="Arial"/>
          <w:color w:val="000000"/>
        </w:rPr>
        <w:t xml:space="preserve">To improve communication skills around breaking bad news and organ donation. </w:t>
      </w:r>
    </w:p>
    <w:p w:rsidR="001847D1" w:rsidRPr="00CE7CD1" w:rsidRDefault="001847D1" w:rsidP="001847D1">
      <w:pPr>
        <w:numPr>
          <w:ilvl w:val="0"/>
          <w:numId w:val="1"/>
        </w:numPr>
        <w:jc w:val="both"/>
        <w:outlineLvl w:val="0"/>
        <w:rPr>
          <w:rFonts w:cs="Arial"/>
          <w:color w:val="000000"/>
        </w:rPr>
      </w:pPr>
      <w:r w:rsidRPr="00CE7CD1">
        <w:rPr>
          <w:rFonts w:cs="Arial"/>
          <w:color w:val="000000"/>
        </w:rPr>
        <w:t xml:space="preserve">Develop capacity to make informed ethical and legal choices in the context of deceased organ donation.  </w:t>
      </w:r>
    </w:p>
    <w:p w:rsidR="001847D1" w:rsidRPr="00CE7CD1" w:rsidRDefault="001847D1" w:rsidP="001847D1">
      <w:pPr>
        <w:numPr>
          <w:ilvl w:val="0"/>
          <w:numId w:val="1"/>
        </w:numPr>
        <w:spacing w:after="160" w:line="259" w:lineRule="auto"/>
        <w:jc w:val="both"/>
        <w:outlineLvl w:val="0"/>
        <w:rPr>
          <w:rFonts w:cs="Arial"/>
          <w:color w:val="000000"/>
        </w:rPr>
      </w:pPr>
      <w:r w:rsidRPr="00CE7CD1">
        <w:rPr>
          <w:rFonts w:cs="Arial"/>
          <w:color w:val="000000"/>
        </w:rPr>
        <w:t>Develop ability to work productively with others, particularly the Specialist Nurses in Organ Donation</w:t>
      </w:r>
    </w:p>
    <w:p w:rsidR="001847D1" w:rsidRPr="00CE7CD1" w:rsidRDefault="001847D1" w:rsidP="001847D1">
      <w:pPr>
        <w:ind w:left="360"/>
        <w:jc w:val="both"/>
        <w:outlineLvl w:val="0"/>
        <w:rPr>
          <w:rFonts w:cs="Arial"/>
          <w:b/>
          <w:color w:val="000000"/>
        </w:rPr>
      </w:pPr>
    </w:p>
    <w:p w:rsidR="001847D1" w:rsidRPr="00CE7CD1" w:rsidRDefault="001847D1" w:rsidP="001847D1">
      <w:pPr>
        <w:jc w:val="both"/>
        <w:outlineLvl w:val="0"/>
        <w:rPr>
          <w:rFonts w:cs="Arial"/>
          <w:b/>
          <w:color w:val="000000"/>
        </w:rPr>
      </w:pPr>
      <w:r w:rsidRPr="00CE7CD1">
        <w:rPr>
          <w:rFonts w:cs="Arial"/>
          <w:b/>
          <w:color w:val="000000"/>
        </w:rPr>
        <w:t xml:space="preserve">Course Outline: </w:t>
      </w:r>
    </w:p>
    <w:p w:rsidR="001847D1" w:rsidRPr="00CE7CD1" w:rsidRDefault="001847D1" w:rsidP="001847D1">
      <w:pPr>
        <w:jc w:val="both"/>
        <w:outlineLvl w:val="0"/>
        <w:rPr>
          <w:rFonts w:cs="Arial"/>
          <w:color w:val="000000"/>
        </w:rPr>
      </w:pPr>
    </w:p>
    <w:p w:rsidR="001847D1" w:rsidRPr="00CE7CD1" w:rsidRDefault="001847D1" w:rsidP="001847D1">
      <w:pPr>
        <w:jc w:val="both"/>
        <w:outlineLvl w:val="0"/>
        <w:rPr>
          <w:rFonts w:cs="Arial"/>
          <w:color w:val="000000"/>
        </w:rPr>
      </w:pPr>
      <w:r w:rsidRPr="00CE7CD1">
        <w:rPr>
          <w:rFonts w:cs="Arial"/>
          <w:color w:val="000000"/>
        </w:rPr>
        <w:t xml:space="preserve">The Intensive Care (ICM) Medicine Deceased Donation Course is designed for two days. To provide maximum impact and learning the course is intended for 18 ST5+ (Registrar level) ICM clinicians. </w:t>
      </w:r>
    </w:p>
    <w:p w:rsidR="001847D1" w:rsidRPr="00CE7CD1" w:rsidRDefault="001847D1" w:rsidP="001847D1">
      <w:pPr>
        <w:jc w:val="both"/>
        <w:outlineLvl w:val="0"/>
        <w:rPr>
          <w:rFonts w:cs="Arial"/>
          <w:color w:val="000000"/>
        </w:rPr>
      </w:pPr>
    </w:p>
    <w:p w:rsidR="001847D1" w:rsidRPr="00CE7CD1" w:rsidRDefault="001847D1" w:rsidP="001847D1">
      <w:pPr>
        <w:jc w:val="both"/>
        <w:outlineLvl w:val="0"/>
        <w:rPr>
          <w:rFonts w:cs="Arial"/>
          <w:i/>
          <w:color w:val="000000"/>
        </w:rPr>
      </w:pPr>
      <w:r w:rsidRPr="00CE7CD1">
        <w:rPr>
          <w:rFonts w:cs="Arial"/>
          <w:i/>
          <w:color w:val="000000"/>
        </w:rPr>
        <w:t>Day 1 is lecture based (10:00-18:00hrs). (This is usually held at an external venue and it is not intended the simulation centre provide this facility.)</w:t>
      </w:r>
    </w:p>
    <w:p w:rsidR="001847D1" w:rsidRPr="00CE7CD1" w:rsidRDefault="001847D1" w:rsidP="001847D1">
      <w:pPr>
        <w:jc w:val="both"/>
        <w:outlineLvl w:val="0"/>
        <w:rPr>
          <w:rFonts w:cs="Arial"/>
          <w:color w:val="000000"/>
        </w:rPr>
      </w:pPr>
    </w:p>
    <w:p w:rsidR="001847D1" w:rsidRPr="00CE7CD1" w:rsidRDefault="001847D1" w:rsidP="001847D1">
      <w:pPr>
        <w:jc w:val="both"/>
        <w:outlineLvl w:val="0"/>
        <w:rPr>
          <w:rFonts w:cs="Arial"/>
          <w:color w:val="000000"/>
        </w:rPr>
      </w:pPr>
      <w:r w:rsidRPr="00CE7CD1">
        <w:rPr>
          <w:rFonts w:cs="Arial"/>
          <w:color w:val="000000"/>
        </w:rPr>
        <w:t xml:space="preserve">Day 2 (08:00-17:00hrs) consists of 6 workshops and two tutorials in a high-fidelity simulation training suite. Multi-disciplinary collaboration is encouraged, and this day is augmented by an additional 6 intensive care nurses. Together with National Education Clinical Lead Organ Donation (NE – CLOD) Clinical Leads Organ Donation (CLOD) Professional Development Specialists (PDS) and Specialist Nurses Organ Donation (SNOD) faculty (provided by NHSBT), observers and actors, a combined group of 40 people is typical. </w:t>
      </w:r>
    </w:p>
    <w:p w:rsidR="001847D1" w:rsidRPr="00CE7CD1" w:rsidRDefault="001847D1" w:rsidP="001847D1">
      <w:pPr>
        <w:widowControl w:val="0"/>
        <w:autoSpaceDE w:val="0"/>
        <w:autoSpaceDN w:val="0"/>
        <w:adjustRightInd w:val="0"/>
        <w:jc w:val="both"/>
        <w:outlineLvl w:val="0"/>
        <w:rPr>
          <w:rFonts w:eastAsia="Arial" w:cs="Arial"/>
          <w:b/>
          <w:bCs/>
          <w:color w:val="1A1A1A"/>
        </w:rPr>
      </w:pPr>
    </w:p>
    <w:p w:rsidR="001847D1" w:rsidRPr="00CE7CD1" w:rsidRDefault="001847D1" w:rsidP="001847D1">
      <w:pPr>
        <w:widowControl w:val="0"/>
        <w:autoSpaceDE w:val="0"/>
        <w:autoSpaceDN w:val="0"/>
        <w:adjustRightInd w:val="0"/>
        <w:jc w:val="both"/>
        <w:outlineLvl w:val="0"/>
        <w:rPr>
          <w:rFonts w:eastAsia="Arial" w:cs="Arial"/>
          <w:b/>
          <w:bCs/>
          <w:color w:val="1A1A1A"/>
        </w:rPr>
      </w:pPr>
      <w:r w:rsidRPr="00CE7CD1">
        <w:rPr>
          <w:rFonts w:eastAsia="Arial" w:cs="Arial"/>
          <w:b/>
          <w:bCs/>
          <w:color w:val="1A1A1A"/>
        </w:rPr>
        <w:t>Course Content:</w:t>
      </w:r>
    </w:p>
    <w:p w:rsidR="001847D1" w:rsidRPr="00CE7CD1" w:rsidRDefault="001847D1" w:rsidP="001847D1">
      <w:pPr>
        <w:widowControl w:val="0"/>
        <w:autoSpaceDE w:val="0"/>
        <w:autoSpaceDN w:val="0"/>
        <w:adjustRightInd w:val="0"/>
        <w:jc w:val="both"/>
        <w:outlineLvl w:val="0"/>
        <w:rPr>
          <w:rFonts w:eastAsia="Arial" w:cs="Arial"/>
          <w:bCs/>
          <w:color w:val="1A1A1A"/>
        </w:rPr>
      </w:pPr>
    </w:p>
    <w:p w:rsidR="001847D1" w:rsidRPr="00CE7CD1" w:rsidRDefault="001847D1" w:rsidP="001847D1">
      <w:pPr>
        <w:widowControl w:val="0"/>
        <w:autoSpaceDE w:val="0"/>
        <w:autoSpaceDN w:val="0"/>
        <w:adjustRightInd w:val="0"/>
        <w:jc w:val="both"/>
        <w:outlineLvl w:val="0"/>
        <w:rPr>
          <w:rFonts w:eastAsia="Arial" w:cs="Arial"/>
          <w:bCs/>
          <w:color w:val="1A1A1A"/>
        </w:rPr>
      </w:pPr>
      <w:r w:rsidRPr="00CE7CD1">
        <w:rPr>
          <w:rFonts w:eastAsia="Arial" w:cs="Arial"/>
          <w:bCs/>
          <w:color w:val="1A1A1A"/>
        </w:rPr>
        <w:t>A series of 6 workshops + 2 tutorials = 8 sessions (45 minutes each)</w:t>
      </w:r>
    </w:p>
    <w:p w:rsidR="001847D1" w:rsidRPr="00CE7CD1" w:rsidRDefault="001847D1" w:rsidP="001847D1">
      <w:pPr>
        <w:widowControl w:val="0"/>
        <w:autoSpaceDE w:val="0"/>
        <w:autoSpaceDN w:val="0"/>
        <w:adjustRightInd w:val="0"/>
        <w:ind w:left="720"/>
        <w:contextualSpacing/>
        <w:jc w:val="both"/>
        <w:rPr>
          <w:rFonts w:eastAsia="Arial" w:cs="Arial"/>
          <w:color w:val="1A1A1A"/>
        </w:rPr>
      </w:pPr>
      <w:r w:rsidRPr="00CE7CD1">
        <w:rPr>
          <w:rFonts w:eastAsia="Arial" w:cs="Arial"/>
          <w:color w:val="1A1A1A"/>
        </w:rPr>
        <w:t>3 communication workshops (each ICM participant will perform in one and observe two)</w:t>
      </w:r>
    </w:p>
    <w:p w:rsidR="001847D1" w:rsidRPr="00CE7CD1" w:rsidRDefault="001847D1" w:rsidP="001847D1">
      <w:pPr>
        <w:widowControl w:val="0"/>
        <w:autoSpaceDE w:val="0"/>
        <w:autoSpaceDN w:val="0"/>
        <w:adjustRightInd w:val="0"/>
        <w:ind w:left="720"/>
        <w:contextualSpacing/>
        <w:jc w:val="both"/>
        <w:rPr>
          <w:rFonts w:eastAsia="Arial" w:cs="Arial"/>
          <w:color w:val="1A1A1A"/>
        </w:rPr>
      </w:pPr>
      <w:r w:rsidRPr="00CE7CD1">
        <w:rPr>
          <w:rFonts w:eastAsia="Arial" w:cs="Arial"/>
          <w:color w:val="1A1A1A"/>
        </w:rPr>
        <w:t>1 confirming death using neurological criteria (brain stem death testing) workshop</w:t>
      </w:r>
    </w:p>
    <w:p w:rsidR="001847D1" w:rsidRPr="00CE7CD1" w:rsidRDefault="001847D1" w:rsidP="001847D1">
      <w:pPr>
        <w:widowControl w:val="0"/>
        <w:autoSpaceDE w:val="0"/>
        <w:autoSpaceDN w:val="0"/>
        <w:adjustRightInd w:val="0"/>
        <w:ind w:left="720"/>
        <w:contextualSpacing/>
        <w:jc w:val="both"/>
        <w:rPr>
          <w:rFonts w:eastAsia="Arial" w:cs="Arial"/>
          <w:color w:val="1A1A1A"/>
        </w:rPr>
      </w:pPr>
      <w:r w:rsidRPr="00CE7CD1">
        <w:rPr>
          <w:rFonts w:eastAsia="Arial" w:cs="Arial"/>
          <w:color w:val="1A1A1A"/>
        </w:rPr>
        <w:t>1 withdrawal of life sustaining treatment workshop, diagnosis of death following cardiorespiratory arrest and optimisation for lung Donation following Circulatory Death (DCD)</w:t>
      </w:r>
    </w:p>
    <w:p w:rsidR="001847D1" w:rsidRPr="00CE7CD1" w:rsidRDefault="001847D1" w:rsidP="001847D1">
      <w:pPr>
        <w:widowControl w:val="0"/>
        <w:autoSpaceDE w:val="0"/>
        <w:autoSpaceDN w:val="0"/>
        <w:adjustRightInd w:val="0"/>
        <w:ind w:left="720"/>
        <w:contextualSpacing/>
        <w:jc w:val="both"/>
        <w:rPr>
          <w:rFonts w:eastAsia="Arial" w:cs="Arial"/>
          <w:color w:val="1A1A1A"/>
        </w:rPr>
      </w:pPr>
      <w:r w:rsidRPr="00CE7CD1">
        <w:rPr>
          <w:rFonts w:eastAsia="Arial" w:cs="Arial"/>
          <w:color w:val="1A1A1A"/>
        </w:rPr>
        <w:t>1 donor optimisation workshop</w:t>
      </w:r>
    </w:p>
    <w:p w:rsidR="001847D1" w:rsidRDefault="001847D1" w:rsidP="001847D1">
      <w:pPr>
        <w:widowControl w:val="0"/>
        <w:autoSpaceDE w:val="0"/>
        <w:autoSpaceDN w:val="0"/>
        <w:adjustRightInd w:val="0"/>
        <w:ind w:left="720"/>
        <w:contextualSpacing/>
        <w:jc w:val="both"/>
        <w:rPr>
          <w:rFonts w:eastAsia="Arial" w:cs="Arial"/>
          <w:color w:val="1A1A1A"/>
        </w:rPr>
      </w:pPr>
      <w:r w:rsidRPr="00CE7CD1">
        <w:rPr>
          <w:rFonts w:eastAsia="Arial" w:cs="Arial"/>
          <w:color w:val="1A1A1A"/>
        </w:rPr>
        <w:t>2 tutorials (one ethical issue in organ donation, one pitfalls in brainstem death testing)</w:t>
      </w:r>
    </w:p>
    <w:p w:rsidR="003D7B52" w:rsidRDefault="003D7B52" w:rsidP="001847D1">
      <w:pPr>
        <w:widowControl w:val="0"/>
        <w:autoSpaceDE w:val="0"/>
        <w:autoSpaceDN w:val="0"/>
        <w:adjustRightInd w:val="0"/>
        <w:ind w:left="720"/>
        <w:contextualSpacing/>
        <w:jc w:val="both"/>
        <w:rPr>
          <w:rFonts w:eastAsia="Arial" w:cs="Arial"/>
          <w:color w:val="1A1A1A"/>
        </w:rPr>
      </w:pPr>
    </w:p>
    <w:p w:rsidR="003D7B52" w:rsidRDefault="003D7B52" w:rsidP="001847D1">
      <w:pPr>
        <w:widowControl w:val="0"/>
        <w:autoSpaceDE w:val="0"/>
        <w:autoSpaceDN w:val="0"/>
        <w:adjustRightInd w:val="0"/>
        <w:ind w:left="720"/>
        <w:contextualSpacing/>
        <w:jc w:val="both"/>
        <w:rPr>
          <w:rFonts w:eastAsia="Arial" w:cs="Arial"/>
          <w:color w:val="1A1A1A"/>
        </w:rPr>
      </w:pPr>
    </w:p>
    <w:p w:rsidR="003D7B52" w:rsidRDefault="003D7B52" w:rsidP="001847D1">
      <w:pPr>
        <w:widowControl w:val="0"/>
        <w:autoSpaceDE w:val="0"/>
        <w:autoSpaceDN w:val="0"/>
        <w:adjustRightInd w:val="0"/>
        <w:ind w:left="720"/>
        <w:contextualSpacing/>
        <w:jc w:val="both"/>
        <w:rPr>
          <w:rFonts w:eastAsia="Arial" w:cs="Arial"/>
          <w:color w:val="1A1A1A"/>
        </w:rPr>
      </w:pPr>
    </w:p>
    <w:p w:rsidR="003D7B52" w:rsidRDefault="003D7B52" w:rsidP="001847D1">
      <w:pPr>
        <w:widowControl w:val="0"/>
        <w:autoSpaceDE w:val="0"/>
        <w:autoSpaceDN w:val="0"/>
        <w:adjustRightInd w:val="0"/>
        <w:ind w:left="720"/>
        <w:contextualSpacing/>
        <w:jc w:val="both"/>
        <w:rPr>
          <w:rFonts w:eastAsia="Arial" w:cs="Arial"/>
          <w:color w:val="1A1A1A"/>
        </w:rPr>
      </w:pPr>
    </w:p>
    <w:p w:rsidR="003D7B52" w:rsidRDefault="003D7B52" w:rsidP="001847D1">
      <w:pPr>
        <w:widowControl w:val="0"/>
        <w:autoSpaceDE w:val="0"/>
        <w:autoSpaceDN w:val="0"/>
        <w:adjustRightInd w:val="0"/>
        <w:ind w:left="720"/>
        <w:contextualSpacing/>
        <w:jc w:val="both"/>
        <w:rPr>
          <w:rFonts w:eastAsia="Arial" w:cs="Arial"/>
          <w:color w:val="1A1A1A"/>
        </w:rPr>
      </w:pPr>
    </w:p>
    <w:p w:rsidR="003D7B52" w:rsidRDefault="003D7B52" w:rsidP="001847D1">
      <w:pPr>
        <w:widowControl w:val="0"/>
        <w:autoSpaceDE w:val="0"/>
        <w:autoSpaceDN w:val="0"/>
        <w:adjustRightInd w:val="0"/>
        <w:ind w:left="720"/>
        <w:contextualSpacing/>
        <w:jc w:val="both"/>
        <w:rPr>
          <w:rFonts w:eastAsia="Arial" w:cs="Arial"/>
          <w:color w:val="1A1A1A"/>
        </w:rPr>
      </w:pPr>
    </w:p>
    <w:p w:rsidR="003D7B52" w:rsidRDefault="003D7B52" w:rsidP="001847D1">
      <w:pPr>
        <w:widowControl w:val="0"/>
        <w:autoSpaceDE w:val="0"/>
        <w:autoSpaceDN w:val="0"/>
        <w:adjustRightInd w:val="0"/>
        <w:ind w:left="720"/>
        <w:contextualSpacing/>
        <w:jc w:val="both"/>
        <w:rPr>
          <w:rFonts w:eastAsia="Arial" w:cs="Arial"/>
          <w:color w:val="1A1A1A"/>
        </w:rPr>
      </w:pPr>
    </w:p>
    <w:p w:rsidR="003D7B52" w:rsidRDefault="003D7B52" w:rsidP="001847D1">
      <w:pPr>
        <w:widowControl w:val="0"/>
        <w:autoSpaceDE w:val="0"/>
        <w:autoSpaceDN w:val="0"/>
        <w:adjustRightInd w:val="0"/>
        <w:ind w:left="720"/>
        <w:contextualSpacing/>
        <w:jc w:val="both"/>
        <w:rPr>
          <w:rFonts w:eastAsia="Arial" w:cs="Arial"/>
          <w:color w:val="1A1A1A"/>
        </w:rPr>
      </w:pPr>
    </w:p>
    <w:p w:rsidR="003D7B52" w:rsidRDefault="003D7B52" w:rsidP="001847D1">
      <w:pPr>
        <w:widowControl w:val="0"/>
        <w:autoSpaceDE w:val="0"/>
        <w:autoSpaceDN w:val="0"/>
        <w:adjustRightInd w:val="0"/>
        <w:ind w:left="720"/>
        <w:contextualSpacing/>
        <w:jc w:val="both"/>
        <w:rPr>
          <w:rFonts w:eastAsia="Arial" w:cs="Arial"/>
          <w:color w:val="1A1A1A"/>
        </w:rPr>
      </w:pPr>
    </w:p>
    <w:p w:rsidR="003D7B52" w:rsidRDefault="003D7B52" w:rsidP="001847D1">
      <w:pPr>
        <w:widowControl w:val="0"/>
        <w:autoSpaceDE w:val="0"/>
        <w:autoSpaceDN w:val="0"/>
        <w:adjustRightInd w:val="0"/>
        <w:ind w:left="720"/>
        <w:contextualSpacing/>
        <w:jc w:val="both"/>
        <w:rPr>
          <w:rFonts w:eastAsia="Arial" w:cs="Arial"/>
          <w:color w:val="1A1A1A"/>
        </w:rPr>
      </w:pPr>
    </w:p>
    <w:p w:rsidR="003D7B52" w:rsidRDefault="003D7B52" w:rsidP="001847D1">
      <w:pPr>
        <w:widowControl w:val="0"/>
        <w:autoSpaceDE w:val="0"/>
        <w:autoSpaceDN w:val="0"/>
        <w:adjustRightInd w:val="0"/>
        <w:ind w:left="720"/>
        <w:contextualSpacing/>
        <w:jc w:val="both"/>
        <w:rPr>
          <w:rFonts w:eastAsia="Arial" w:cs="Arial"/>
          <w:color w:val="1A1A1A"/>
        </w:rPr>
      </w:pPr>
    </w:p>
    <w:p w:rsidR="003D7B52" w:rsidRDefault="003D7B52" w:rsidP="001847D1">
      <w:pPr>
        <w:widowControl w:val="0"/>
        <w:autoSpaceDE w:val="0"/>
        <w:autoSpaceDN w:val="0"/>
        <w:adjustRightInd w:val="0"/>
        <w:ind w:left="720"/>
        <w:contextualSpacing/>
        <w:jc w:val="both"/>
        <w:rPr>
          <w:rFonts w:eastAsia="Arial" w:cs="Arial"/>
          <w:color w:val="1A1A1A"/>
        </w:rPr>
      </w:pPr>
    </w:p>
    <w:p w:rsidR="003D7B52" w:rsidRDefault="003D7B52" w:rsidP="001847D1">
      <w:pPr>
        <w:widowControl w:val="0"/>
        <w:autoSpaceDE w:val="0"/>
        <w:autoSpaceDN w:val="0"/>
        <w:adjustRightInd w:val="0"/>
        <w:ind w:left="720"/>
        <w:contextualSpacing/>
        <w:jc w:val="both"/>
        <w:rPr>
          <w:rFonts w:eastAsia="Arial" w:cs="Arial"/>
          <w:color w:val="1A1A1A"/>
        </w:rPr>
      </w:pPr>
    </w:p>
    <w:p w:rsidR="003D7B52" w:rsidRDefault="003D7B52" w:rsidP="001847D1">
      <w:pPr>
        <w:widowControl w:val="0"/>
        <w:autoSpaceDE w:val="0"/>
        <w:autoSpaceDN w:val="0"/>
        <w:adjustRightInd w:val="0"/>
        <w:ind w:left="720"/>
        <w:contextualSpacing/>
        <w:jc w:val="both"/>
        <w:rPr>
          <w:rFonts w:eastAsia="Arial" w:cs="Arial"/>
          <w:color w:val="1A1A1A"/>
        </w:rPr>
      </w:pPr>
    </w:p>
    <w:p w:rsidR="003D7B52" w:rsidRDefault="003D7B52" w:rsidP="001847D1">
      <w:pPr>
        <w:widowControl w:val="0"/>
        <w:autoSpaceDE w:val="0"/>
        <w:autoSpaceDN w:val="0"/>
        <w:adjustRightInd w:val="0"/>
        <w:ind w:left="720"/>
        <w:contextualSpacing/>
        <w:jc w:val="both"/>
        <w:rPr>
          <w:rFonts w:eastAsia="Arial" w:cs="Arial"/>
          <w:color w:val="1A1A1A"/>
        </w:rPr>
      </w:pPr>
    </w:p>
    <w:p w:rsidR="003D7B52" w:rsidRDefault="003D7B52" w:rsidP="001847D1">
      <w:pPr>
        <w:widowControl w:val="0"/>
        <w:autoSpaceDE w:val="0"/>
        <w:autoSpaceDN w:val="0"/>
        <w:adjustRightInd w:val="0"/>
        <w:ind w:left="720"/>
        <w:contextualSpacing/>
        <w:jc w:val="both"/>
        <w:rPr>
          <w:rFonts w:eastAsia="Arial" w:cs="Arial"/>
          <w:color w:val="1A1A1A"/>
        </w:rPr>
      </w:pPr>
    </w:p>
    <w:p w:rsidR="003D7B52" w:rsidRDefault="003D7B52" w:rsidP="001847D1">
      <w:pPr>
        <w:widowControl w:val="0"/>
        <w:autoSpaceDE w:val="0"/>
        <w:autoSpaceDN w:val="0"/>
        <w:adjustRightInd w:val="0"/>
        <w:ind w:left="720"/>
        <w:contextualSpacing/>
        <w:jc w:val="both"/>
        <w:rPr>
          <w:rFonts w:eastAsia="Arial" w:cs="Arial"/>
          <w:color w:val="1A1A1A"/>
        </w:rPr>
      </w:pPr>
    </w:p>
    <w:p w:rsidR="003D7B52" w:rsidRDefault="003D7B52" w:rsidP="001847D1">
      <w:pPr>
        <w:widowControl w:val="0"/>
        <w:autoSpaceDE w:val="0"/>
        <w:autoSpaceDN w:val="0"/>
        <w:adjustRightInd w:val="0"/>
        <w:ind w:left="720"/>
        <w:contextualSpacing/>
        <w:jc w:val="both"/>
        <w:rPr>
          <w:rFonts w:eastAsia="Arial" w:cs="Arial"/>
          <w:color w:val="1A1A1A"/>
        </w:rPr>
      </w:pPr>
    </w:p>
    <w:p w:rsidR="003D7B52" w:rsidRPr="00CE7CD1" w:rsidRDefault="003D7B52" w:rsidP="001847D1">
      <w:pPr>
        <w:widowControl w:val="0"/>
        <w:autoSpaceDE w:val="0"/>
        <w:autoSpaceDN w:val="0"/>
        <w:adjustRightInd w:val="0"/>
        <w:ind w:left="720"/>
        <w:contextualSpacing/>
        <w:jc w:val="both"/>
        <w:rPr>
          <w:rFonts w:eastAsia="Arial" w:cs="Arial"/>
          <w:color w:val="1A1A1A"/>
        </w:rPr>
      </w:pPr>
    </w:p>
    <w:p w:rsidR="001847D1" w:rsidRPr="00CE7CD1" w:rsidRDefault="001847D1" w:rsidP="001847D1">
      <w:pPr>
        <w:jc w:val="both"/>
        <w:outlineLvl w:val="0"/>
        <w:rPr>
          <w:rFonts w:cs="Arial"/>
          <w:color w:val="000000"/>
        </w:rPr>
      </w:pPr>
    </w:p>
    <w:p w:rsidR="001847D1" w:rsidRPr="00CE7CD1" w:rsidRDefault="000741EC" w:rsidP="001847D1">
      <w:pPr>
        <w:jc w:val="both"/>
        <w:outlineLvl w:val="0"/>
        <w:rPr>
          <w:rFonts w:cs="Arial"/>
          <w:b/>
          <w:color w:val="000000"/>
          <w:u w:val="single"/>
        </w:rPr>
      </w:pPr>
      <w:r>
        <w:rPr>
          <w:rFonts w:cs="Arial"/>
          <w:b/>
          <w:color w:val="000000"/>
          <w:u w:val="single"/>
        </w:rPr>
        <w:t>Context</w:t>
      </w:r>
    </w:p>
    <w:p w:rsidR="001847D1" w:rsidRPr="00CE7CD1" w:rsidRDefault="001847D1" w:rsidP="001847D1">
      <w:pPr>
        <w:jc w:val="both"/>
        <w:outlineLvl w:val="0"/>
        <w:rPr>
          <w:rFonts w:cs="Arial"/>
          <w:b/>
          <w:color w:val="000000"/>
          <w:u w:val="single"/>
        </w:rPr>
      </w:pPr>
    </w:p>
    <w:p w:rsidR="001847D1" w:rsidRPr="00CE7CD1" w:rsidRDefault="001847D1" w:rsidP="001847D1">
      <w:pPr>
        <w:jc w:val="both"/>
        <w:outlineLvl w:val="0"/>
        <w:rPr>
          <w:rFonts w:cs="Arial"/>
          <w:b/>
          <w:color w:val="000000"/>
          <w:u w:val="single"/>
        </w:rPr>
      </w:pPr>
    </w:p>
    <w:p w:rsidR="001847D1" w:rsidRPr="00CE7CD1" w:rsidRDefault="001847D1" w:rsidP="001847D1">
      <w:pPr>
        <w:jc w:val="both"/>
        <w:outlineLvl w:val="0"/>
        <w:rPr>
          <w:rFonts w:cs="Arial"/>
          <w:color w:val="000000"/>
        </w:rPr>
      </w:pPr>
      <w:r w:rsidRPr="00CE7CD1">
        <w:rPr>
          <w:rFonts w:cs="Arial"/>
          <w:color w:val="000000"/>
        </w:rPr>
        <w:t>On 16 January 2008, all four UK Health Ministers accepted the recommendations of the Organ Donation Taskforce report (ODTF) to improve organ donor rates.  One of the recommendations was for ‘All clinical staff likely to be involved in the treatment of potential organ donors should receive mandatory training in the principles of donation. There should also be regular update training.’ This requires further work to achieve the ‘Taking Organ Donation To 2020’ strategy aiming for 26 donors per million population, 74 transplants per million population and a consent/authorisation rate above 80%. NHSBT strongly agrees that education feeds into all these targets.</w:t>
      </w:r>
    </w:p>
    <w:p w:rsidR="001847D1" w:rsidRPr="00CE7CD1" w:rsidRDefault="001847D1" w:rsidP="001847D1">
      <w:pPr>
        <w:jc w:val="both"/>
        <w:outlineLvl w:val="0"/>
        <w:rPr>
          <w:rFonts w:cs="Arial"/>
          <w:color w:val="000000"/>
        </w:rPr>
      </w:pPr>
      <w:r w:rsidRPr="00CE7CD1">
        <w:rPr>
          <w:rFonts w:cs="Arial"/>
          <w:color w:val="000000"/>
        </w:rPr>
        <w:t>Organ Donation and Transplant Directorate (ODT</w:t>
      </w:r>
      <w:r w:rsidRPr="00CE7CD1">
        <w:rPr>
          <w:rFonts w:cs="Arial"/>
          <w:b/>
          <w:color w:val="000000"/>
        </w:rPr>
        <w:t>)</w:t>
      </w:r>
      <w:r w:rsidRPr="00CE7CD1">
        <w:rPr>
          <w:rFonts w:cs="Arial"/>
          <w:color w:val="000000"/>
        </w:rPr>
        <w:t xml:space="preserve"> employs 250 Specialist Nurses - Organ Donation (SNOD) and around 25 Specialist Requesters/Donor Family Carers across 12 regional teams and has an additional 240 Clinical Leads for Organ Donation (CLOD) who are senior doctors with dedicated time to lead improvements in organ donation within their local hospital. A key initiative to improve organ donation in the UK is to increase knowledge, skills and attitudes to organ donation in hospital</w:t>
      </w:r>
      <w:r w:rsidR="003F6F41">
        <w:rPr>
          <w:rFonts w:cs="Arial"/>
          <w:color w:val="000000"/>
        </w:rPr>
        <w:t>,</w:t>
      </w:r>
      <w:bookmarkStart w:id="0" w:name="_GoBack"/>
      <w:bookmarkEnd w:id="0"/>
      <w:r w:rsidRPr="00CE7CD1">
        <w:rPr>
          <w:rFonts w:cs="Arial"/>
          <w:color w:val="000000"/>
        </w:rPr>
        <w:t xml:space="preserve"> doctors working in intensive care medicine and emergency medicine. </w:t>
      </w:r>
    </w:p>
    <w:p w:rsidR="001847D1" w:rsidRPr="00CE7CD1" w:rsidRDefault="001847D1" w:rsidP="001847D1">
      <w:pPr>
        <w:jc w:val="both"/>
        <w:outlineLvl w:val="0"/>
        <w:rPr>
          <w:rFonts w:cs="Arial"/>
          <w:color w:val="000000"/>
        </w:rPr>
      </w:pPr>
    </w:p>
    <w:p w:rsidR="001847D1" w:rsidRPr="00CE7CD1" w:rsidRDefault="001847D1" w:rsidP="001847D1">
      <w:pPr>
        <w:jc w:val="both"/>
        <w:outlineLvl w:val="0"/>
        <w:rPr>
          <w:rFonts w:cs="Arial"/>
          <w:color w:val="000000"/>
        </w:rPr>
      </w:pPr>
      <w:r w:rsidRPr="00CE7CD1">
        <w:rPr>
          <w:rFonts w:cs="Arial"/>
          <w:color w:val="000000"/>
        </w:rPr>
        <w:t xml:space="preserve">NHSBT regards collaboration between the Specialist Nurses Organ Donation (SNODs) and Medical practitioners within the Critical Care area a vital component in gaining consent to donation. Since development of this training collaboration rates have increased from 57.9% in 2016/17 to 62.5% </w:t>
      </w:r>
      <w:proofErr w:type="spellStart"/>
      <w:r w:rsidRPr="00CE7CD1">
        <w:rPr>
          <w:rFonts w:cs="Arial"/>
          <w:color w:val="000000"/>
        </w:rPr>
        <w:t>ytd</w:t>
      </w:r>
      <w:proofErr w:type="spellEnd"/>
      <w:r w:rsidRPr="00CE7CD1">
        <w:rPr>
          <w:rFonts w:cs="Arial"/>
          <w:color w:val="000000"/>
        </w:rPr>
        <w:t xml:space="preserve"> 2018/19</w:t>
      </w:r>
    </w:p>
    <w:p w:rsidR="001847D1" w:rsidRPr="00CE7CD1" w:rsidRDefault="001847D1" w:rsidP="001847D1">
      <w:pPr>
        <w:jc w:val="both"/>
        <w:outlineLvl w:val="0"/>
        <w:rPr>
          <w:rFonts w:cs="Arial"/>
          <w:b/>
          <w:color w:val="000000"/>
          <w:u w:val="single"/>
        </w:rPr>
      </w:pPr>
      <w:r w:rsidRPr="00CE7CD1">
        <w:rPr>
          <w:rFonts w:cs="Arial"/>
        </w:rPr>
        <w:t>NHSBT is committed to the principle of equality and diversity throughout all aspects of our organisation. Our Dignity at Work Policy, people and Nursing Strategies demonstrate a clear commitment to equality of opportunity and valuing diversity and recognises the importance of embedding equality diversity and inclusion in the services we offer. We are also committed to the fair treatment of all employees irrespective of their age, race, ethnic or national origin, gender, sexual orientation, religious beliefs, disability, pregnancy, hours of work, civil partnership or marriage. NHSBT requires that any Bidder shares this commitment by offering equality of opportunity in relation to the services they provide and ensures that their employees are treated equally and operate in a non-discriminatory environment.</w:t>
      </w:r>
    </w:p>
    <w:p w:rsidR="001847D1" w:rsidRPr="00CE7CD1" w:rsidRDefault="001847D1" w:rsidP="001847D1">
      <w:pPr>
        <w:jc w:val="both"/>
        <w:rPr>
          <w:rFonts w:cs="Arial"/>
        </w:rPr>
      </w:pPr>
      <w:r w:rsidRPr="00CE7CD1">
        <w:rPr>
          <w:rFonts w:cs="Arial"/>
        </w:rPr>
        <w:t>As standard Procurement practice, NHSBT requires that our officers and our Bidders ensure that;</w:t>
      </w:r>
    </w:p>
    <w:p w:rsidR="001847D1" w:rsidRPr="00CE7CD1" w:rsidRDefault="001847D1" w:rsidP="001847D1">
      <w:pPr>
        <w:jc w:val="both"/>
        <w:rPr>
          <w:rFonts w:cs="Arial"/>
        </w:rPr>
      </w:pPr>
      <w:r w:rsidRPr="00CE7CD1">
        <w:rPr>
          <w:rFonts w:cs="Arial"/>
        </w:rPr>
        <w:t xml:space="preserve"> </w:t>
      </w:r>
    </w:p>
    <w:p w:rsidR="001847D1" w:rsidRPr="00CE7CD1" w:rsidRDefault="001847D1" w:rsidP="001847D1">
      <w:pPr>
        <w:numPr>
          <w:ilvl w:val="0"/>
          <w:numId w:val="3"/>
        </w:numPr>
        <w:jc w:val="both"/>
        <w:rPr>
          <w:rFonts w:cs="Arial"/>
        </w:rPr>
      </w:pPr>
      <w:r w:rsidRPr="00CE7CD1">
        <w:rPr>
          <w:rFonts w:cs="Arial"/>
        </w:rPr>
        <w:t>Equality, Diversity and Inclusion is reflected in all our procurement procedures both generally and particularly in areas of procurement activity which impact most on the community.</w:t>
      </w:r>
    </w:p>
    <w:p w:rsidR="001847D1" w:rsidRPr="00CE7CD1" w:rsidRDefault="001847D1" w:rsidP="001847D1">
      <w:pPr>
        <w:numPr>
          <w:ilvl w:val="0"/>
          <w:numId w:val="3"/>
        </w:numPr>
        <w:jc w:val="both"/>
        <w:rPr>
          <w:rFonts w:cs="Arial"/>
        </w:rPr>
      </w:pPr>
      <w:r w:rsidRPr="00CE7CD1">
        <w:rPr>
          <w:rFonts w:cs="Arial"/>
        </w:rPr>
        <w:t>Our Bidders adhere to the Equality Act 2010 and the rules and regulations regarding equality in procurement.</w:t>
      </w:r>
    </w:p>
    <w:p w:rsidR="001847D1" w:rsidRPr="00CE7CD1" w:rsidRDefault="001847D1" w:rsidP="001847D1">
      <w:pPr>
        <w:numPr>
          <w:ilvl w:val="0"/>
          <w:numId w:val="3"/>
        </w:numPr>
        <w:jc w:val="both"/>
        <w:rPr>
          <w:rFonts w:cs="Arial"/>
        </w:rPr>
      </w:pPr>
      <w:r w:rsidRPr="00CE7CD1">
        <w:rPr>
          <w:rFonts w:cs="Arial"/>
        </w:rPr>
        <w:t>Our Bidders deliver the right goods, works and services for all people that use our products and services.</w:t>
      </w:r>
    </w:p>
    <w:p w:rsidR="001847D1" w:rsidRPr="00CE7CD1" w:rsidRDefault="001847D1" w:rsidP="001847D1">
      <w:pPr>
        <w:numPr>
          <w:ilvl w:val="0"/>
          <w:numId w:val="3"/>
        </w:numPr>
        <w:jc w:val="both"/>
        <w:rPr>
          <w:rFonts w:cs="Arial"/>
        </w:rPr>
      </w:pPr>
      <w:r w:rsidRPr="00CE7CD1">
        <w:rPr>
          <w:rFonts w:cs="Arial"/>
        </w:rPr>
        <w:t>They continually encourage and challenge suppliers and Bidders to promote equality of opportunity beyond the scope of the contract and their minimum legal requirements.</w:t>
      </w:r>
    </w:p>
    <w:p w:rsidR="001847D1" w:rsidRPr="00CE7CD1" w:rsidRDefault="001847D1" w:rsidP="001847D1">
      <w:pPr>
        <w:numPr>
          <w:ilvl w:val="0"/>
          <w:numId w:val="3"/>
        </w:numPr>
        <w:jc w:val="both"/>
        <w:rPr>
          <w:rFonts w:cs="Arial"/>
        </w:rPr>
      </w:pPr>
      <w:r w:rsidRPr="00CE7CD1">
        <w:rPr>
          <w:rFonts w:cs="Arial"/>
        </w:rPr>
        <w:t>NHSBT expects all our Bidders to share our commitment to promotion of equality diversity and inclusion across the protected characteristics namely race, age, gender, religion and belief, sexual orientation, marriage and civil partnerships, disability and transgender community.</w:t>
      </w:r>
    </w:p>
    <w:p w:rsidR="001847D1" w:rsidRPr="00CE7CD1" w:rsidRDefault="001847D1" w:rsidP="001847D1">
      <w:pPr>
        <w:numPr>
          <w:ilvl w:val="0"/>
          <w:numId w:val="3"/>
        </w:numPr>
        <w:jc w:val="both"/>
        <w:rPr>
          <w:rFonts w:cs="Arial"/>
        </w:rPr>
      </w:pPr>
      <w:r w:rsidRPr="00CE7CD1">
        <w:rPr>
          <w:rFonts w:cs="Arial"/>
        </w:rPr>
        <w:t>Failure to comply with/ or demonstrate the requirements as stated above may result in a breach of contract.</w:t>
      </w:r>
    </w:p>
    <w:p w:rsidR="001847D1" w:rsidRPr="00CE7CD1" w:rsidRDefault="001847D1" w:rsidP="001847D1">
      <w:pPr>
        <w:jc w:val="both"/>
        <w:outlineLvl w:val="0"/>
        <w:rPr>
          <w:rFonts w:cs="Arial"/>
          <w:b/>
          <w:color w:val="000000"/>
          <w:u w:val="single"/>
        </w:rPr>
      </w:pPr>
    </w:p>
    <w:p w:rsidR="001847D1" w:rsidRPr="00CE7CD1" w:rsidRDefault="000741EC" w:rsidP="001847D1">
      <w:pPr>
        <w:jc w:val="both"/>
        <w:outlineLvl w:val="0"/>
        <w:rPr>
          <w:rFonts w:cs="Arial"/>
          <w:b/>
          <w:color w:val="000000"/>
          <w:u w:val="single"/>
        </w:rPr>
      </w:pPr>
      <w:r>
        <w:rPr>
          <w:rFonts w:cs="Arial"/>
          <w:b/>
          <w:color w:val="000000"/>
          <w:u w:val="single"/>
        </w:rPr>
        <w:t>Implementation</w:t>
      </w:r>
    </w:p>
    <w:p w:rsidR="001847D1" w:rsidRPr="00CE7CD1" w:rsidRDefault="001847D1" w:rsidP="001847D1">
      <w:pPr>
        <w:jc w:val="both"/>
        <w:outlineLvl w:val="0"/>
        <w:rPr>
          <w:rFonts w:cs="Arial"/>
          <w:b/>
          <w:color w:val="000000"/>
          <w:u w:val="single"/>
        </w:rPr>
      </w:pPr>
    </w:p>
    <w:p w:rsidR="001847D1" w:rsidRDefault="001847D1" w:rsidP="001847D1">
      <w:pPr>
        <w:jc w:val="both"/>
        <w:outlineLvl w:val="0"/>
        <w:rPr>
          <w:rFonts w:cs="Arial"/>
          <w:color w:val="000000"/>
        </w:rPr>
      </w:pPr>
      <w:r w:rsidRPr="00CE7CD1">
        <w:rPr>
          <w:rFonts w:cs="Arial"/>
          <w:color w:val="000000"/>
        </w:rPr>
        <w:t>NHSBT requires simulation centres across the UK to enable delegates to access a course in a geographically favourable location.</w:t>
      </w:r>
    </w:p>
    <w:p w:rsidR="001847D1" w:rsidRPr="00CE7CD1" w:rsidRDefault="001847D1" w:rsidP="001847D1">
      <w:pPr>
        <w:jc w:val="both"/>
        <w:outlineLvl w:val="0"/>
        <w:rPr>
          <w:rFonts w:cs="Arial"/>
          <w:color w:val="000000"/>
        </w:rPr>
      </w:pPr>
    </w:p>
    <w:p w:rsidR="001847D1" w:rsidRDefault="001847D1" w:rsidP="001847D1">
      <w:pPr>
        <w:jc w:val="both"/>
        <w:outlineLvl w:val="0"/>
        <w:rPr>
          <w:rFonts w:cs="Arial"/>
          <w:color w:val="000000"/>
        </w:rPr>
      </w:pPr>
      <w:r w:rsidRPr="00CE7CD1">
        <w:rPr>
          <w:rFonts w:cs="Arial"/>
          <w:color w:val="000000"/>
        </w:rPr>
        <w:t>Courses will be spread throughout the year avoiding peak holiday times of August and latter half of December. NHSBT will aim to book centres 6 to 12 months in advance</w:t>
      </w:r>
      <w:r>
        <w:rPr>
          <w:rFonts w:cs="Arial"/>
          <w:color w:val="000000"/>
        </w:rPr>
        <w:t>.</w:t>
      </w:r>
    </w:p>
    <w:p w:rsidR="001847D1" w:rsidRPr="00CE7CD1" w:rsidRDefault="001847D1" w:rsidP="001847D1">
      <w:pPr>
        <w:jc w:val="both"/>
        <w:outlineLvl w:val="0"/>
        <w:rPr>
          <w:rFonts w:cs="Arial"/>
          <w:color w:val="000000"/>
        </w:rPr>
      </w:pPr>
    </w:p>
    <w:p w:rsidR="001847D1" w:rsidRDefault="001847D1" w:rsidP="001847D1">
      <w:pPr>
        <w:contextualSpacing/>
        <w:jc w:val="both"/>
        <w:outlineLvl w:val="0"/>
        <w:rPr>
          <w:rFonts w:cs="Arial"/>
          <w:color w:val="000000"/>
        </w:rPr>
      </w:pPr>
      <w:r w:rsidRPr="00CE7CD1">
        <w:rPr>
          <w:rFonts w:cs="Arial"/>
          <w:color w:val="000000"/>
        </w:rPr>
        <w:t xml:space="preserve">Collaboration between NHSBT National Education CLOD, simulation faculty and the NHSBT Professional Development Team is essential to provide a safe and conducive learning environment. </w:t>
      </w:r>
    </w:p>
    <w:p w:rsidR="001847D1" w:rsidRDefault="001847D1" w:rsidP="001847D1">
      <w:pPr>
        <w:contextualSpacing/>
        <w:jc w:val="both"/>
        <w:outlineLvl w:val="0"/>
        <w:rPr>
          <w:rFonts w:cs="Arial"/>
          <w:color w:val="000000"/>
        </w:rPr>
      </w:pPr>
    </w:p>
    <w:p w:rsidR="001847D1" w:rsidRPr="00CE7CD1" w:rsidRDefault="001847D1" w:rsidP="001847D1">
      <w:pPr>
        <w:contextualSpacing/>
        <w:jc w:val="both"/>
        <w:outlineLvl w:val="0"/>
        <w:rPr>
          <w:rFonts w:cs="Arial"/>
          <w:color w:val="000000"/>
        </w:rPr>
      </w:pPr>
      <w:r w:rsidRPr="00CE7CD1">
        <w:rPr>
          <w:rFonts w:cs="Arial"/>
          <w:color w:val="000000"/>
        </w:rPr>
        <w:lastRenderedPageBreak/>
        <w:t>A responsible person from the simulation faculty and the local CLOD (or R-CLOD) course leader would be expected to prepare for regular implementation meetings for each course</w:t>
      </w:r>
      <w:r>
        <w:rPr>
          <w:rFonts w:cs="Arial"/>
          <w:color w:val="000000"/>
        </w:rPr>
        <w:t>.</w:t>
      </w:r>
    </w:p>
    <w:p w:rsidR="001847D1" w:rsidRPr="00CE7CD1" w:rsidRDefault="001847D1" w:rsidP="001847D1">
      <w:pPr>
        <w:jc w:val="both"/>
        <w:outlineLvl w:val="0"/>
        <w:rPr>
          <w:rFonts w:cs="Arial"/>
          <w:color w:val="000000"/>
        </w:rPr>
      </w:pPr>
    </w:p>
    <w:p w:rsidR="001847D1" w:rsidRPr="00CE7CD1" w:rsidRDefault="001847D1" w:rsidP="001847D1">
      <w:pPr>
        <w:jc w:val="both"/>
        <w:outlineLvl w:val="0"/>
        <w:rPr>
          <w:rFonts w:cs="Arial"/>
          <w:color w:val="000000"/>
        </w:rPr>
      </w:pPr>
      <w:r w:rsidRPr="00CE7CD1">
        <w:rPr>
          <w:rFonts w:cs="Arial"/>
          <w:color w:val="000000"/>
        </w:rPr>
        <w:t xml:space="preserve">The NHSBT team will be responsible for the logistical running of the day, all debriefing and ongoing evaluation and course development.  </w:t>
      </w:r>
    </w:p>
    <w:p w:rsidR="001847D1" w:rsidRPr="00CE7CD1" w:rsidRDefault="001847D1" w:rsidP="001847D1">
      <w:pPr>
        <w:jc w:val="both"/>
        <w:outlineLvl w:val="0"/>
        <w:rPr>
          <w:rFonts w:cs="Arial"/>
          <w:color w:val="000000"/>
        </w:rPr>
      </w:pPr>
    </w:p>
    <w:p w:rsidR="001847D1" w:rsidRPr="00CE7CD1" w:rsidRDefault="001847D1" w:rsidP="001847D1">
      <w:pPr>
        <w:jc w:val="both"/>
        <w:outlineLvl w:val="0"/>
        <w:rPr>
          <w:rFonts w:cs="Arial"/>
          <w:color w:val="000000"/>
        </w:rPr>
      </w:pPr>
      <w:r w:rsidRPr="00CE7CD1">
        <w:rPr>
          <w:rFonts w:cs="Arial"/>
          <w:color w:val="000000"/>
        </w:rPr>
        <w:t>The bidder must have a contingency plan in place for any shortfall in sim centre staff due to sickness etc.</w:t>
      </w:r>
    </w:p>
    <w:p w:rsidR="001847D1" w:rsidRPr="00CE7CD1" w:rsidRDefault="001847D1" w:rsidP="001847D1">
      <w:pPr>
        <w:jc w:val="both"/>
        <w:outlineLvl w:val="0"/>
        <w:rPr>
          <w:rFonts w:cs="Arial"/>
          <w:color w:val="000000"/>
        </w:rPr>
      </w:pPr>
    </w:p>
    <w:p w:rsidR="001847D1" w:rsidRPr="00CE7CD1" w:rsidRDefault="001847D1" w:rsidP="001847D1">
      <w:pPr>
        <w:jc w:val="both"/>
        <w:outlineLvl w:val="0"/>
        <w:rPr>
          <w:rFonts w:cs="Arial"/>
          <w:color w:val="000000"/>
        </w:rPr>
      </w:pPr>
    </w:p>
    <w:p w:rsidR="001847D1" w:rsidRDefault="001847D1" w:rsidP="001847D1">
      <w:pPr>
        <w:jc w:val="both"/>
        <w:rPr>
          <w:rFonts w:cs="Arial"/>
        </w:rPr>
      </w:pPr>
      <w:r w:rsidRPr="00CE7CD1">
        <w:rPr>
          <w:rFonts w:cs="Arial"/>
        </w:rPr>
        <w:t>Although there is no guarantee of any budget allocation for a centre, the total course budget is £100K over the 4-year term of the contract.</w:t>
      </w:r>
      <w:r>
        <w:rPr>
          <w:rFonts w:cs="Arial"/>
        </w:rPr>
        <w:t xml:space="preserve"> </w:t>
      </w:r>
      <w:r w:rsidRPr="00CE7CD1">
        <w:rPr>
          <w:rFonts w:cs="Arial"/>
        </w:rPr>
        <w:t>This is only an indicative figure, a purchase order for any expenditure will always need to be approved by NHSBT</w:t>
      </w:r>
      <w:r>
        <w:rPr>
          <w:rFonts w:cs="Arial"/>
        </w:rPr>
        <w:t>.</w:t>
      </w:r>
    </w:p>
    <w:p w:rsidR="001847D1" w:rsidRPr="00CE7CD1" w:rsidRDefault="001847D1" w:rsidP="001847D1">
      <w:pPr>
        <w:jc w:val="both"/>
        <w:rPr>
          <w:rFonts w:cs="Arial"/>
        </w:rPr>
      </w:pPr>
    </w:p>
    <w:p w:rsidR="001847D1" w:rsidRPr="00CE7CD1" w:rsidRDefault="001847D1" w:rsidP="001847D1">
      <w:pPr>
        <w:jc w:val="both"/>
        <w:rPr>
          <w:rFonts w:cs="Arial"/>
        </w:rPr>
      </w:pPr>
      <w:r w:rsidRPr="00CE7CD1">
        <w:rPr>
          <w:rFonts w:cs="Arial"/>
        </w:rPr>
        <w:t>There is an expectation that invoicing will be broken down as per the attached offer schedule.</w:t>
      </w:r>
    </w:p>
    <w:p w:rsidR="001847D1" w:rsidRPr="00CE7CD1" w:rsidRDefault="001847D1" w:rsidP="001847D1">
      <w:pPr>
        <w:jc w:val="both"/>
        <w:outlineLvl w:val="0"/>
        <w:rPr>
          <w:rFonts w:cs="Arial"/>
          <w:color w:val="000000"/>
        </w:rPr>
      </w:pPr>
    </w:p>
    <w:p w:rsidR="001847D1" w:rsidRDefault="001847D1" w:rsidP="001847D1">
      <w:pPr>
        <w:jc w:val="both"/>
        <w:outlineLvl w:val="0"/>
        <w:rPr>
          <w:rFonts w:cs="Arial"/>
          <w:color w:val="000000"/>
        </w:rPr>
      </w:pPr>
    </w:p>
    <w:p w:rsidR="001847D1" w:rsidRPr="00CE7CD1" w:rsidRDefault="000741EC" w:rsidP="001847D1">
      <w:pPr>
        <w:jc w:val="both"/>
        <w:rPr>
          <w:rFonts w:cs="Arial"/>
          <w:b/>
          <w:color w:val="000000"/>
          <w:u w:val="single"/>
        </w:rPr>
      </w:pPr>
      <w:r>
        <w:rPr>
          <w:rFonts w:cs="Arial"/>
          <w:b/>
          <w:color w:val="000000"/>
          <w:u w:val="single"/>
        </w:rPr>
        <w:t>Evaluation</w:t>
      </w:r>
    </w:p>
    <w:p w:rsidR="001847D1" w:rsidRPr="00CE7CD1" w:rsidRDefault="001847D1" w:rsidP="001847D1">
      <w:pPr>
        <w:jc w:val="both"/>
        <w:rPr>
          <w:rFonts w:cs="Arial"/>
          <w:b/>
          <w:color w:val="000000"/>
          <w:u w:val="single"/>
        </w:rPr>
      </w:pPr>
    </w:p>
    <w:p w:rsidR="001847D1" w:rsidRDefault="001847D1" w:rsidP="001847D1">
      <w:pPr>
        <w:jc w:val="both"/>
        <w:rPr>
          <w:rFonts w:cs="Arial"/>
          <w:color w:val="000000"/>
        </w:rPr>
      </w:pPr>
      <w:r w:rsidRPr="00CE7CD1">
        <w:rPr>
          <w:rFonts w:cs="Arial"/>
          <w:color w:val="000000"/>
        </w:rPr>
        <w:t>Please note performance management will be affected using the following KPIs:</w:t>
      </w:r>
    </w:p>
    <w:p w:rsidR="001847D1" w:rsidRPr="00CE7CD1" w:rsidRDefault="001847D1" w:rsidP="001847D1">
      <w:pPr>
        <w:jc w:val="both"/>
        <w:rPr>
          <w:rFonts w:cs="Arial"/>
          <w:color w:val="000000"/>
        </w:rPr>
      </w:pPr>
    </w:p>
    <w:p w:rsidR="001847D1" w:rsidRPr="001847D1" w:rsidRDefault="001847D1" w:rsidP="001847D1">
      <w:pPr>
        <w:pStyle w:val="ListParagraph"/>
        <w:numPr>
          <w:ilvl w:val="0"/>
          <w:numId w:val="4"/>
        </w:numPr>
        <w:jc w:val="both"/>
        <w:rPr>
          <w:rFonts w:cs="Arial"/>
          <w:color w:val="000000"/>
        </w:rPr>
      </w:pPr>
      <w:r w:rsidRPr="001847D1">
        <w:rPr>
          <w:rFonts w:cs="Arial"/>
          <w:color w:val="000000"/>
        </w:rPr>
        <w:t>Access to the venue will be available at the specified times of pre-course evening and from 07:30hrs on the day of the course in 100% of cases.</w:t>
      </w:r>
    </w:p>
    <w:p w:rsidR="001847D1" w:rsidRPr="001847D1" w:rsidRDefault="001847D1" w:rsidP="001847D1">
      <w:pPr>
        <w:pStyle w:val="ListParagraph"/>
        <w:numPr>
          <w:ilvl w:val="0"/>
          <w:numId w:val="4"/>
        </w:numPr>
        <w:jc w:val="both"/>
        <w:rPr>
          <w:rFonts w:cs="Arial"/>
          <w:color w:val="000000"/>
        </w:rPr>
      </w:pPr>
      <w:r w:rsidRPr="001847D1">
        <w:rPr>
          <w:rFonts w:cs="Arial"/>
          <w:color w:val="000000"/>
        </w:rPr>
        <w:t>Communications will be replied to within 2 working days.</w:t>
      </w:r>
    </w:p>
    <w:p w:rsidR="001847D1" w:rsidRPr="001847D1" w:rsidRDefault="001847D1" w:rsidP="001847D1">
      <w:pPr>
        <w:pStyle w:val="ListParagraph"/>
        <w:numPr>
          <w:ilvl w:val="0"/>
          <w:numId w:val="4"/>
        </w:numPr>
        <w:jc w:val="both"/>
        <w:rPr>
          <w:rFonts w:cs="Arial"/>
          <w:color w:val="000000"/>
        </w:rPr>
      </w:pPr>
      <w:r w:rsidRPr="001847D1">
        <w:rPr>
          <w:rFonts w:cs="Arial"/>
          <w:color w:val="000000"/>
        </w:rPr>
        <w:t>Uninterrupted Wi-Fi will be available across the whole centre.</w:t>
      </w:r>
    </w:p>
    <w:p w:rsidR="001847D1" w:rsidRPr="001847D1" w:rsidRDefault="001847D1" w:rsidP="001847D1">
      <w:pPr>
        <w:pStyle w:val="ListParagraph"/>
        <w:numPr>
          <w:ilvl w:val="0"/>
          <w:numId w:val="4"/>
        </w:numPr>
        <w:jc w:val="both"/>
        <w:rPr>
          <w:rFonts w:cs="Arial"/>
          <w:color w:val="000000"/>
        </w:rPr>
      </w:pPr>
      <w:r w:rsidRPr="001847D1">
        <w:rPr>
          <w:rFonts w:cs="Arial"/>
          <w:color w:val="000000"/>
        </w:rPr>
        <w:t>The course will not be affected by lack of sim. Centre staff.</w:t>
      </w:r>
    </w:p>
    <w:p w:rsidR="001847D1" w:rsidRPr="001847D1" w:rsidRDefault="001847D1" w:rsidP="001847D1">
      <w:pPr>
        <w:pStyle w:val="ListParagraph"/>
        <w:numPr>
          <w:ilvl w:val="0"/>
          <w:numId w:val="4"/>
        </w:numPr>
        <w:jc w:val="both"/>
        <w:rPr>
          <w:rFonts w:cs="Arial"/>
          <w:color w:val="000000"/>
        </w:rPr>
      </w:pPr>
      <w:r w:rsidRPr="001847D1">
        <w:rPr>
          <w:rFonts w:cs="Arial"/>
          <w:color w:val="000000"/>
        </w:rPr>
        <w:t>An average of 95% will be expected across the 4 KPIs</w:t>
      </w:r>
    </w:p>
    <w:p w:rsidR="001847D1" w:rsidRPr="00CE7CD1" w:rsidRDefault="001847D1" w:rsidP="001847D1">
      <w:pPr>
        <w:jc w:val="both"/>
        <w:rPr>
          <w:rFonts w:cs="Arial"/>
          <w:color w:val="000000"/>
        </w:rPr>
      </w:pPr>
    </w:p>
    <w:p w:rsidR="001847D1" w:rsidRPr="00DA25DC" w:rsidRDefault="000741EC" w:rsidP="001847D1">
      <w:pPr>
        <w:tabs>
          <w:tab w:val="left" w:pos="-720"/>
          <w:tab w:val="left" w:pos="0"/>
          <w:tab w:val="left" w:pos="453"/>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line="180" w:lineRule="auto"/>
        <w:ind w:right="808"/>
        <w:jc w:val="both"/>
        <w:outlineLvl w:val="0"/>
        <w:rPr>
          <w:rFonts w:cs="Arial"/>
          <w:b/>
          <w:sz w:val="22"/>
          <w:szCs w:val="22"/>
          <w:u w:val="single"/>
        </w:rPr>
      </w:pPr>
      <w:r>
        <w:rPr>
          <w:rFonts w:cs="Arial"/>
          <w:b/>
          <w:sz w:val="22"/>
          <w:szCs w:val="22"/>
          <w:u w:val="single"/>
        </w:rPr>
        <w:t>Evaluation Criteria</w:t>
      </w:r>
    </w:p>
    <w:p w:rsidR="001847D1" w:rsidRPr="00CE7CD1" w:rsidRDefault="001847D1" w:rsidP="001847D1">
      <w:pPr>
        <w:tabs>
          <w:tab w:val="left" w:pos="-720"/>
          <w:tab w:val="left" w:pos="0"/>
          <w:tab w:val="left" w:pos="453"/>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line="180" w:lineRule="auto"/>
        <w:ind w:right="808"/>
        <w:jc w:val="both"/>
        <w:rPr>
          <w:rFonts w:cs="Arial"/>
          <w:i/>
        </w:rPr>
      </w:pPr>
    </w:p>
    <w:p w:rsidR="001847D1" w:rsidRPr="00CE7CD1" w:rsidRDefault="001847D1" w:rsidP="001847D1">
      <w:pPr>
        <w:tabs>
          <w:tab w:val="left" w:pos="-720"/>
          <w:tab w:val="left" w:pos="0"/>
          <w:tab w:val="left" w:pos="453"/>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446" w:right="808" w:hanging="446"/>
        <w:jc w:val="both"/>
        <w:rPr>
          <w:rFonts w:cs="Arial"/>
        </w:rPr>
      </w:pPr>
      <w:r w:rsidRPr="00CE7CD1">
        <w:rPr>
          <w:rFonts w:cs="Arial"/>
        </w:rPr>
        <w:t>1.</w:t>
      </w:r>
      <w:r w:rsidRPr="00CE7CD1">
        <w:rPr>
          <w:rFonts w:cs="Arial"/>
        </w:rPr>
        <w:tab/>
        <w:t>The tender process will be conducted to ensure that tenders are evaluated fairly to ascertain the most economically advantageous tender.</w:t>
      </w:r>
    </w:p>
    <w:p w:rsidR="001847D1" w:rsidRPr="00CE7CD1" w:rsidRDefault="001847D1" w:rsidP="001847D1">
      <w:pPr>
        <w:tabs>
          <w:tab w:val="left" w:pos="-720"/>
          <w:tab w:val="left" w:pos="0"/>
          <w:tab w:val="left" w:pos="453"/>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446" w:right="808" w:hanging="446"/>
        <w:jc w:val="both"/>
        <w:rPr>
          <w:rFonts w:cs="Arial"/>
        </w:rPr>
      </w:pPr>
    </w:p>
    <w:p w:rsidR="001847D1" w:rsidRPr="00CE7CD1" w:rsidRDefault="001847D1" w:rsidP="001847D1">
      <w:pPr>
        <w:tabs>
          <w:tab w:val="left" w:pos="-720"/>
          <w:tab w:val="left" w:pos="0"/>
          <w:tab w:val="left" w:pos="453"/>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446" w:right="808" w:hanging="446"/>
        <w:jc w:val="both"/>
        <w:rPr>
          <w:rFonts w:cs="Arial"/>
        </w:rPr>
      </w:pPr>
      <w:r w:rsidRPr="00CE7CD1">
        <w:rPr>
          <w:rFonts w:cs="Arial"/>
        </w:rPr>
        <w:t xml:space="preserve">2. </w:t>
      </w:r>
      <w:r w:rsidRPr="00CE7CD1">
        <w:rPr>
          <w:rFonts w:cs="Arial"/>
        </w:rPr>
        <w:tab/>
        <w:t>NHSBT reserve the right to conduct a further check on financial standing prior to entering into contract with a bidder</w:t>
      </w:r>
    </w:p>
    <w:p w:rsidR="001847D1" w:rsidRPr="00CE7CD1" w:rsidRDefault="001847D1" w:rsidP="001847D1">
      <w:pPr>
        <w:tabs>
          <w:tab w:val="left" w:pos="-720"/>
          <w:tab w:val="left" w:pos="0"/>
          <w:tab w:val="left" w:pos="453"/>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446" w:right="808" w:hanging="446"/>
        <w:jc w:val="both"/>
        <w:rPr>
          <w:rFonts w:cs="Arial"/>
        </w:rPr>
      </w:pPr>
    </w:p>
    <w:p w:rsidR="001847D1" w:rsidRPr="00CE7CD1" w:rsidRDefault="001847D1" w:rsidP="001847D1">
      <w:pPr>
        <w:tabs>
          <w:tab w:val="left" w:pos="-720"/>
          <w:tab w:val="left" w:pos="0"/>
          <w:tab w:val="left" w:pos="453"/>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446" w:right="808" w:hanging="446"/>
        <w:jc w:val="both"/>
        <w:rPr>
          <w:rFonts w:cs="Arial"/>
        </w:rPr>
      </w:pPr>
      <w:r w:rsidRPr="00CE7CD1">
        <w:rPr>
          <w:rFonts w:cs="Arial"/>
        </w:rPr>
        <w:t xml:space="preserve">3. </w:t>
      </w:r>
      <w:r w:rsidRPr="00CE7CD1">
        <w:rPr>
          <w:rFonts w:cs="Arial"/>
        </w:rPr>
        <w:tab/>
        <w:t>We will undertake a marking exercise of the selection criteria</w:t>
      </w:r>
      <w:r w:rsidR="00DA25DC">
        <w:rPr>
          <w:rFonts w:cs="Arial"/>
        </w:rPr>
        <w:t xml:space="preserve"> (Mandatory Exclusion Questions)</w:t>
      </w:r>
      <w:r w:rsidRPr="00CE7CD1">
        <w:rPr>
          <w:rFonts w:cs="Arial"/>
        </w:rPr>
        <w:t xml:space="preserve"> before examining your </w:t>
      </w:r>
      <w:r w:rsidR="00DA25DC">
        <w:rPr>
          <w:rFonts w:cs="Arial"/>
        </w:rPr>
        <w:t xml:space="preserve">award stage submissions. </w:t>
      </w:r>
    </w:p>
    <w:p w:rsidR="001847D1" w:rsidRPr="00CE7CD1" w:rsidRDefault="001847D1" w:rsidP="001847D1">
      <w:pPr>
        <w:tabs>
          <w:tab w:val="left" w:pos="-720"/>
          <w:tab w:val="left" w:pos="0"/>
          <w:tab w:val="left" w:pos="453"/>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line="180" w:lineRule="auto"/>
        <w:ind w:left="453" w:right="808" w:hanging="453"/>
        <w:jc w:val="both"/>
        <w:rPr>
          <w:rFonts w:cs="Arial"/>
        </w:rPr>
      </w:pPr>
    </w:p>
    <w:p w:rsidR="001847D1" w:rsidRPr="00CE7CD1" w:rsidRDefault="001847D1" w:rsidP="001847D1">
      <w:pPr>
        <w:tabs>
          <w:tab w:val="left" w:pos="-720"/>
          <w:tab w:val="left" w:pos="0"/>
          <w:tab w:val="left" w:pos="453"/>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453" w:right="808" w:hanging="453"/>
        <w:jc w:val="both"/>
        <w:rPr>
          <w:rFonts w:cs="Arial"/>
        </w:rPr>
      </w:pPr>
      <w:r w:rsidRPr="00CE7CD1">
        <w:rPr>
          <w:rFonts w:cs="Arial"/>
        </w:rPr>
        <w:t>4.</w:t>
      </w:r>
      <w:r w:rsidRPr="00CE7CD1">
        <w:rPr>
          <w:rFonts w:cs="Arial"/>
        </w:rPr>
        <w:tab/>
        <w:t>Your award stage response to our requirement as detailed in the Specification will be evaluated under the</w:t>
      </w:r>
      <w:r w:rsidR="00DA25DC">
        <w:rPr>
          <w:rFonts w:cs="Arial"/>
        </w:rPr>
        <w:t xml:space="preserve"> following headings; Quality 20, Cost 80</w:t>
      </w:r>
      <w:r w:rsidRPr="00CE7CD1">
        <w:rPr>
          <w:rFonts w:cs="Arial"/>
        </w:rPr>
        <w:t xml:space="preserve">.  </w:t>
      </w:r>
    </w:p>
    <w:p w:rsidR="001847D1" w:rsidRPr="00CE7CD1" w:rsidRDefault="001847D1" w:rsidP="001847D1">
      <w:pPr>
        <w:tabs>
          <w:tab w:val="left" w:pos="-720"/>
          <w:tab w:val="left" w:pos="0"/>
          <w:tab w:val="left" w:pos="453"/>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453" w:right="808" w:hanging="453"/>
        <w:jc w:val="both"/>
        <w:rPr>
          <w:rFonts w:cs="Arial"/>
        </w:rPr>
      </w:pPr>
    </w:p>
    <w:p w:rsidR="001847D1" w:rsidRPr="00CE7CD1" w:rsidRDefault="001847D1" w:rsidP="001847D1">
      <w:pPr>
        <w:ind w:left="453" w:hanging="453"/>
        <w:jc w:val="both"/>
        <w:rPr>
          <w:rFonts w:cs="Arial"/>
          <w:color w:val="000000"/>
        </w:rPr>
      </w:pPr>
      <w:r w:rsidRPr="00CE7CD1">
        <w:rPr>
          <w:rFonts w:cs="Arial"/>
          <w:lang w:val="en-US"/>
        </w:rPr>
        <w:t xml:space="preserve">5.  </w:t>
      </w:r>
      <w:bookmarkStart w:id="1" w:name="LASTCURSORPOSITION"/>
      <w:bookmarkEnd w:id="1"/>
      <w:r w:rsidR="00DA25DC">
        <w:rPr>
          <w:rFonts w:cs="Arial"/>
          <w:lang w:val="en-US"/>
        </w:rPr>
        <w:t xml:space="preserve">  </w:t>
      </w:r>
      <w:r w:rsidRPr="00CE7CD1">
        <w:rPr>
          <w:rFonts w:cs="Arial"/>
          <w:u w:val="single"/>
          <w:lang w:val="en-US"/>
        </w:rPr>
        <w:t>Any tenderer who is allocated a score of 0 or 1 at either selection or award stage will be automatically excluded from the process.</w:t>
      </w:r>
    </w:p>
    <w:p w:rsidR="001847D1" w:rsidRPr="00CE7CD1" w:rsidRDefault="001847D1" w:rsidP="001847D1">
      <w:pPr>
        <w:jc w:val="both"/>
        <w:rPr>
          <w:rFonts w:cs="Arial"/>
          <w:lang w:val="en-US"/>
        </w:rPr>
      </w:pPr>
    </w:p>
    <w:p w:rsidR="001847D1" w:rsidRPr="00CE7CD1" w:rsidRDefault="001847D1" w:rsidP="001847D1">
      <w:pPr>
        <w:ind w:firstLine="453"/>
        <w:jc w:val="both"/>
        <w:rPr>
          <w:rFonts w:cs="Arial"/>
          <w:lang w:val="en-US"/>
        </w:rPr>
      </w:pPr>
      <w:r w:rsidRPr="00CE7CD1">
        <w:rPr>
          <w:rFonts w:cs="Arial"/>
          <w:lang w:val="en-US"/>
        </w:rPr>
        <w:t>All tenders will be scored as above in accordance with the assessment scoring methodology set out below:</w:t>
      </w:r>
    </w:p>
    <w:p w:rsidR="001847D1" w:rsidRPr="00CE7CD1" w:rsidRDefault="001847D1" w:rsidP="001847D1">
      <w:pPr>
        <w:jc w:val="both"/>
        <w:rPr>
          <w:rFonts w:cs="Arial"/>
          <w:lang w:val="en-US"/>
        </w:rPr>
      </w:pPr>
    </w:p>
    <w:tbl>
      <w:tblPr>
        <w:tblW w:w="9675" w:type="dxa"/>
        <w:jc w:val="center"/>
        <w:tblLayout w:type="fixed"/>
        <w:tblLook w:val="04A0" w:firstRow="1" w:lastRow="0" w:firstColumn="1" w:lastColumn="0" w:noHBand="0" w:noVBand="1"/>
      </w:tblPr>
      <w:tblGrid>
        <w:gridCol w:w="1872"/>
        <w:gridCol w:w="709"/>
        <w:gridCol w:w="2353"/>
        <w:gridCol w:w="961"/>
        <w:gridCol w:w="961"/>
        <w:gridCol w:w="961"/>
        <w:gridCol w:w="961"/>
        <w:gridCol w:w="897"/>
      </w:tblGrid>
      <w:tr w:rsidR="001847D1" w:rsidRPr="00CE7CD1" w:rsidTr="00860BDD">
        <w:trPr>
          <w:trHeight w:val="270"/>
          <w:jc w:val="center"/>
        </w:trPr>
        <w:tc>
          <w:tcPr>
            <w:tcW w:w="1872" w:type="dxa"/>
            <w:tcBorders>
              <w:top w:val="single" w:sz="8" w:space="0" w:color="auto"/>
              <w:left w:val="single" w:sz="8" w:space="0" w:color="auto"/>
              <w:bottom w:val="nil"/>
              <w:right w:val="nil"/>
            </w:tcBorders>
            <w:shd w:val="pct10" w:color="000000" w:fill="FFFFFF"/>
            <w:noWrap/>
            <w:vAlign w:val="center"/>
            <w:hideMark/>
          </w:tcPr>
          <w:p w:rsidR="001847D1" w:rsidRPr="00CE7CD1" w:rsidRDefault="001847D1" w:rsidP="00860BDD">
            <w:pPr>
              <w:jc w:val="both"/>
              <w:rPr>
                <w:rFonts w:cs="Arial"/>
              </w:rPr>
            </w:pPr>
            <w:r w:rsidRPr="00CE7CD1">
              <w:rPr>
                <w:rFonts w:cs="Arial"/>
              </w:rPr>
              <w:t>Score Key Assessment</w:t>
            </w:r>
          </w:p>
        </w:tc>
        <w:tc>
          <w:tcPr>
            <w:tcW w:w="709" w:type="dxa"/>
            <w:tcBorders>
              <w:top w:val="single" w:sz="8" w:space="0" w:color="auto"/>
              <w:left w:val="single" w:sz="8" w:space="0" w:color="auto"/>
              <w:bottom w:val="nil"/>
              <w:right w:val="single" w:sz="8" w:space="0" w:color="auto"/>
            </w:tcBorders>
            <w:shd w:val="pct10" w:color="000000" w:fill="FFFFFF"/>
            <w:noWrap/>
            <w:vAlign w:val="center"/>
            <w:hideMark/>
          </w:tcPr>
          <w:p w:rsidR="001847D1" w:rsidRPr="00CE7CD1" w:rsidRDefault="001847D1" w:rsidP="00860BDD">
            <w:pPr>
              <w:jc w:val="both"/>
              <w:rPr>
                <w:rFonts w:cs="Arial"/>
              </w:rPr>
            </w:pPr>
            <w:r w:rsidRPr="00CE7CD1">
              <w:rPr>
                <w:rFonts w:cs="Arial"/>
              </w:rPr>
              <w:t>Score</w:t>
            </w:r>
          </w:p>
        </w:tc>
        <w:tc>
          <w:tcPr>
            <w:tcW w:w="2351" w:type="dxa"/>
            <w:tcBorders>
              <w:top w:val="single" w:sz="8" w:space="0" w:color="auto"/>
              <w:left w:val="nil"/>
              <w:bottom w:val="nil"/>
              <w:right w:val="nil"/>
            </w:tcBorders>
            <w:shd w:val="pct10" w:color="000000" w:fill="FFFFFF"/>
            <w:noWrap/>
            <w:vAlign w:val="center"/>
            <w:hideMark/>
          </w:tcPr>
          <w:p w:rsidR="001847D1" w:rsidRPr="00CE7CD1" w:rsidRDefault="001847D1" w:rsidP="00860BDD">
            <w:pPr>
              <w:jc w:val="both"/>
              <w:rPr>
                <w:rFonts w:cs="Arial"/>
              </w:rPr>
            </w:pPr>
            <w:r w:rsidRPr="00CE7CD1">
              <w:rPr>
                <w:rFonts w:cs="Arial"/>
              </w:rPr>
              <w:t>Interpretation</w:t>
            </w:r>
          </w:p>
        </w:tc>
        <w:tc>
          <w:tcPr>
            <w:tcW w:w="960" w:type="dxa"/>
            <w:tcBorders>
              <w:top w:val="single" w:sz="8" w:space="0" w:color="auto"/>
              <w:left w:val="nil"/>
              <w:bottom w:val="nil"/>
              <w:right w:val="nil"/>
            </w:tcBorders>
            <w:shd w:val="pct10" w:color="000000" w:fill="FFFFFF"/>
            <w:noWrap/>
            <w:vAlign w:val="center"/>
          </w:tcPr>
          <w:p w:rsidR="001847D1" w:rsidRPr="00CE7CD1" w:rsidRDefault="001847D1" w:rsidP="00860BDD">
            <w:pPr>
              <w:jc w:val="both"/>
              <w:rPr>
                <w:rFonts w:cs="Arial"/>
              </w:rPr>
            </w:pPr>
          </w:p>
        </w:tc>
        <w:tc>
          <w:tcPr>
            <w:tcW w:w="960" w:type="dxa"/>
            <w:tcBorders>
              <w:top w:val="single" w:sz="8" w:space="0" w:color="auto"/>
              <w:left w:val="nil"/>
              <w:bottom w:val="nil"/>
              <w:right w:val="nil"/>
            </w:tcBorders>
            <w:shd w:val="pct10" w:color="000000" w:fill="FFFFFF"/>
            <w:noWrap/>
            <w:vAlign w:val="center"/>
          </w:tcPr>
          <w:p w:rsidR="001847D1" w:rsidRPr="00CE7CD1" w:rsidRDefault="001847D1" w:rsidP="00860BDD">
            <w:pPr>
              <w:jc w:val="both"/>
              <w:rPr>
                <w:rFonts w:cs="Arial"/>
              </w:rPr>
            </w:pPr>
          </w:p>
        </w:tc>
        <w:tc>
          <w:tcPr>
            <w:tcW w:w="960" w:type="dxa"/>
            <w:tcBorders>
              <w:top w:val="single" w:sz="8" w:space="0" w:color="auto"/>
              <w:left w:val="nil"/>
              <w:bottom w:val="nil"/>
              <w:right w:val="nil"/>
            </w:tcBorders>
            <w:shd w:val="pct10" w:color="000000" w:fill="FFFFFF"/>
            <w:noWrap/>
            <w:vAlign w:val="center"/>
          </w:tcPr>
          <w:p w:rsidR="001847D1" w:rsidRPr="00CE7CD1" w:rsidRDefault="001847D1" w:rsidP="00860BDD">
            <w:pPr>
              <w:jc w:val="both"/>
              <w:rPr>
                <w:rFonts w:cs="Arial"/>
              </w:rPr>
            </w:pPr>
          </w:p>
        </w:tc>
        <w:tc>
          <w:tcPr>
            <w:tcW w:w="960" w:type="dxa"/>
            <w:tcBorders>
              <w:top w:val="single" w:sz="8" w:space="0" w:color="auto"/>
              <w:left w:val="nil"/>
              <w:bottom w:val="nil"/>
              <w:right w:val="nil"/>
            </w:tcBorders>
            <w:shd w:val="pct10" w:color="000000" w:fill="FFFFFF"/>
            <w:noWrap/>
            <w:vAlign w:val="center"/>
          </w:tcPr>
          <w:p w:rsidR="001847D1" w:rsidRPr="00CE7CD1" w:rsidRDefault="001847D1" w:rsidP="00860BDD">
            <w:pPr>
              <w:jc w:val="both"/>
              <w:rPr>
                <w:rFonts w:cs="Arial"/>
              </w:rPr>
            </w:pPr>
          </w:p>
        </w:tc>
        <w:tc>
          <w:tcPr>
            <w:tcW w:w="896" w:type="dxa"/>
            <w:tcBorders>
              <w:top w:val="single" w:sz="8" w:space="0" w:color="auto"/>
              <w:left w:val="nil"/>
              <w:bottom w:val="nil"/>
              <w:right w:val="single" w:sz="8" w:space="0" w:color="auto"/>
            </w:tcBorders>
            <w:shd w:val="pct10" w:color="000000" w:fill="FFFFFF"/>
            <w:noWrap/>
            <w:vAlign w:val="center"/>
          </w:tcPr>
          <w:p w:rsidR="001847D1" w:rsidRPr="00CE7CD1" w:rsidRDefault="001847D1" w:rsidP="00860BDD">
            <w:pPr>
              <w:jc w:val="both"/>
              <w:rPr>
                <w:rFonts w:cs="Arial"/>
              </w:rPr>
            </w:pPr>
          </w:p>
        </w:tc>
      </w:tr>
      <w:tr w:rsidR="001847D1" w:rsidRPr="00CE7CD1" w:rsidTr="00860BDD">
        <w:trPr>
          <w:trHeight w:val="1050"/>
          <w:jc w:val="center"/>
        </w:trPr>
        <w:tc>
          <w:tcPr>
            <w:tcW w:w="1872" w:type="dxa"/>
            <w:tcBorders>
              <w:top w:val="single" w:sz="8" w:space="0" w:color="auto"/>
              <w:left w:val="single" w:sz="8" w:space="0" w:color="auto"/>
              <w:bottom w:val="single" w:sz="8" w:space="0" w:color="auto"/>
              <w:right w:val="nil"/>
            </w:tcBorders>
            <w:shd w:val="clear" w:color="auto" w:fill="FFFFFF"/>
            <w:noWrap/>
            <w:vAlign w:val="center"/>
            <w:hideMark/>
          </w:tcPr>
          <w:p w:rsidR="001847D1" w:rsidRPr="00CE7CD1" w:rsidRDefault="001847D1" w:rsidP="00860BDD">
            <w:pPr>
              <w:jc w:val="both"/>
              <w:rPr>
                <w:rFonts w:cs="Arial"/>
              </w:rPr>
            </w:pPr>
            <w:r w:rsidRPr="00CE7CD1">
              <w:rPr>
                <w:rFonts w:cs="Arial"/>
              </w:rPr>
              <w:t>Excellent</w:t>
            </w:r>
          </w:p>
        </w:tc>
        <w:tc>
          <w:tcPr>
            <w:tcW w:w="709" w:type="dxa"/>
            <w:tcBorders>
              <w:top w:val="single" w:sz="8" w:space="0" w:color="auto"/>
              <w:left w:val="single" w:sz="8" w:space="0" w:color="auto"/>
              <w:bottom w:val="single" w:sz="8" w:space="0" w:color="auto"/>
              <w:right w:val="single" w:sz="8" w:space="0" w:color="auto"/>
            </w:tcBorders>
            <w:shd w:val="clear" w:color="auto" w:fill="FFFFFF"/>
            <w:noWrap/>
            <w:vAlign w:val="center"/>
            <w:hideMark/>
          </w:tcPr>
          <w:p w:rsidR="001847D1" w:rsidRPr="00CE7CD1" w:rsidRDefault="001847D1" w:rsidP="00860BDD">
            <w:pPr>
              <w:jc w:val="both"/>
              <w:rPr>
                <w:rFonts w:cs="Arial"/>
              </w:rPr>
            </w:pPr>
            <w:r w:rsidRPr="00CE7CD1">
              <w:rPr>
                <w:rFonts w:cs="Arial"/>
              </w:rPr>
              <w:t>5</w:t>
            </w:r>
          </w:p>
        </w:tc>
        <w:tc>
          <w:tcPr>
            <w:tcW w:w="7087" w:type="dxa"/>
            <w:gridSpan w:val="6"/>
            <w:tcBorders>
              <w:top w:val="single" w:sz="8" w:space="0" w:color="auto"/>
              <w:left w:val="nil"/>
              <w:bottom w:val="single" w:sz="8" w:space="0" w:color="auto"/>
              <w:right w:val="single" w:sz="8" w:space="0" w:color="000000"/>
            </w:tcBorders>
            <w:shd w:val="clear" w:color="auto" w:fill="FFFFFF"/>
            <w:vAlign w:val="center"/>
            <w:hideMark/>
          </w:tcPr>
          <w:p w:rsidR="001847D1" w:rsidRPr="00CE7CD1" w:rsidRDefault="001847D1" w:rsidP="00860BDD">
            <w:pPr>
              <w:jc w:val="both"/>
              <w:rPr>
                <w:rFonts w:cs="Arial"/>
              </w:rPr>
            </w:pPr>
            <w:r w:rsidRPr="00CE7CD1">
              <w:rPr>
                <w:rFonts w:cs="Arial"/>
              </w:rPr>
              <w:t>Satisfies the requirement and demonstrates exceptional understanding and evidence in their ability/proposed methodology to deliver a solution for the required supplies/services.  Response identifies factors that will offer potential added value, with evidence to support the response.</w:t>
            </w:r>
          </w:p>
        </w:tc>
      </w:tr>
      <w:tr w:rsidR="001847D1" w:rsidRPr="00CE7CD1" w:rsidTr="00860BDD">
        <w:trPr>
          <w:trHeight w:val="1035"/>
          <w:jc w:val="center"/>
        </w:trPr>
        <w:tc>
          <w:tcPr>
            <w:tcW w:w="1872" w:type="dxa"/>
            <w:tcBorders>
              <w:top w:val="nil"/>
              <w:left w:val="single" w:sz="8" w:space="0" w:color="auto"/>
              <w:bottom w:val="single" w:sz="8" w:space="0" w:color="auto"/>
              <w:right w:val="nil"/>
            </w:tcBorders>
            <w:shd w:val="clear" w:color="auto" w:fill="FFFFFF"/>
            <w:noWrap/>
            <w:vAlign w:val="center"/>
            <w:hideMark/>
          </w:tcPr>
          <w:p w:rsidR="001847D1" w:rsidRPr="00CE7CD1" w:rsidRDefault="001847D1" w:rsidP="00860BDD">
            <w:pPr>
              <w:jc w:val="both"/>
              <w:rPr>
                <w:rFonts w:cs="Arial"/>
              </w:rPr>
            </w:pPr>
            <w:r w:rsidRPr="00CE7CD1">
              <w:rPr>
                <w:rFonts w:cs="Arial"/>
              </w:rPr>
              <w:lastRenderedPageBreak/>
              <w:t>Good</w:t>
            </w:r>
          </w:p>
        </w:tc>
        <w:tc>
          <w:tcPr>
            <w:tcW w:w="709" w:type="dxa"/>
            <w:tcBorders>
              <w:top w:val="nil"/>
              <w:left w:val="single" w:sz="8" w:space="0" w:color="auto"/>
              <w:bottom w:val="single" w:sz="8" w:space="0" w:color="auto"/>
              <w:right w:val="single" w:sz="8" w:space="0" w:color="auto"/>
            </w:tcBorders>
            <w:shd w:val="clear" w:color="auto" w:fill="FFFFFF"/>
            <w:noWrap/>
            <w:vAlign w:val="center"/>
            <w:hideMark/>
          </w:tcPr>
          <w:p w:rsidR="001847D1" w:rsidRPr="00CE7CD1" w:rsidRDefault="001847D1" w:rsidP="00860BDD">
            <w:pPr>
              <w:jc w:val="both"/>
              <w:rPr>
                <w:rFonts w:cs="Arial"/>
              </w:rPr>
            </w:pPr>
            <w:r w:rsidRPr="00CE7CD1">
              <w:rPr>
                <w:rFonts w:cs="Arial"/>
              </w:rPr>
              <w:t>4</w:t>
            </w:r>
          </w:p>
        </w:tc>
        <w:tc>
          <w:tcPr>
            <w:tcW w:w="7087" w:type="dxa"/>
            <w:gridSpan w:val="6"/>
            <w:tcBorders>
              <w:top w:val="single" w:sz="8" w:space="0" w:color="auto"/>
              <w:left w:val="nil"/>
              <w:bottom w:val="single" w:sz="8" w:space="0" w:color="auto"/>
              <w:right w:val="single" w:sz="8" w:space="0" w:color="000000"/>
            </w:tcBorders>
            <w:shd w:val="clear" w:color="auto" w:fill="FFFFFF"/>
            <w:vAlign w:val="center"/>
            <w:hideMark/>
          </w:tcPr>
          <w:p w:rsidR="001847D1" w:rsidRPr="00CE7CD1" w:rsidRDefault="001847D1" w:rsidP="00860BDD">
            <w:pPr>
              <w:jc w:val="both"/>
              <w:rPr>
                <w:rFonts w:cs="Arial"/>
              </w:rPr>
            </w:pPr>
            <w:r w:rsidRPr="00CE7CD1">
              <w:rPr>
                <w:rFonts w:cs="Arial"/>
              </w:rPr>
              <w:t>Satisfies the requirement with minor additional benefits.  Above average demonstration by the Tenderer of the understanding and evidence in their ability/proposed methodology to deliver a solution for the required supplies/services.  Response identifies factors that will offer potential added value, with evidence to support the response.</w:t>
            </w:r>
          </w:p>
        </w:tc>
      </w:tr>
      <w:tr w:rsidR="001847D1" w:rsidRPr="00CE7CD1" w:rsidTr="00860BDD">
        <w:trPr>
          <w:trHeight w:val="570"/>
          <w:jc w:val="center"/>
        </w:trPr>
        <w:tc>
          <w:tcPr>
            <w:tcW w:w="1872" w:type="dxa"/>
            <w:tcBorders>
              <w:top w:val="nil"/>
              <w:left w:val="single" w:sz="8" w:space="0" w:color="auto"/>
              <w:bottom w:val="nil"/>
              <w:right w:val="nil"/>
            </w:tcBorders>
            <w:shd w:val="clear" w:color="auto" w:fill="FFFFFF"/>
            <w:noWrap/>
            <w:vAlign w:val="center"/>
            <w:hideMark/>
          </w:tcPr>
          <w:p w:rsidR="001847D1" w:rsidRPr="00CE7CD1" w:rsidRDefault="001847D1" w:rsidP="00860BDD">
            <w:pPr>
              <w:jc w:val="both"/>
              <w:rPr>
                <w:rFonts w:cs="Arial"/>
              </w:rPr>
            </w:pPr>
            <w:r w:rsidRPr="00CE7CD1">
              <w:rPr>
                <w:rFonts w:cs="Arial"/>
              </w:rPr>
              <w:t>Acceptable</w:t>
            </w:r>
          </w:p>
        </w:tc>
        <w:tc>
          <w:tcPr>
            <w:tcW w:w="709" w:type="dxa"/>
            <w:tcBorders>
              <w:top w:val="nil"/>
              <w:left w:val="single" w:sz="8" w:space="0" w:color="auto"/>
              <w:bottom w:val="nil"/>
              <w:right w:val="single" w:sz="8" w:space="0" w:color="auto"/>
            </w:tcBorders>
            <w:shd w:val="clear" w:color="auto" w:fill="FFFFFF"/>
            <w:noWrap/>
            <w:vAlign w:val="center"/>
            <w:hideMark/>
          </w:tcPr>
          <w:p w:rsidR="001847D1" w:rsidRPr="00CE7CD1" w:rsidRDefault="001847D1" w:rsidP="00860BDD">
            <w:pPr>
              <w:jc w:val="both"/>
              <w:rPr>
                <w:rFonts w:cs="Arial"/>
              </w:rPr>
            </w:pPr>
            <w:r w:rsidRPr="00CE7CD1">
              <w:rPr>
                <w:rFonts w:cs="Arial"/>
              </w:rPr>
              <w:t>3</w:t>
            </w:r>
          </w:p>
        </w:tc>
        <w:tc>
          <w:tcPr>
            <w:tcW w:w="7087" w:type="dxa"/>
            <w:gridSpan w:val="6"/>
            <w:tcBorders>
              <w:top w:val="nil"/>
              <w:left w:val="nil"/>
              <w:bottom w:val="nil"/>
              <w:right w:val="single" w:sz="8" w:space="0" w:color="000000"/>
            </w:tcBorders>
            <w:shd w:val="clear" w:color="auto" w:fill="FFFFFF"/>
            <w:vAlign w:val="center"/>
            <w:hideMark/>
          </w:tcPr>
          <w:p w:rsidR="001847D1" w:rsidRPr="00CE7CD1" w:rsidRDefault="001847D1" w:rsidP="00860BDD">
            <w:pPr>
              <w:jc w:val="both"/>
              <w:rPr>
                <w:rFonts w:cs="Arial"/>
              </w:rPr>
            </w:pPr>
            <w:r w:rsidRPr="00CE7CD1">
              <w:rPr>
                <w:rFonts w:cs="Arial"/>
              </w:rPr>
              <w:t>Satisfies the requirement.  Demonstration by the Tenderer of the understanding and evidence in their ability/proposed methodology to deliver a solution for the required supplies/services.</w:t>
            </w:r>
          </w:p>
        </w:tc>
      </w:tr>
      <w:tr w:rsidR="001847D1" w:rsidRPr="00CE7CD1" w:rsidTr="00860BDD">
        <w:trPr>
          <w:trHeight w:val="810"/>
          <w:jc w:val="center"/>
        </w:trPr>
        <w:tc>
          <w:tcPr>
            <w:tcW w:w="1872" w:type="dxa"/>
            <w:tcBorders>
              <w:top w:val="single" w:sz="8" w:space="0" w:color="auto"/>
              <w:left w:val="single" w:sz="8" w:space="0" w:color="auto"/>
              <w:bottom w:val="single" w:sz="8" w:space="0" w:color="auto"/>
              <w:right w:val="nil"/>
            </w:tcBorders>
            <w:shd w:val="clear" w:color="auto" w:fill="FFFFFF"/>
            <w:noWrap/>
            <w:vAlign w:val="center"/>
            <w:hideMark/>
          </w:tcPr>
          <w:p w:rsidR="001847D1" w:rsidRPr="00CE7CD1" w:rsidRDefault="001847D1" w:rsidP="00860BDD">
            <w:pPr>
              <w:jc w:val="both"/>
              <w:rPr>
                <w:rFonts w:cs="Arial"/>
              </w:rPr>
            </w:pPr>
            <w:r w:rsidRPr="00CE7CD1">
              <w:rPr>
                <w:rFonts w:cs="Arial"/>
              </w:rPr>
              <w:t>Minor Reservations</w:t>
            </w:r>
          </w:p>
        </w:tc>
        <w:tc>
          <w:tcPr>
            <w:tcW w:w="709" w:type="dxa"/>
            <w:tcBorders>
              <w:top w:val="single" w:sz="8" w:space="0" w:color="auto"/>
              <w:left w:val="single" w:sz="8" w:space="0" w:color="auto"/>
              <w:bottom w:val="single" w:sz="8" w:space="0" w:color="auto"/>
              <w:right w:val="single" w:sz="8" w:space="0" w:color="auto"/>
            </w:tcBorders>
            <w:shd w:val="clear" w:color="auto" w:fill="FFFFFF"/>
            <w:noWrap/>
            <w:vAlign w:val="center"/>
            <w:hideMark/>
          </w:tcPr>
          <w:p w:rsidR="001847D1" w:rsidRPr="00CE7CD1" w:rsidRDefault="001847D1" w:rsidP="00860BDD">
            <w:pPr>
              <w:jc w:val="both"/>
              <w:rPr>
                <w:rFonts w:cs="Arial"/>
              </w:rPr>
            </w:pPr>
            <w:r w:rsidRPr="00CE7CD1">
              <w:rPr>
                <w:rFonts w:cs="Arial"/>
              </w:rPr>
              <w:t>2</w:t>
            </w:r>
          </w:p>
        </w:tc>
        <w:tc>
          <w:tcPr>
            <w:tcW w:w="7087" w:type="dxa"/>
            <w:gridSpan w:val="6"/>
            <w:tcBorders>
              <w:top w:val="single" w:sz="8" w:space="0" w:color="auto"/>
              <w:left w:val="nil"/>
              <w:bottom w:val="single" w:sz="8" w:space="0" w:color="auto"/>
              <w:right w:val="single" w:sz="8" w:space="0" w:color="000000"/>
            </w:tcBorders>
            <w:shd w:val="clear" w:color="auto" w:fill="FFFFFF"/>
            <w:vAlign w:val="center"/>
            <w:hideMark/>
          </w:tcPr>
          <w:p w:rsidR="001847D1" w:rsidRPr="00CE7CD1" w:rsidRDefault="001847D1" w:rsidP="00860BDD">
            <w:pPr>
              <w:jc w:val="both"/>
              <w:rPr>
                <w:rFonts w:cs="Arial"/>
              </w:rPr>
            </w:pPr>
            <w:r w:rsidRPr="00CE7CD1">
              <w:rPr>
                <w:rFonts w:cs="Arial"/>
              </w:rPr>
              <w:t>Satisfies the requirement with minor reservations.  Some minor reservations of the Tenderer's understanding and proposed methodology, with limited evidence to support the response.</w:t>
            </w:r>
          </w:p>
        </w:tc>
      </w:tr>
      <w:tr w:rsidR="001847D1" w:rsidRPr="00CE7CD1" w:rsidTr="00860BDD">
        <w:trPr>
          <w:trHeight w:val="780"/>
          <w:jc w:val="center"/>
        </w:trPr>
        <w:tc>
          <w:tcPr>
            <w:tcW w:w="1872" w:type="dxa"/>
            <w:tcBorders>
              <w:top w:val="nil"/>
              <w:left w:val="single" w:sz="8" w:space="0" w:color="auto"/>
              <w:bottom w:val="single" w:sz="8" w:space="0" w:color="auto"/>
              <w:right w:val="nil"/>
            </w:tcBorders>
            <w:shd w:val="clear" w:color="auto" w:fill="FFFFFF"/>
            <w:noWrap/>
            <w:vAlign w:val="center"/>
            <w:hideMark/>
          </w:tcPr>
          <w:p w:rsidR="001847D1" w:rsidRPr="00CE7CD1" w:rsidRDefault="001847D1" w:rsidP="00860BDD">
            <w:pPr>
              <w:jc w:val="both"/>
              <w:rPr>
                <w:rFonts w:cs="Arial"/>
              </w:rPr>
            </w:pPr>
            <w:r w:rsidRPr="00CE7CD1">
              <w:rPr>
                <w:rFonts w:cs="Arial"/>
              </w:rPr>
              <w:t>Serious Reservations/Non-compliant</w:t>
            </w:r>
          </w:p>
        </w:tc>
        <w:tc>
          <w:tcPr>
            <w:tcW w:w="709" w:type="dxa"/>
            <w:tcBorders>
              <w:top w:val="nil"/>
              <w:left w:val="single" w:sz="8" w:space="0" w:color="auto"/>
              <w:bottom w:val="single" w:sz="8" w:space="0" w:color="auto"/>
              <w:right w:val="single" w:sz="8" w:space="0" w:color="auto"/>
            </w:tcBorders>
            <w:shd w:val="clear" w:color="auto" w:fill="FFFFFF"/>
            <w:noWrap/>
            <w:vAlign w:val="center"/>
            <w:hideMark/>
          </w:tcPr>
          <w:p w:rsidR="001847D1" w:rsidRPr="00CE7CD1" w:rsidRDefault="001847D1" w:rsidP="00860BDD">
            <w:pPr>
              <w:jc w:val="both"/>
              <w:rPr>
                <w:rFonts w:cs="Arial"/>
              </w:rPr>
            </w:pPr>
            <w:r w:rsidRPr="00CE7CD1">
              <w:rPr>
                <w:rFonts w:cs="Arial"/>
              </w:rPr>
              <w:t>1</w:t>
            </w:r>
          </w:p>
        </w:tc>
        <w:tc>
          <w:tcPr>
            <w:tcW w:w="7087" w:type="dxa"/>
            <w:gridSpan w:val="6"/>
            <w:tcBorders>
              <w:top w:val="single" w:sz="8" w:space="0" w:color="auto"/>
              <w:left w:val="nil"/>
              <w:bottom w:val="single" w:sz="8" w:space="0" w:color="auto"/>
              <w:right w:val="single" w:sz="8" w:space="0" w:color="000000"/>
            </w:tcBorders>
            <w:shd w:val="clear" w:color="auto" w:fill="FFFFFF"/>
            <w:vAlign w:val="center"/>
            <w:hideMark/>
          </w:tcPr>
          <w:p w:rsidR="001847D1" w:rsidRPr="00CE7CD1" w:rsidRDefault="001847D1" w:rsidP="00860BDD">
            <w:pPr>
              <w:jc w:val="both"/>
              <w:rPr>
                <w:rFonts w:cs="Arial"/>
              </w:rPr>
            </w:pPr>
            <w:r w:rsidRPr="00CE7CD1">
              <w:rPr>
                <w:rFonts w:cs="Arial"/>
              </w:rPr>
              <w:t>Satisfies the requirement with major reservations.  Major reservations of the Tenderer's understanding and proposed methodology, with little or no evidence to support the response.</w:t>
            </w:r>
          </w:p>
        </w:tc>
      </w:tr>
      <w:tr w:rsidR="001847D1" w:rsidRPr="00CE7CD1" w:rsidTr="00860BDD">
        <w:trPr>
          <w:trHeight w:val="1195"/>
          <w:jc w:val="center"/>
        </w:trPr>
        <w:tc>
          <w:tcPr>
            <w:tcW w:w="1872" w:type="dxa"/>
            <w:tcBorders>
              <w:top w:val="nil"/>
              <w:left w:val="single" w:sz="8" w:space="0" w:color="auto"/>
              <w:bottom w:val="single" w:sz="8" w:space="0" w:color="auto"/>
              <w:right w:val="nil"/>
            </w:tcBorders>
            <w:shd w:val="clear" w:color="auto" w:fill="FFFFFF"/>
            <w:noWrap/>
            <w:vAlign w:val="center"/>
            <w:hideMark/>
          </w:tcPr>
          <w:p w:rsidR="001847D1" w:rsidRPr="00CE7CD1" w:rsidRDefault="001847D1" w:rsidP="00860BDD">
            <w:pPr>
              <w:jc w:val="both"/>
              <w:rPr>
                <w:rFonts w:cs="Arial"/>
              </w:rPr>
            </w:pPr>
            <w:r w:rsidRPr="00CE7CD1">
              <w:rPr>
                <w:rFonts w:cs="Arial"/>
              </w:rPr>
              <w:t>Unacceptable/Non-compliant</w:t>
            </w:r>
          </w:p>
        </w:tc>
        <w:tc>
          <w:tcPr>
            <w:tcW w:w="709" w:type="dxa"/>
            <w:tcBorders>
              <w:top w:val="nil"/>
              <w:left w:val="single" w:sz="8" w:space="0" w:color="auto"/>
              <w:bottom w:val="single" w:sz="8" w:space="0" w:color="auto"/>
              <w:right w:val="single" w:sz="8" w:space="0" w:color="auto"/>
            </w:tcBorders>
            <w:shd w:val="clear" w:color="auto" w:fill="FFFFFF"/>
            <w:noWrap/>
            <w:vAlign w:val="center"/>
            <w:hideMark/>
          </w:tcPr>
          <w:p w:rsidR="001847D1" w:rsidRPr="00CE7CD1" w:rsidRDefault="001847D1" w:rsidP="00860BDD">
            <w:pPr>
              <w:jc w:val="both"/>
              <w:rPr>
                <w:rFonts w:cs="Arial"/>
              </w:rPr>
            </w:pPr>
            <w:r w:rsidRPr="00CE7CD1">
              <w:rPr>
                <w:rFonts w:cs="Arial"/>
              </w:rPr>
              <w:t>0</w:t>
            </w:r>
          </w:p>
        </w:tc>
        <w:tc>
          <w:tcPr>
            <w:tcW w:w="7087" w:type="dxa"/>
            <w:gridSpan w:val="6"/>
            <w:tcBorders>
              <w:top w:val="nil"/>
              <w:left w:val="nil"/>
              <w:bottom w:val="single" w:sz="8" w:space="0" w:color="auto"/>
              <w:right w:val="single" w:sz="8" w:space="0" w:color="000000"/>
            </w:tcBorders>
            <w:shd w:val="clear" w:color="auto" w:fill="FFFFFF"/>
            <w:vAlign w:val="center"/>
            <w:hideMark/>
          </w:tcPr>
          <w:p w:rsidR="001847D1" w:rsidRPr="00CE7CD1" w:rsidRDefault="001847D1" w:rsidP="00860BDD">
            <w:pPr>
              <w:jc w:val="both"/>
              <w:rPr>
                <w:rFonts w:cs="Arial"/>
              </w:rPr>
            </w:pPr>
            <w:r w:rsidRPr="00CE7CD1">
              <w:rPr>
                <w:rFonts w:cs="Arial"/>
              </w:rPr>
              <w:t>Does not meet the requirement.  Does not comply and/or insufficient information provided to demonstrate that the Tenderer has the understanding or suitable methodology, with little or no evidence to support the response.</w:t>
            </w:r>
          </w:p>
        </w:tc>
      </w:tr>
    </w:tbl>
    <w:p w:rsidR="001847D1" w:rsidRPr="00CE7CD1" w:rsidRDefault="001847D1" w:rsidP="001847D1">
      <w:pPr>
        <w:tabs>
          <w:tab w:val="left" w:pos="-720"/>
          <w:tab w:val="left" w:pos="0"/>
          <w:tab w:val="left" w:pos="453"/>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line="232" w:lineRule="auto"/>
        <w:ind w:right="808"/>
        <w:jc w:val="both"/>
        <w:rPr>
          <w:rFonts w:cs="Arial"/>
        </w:rPr>
      </w:pPr>
    </w:p>
    <w:p w:rsidR="001847D1" w:rsidRPr="00CE7CD1" w:rsidRDefault="001847D1" w:rsidP="001847D1">
      <w:pPr>
        <w:tabs>
          <w:tab w:val="left" w:pos="-1440"/>
          <w:tab w:val="left" w:pos="-720"/>
          <w:tab w:val="left" w:pos="0"/>
          <w:tab w:val="left" w:pos="453"/>
          <w:tab w:val="left" w:pos="720"/>
          <w:tab w:val="left" w:pos="108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1080" w:right="808" w:hanging="627"/>
        <w:jc w:val="both"/>
        <w:rPr>
          <w:rFonts w:cs="Arial"/>
        </w:rPr>
      </w:pPr>
    </w:p>
    <w:p w:rsidR="001847D1" w:rsidRPr="00CE7CD1" w:rsidRDefault="001847D1" w:rsidP="001847D1">
      <w:pPr>
        <w:tabs>
          <w:tab w:val="left" w:pos="-1440"/>
          <w:tab w:val="left" w:pos="-720"/>
          <w:tab w:val="left" w:pos="0"/>
          <w:tab w:val="left" w:pos="453"/>
          <w:tab w:val="left" w:pos="720"/>
          <w:tab w:val="left" w:pos="108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453" w:right="808" w:hanging="453"/>
        <w:jc w:val="both"/>
        <w:rPr>
          <w:rFonts w:cs="Arial"/>
        </w:rPr>
      </w:pPr>
      <w:r w:rsidRPr="00CE7CD1">
        <w:rPr>
          <w:rFonts w:cs="Arial"/>
        </w:rPr>
        <w:t xml:space="preserve"> </w:t>
      </w:r>
    </w:p>
    <w:p w:rsidR="001847D1" w:rsidRPr="00CE7CD1" w:rsidRDefault="001847D1" w:rsidP="00DA25DC">
      <w:pPr>
        <w:jc w:val="both"/>
        <w:rPr>
          <w:rFonts w:cs="Arial"/>
          <w:b/>
          <w:u w:val="single"/>
          <w:lang w:val="en-US"/>
        </w:rPr>
      </w:pPr>
      <w:r w:rsidRPr="00CE7CD1">
        <w:rPr>
          <w:rFonts w:cs="Arial"/>
          <w:b/>
          <w:u w:val="single"/>
          <w:lang w:val="en-US"/>
        </w:rPr>
        <w:t>Standard Cost Scoring Methodology</w:t>
      </w:r>
    </w:p>
    <w:p w:rsidR="001847D1" w:rsidRPr="00CE7CD1" w:rsidRDefault="001847D1" w:rsidP="001847D1">
      <w:pPr>
        <w:jc w:val="both"/>
        <w:rPr>
          <w:rFonts w:cs="Arial"/>
          <w:b/>
          <w:u w:val="single"/>
          <w:lang w:val="en-US"/>
        </w:rPr>
      </w:pPr>
    </w:p>
    <w:p w:rsidR="001847D1" w:rsidRPr="00CE7CD1" w:rsidRDefault="001847D1" w:rsidP="001847D1">
      <w:pPr>
        <w:ind w:firstLine="720"/>
        <w:jc w:val="both"/>
        <w:rPr>
          <w:rFonts w:cs="Arial"/>
          <w:lang w:val="en-US"/>
        </w:rPr>
      </w:pPr>
      <w:r w:rsidRPr="00CE7CD1">
        <w:rPr>
          <w:rFonts w:cs="Arial"/>
          <w:lang w:val="en-US"/>
        </w:rPr>
        <w:t>Cost to be ranked most financially advantageous to most expensive usin</w:t>
      </w:r>
      <w:r w:rsidR="00DA25DC">
        <w:rPr>
          <w:rFonts w:cs="Arial"/>
          <w:lang w:val="en-US"/>
        </w:rPr>
        <w:t>g the following scoring matrix:</w:t>
      </w:r>
      <w:r w:rsidRPr="00CE7CD1">
        <w:rPr>
          <w:rFonts w:cs="Arial"/>
          <w:lang w:val="en-US"/>
        </w:rPr>
        <w:tab/>
      </w:r>
    </w:p>
    <w:p w:rsidR="001847D1" w:rsidRPr="00CE7CD1" w:rsidRDefault="001847D1" w:rsidP="001847D1">
      <w:pPr>
        <w:jc w:val="both"/>
        <w:rPr>
          <w:rFonts w:cs="Arial"/>
          <w:lang w:val="en-US"/>
        </w:rPr>
      </w:pPr>
    </w:p>
    <w:p w:rsidR="001847D1" w:rsidRPr="00CE7CD1" w:rsidRDefault="001847D1" w:rsidP="001847D1">
      <w:pPr>
        <w:ind w:firstLine="720"/>
        <w:jc w:val="both"/>
        <w:rPr>
          <w:rFonts w:cs="Arial"/>
          <w:b/>
          <w:lang w:val="en-US"/>
        </w:rPr>
      </w:pPr>
      <w:r w:rsidRPr="00CE7CD1">
        <w:rPr>
          <w:rFonts w:cs="Arial"/>
          <w:lang w:val="en-US"/>
        </w:rPr>
        <w:t>Cost Award Criteria</w:t>
      </w:r>
      <w:r w:rsidRPr="00CE7CD1">
        <w:rPr>
          <w:rFonts w:cs="Arial"/>
          <w:lang w:val="en-US"/>
        </w:rPr>
        <w:tab/>
      </w:r>
      <w:r w:rsidRPr="00CE7CD1">
        <w:rPr>
          <w:rFonts w:cs="Arial"/>
          <w:b/>
          <w:lang w:val="en-US"/>
        </w:rPr>
        <w:t>‘Enter Max Points here’</w:t>
      </w:r>
    </w:p>
    <w:p w:rsidR="001847D1" w:rsidRPr="00CE7CD1" w:rsidRDefault="001847D1" w:rsidP="001847D1">
      <w:pPr>
        <w:jc w:val="both"/>
        <w:rPr>
          <w:rFonts w:cs="Arial"/>
          <w:lang w:val="en-US"/>
        </w:rPr>
      </w:pPr>
    </w:p>
    <w:p w:rsidR="001847D1" w:rsidRPr="00CE7CD1" w:rsidRDefault="001847D1" w:rsidP="001847D1">
      <w:pPr>
        <w:ind w:firstLine="720"/>
        <w:jc w:val="both"/>
        <w:rPr>
          <w:rFonts w:cs="Arial"/>
          <w:lang w:val="en-US"/>
        </w:rPr>
      </w:pPr>
      <w:r w:rsidRPr="00CE7CD1">
        <w:rPr>
          <w:rFonts w:cs="Arial"/>
          <w:lang w:val="en-US"/>
        </w:rPr>
        <w:t>Supplier 1 (Most Financially Advantageous Offer)</w:t>
      </w:r>
      <w:r w:rsidRPr="00CE7CD1">
        <w:rPr>
          <w:rFonts w:cs="Arial"/>
          <w:lang w:val="en-US"/>
        </w:rPr>
        <w:tab/>
        <w:t>= Cost Award Criteria</w:t>
      </w:r>
    </w:p>
    <w:p w:rsidR="001847D1" w:rsidRPr="00CE7CD1" w:rsidRDefault="001847D1" w:rsidP="001847D1">
      <w:pPr>
        <w:ind w:firstLine="720"/>
        <w:jc w:val="both"/>
        <w:rPr>
          <w:rFonts w:cs="Arial"/>
          <w:lang w:val="en-US"/>
        </w:rPr>
      </w:pPr>
      <w:r w:rsidRPr="00CE7CD1">
        <w:rPr>
          <w:rFonts w:cs="Arial"/>
          <w:lang w:val="en-US"/>
        </w:rPr>
        <w:t>Supplier 2 (Next competitive)</w:t>
      </w:r>
      <w:r w:rsidRPr="00CE7CD1">
        <w:rPr>
          <w:rFonts w:cs="Arial"/>
          <w:lang w:val="en-US"/>
        </w:rPr>
        <w:tab/>
      </w:r>
      <w:r w:rsidRPr="00CE7CD1">
        <w:rPr>
          <w:rFonts w:cs="Arial"/>
          <w:lang w:val="en-US"/>
        </w:rPr>
        <w:tab/>
      </w:r>
      <w:r w:rsidRPr="00CE7CD1">
        <w:rPr>
          <w:rFonts w:cs="Arial"/>
          <w:lang w:val="en-US"/>
        </w:rPr>
        <w:tab/>
        <w:t>= Supplier 1 / Supplier 2 * Cost Criteria</w:t>
      </w:r>
    </w:p>
    <w:p w:rsidR="001847D1" w:rsidRPr="00CE7CD1" w:rsidRDefault="001847D1" w:rsidP="001847D1">
      <w:pPr>
        <w:ind w:firstLine="720"/>
        <w:jc w:val="both"/>
        <w:rPr>
          <w:rFonts w:cs="Arial"/>
          <w:lang w:val="en-US"/>
        </w:rPr>
      </w:pPr>
      <w:r w:rsidRPr="00CE7CD1">
        <w:rPr>
          <w:rFonts w:cs="Arial"/>
          <w:lang w:val="en-US"/>
        </w:rPr>
        <w:t>Supplier 3 (Next competitive)</w:t>
      </w:r>
      <w:r w:rsidRPr="00CE7CD1">
        <w:rPr>
          <w:rFonts w:cs="Arial"/>
          <w:lang w:val="en-US"/>
        </w:rPr>
        <w:tab/>
      </w:r>
      <w:r w:rsidRPr="00CE7CD1">
        <w:rPr>
          <w:rFonts w:cs="Arial"/>
          <w:lang w:val="en-US"/>
        </w:rPr>
        <w:tab/>
      </w:r>
      <w:r w:rsidRPr="00CE7CD1">
        <w:rPr>
          <w:rFonts w:cs="Arial"/>
          <w:lang w:val="en-US"/>
        </w:rPr>
        <w:tab/>
        <w:t>= Supplier 1 / Supplier 3 * Cost Criteria</w:t>
      </w:r>
    </w:p>
    <w:p w:rsidR="001847D1" w:rsidRPr="00CE7CD1" w:rsidRDefault="001847D1" w:rsidP="001847D1">
      <w:pPr>
        <w:ind w:firstLine="720"/>
        <w:jc w:val="both"/>
        <w:rPr>
          <w:rFonts w:cs="Arial"/>
          <w:lang w:val="en-US"/>
        </w:rPr>
      </w:pPr>
      <w:r w:rsidRPr="00CE7CD1">
        <w:rPr>
          <w:rFonts w:cs="Arial"/>
          <w:lang w:val="en-US"/>
        </w:rPr>
        <w:t>Supplier 4 (Next competitive)</w:t>
      </w:r>
      <w:r w:rsidRPr="00CE7CD1">
        <w:rPr>
          <w:rFonts w:cs="Arial"/>
          <w:lang w:val="en-US"/>
        </w:rPr>
        <w:tab/>
      </w:r>
      <w:r w:rsidRPr="00CE7CD1">
        <w:rPr>
          <w:rFonts w:cs="Arial"/>
          <w:lang w:val="en-US"/>
        </w:rPr>
        <w:tab/>
      </w:r>
      <w:r w:rsidRPr="00CE7CD1">
        <w:rPr>
          <w:rFonts w:cs="Arial"/>
          <w:lang w:val="en-US"/>
        </w:rPr>
        <w:tab/>
        <w:t>= Supplier 1 / Supplier 4 * Cost Criteria</w:t>
      </w:r>
    </w:p>
    <w:p w:rsidR="001847D1" w:rsidRDefault="001847D1" w:rsidP="001847D1">
      <w:pPr>
        <w:ind w:firstLine="720"/>
        <w:jc w:val="both"/>
        <w:rPr>
          <w:rFonts w:cs="Arial"/>
          <w:lang w:val="en-US"/>
        </w:rPr>
      </w:pPr>
      <w:r w:rsidRPr="00CE7CD1">
        <w:rPr>
          <w:rFonts w:cs="Arial"/>
          <w:lang w:val="en-US"/>
        </w:rPr>
        <w:t>Supplier 5 (Next competitive)</w:t>
      </w:r>
      <w:r w:rsidRPr="00CE7CD1">
        <w:rPr>
          <w:rFonts w:cs="Arial"/>
          <w:lang w:val="en-US"/>
        </w:rPr>
        <w:tab/>
      </w:r>
      <w:r w:rsidRPr="00CE7CD1">
        <w:rPr>
          <w:rFonts w:cs="Arial"/>
          <w:lang w:val="en-US"/>
        </w:rPr>
        <w:tab/>
      </w:r>
      <w:r w:rsidRPr="00CE7CD1">
        <w:rPr>
          <w:rFonts w:cs="Arial"/>
          <w:lang w:val="en-US"/>
        </w:rPr>
        <w:tab/>
        <w:t>= Supplier 1 / Supplier 5 * Cost Criteria</w:t>
      </w:r>
    </w:p>
    <w:p w:rsidR="00DA25DC" w:rsidRPr="00CE7CD1" w:rsidRDefault="00DA25DC" w:rsidP="001847D1">
      <w:pPr>
        <w:ind w:firstLine="720"/>
        <w:jc w:val="both"/>
        <w:rPr>
          <w:rFonts w:cs="Arial"/>
          <w:lang w:val="en-US"/>
        </w:rPr>
      </w:pPr>
    </w:p>
    <w:p w:rsidR="001847D1" w:rsidRPr="00CE7CD1" w:rsidRDefault="001847D1" w:rsidP="001847D1">
      <w:pPr>
        <w:jc w:val="both"/>
        <w:rPr>
          <w:rFonts w:cs="Arial"/>
          <w:color w:val="000000"/>
        </w:rPr>
      </w:pPr>
    </w:p>
    <w:p w:rsidR="001847D1" w:rsidRPr="00CE7CD1" w:rsidRDefault="000741EC" w:rsidP="001847D1">
      <w:pPr>
        <w:jc w:val="both"/>
        <w:rPr>
          <w:rFonts w:cs="Arial"/>
          <w:b/>
          <w:color w:val="000000"/>
          <w:u w:val="single"/>
        </w:rPr>
      </w:pPr>
      <w:r>
        <w:rPr>
          <w:rFonts w:cs="Arial"/>
          <w:b/>
          <w:color w:val="000000"/>
          <w:u w:val="single"/>
        </w:rPr>
        <w:t>Spend/Funding</w:t>
      </w:r>
    </w:p>
    <w:p w:rsidR="001847D1" w:rsidRPr="00CE7CD1" w:rsidRDefault="001847D1" w:rsidP="001847D1">
      <w:pPr>
        <w:jc w:val="both"/>
        <w:rPr>
          <w:rFonts w:cs="Arial"/>
          <w:b/>
          <w:color w:val="000000"/>
          <w:u w:val="single"/>
        </w:rPr>
      </w:pPr>
    </w:p>
    <w:p w:rsidR="001847D1" w:rsidRDefault="001847D1" w:rsidP="001847D1">
      <w:pPr>
        <w:jc w:val="both"/>
        <w:rPr>
          <w:rFonts w:cs="Arial"/>
          <w:color w:val="000000"/>
        </w:rPr>
      </w:pPr>
      <w:r w:rsidRPr="00CE7CD1">
        <w:rPr>
          <w:rFonts w:cs="Arial"/>
          <w:color w:val="000000"/>
        </w:rPr>
        <w:t>NHSBT are unable to guarantee any level of spend as this is subject to annual funding. Any spend will only be with the</w:t>
      </w:r>
      <w:r w:rsidR="0012759E">
        <w:rPr>
          <w:rFonts w:cs="Arial"/>
          <w:color w:val="000000"/>
        </w:rPr>
        <w:t xml:space="preserve"> appointed</w:t>
      </w:r>
      <w:r w:rsidRPr="00CE7CD1">
        <w:rPr>
          <w:rFonts w:cs="Arial"/>
          <w:color w:val="000000"/>
        </w:rPr>
        <w:t xml:space="preserve"> preferred </w:t>
      </w:r>
      <w:r w:rsidR="0012759E">
        <w:rPr>
          <w:rFonts w:cs="Arial"/>
          <w:color w:val="000000"/>
        </w:rPr>
        <w:t>suppliers</w:t>
      </w:r>
      <w:r w:rsidRPr="00CE7CD1">
        <w:rPr>
          <w:rFonts w:cs="Arial"/>
          <w:color w:val="000000"/>
        </w:rPr>
        <w:t>.</w:t>
      </w:r>
    </w:p>
    <w:p w:rsidR="0012759E" w:rsidRPr="002527C2" w:rsidRDefault="0012759E" w:rsidP="0012759E">
      <w:pPr>
        <w:rPr>
          <w:rFonts w:cs="Arial"/>
          <w:bCs/>
        </w:rPr>
      </w:pPr>
      <w:r w:rsidRPr="002527C2">
        <w:rPr>
          <w:rFonts w:cs="Arial"/>
          <w:bCs/>
        </w:rPr>
        <w:t>The total valu</w:t>
      </w:r>
      <w:r w:rsidRPr="0012759E">
        <w:rPr>
          <w:rFonts w:cs="Arial"/>
          <w:bCs/>
        </w:rPr>
        <w:t xml:space="preserve">e of the contract over the contract term </w:t>
      </w:r>
      <w:r w:rsidRPr="002527C2">
        <w:rPr>
          <w:rFonts w:cs="Arial"/>
          <w:bCs/>
        </w:rPr>
        <w:t>is estimated as being in the region of</w:t>
      </w:r>
      <w:r w:rsidR="000741EC">
        <w:rPr>
          <w:rFonts w:cs="Arial"/>
          <w:bCs/>
        </w:rPr>
        <w:t xml:space="preserve"> </w:t>
      </w:r>
      <w:r w:rsidRPr="0012759E">
        <w:rPr>
          <w:rFonts w:cs="Arial"/>
          <w:bCs/>
        </w:rPr>
        <w:t>£110k</w:t>
      </w:r>
      <w:r w:rsidRPr="002527C2">
        <w:rPr>
          <w:rFonts w:cs="Arial"/>
          <w:bCs/>
        </w:rPr>
        <w:t xml:space="preserve"> – assumed to be spre</w:t>
      </w:r>
      <w:r w:rsidRPr="0012759E">
        <w:rPr>
          <w:rFonts w:cs="Arial"/>
          <w:bCs/>
        </w:rPr>
        <w:t xml:space="preserve">ad equally over the term </w:t>
      </w:r>
      <w:r w:rsidRPr="002527C2">
        <w:rPr>
          <w:rFonts w:cs="Arial"/>
          <w:bCs/>
        </w:rPr>
        <w:t xml:space="preserve">but not limited to this structure. </w:t>
      </w:r>
    </w:p>
    <w:p w:rsidR="002527C2" w:rsidRDefault="002527C2" w:rsidP="001847D1">
      <w:pPr>
        <w:jc w:val="both"/>
        <w:rPr>
          <w:rFonts w:cs="Arial"/>
          <w:color w:val="000000"/>
        </w:rPr>
      </w:pPr>
    </w:p>
    <w:p w:rsidR="002527C2" w:rsidRDefault="002527C2" w:rsidP="001847D1">
      <w:pPr>
        <w:jc w:val="both"/>
        <w:rPr>
          <w:rFonts w:cs="Arial"/>
          <w:color w:val="000000"/>
        </w:rPr>
      </w:pPr>
    </w:p>
    <w:p w:rsidR="002527C2" w:rsidRPr="002527C2" w:rsidRDefault="000741EC" w:rsidP="0012759E">
      <w:pPr>
        <w:rPr>
          <w:rFonts w:cs="Arial"/>
          <w:b/>
          <w:bCs/>
          <w:u w:val="single"/>
        </w:rPr>
      </w:pPr>
      <w:r w:rsidRPr="000741EC">
        <w:rPr>
          <w:rFonts w:cs="Arial"/>
          <w:b/>
          <w:bCs/>
          <w:u w:val="single"/>
        </w:rPr>
        <w:t>Length of Contract</w:t>
      </w:r>
    </w:p>
    <w:p w:rsidR="002527C2" w:rsidRPr="002527C2" w:rsidRDefault="002527C2" w:rsidP="002527C2">
      <w:pPr>
        <w:rPr>
          <w:rFonts w:cs="Arial"/>
          <w:bCs/>
          <w:u w:val="single"/>
        </w:rPr>
      </w:pPr>
    </w:p>
    <w:p w:rsidR="002527C2" w:rsidRDefault="0012759E" w:rsidP="002527C2">
      <w:pPr>
        <w:rPr>
          <w:rFonts w:cs="Arial"/>
          <w:bCs/>
        </w:rPr>
      </w:pPr>
      <w:r w:rsidRPr="0012759E">
        <w:rPr>
          <w:rFonts w:cs="Arial"/>
          <w:bCs/>
        </w:rPr>
        <w:t xml:space="preserve">The </w:t>
      </w:r>
      <w:r w:rsidR="002527C2" w:rsidRPr="002527C2">
        <w:rPr>
          <w:rFonts w:cs="Arial"/>
          <w:bCs/>
        </w:rPr>
        <w:t>contract te</w:t>
      </w:r>
      <w:r w:rsidRPr="0012759E">
        <w:rPr>
          <w:rFonts w:cs="Arial"/>
          <w:bCs/>
        </w:rPr>
        <w:t xml:space="preserve">rm will be for a period of four years. </w:t>
      </w:r>
      <w:r>
        <w:rPr>
          <w:rFonts w:cs="Arial"/>
          <w:bCs/>
        </w:rPr>
        <w:t>Contract Commencement: 1</w:t>
      </w:r>
      <w:r w:rsidRPr="0012759E">
        <w:rPr>
          <w:rFonts w:cs="Arial"/>
          <w:bCs/>
          <w:vertAlign w:val="superscript"/>
        </w:rPr>
        <w:t>st</w:t>
      </w:r>
      <w:r>
        <w:rPr>
          <w:rFonts w:cs="Arial"/>
          <w:bCs/>
        </w:rPr>
        <w:t xml:space="preserve"> February 2019</w:t>
      </w:r>
    </w:p>
    <w:p w:rsidR="0012759E" w:rsidRDefault="0012759E" w:rsidP="002527C2">
      <w:pPr>
        <w:rPr>
          <w:rFonts w:cs="Arial"/>
          <w:bCs/>
        </w:rPr>
      </w:pPr>
    </w:p>
    <w:p w:rsidR="0012759E" w:rsidRDefault="0012759E" w:rsidP="002527C2">
      <w:pPr>
        <w:rPr>
          <w:rFonts w:cs="Arial"/>
          <w:bCs/>
        </w:rPr>
      </w:pPr>
    </w:p>
    <w:p w:rsidR="0012759E" w:rsidRDefault="0012759E" w:rsidP="002527C2">
      <w:pPr>
        <w:rPr>
          <w:rFonts w:cs="Arial"/>
          <w:bCs/>
        </w:rPr>
      </w:pPr>
    </w:p>
    <w:p w:rsidR="0012759E" w:rsidRDefault="0012759E" w:rsidP="002527C2">
      <w:pPr>
        <w:rPr>
          <w:rFonts w:cs="Arial"/>
          <w:bCs/>
        </w:rPr>
      </w:pPr>
    </w:p>
    <w:p w:rsidR="0012759E" w:rsidRDefault="0012759E" w:rsidP="002527C2">
      <w:pPr>
        <w:rPr>
          <w:rFonts w:cs="Arial"/>
          <w:bCs/>
        </w:rPr>
      </w:pPr>
    </w:p>
    <w:p w:rsidR="0012759E" w:rsidRPr="002527C2" w:rsidRDefault="0012759E" w:rsidP="002527C2">
      <w:pPr>
        <w:rPr>
          <w:rFonts w:cs="Arial"/>
        </w:rPr>
      </w:pPr>
    </w:p>
    <w:p w:rsidR="002527C2" w:rsidRPr="002527C2" w:rsidRDefault="002527C2" w:rsidP="002527C2">
      <w:pPr>
        <w:rPr>
          <w:rFonts w:cs="Arial"/>
          <w:b/>
          <w:bCs/>
          <w:sz w:val="24"/>
          <w:szCs w:val="24"/>
        </w:rPr>
      </w:pPr>
    </w:p>
    <w:p w:rsidR="002527C2" w:rsidRPr="002527C2" w:rsidRDefault="000741EC" w:rsidP="0012759E">
      <w:pPr>
        <w:rPr>
          <w:rFonts w:cs="Arial"/>
          <w:b/>
          <w:bCs/>
          <w:u w:val="single"/>
        </w:rPr>
      </w:pPr>
      <w:r w:rsidRPr="000741EC">
        <w:rPr>
          <w:rFonts w:cs="Arial"/>
          <w:b/>
          <w:bCs/>
          <w:u w:val="single"/>
        </w:rPr>
        <w:lastRenderedPageBreak/>
        <w:t>Process</w:t>
      </w:r>
    </w:p>
    <w:p w:rsidR="002527C2" w:rsidRPr="002527C2" w:rsidRDefault="002527C2" w:rsidP="002527C2">
      <w:pPr>
        <w:rPr>
          <w:rFonts w:cs="Arial"/>
          <w:bCs/>
          <w:sz w:val="24"/>
          <w:szCs w:val="24"/>
        </w:rPr>
      </w:pPr>
    </w:p>
    <w:p w:rsidR="002527C2" w:rsidRPr="000741EC" w:rsidRDefault="002527C2" w:rsidP="002527C2">
      <w:pPr>
        <w:rPr>
          <w:rFonts w:cs="Arial"/>
          <w:bCs/>
        </w:rPr>
      </w:pPr>
      <w:r w:rsidRPr="002527C2">
        <w:rPr>
          <w:rFonts w:cs="Arial"/>
          <w:bCs/>
        </w:rPr>
        <w:t xml:space="preserve">Issue of Invitation to Tender – </w:t>
      </w:r>
      <w:r w:rsidR="0012759E" w:rsidRPr="000741EC">
        <w:rPr>
          <w:rFonts w:cs="Arial"/>
          <w:bCs/>
        </w:rPr>
        <w:t>October 2018</w:t>
      </w:r>
    </w:p>
    <w:p w:rsidR="000741EC" w:rsidRPr="002527C2" w:rsidRDefault="000741EC" w:rsidP="002527C2">
      <w:pPr>
        <w:rPr>
          <w:rFonts w:cs="Arial"/>
          <w:bCs/>
        </w:rPr>
      </w:pPr>
      <w:r w:rsidRPr="000741EC">
        <w:rPr>
          <w:rFonts w:cs="Arial"/>
          <w:bCs/>
        </w:rPr>
        <w:t>Closing Date for Submissions – November 2018</w:t>
      </w:r>
    </w:p>
    <w:p w:rsidR="002527C2" w:rsidRPr="002527C2" w:rsidRDefault="000741EC" w:rsidP="002527C2">
      <w:pPr>
        <w:rPr>
          <w:rFonts w:cs="Arial"/>
          <w:bCs/>
        </w:rPr>
      </w:pPr>
      <w:r w:rsidRPr="000741EC">
        <w:rPr>
          <w:rFonts w:cs="Arial"/>
          <w:bCs/>
        </w:rPr>
        <w:t>Site Visits/Reports – December 2018/January 2019</w:t>
      </w:r>
    </w:p>
    <w:p w:rsidR="002527C2" w:rsidRPr="002527C2" w:rsidRDefault="002527C2" w:rsidP="002527C2">
      <w:pPr>
        <w:rPr>
          <w:rFonts w:cs="Arial"/>
          <w:bCs/>
        </w:rPr>
      </w:pPr>
      <w:r w:rsidRPr="002527C2">
        <w:rPr>
          <w:rFonts w:cs="Arial"/>
          <w:bCs/>
        </w:rPr>
        <w:t>A</w:t>
      </w:r>
      <w:r w:rsidR="000741EC" w:rsidRPr="000741EC">
        <w:rPr>
          <w:rFonts w:cs="Arial"/>
          <w:bCs/>
        </w:rPr>
        <w:t>pprovals and Stand</w:t>
      </w:r>
      <w:r w:rsidRPr="002527C2">
        <w:rPr>
          <w:rFonts w:cs="Arial"/>
          <w:bCs/>
        </w:rPr>
        <w:t xml:space="preserve">still period – </w:t>
      </w:r>
      <w:r w:rsidR="000741EC" w:rsidRPr="000741EC">
        <w:rPr>
          <w:rFonts w:cs="Arial"/>
          <w:bCs/>
        </w:rPr>
        <w:t>January 2019</w:t>
      </w:r>
    </w:p>
    <w:p w:rsidR="002527C2" w:rsidRPr="002527C2" w:rsidRDefault="002527C2" w:rsidP="002527C2">
      <w:pPr>
        <w:rPr>
          <w:rFonts w:cs="Arial"/>
          <w:bCs/>
        </w:rPr>
      </w:pPr>
      <w:r w:rsidRPr="002527C2">
        <w:rPr>
          <w:rFonts w:cs="Arial"/>
          <w:bCs/>
        </w:rPr>
        <w:t xml:space="preserve">Contract Award </w:t>
      </w:r>
      <w:r w:rsidR="000741EC" w:rsidRPr="000741EC">
        <w:rPr>
          <w:rFonts w:cs="Arial"/>
          <w:bCs/>
        </w:rPr>
        <w:t>-</w:t>
      </w:r>
      <w:r w:rsidRPr="002527C2">
        <w:rPr>
          <w:rFonts w:cs="Arial"/>
          <w:bCs/>
        </w:rPr>
        <w:t xml:space="preserve"> January 2018</w:t>
      </w:r>
    </w:p>
    <w:p w:rsidR="002527C2" w:rsidRPr="002527C2" w:rsidRDefault="000741EC" w:rsidP="002527C2">
      <w:pPr>
        <w:rPr>
          <w:rFonts w:cs="Arial"/>
          <w:bCs/>
        </w:rPr>
      </w:pPr>
      <w:r w:rsidRPr="000741EC">
        <w:rPr>
          <w:rFonts w:cs="Arial"/>
          <w:bCs/>
        </w:rPr>
        <w:t>Implementation Meeting – January 2019</w:t>
      </w:r>
    </w:p>
    <w:p w:rsidR="002527C2" w:rsidRPr="002527C2" w:rsidRDefault="002527C2" w:rsidP="002527C2">
      <w:pPr>
        <w:rPr>
          <w:rFonts w:cs="Arial"/>
          <w:bCs/>
        </w:rPr>
      </w:pPr>
      <w:r w:rsidRPr="002527C2">
        <w:rPr>
          <w:rFonts w:cs="Arial"/>
          <w:bCs/>
        </w:rPr>
        <w:t>Contract Commencement – 1</w:t>
      </w:r>
      <w:r w:rsidRPr="002527C2">
        <w:rPr>
          <w:rFonts w:cs="Arial"/>
          <w:bCs/>
          <w:vertAlign w:val="superscript"/>
        </w:rPr>
        <w:t>st</w:t>
      </w:r>
      <w:r w:rsidR="000741EC" w:rsidRPr="000741EC">
        <w:rPr>
          <w:rFonts w:cs="Arial"/>
          <w:bCs/>
        </w:rPr>
        <w:t xml:space="preserve"> February 2019</w:t>
      </w:r>
    </w:p>
    <w:p w:rsidR="002527C2" w:rsidRPr="002527C2" w:rsidRDefault="002527C2" w:rsidP="002527C2">
      <w:pPr>
        <w:rPr>
          <w:rFonts w:cs="Arial"/>
          <w:bCs/>
        </w:rPr>
      </w:pPr>
    </w:p>
    <w:p w:rsidR="002527C2" w:rsidRPr="000741EC" w:rsidRDefault="002527C2" w:rsidP="001847D1">
      <w:pPr>
        <w:jc w:val="both"/>
        <w:rPr>
          <w:rFonts w:cs="Arial"/>
          <w:color w:val="000000"/>
        </w:rPr>
      </w:pPr>
    </w:p>
    <w:p w:rsidR="001847D1" w:rsidRPr="000741EC" w:rsidRDefault="001847D1" w:rsidP="001847D1">
      <w:pPr>
        <w:jc w:val="both"/>
        <w:outlineLvl w:val="0"/>
        <w:rPr>
          <w:rFonts w:cs="Arial"/>
          <w:color w:val="000000"/>
        </w:rPr>
      </w:pPr>
    </w:p>
    <w:p w:rsidR="001847D1" w:rsidRDefault="001847D1" w:rsidP="001847D1">
      <w:pPr>
        <w:rPr>
          <w:b/>
          <w:sz w:val="28"/>
          <w:szCs w:val="28"/>
          <w:u w:val="single"/>
        </w:rPr>
      </w:pPr>
    </w:p>
    <w:p w:rsidR="001847D1" w:rsidRDefault="001847D1" w:rsidP="001847D1">
      <w:pPr>
        <w:rPr>
          <w:b/>
          <w:sz w:val="28"/>
          <w:szCs w:val="28"/>
          <w:u w:val="single"/>
        </w:rPr>
      </w:pPr>
    </w:p>
    <w:p w:rsidR="001847D1" w:rsidRPr="005B4769" w:rsidRDefault="001847D1" w:rsidP="001847D1">
      <w:pPr>
        <w:rPr>
          <w:b/>
          <w:sz w:val="28"/>
          <w:szCs w:val="28"/>
          <w:u w:val="single"/>
        </w:rPr>
      </w:pPr>
    </w:p>
    <w:p w:rsidR="0091565C" w:rsidRDefault="0091565C" w:rsidP="00336D00">
      <w:pPr>
        <w:ind w:left="-180"/>
      </w:pPr>
    </w:p>
    <w:sectPr w:rsidR="0091565C">
      <w:headerReference w:type="default" r:id="rId7"/>
      <w:footerReference w:type="default" r:id="rId8"/>
      <w:type w:val="continuous"/>
      <w:pgSz w:w="11909" w:h="16834" w:code="9"/>
      <w:pgMar w:top="1440" w:right="936" w:bottom="1440" w:left="1267" w:header="706" w:footer="749"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32A5" w:rsidRDefault="009A32A5">
      <w:r>
        <w:separator/>
      </w:r>
    </w:p>
  </w:endnote>
  <w:endnote w:type="continuationSeparator" w:id="0">
    <w:p w:rsidR="009A32A5" w:rsidRDefault="009A3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tura MT Script Capitals">
    <w:panose1 w:val="03020802060602070202"/>
    <w:charset w:val="00"/>
    <w:family w:val="script"/>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5068" w:rsidRDefault="0091565C">
    <w:pPr>
      <w:pStyle w:val="Heading3"/>
      <w:tabs>
        <w:tab w:val="right" w:pos="9720"/>
      </w:tabs>
      <w:rPr>
        <w:sz w:val="12"/>
      </w:rPr>
    </w:pPr>
    <w:r>
      <w:t>This copy is uncontrolled unless printed on ‘Controlled’ paper</w:t>
    </w:r>
    <w:r>
      <w:tab/>
    </w:r>
    <w:r>
      <w:rPr>
        <w:b w:val="0"/>
        <w:sz w:val="12"/>
      </w:rPr>
      <w:t>(Template Version 01/11/13)</w:t>
    </w:r>
  </w:p>
  <w:tbl>
    <w:tblPr>
      <w:tblW w:w="0" w:type="auto"/>
      <w:tblLayout w:type="fixed"/>
      <w:tblLook w:val="0000" w:firstRow="0" w:lastRow="0" w:firstColumn="0" w:lastColumn="0" w:noHBand="0" w:noVBand="0"/>
    </w:tblPr>
    <w:tblGrid>
      <w:gridCol w:w="7128"/>
      <w:gridCol w:w="2790"/>
    </w:tblGrid>
    <w:tr w:rsidR="00D85068">
      <w:tc>
        <w:tcPr>
          <w:tcW w:w="7128" w:type="dxa"/>
        </w:tcPr>
        <w:p w:rsidR="00D85068" w:rsidRDefault="0091565C">
          <w:pPr>
            <w:pStyle w:val="Footer"/>
            <w:spacing w:before="120"/>
            <w:rPr>
              <w:b/>
            </w:rPr>
          </w:pPr>
          <w:r>
            <w:rPr>
              <w:b/>
            </w:rPr>
            <w:t>Author(s):</w:t>
          </w:r>
          <w:r w:rsidR="00336D00">
            <w:rPr>
              <w:b/>
            </w:rPr>
            <w:t xml:space="preserve"> Cathy Miller</w:t>
          </w:r>
        </w:p>
      </w:tc>
      <w:tc>
        <w:tcPr>
          <w:tcW w:w="2790" w:type="dxa"/>
        </w:tcPr>
        <w:p w:rsidR="00D85068" w:rsidRDefault="0091565C">
          <w:pPr>
            <w:pStyle w:val="Footer"/>
            <w:spacing w:before="120"/>
            <w:jc w:val="right"/>
            <w:rPr>
              <w:b/>
            </w:rPr>
          </w:pPr>
          <w:r>
            <w:rPr>
              <w:b/>
            </w:rPr>
            <w:t xml:space="preserve">Page </w:t>
          </w:r>
          <w:r>
            <w:rPr>
              <w:b/>
            </w:rPr>
            <w:fldChar w:fldCharType="begin"/>
          </w:r>
          <w:r>
            <w:rPr>
              <w:b/>
            </w:rPr>
            <w:instrText xml:space="preserve"> PAGE  \* MERGEFORMAT </w:instrText>
          </w:r>
          <w:r>
            <w:rPr>
              <w:b/>
            </w:rPr>
            <w:fldChar w:fldCharType="separate"/>
          </w:r>
          <w:r w:rsidR="005C742A">
            <w:rPr>
              <w:b/>
              <w:noProof/>
            </w:rPr>
            <w:t>1</w:t>
          </w:r>
          <w:r>
            <w:rPr>
              <w:b/>
            </w:rPr>
            <w:fldChar w:fldCharType="end"/>
          </w:r>
          <w:r>
            <w:rPr>
              <w:b/>
            </w:rPr>
            <w:t xml:space="preserve"> of </w:t>
          </w:r>
          <w:r>
            <w:rPr>
              <w:b/>
            </w:rPr>
            <w:fldChar w:fldCharType="begin"/>
          </w:r>
          <w:r>
            <w:rPr>
              <w:b/>
            </w:rPr>
            <w:instrText xml:space="preserve"> NUMPAGES  \* MERGEFORMAT </w:instrText>
          </w:r>
          <w:r>
            <w:rPr>
              <w:b/>
            </w:rPr>
            <w:fldChar w:fldCharType="separate"/>
          </w:r>
          <w:r w:rsidR="005C742A">
            <w:rPr>
              <w:b/>
              <w:noProof/>
            </w:rPr>
            <w:t>2</w:t>
          </w:r>
          <w:r>
            <w:rPr>
              <w:b/>
            </w:rPr>
            <w:fldChar w:fldCharType="end"/>
          </w:r>
        </w:p>
      </w:tc>
    </w:tr>
  </w:tbl>
  <w:p w:rsidR="00D85068" w:rsidRDefault="00D85068">
    <w:pPr>
      <w:pStyle w:val="Foo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32A5" w:rsidRDefault="009A32A5">
      <w:r>
        <w:separator/>
      </w:r>
    </w:p>
  </w:footnote>
  <w:footnote w:type="continuationSeparator" w:id="0">
    <w:p w:rsidR="009A32A5" w:rsidRDefault="009A32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742A" w:rsidRDefault="0091565C" w:rsidP="005C742A">
    <w:pPr>
      <w:pStyle w:val="Header"/>
      <w:ind w:hanging="180"/>
      <w:rPr>
        <w:b/>
        <w:color w:val="44546A" w:themeColor="text2"/>
        <w:sz w:val="24"/>
        <w:szCs w:val="24"/>
      </w:rPr>
    </w:pPr>
    <w:r>
      <w:rPr>
        <w:b/>
        <w:sz w:val="24"/>
      </w:rPr>
      <w:t>SPECIFICATION SPN</w:t>
    </w:r>
    <w:r w:rsidR="005C742A">
      <w:rPr>
        <w:b/>
        <w:sz w:val="24"/>
      </w:rPr>
      <w:t>1319/1</w:t>
    </w:r>
    <w:r>
      <w:rPr>
        <w:b/>
        <w:sz w:val="24"/>
      </w:rPr>
      <w:br/>
    </w:r>
  </w:p>
  <w:p w:rsidR="005C742A" w:rsidRPr="005C742A" w:rsidRDefault="005C742A" w:rsidP="005C742A">
    <w:pPr>
      <w:pStyle w:val="Header"/>
      <w:ind w:hanging="180"/>
      <w:rPr>
        <w:b/>
        <w:sz w:val="24"/>
      </w:rPr>
    </w:pPr>
    <w:r w:rsidRPr="00860122">
      <w:rPr>
        <w:b/>
        <w:color w:val="44546A" w:themeColor="text2"/>
        <w:sz w:val="24"/>
        <w:szCs w:val="24"/>
      </w:rPr>
      <w:t>MEDICAL DECEASED DONATION SIMULATION COURSE</w:t>
    </w:r>
    <w:r w:rsidR="00336D00">
      <w:rPr>
        <w:b/>
        <w:color w:val="44546A" w:themeColor="text2"/>
        <w:sz w:val="24"/>
        <w:szCs w:val="24"/>
      </w:rPr>
      <w:t xml:space="preserve"> </w:t>
    </w:r>
  </w:p>
  <w:p w:rsidR="00D85068" w:rsidRDefault="00D85068">
    <w:pPr>
      <w:pStyle w:val="Header"/>
      <w:pBdr>
        <w:bottom w:val="single" w:sz="6" w:space="1" w:color="auto"/>
      </w:pBdr>
      <w:spacing w:after="240"/>
      <w:ind w:hanging="187"/>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721D9"/>
    <w:multiLevelType w:val="hybridMultilevel"/>
    <w:tmpl w:val="ED2433D2"/>
    <w:lvl w:ilvl="0" w:tplc="08090001">
      <w:start w:val="1"/>
      <w:numFmt w:val="bullet"/>
      <w:lvlText w:val=""/>
      <w:lvlJc w:val="left"/>
      <w:pPr>
        <w:ind w:left="720" w:hanging="360"/>
      </w:pPr>
      <w:rPr>
        <w:rFonts w:ascii="Symbol" w:hAnsi="Symbol" w:hint="default"/>
      </w:rPr>
    </w:lvl>
    <w:lvl w:ilvl="1" w:tplc="74A6876A">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D84B99"/>
    <w:multiLevelType w:val="hybridMultilevel"/>
    <w:tmpl w:val="00AE631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5585A45"/>
    <w:multiLevelType w:val="hybridMultilevel"/>
    <w:tmpl w:val="8B74636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6778366A"/>
    <w:multiLevelType w:val="multilevel"/>
    <w:tmpl w:val="080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15:restartNumberingAfterBreak="0">
    <w:nsid w:val="72BC6DDE"/>
    <w:multiLevelType w:val="hybridMultilevel"/>
    <w:tmpl w:val="6A8E6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65C"/>
    <w:rsid w:val="000741EC"/>
    <w:rsid w:val="0012759E"/>
    <w:rsid w:val="001847D1"/>
    <w:rsid w:val="002527C2"/>
    <w:rsid w:val="00336D00"/>
    <w:rsid w:val="003B2F47"/>
    <w:rsid w:val="003B6313"/>
    <w:rsid w:val="003D7B52"/>
    <w:rsid w:val="003F6F41"/>
    <w:rsid w:val="005C742A"/>
    <w:rsid w:val="0091565C"/>
    <w:rsid w:val="009A32A5"/>
    <w:rsid w:val="009F31A6"/>
    <w:rsid w:val="00A102CD"/>
    <w:rsid w:val="00D85068"/>
    <w:rsid w:val="00DA25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A7E1313"/>
  <w15:chartTrackingRefBased/>
  <w15:docId w15:val="{5DBF9A1F-7B86-4491-BE97-3A0D7FE93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Heading1"/>
    <w:next w:val="Normal"/>
    <w:qFormat/>
    <w:pPr>
      <w:keepNext w:val="0"/>
      <w:tabs>
        <w:tab w:val="left" w:pos="510"/>
      </w:tabs>
      <w:spacing w:before="120" w:after="120"/>
      <w:outlineLvl w:val="1"/>
    </w:pPr>
    <w:rPr>
      <w:kern w:val="0"/>
      <w:sz w:val="20"/>
    </w:rPr>
  </w:style>
  <w:style w:type="paragraph" w:styleId="Heading3">
    <w:name w:val="heading 3"/>
    <w:basedOn w:val="Normal"/>
    <w:next w:val="Normal"/>
    <w:qFormat/>
    <w:pPr>
      <w:keepNext/>
      <w:pBdr>
        <w:top w:val="single" w:sz="6" w:space="1" w:color="auto"/>
      </w:pBdr>
      <w:spacing w:after="240"/>
      <w:outlineLvl w:val="2"/>
    </w:pPr>
    <w:rPr>
      <w:b/>
    </w:rPr>
  </w:style>
  <w:style w:type="paragraph" w:styleId="Heading4">
    <w:name w:val="heading 4"/>
    <w:basedOn w:val="Normal"/>
    <w:next w:val="Normal"/>
    <w:qFormat/>
    <w:pPr>
      <w:keepNext/>
      <w:spacing w:before="60" w:after="60"/>
      <w:jc w:val="center"/>
      <w:outlineLvl w:val="3"/>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ncy1">
    <w:name w:val="Fancy 1"/>
    <w:basedOn w:val="Normal"/>
    <w:rPr>
      <w:rFonts w:ascii="Matura MT Script Capitals" w:hAnsi="Matura MT Script Capitals"/>
      <w:sz w:val="36"/>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FrontPage">
    <w:name w:val="FrontPage"/>
    <w:basedOn w:val="Normal"/>
    <w:pPr>
      <w:tabs>
        <w:tab w:val="left" w:pos="510"/>
      </w:tabs>
      <w:spacing w:before="60" w:after="60"/>
    </w:pPr>
  </w:style>
  <w:style w:type="paragraph" w:customStyle="1" w:styleId="TableDetail">
    <w:name w:val="TableDetail"/>
    <w:basedOn w:val="Normal"/>
    <w:pPr>
      <w:tabs>
        <w:tab w:val="left" w:pos="510"/>
      </w:tabs>
      <w:spacing w:before="60" w:after="60"/>
      <w:ind w:left="510" w:hanging="510"/>
    </w:pPr>
  </w:style>
  <w:style w:type="paragraph" w:styleId="BodyText">
    <w:name w:val="Body Text"/>
    <w:basedOn w:val="Normal"/>
    <w:rPr>
      <w:sz w:val="24"/>
      <w:lang w:eastAsia="en-US"/>
    </w:rPr>
  </w:style>
  <w:style w:type="paragraph" w:styleId="ListParagraph">
    <w:name w:val="List Paragraph"/>
    <w:basedOn w:val="Normal"/>
    <w:uiPriority w:val="34"/>
    <w:qFormat/>
    <w:rsid w:val="001847D1"/>
    <w:pPr>
      <w:ind w:left="720"/>
      <w:contextualSpacing/>
    </w:pPr>
  </w:style>
  <w:style w:type="paragraph" w:styleId="NoSpacing">
    <w:name w:val="No Spacing"/>
    <w:link w:val="NoSpacingChar"/>
    <w:uiPriority w:val="1"/>
    <w:qFormat/>
    <w:rsid w:val="003D7B52"/>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3D7B52"/>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001%20National%20Share\001%20Everyone\003%20NBS%20Templates\All%20Document%20Control%20Templates\SP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SPN.dot</Template>
  <TotalTime>2</TotalTime>
  <Pages>7</Pages>
  <Words>2104</Words>
  <Characters>12078</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SPN/</vt:lpstr>
    </vt:vector>
  </TitlesOfParts>
  <Company>National Blood Servcie</Company>
  <LinksUpToDate>false</LinksUpToDate>
  <CharactersWithSpaces>14154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SPN/</dc:title>
  <dc:subject>Template for Specifications</dc:subject>
  <dc:creator>Rivers Amanda</dc:creator>
  <cp:keywords/>
  <dc:description/>
  <cp:lastModifiedBy>Rosalind Gill</cp:lastModifiedBy>
  <cp:revision>2</cp:revision>
  <cp:lastPrinted>2008-10-08T10:01:00Z</cp:lastPrinted>
  <dcterms:created xsi:type="dcterms:W3CDTF">2018-10-24T08:34:00Z</dcterms:created>
  <dcterms:modified xsi:type="dcterms:W3CDTF">2018-10-24T08:34:00Z</dcterms:modified>
</cp:coreProperties>
</file>