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C83" w:rsidRDefault="001F1C83" w:rsidP="00E73B37">
      <w:pPr>
        <w:pStyle w:val="Body"/>
        <w:jc w:val="center"/>
        <w:rPr>
          <w:b/>
        </w:rPr>
      </w:pPr>
      <w:bookmarkStart w:id="0" w:name="_GoBack"/>
      <w:bookmarkEnd w:id="0"/>
    </w:p>
    <w:p w:rsidR="00012478" w:rsidRPr="00E73B37" w:rsidRDefault="001F1C83" w:rsidP="00E73B37">
      <w:pPr>
        <w:pStyle w:val="Body"/>
        <w:jc w:val="center"/>
        <w:rPr>
          <w:b/>
        </w:rPr>
      </w:pPr>
      <w:r>
        <w:rPr>
          <w:b/>
        </w:rPr>
        <w:t>S</w:t>
      </w:r>
      <w:r w:rsidRPr="001F1C83">
        <w:rPr>
          <w:b/>
        </w:rPr>
        <w:t>trengthening and Empowering Delivery of the Covenant - Evaluation and Support</w:t>
      </w:r>
    </w:p>
    <w:p w:rsidR="00E73B37" w:rsidRPr="00E73B37" w:rsidRDefault="00785517" w:rsidP="00E73B37">
      <w:pPr>
        <w:pStyle w:val="Body"/>
        <w:jc w:val="center"/>
        <w:rPr>
          <w:b/>
        </w:rPr>
      </w:pPr>
      <w:r>
        <w:rPr>
          <w:b/>
        </w:rPr>
        <w:t>Clarification Document</w:t>
      </w:r>
    </w:p>
    <w:p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rsidR="00E133B4" w:rsidRPr="00E133B4" w:rsidRDefault="001F1C83" w:rsidP="001F1C83">
            <w:p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Would</w:t>
            </w:r>
            <w:r w:rsidRPr="001F1C83">
              <w:rPr>
                <w:rFonts w:cstheme="minorBidi"/>
              </w:rPr>
              <w:t xml:space="preserve"> you prefer to host these online tools yourselves or are you looking for an alternative provider to host?</w:t>
            </w:r>
          </w:p>
        </w:tc>
        <w:tc>
          <w:tcPr>
            <w:tcW w:w="5245" w:type="dxa"/>
            <w:tcBorders>
              <w:top w:val="single" w:sz="8" w:space="0" w:color="FFFFFF"/>
              <w:left w:val="single" w:sz="8" w:space="0" w:color="FFFFFF"/>
              <w:bottom w:val="single" w:sz="8" w:space="0" w:color="FFFFFF"/>
              <w:right w:val="nil"/>
            </w:tcBorders>
          </w:tcPr>
          <w:p w:rsidR="001F1C83" w:rsidRDefault="001F1C83" w:rsidP="001F1C83">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Digital Toolkit will be hosted by the Trust. Please see paragraph 2.8 of the Specification in the ITT. This reads: </w:t>
            </w:r>
          </w:p>
          <w:p w:rsidR="001F1C83" w:rsidRDefault="001F1C83" w:rsidP="001F1C83">
            <w:pPr>
              <w:jc w:val="left"/>
              <w:cnfStyle w:val="000000100000" w:firstRow="0" w:lastRow="0" w:firstColumn="0" w:lastColumn="0" w:oddVBand="0" w:evenVBand="0" w:oddHBand="1" w:evenHBand="0" w:firstRowFirstColumn="0" w:firstRowLastColumn="0" w:lastRowFirstColumn="0" w:lastRowLastColumn="0"/>
              <w:rPr>
                <w:rFonts w:cs="Arial"/>
              </w:rPr>
            </w:pPr>
          </w:p>
          <w:p w:rsidR="00E133B4" w:rsidRPr="00E133B4" w:rsidRDefault="001F1C83" w:rsidP="001F1C83">
            <w:pPr>
              <w:jc w:val="left"/>
              <w:cnfStyle w:val="000000100000" w:firstRow="0" w:lastRow="0" w:firstColumn="0" w:lastColumn="0" w:oddVBand="0" w:evenVBand="0" w:oddHBand="1" w:evenHBand="0" w:firstRowFirstColumn="0" w:firstRowLastColumn="0" w:lastRowFirstColumn="0" w:lastRowLastColumn="0"/>
            </w:pPr>
            <w:r>
              <w:rPr>
                <w:rFonts w:cs="Arial"/>
              </w:rPr>
              <w:t>“</w:t>
            </w:r>
            <w:r w:rsidRPr="001F1C83">
              <w:rPr>
                <w:rFonts w:cs="Arial"/>
              </w:rPr>
              <w:t>2.8</w:t>
            </w:r>
            <w:r w:rsidRPr="001F1C83">
              <w:rPr>
                <w:rFonts w:cs="Arial"/>
              </w:rPr>
              <w:tab/>
              <w:t>The Digital Toolkit will be hosted on the Trust’s website. The Trust is currently developing an online repository to enable better dissemination of resources developed by grant holders. The development of the repository is not in the scope of this Contract. The Contractor must ensure that resources are compatible with the technical specifications of the online repository. The repository will have the capability to host e-learning modules produced to SCORM specifications. Any e-learning content included in the Digital Toolkit must be SCORM compliant</w:t>
            </w:r>
            <w:r>
              <w:rPr>
                <w:rFonts w:cs="Arial"/>
              </w:rPr>
              <w:t xml:space="preserve">.”  </w:t>
            </w:r>
          </w:p>
          <w:p w:rsidR="00E133B4" w:rsidRPr="00E133B4" w:rsidRDefault="00E133B4" w:rsidP="00E133B4">
            <w:pPr>
              <w:cnfStyle w:val="000000100000" w:firstRow="0" w:lastRow="0" w:firstColumn="0" w:lastColumn="0" w:oddVBand="0" w:evenVBand="0" w:oddHBand="1" w:evenHBand="0" w:firstRowFirstColumn="0" w:firstRowLastColumn="0" w:lastRowFirstColumn="0" w:lastRowLastColumn="0"/>
              <w:rPr>
                <w:rFonts w:cs="Arial"/>
                <w:b/>
              </w:rPr>
            </w:pPr>
          </w:p>
          <w:p w:rsidR="00E133B4" w:rsidRPr="00E133B4" w:rsidRDefault="00E133B4" w:rsidP="00E133B4">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p>
        </w:tc>
      </w:tr>
      <w:tr w:rsidR="009445FC"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rsidR="009445FC" w:rsidRDefault="009445FC"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9445FC">
              <w:rPr>
                <w:rFonts w:cstheme="minorBidi"/>
              </w:rPr>
              <w:t>Please could you clarify whether any part of the Digital Toolkit or other deliverables are expected to be translated into Welsh?</w:t>
            </w:r>
          </w:p>
        </w:tc>
        <w:tc>
          <w:tcPr>
            <w:tcW w:w="5245" w:type="dxa"/>
            <w:tcBorders>
              <w:top w:val="single" w:sz="8" w:space="0" w:color="FFFFFF"/>
              <w:left w:val="single" w:sz="8" w:space="0" w:color="FFFFFF"/>
              <w:bottom w:val="single" w:sz="8" w:space="0" w:color="FFFFFF"/>
              <w:right w:val="nil"/>
            </w:tcBorders>
          </w:tcPr>
          <w:p w:rsidR="009445FC" w:rsidRDefault="009445FC" w:rsidP="001F1C83">
            <w:pPr>
              <w:jc w:val="lef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Bidders must cost </w:t>
            </w:r>
            <w:r w:rsidR="002236F6">
              <w:rPr>
                <w:rFonts w:cs="Arial"/>
              </w:rPr>
              <w:t xml:space="preserve">(within the Trust’s stated budget) for </w:t>
            </w:r>
            <w:r>
              <w:rPr>
                <w:rFonts w:cs="Arial"/>
              </w:rPr>
              <w:t xml:space="preserve">translation for all potential </w:t>
            </w:r>
            <w:r w:rsidR="002236F6">
              <w:rPr>
                <w:rFonts w:cs="Arial"/>
              </w:rPr>
              <w:t>public</w:t>
            </w:r>
            <w:r>
              <w:rPr>
                <w:rFonts w:cs="Arial"/>
              </w:rPr>
              <w:t xml:space="preserve"> facing deliverables, i.e. Digital Toolkit content, Interim Evaluation Report and the Final Evaluation Report. </w:t>
            </w:r>
          </w:p>
          <w:p w:rsidR="009445FC" w:rsidRDefault="009445FC" w:rsidP="001F1C83">
            <w:pPr>
              <w:jc w:val="left"/>
              <w:cnfStyle w:val="000000010000" w:firstRow="0" w:lastRow="0" w:firstColumn="0" w:lastColumn="0" w:oddVBand="0" w:evenVBand="0" w:oddHBand="0" w:evenHBand="1" w:firstRowFirstColumn="0" w:firstRowLastColumn="0" w:lastRowFirstColumn="0" w:lastRowLastColumn="0"/>
              <w:rPr>
                <w:rFonts w:cs="Arial"/>
              </w:rPr>
            </w:pPr>
          </w:p>
          <w:p w:rsidR="002236F6" w:rsidRDefault="002236F6" w:rsidP="001F1C83">
            <w:pPr>
              <w:jc w:val="lef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The Trust may during the contract decide not to translate the above or undertake the translation internally or through a third party. </w:t>
            </w:r>
          </w:p>
          <w:p w:rsidR="009445FC" w:rsidRDefault="009445FC" w:rsidP="001F1C83">
            <w:pPr>
              <w:jc w:val="lef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  </w:t>
            </w:r>
          </w:p>
        </w:tc>
      </w:tr>
      <w:tr w:rsidR="002F5A9F"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rsidR="002F5A9F" w:rsidRPr="009445FC" w:rsidRDefault="002F5A9F"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2F5A9F">
              <w:rPr>
                <w:rFonts w:cstheme="minorBidi"/>
              </w:rPr>
              <w:t xml:space="preserve">Can you detail the technical specifications of the online repository? Including Content Management System and server set-up  </w:t>
            </w:r>
          </w:p>
        </w:tc>
        <w:tc>
          <w:tcPr>
            <w:tcW w:w="5245" w:type="dxa"/>
            <w:tcBorders>
              <w:top w:val="single" w:sz="8" w:space="0" w:color="FFFFFF"/>
              <w:left w:val="single" w:sz="8" w:space="0" w:color="FFFFFF"/>
              <w:bottom w:val="single" w:sz="8" w:space="0" w:color="FFFFFF"/>
              <w:right w:val="nil"/>
            </w:tcBorders>
          </w:tcPr>
          <w:p w:rsidR="002F5A9F" w:rsidRDefault="002F5A9F" w:rsidP="002F5A9F">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Trust is in the process of developing the repository and is not in a position at this stage to share further details other than those set out in the ITT. </w:t>
            </w:r>
          </w:p>
        </w:tc>
      </w:tr>
      <w:tr w:rsidR="002F5A9F"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rsidR="002F5A9F" w:rsidRPr="009445FC" w:rsidRDefault="002F5A9F"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2F5A9F">
              <w:rPr>
                <w:rFonts w:cstheme="minorBidi"/>
              </w:rPr>
              <w:t>Regarding the implementation of the digital tool kit, can you confirm if the winning bidder will be responsible for upload and installation of developed resources within the repository, or if the Trust’s technical team will complete this element?</w:t>
            </w:r>
          </w:p>
        </w:tc>
        <w:tc>
          <w:tcPr>
            <w:tcW w:w="5245" w:type="dxa"/>
            <w:tcBorders>
              <w:top w:val="single" w:sz="8" w:space="0" w:color="FFFFFF"/>
              <w:left w:val="single" w:sz="8" w:space="0" w:color="FFFFFF"/>
              <w:bottom w:val="single" w:sz="8" w:space="0" w:color="FFFFFF"/>
              <w:right w:val="nil"/>
            </w:tcBorders>
          </w:tcPr>
          <w:p w:rsidR="002F5A9F" w:rsidRDefault="002F5A9F" w:rsidP="001F1C83">
            <w:pPr>
              <w:jc w:val="lef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The Trust will complete this task. </w:t>
            </w:r>
          </w:p>
        </w:tc>
      </w:tr>
      <w:tr w:rsidR="002F5A9F"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rsidR="002F5A9F" w:rsidRDefault="002F5A9F" w:rsidP="00E133B4">
            <w:pPr>
              <w:pStyle w:val="Body"/>
              <w:jc w:val="center"/>
            </w:pPr>
            <w:r>
              <w:t>5</w:t>
            </w:r>
          </w:p>
        </w:tc>
        <w:tc>
          <w:tcPr>
            <w:tcW w:w="4537" w:type="dxa"/>
            <w:tcBorders>
              <w:top w:val="single" w:sz="8" w:space="0" w:color="FFFFFF"/>
              <w:left w:val="single" w:sz="8" w:space="0" w:color="FFFFFF"/>
              <w:bottom w:val="single" w:sz="8" w:space="0" w:color="FFFFFF"/>
              <w:right w:val="single" w:sz="8" w:space="0" w:color="FFFFFF"/>
            </w:tcBorders>
          </w:tcPr>
          <w:p w:rsidR="002F5A9F" w:rsidRPr="009445FC" w:rsidRDefault="002F5A9F" w:rsidP="002F5A9F">
            <w:pPr>
              <w:cnfStyle w:val="000000100000" w:firstRow="0" w:lastRow="0" w:firstColumn="0" w:lastColumn="0" w:oddVBand="0" w:evenVBand="0" w:oddHBand="1" w:evenHBand="0" w:firstRowFirstColumn="0" w:firstRowLastColumn="0" w:lastRowFirstColumn="0" w:lastRowLastColumn="0"/>
              <w:rPr>
                <w:rFonts w:cstheme="minorBidi"/>
              </w:rPr>
            </w:pPr>
            <w:r w:rsidRPr="002F5A9F">
              <w:rPr>
                <w:rFonts w:cstheme="minorBidi"/>
              </w:rPr>
              <w:t>Can you clarify if you expect research to be carried out with end-users (those the programme is delivered to), or just those delivering the programme (local authorities, etc)?</w:t>
            </w:r>
          </w:p>
        </w:tc>
        <w:tc>
          <w:tcPr>
            <w:tcW w:w="5245" w:type="dxa"/>
            <w:tcBorders>
              <w:top w:val="single" w:sz="8" w:space="0" w:color="FFFFFF"/>
              <w:left w:val="single" w:sz="8" w:space="0" w:color="FFFFFF"/>
              <w:bottom w:val="single" w:sz="8" w:space="0" w:color="FFFFFF"/>
              <w:right w:val="nil"/>
            </w:tcBorders>
          </w:tcPr>
          <w:p w:rsidR="002F5A9F" w:rsidRDefault="002F5A9F" w:rsidP="002F5A9F">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We would expect research to be undertaken with local authorities as a minimum. It is up to bidder to decide if research with end users will add value to the evaluation. </w:t>
            </w:r>
          </w:p>
          <w:p w:rsidR="002F5A9F" w:rsidRDefault="002F5A9F" w:rsidP="002F5A9F">
            <w:pPr>
              <w:jc w:val="left"/>
              <w:cnfStyle w:val="000000100000" w:firstRow="0" w:lastRow="0" w:firstColumn="0" w:lastColumn="0" w:oddVBand="0" w:evenVBand="0" w:oddHBand="1" w:evenHBand="0" w:firstRowFirstColumn="0" w:firstRowLastColumn="0" w:lastRowFirstColumn="0" w:lastRowLastColumn="0"/>
              <w:rPr>
                <w:rFonts w:cs="Arial"/>
              </w:rPr>
            </w:pPr>
          </w:p>
          <w:p w:rsidR="002F5A9F" w:rsidRDefault="002F5A9F" w:rsidP="002F5A9F">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As mentioned in the ITT, </w:t>
            </w:r>
            <w:r w:rsidRPr="002F5A9F">
              <w:rPr>
                <w:rFonts w:cs="Arial"/>
              </w:rPr>
              <w:t>the Trust does not wish to constrain Bidders in terms of the design and methods for the evaluation and is open to proposals that meet the aims of the Contract and that will address the issues</w:t>
            </w:r>
            <w:r>
              <w:rPr>
                <w:rFonts w:cs="Arial"/>
              </w:rPr>
              <w:t xml:space="preserve"> listed in the ITT</w:t>
            </w:r>
            <w:r w:rsidRPr="002F5A9F">
              <w:rPr>
                <w:rFonts w:cs="Arial"/>
              </w:rPr>
              <w:t>. Bidders must explain the design and methods of the evaluation, and how they will produce robust and relevant evidence in order to deliver the evaluation work stream.</w:t>
            </w:r>
            <w:r>
              <w:rPr>
                <w:rFonts w:cs="Arial"/>
              </w:rPr>
              <w:t xml:space="preserve"> </w:t>
            </w:r>
          </w:p>
        </w:tc>
      </w:tr>
    </w:tbl>
    <w:p w:rsidR="00E73B37" w:rsidRPr="00AD554A" w:rsidRDefault="00E73B37" w:rsidP="00E73B37">
      <w:pPr>
        <w:pStyle w:val="Body"/>
        <w:jc w:val="center"/>
      </w:pPr>
    </w:p>
    <w:sectPr w:rsidR="00E73B37" w:rsidRPr="00AD554A" w:rsidSect="00015B98">
      <w:headerReference w:type="even" r:id="rId7"/>
      <w:headerReference w:type="default" r:id="rId8"/>
      <w:footerReference w:type="even" r:id="rId9"/>
      <w:footerReference w:type="default" r:id="rId10"/>
      <w:headerReference w:type="first" r:id="rId11"/>
      <w:footerReference w:type="first" r:id="rId12"/>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72" w:rsidRDefault="00B73572">
      <w:r>
        <w:separator/>
      </w:r>
    </w:p>
  </w:endnote>
  <w:endnote w:type="continuationSeparator" w:id="0">
    <w:p w:rsidR="00B73572" w:rsidRDefault="00B7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4EC" w:rsidRDefault="005E45A3">
    <w:pPr>
      <w:pStyle w:val="Footer"/>
    </w:pPr>
    <w:r>
      <w:tab/>
    </w:r>
    <w:r>
      <w:tab/>
    </w:r>
    <w:fldSimple w:instr=" KEYWORDS  \* MERGEFORMAT ">
      <w:r w:rsidR="007C4AC4">
        <w:t>50511.6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E06" w:rsidRDefault="00143E06" w:rsidP="00143E06">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7C4AC4">
      <w:rPr>
        <w:rFonts w:cs="Arial"/>
      </w:rPr>
      <w:t>WORK\37229041\v.3</w:t>
    </w:r>
    <w:r>
      <w:rPr>
        <w:rFonts w:cs="Arial"/>
      </w:rPr>
      <w:fldChar w:fldCharType="end"/>
    </w:r>
    <w:r w:rsidRPr="00143E06">
      <w:rPr>
        <w:rFonts w:cs="Arial"/>
      </w:rPr>
      <w:tab/>
    </w:r>
    <w:r>
      <w:rPr>
        <w:rFonts w:cs="Arial"/>
      </w:rPr>
      <w:fldChar w:fldCharType="begin"/>
    </w:r>
    <w:r>
      <w:rPr>
        <w:rFonts w:cs="Arial"/>
      </w:rPr>
      <w:instrText xml:space="preserve"> PAGE  \* MERGEFORMAT </w:instrText>
    </w:r>
    <w:r>
      <w:rPr>
        <w:rFonts w:cs="Arial"/>
      </w:rPr>
      <w:fldChar w:fldCharType="separate"/>
    </w:r>
    <w:r w:rsidR="007C4AC4">
      <w:rPr>
        <w:rFonts w:cs="Arial"/>
        <w:noProof/>
      </w:rPr>
      <w:t>2</w:t>
    </w:r>
    <w:r>
      <w:rPr>
        <w:rFonts w:cs="Arial"/>
      </w:rPr>
      <w:fldChar w:fldCharType="end"/>
    </w:r>
    <w:r w:rsidRPr="00143E06">
      <w:rPr>
        <w:rFonts w:cs="Arial"/>
      </w:rPr>
      <w:tab/>
    </w:r>
    <w:r>
      <w:rPr>
        <w:rFonts w:cs="Arial"/>
      </w:rPr>
      <w:fldChar w:fldCharType="begin"/>
    </w:r>
    <w:r>
      <w:rPr>
        <w:rFonts w:cs="Arial"/>
      </w:rPr>
      <w:instrText xml:space="preserve"> KEYWORDS  \* MERGEFORMAT </w:instrText>
    </w:r>
    <w:r>
      <w:rPr>
        <w:rFonts w:cs="Arial"/>
      </w:rPr>
      <w:fldChar w:fldCharType="separate"/>
    </w:r>
    <w:r w:rsidR="007C4AC4">
      <w:rPr>
        <w:rFonts w:cs="Arial"/>
      </w:rPr>
      <w:t>50511.6</w:t>
    </w:r>
    <w:r>
      <w:rPr>
        <w:rFonts w:cs="Arial"/>
      </w:rPr>
      <w:fldChar w:fldCharType="end"/>
    </w:r>
  </w:p>
  <w:p w:rsidR="00A920AB" w:rsidRPr="00143E06" w:rsidRDefault="00143E06" w:rsidP="00143E06">
    <w:pPr>
      <w:pStyle w:val="Footer"/>
      <w:tabs>
        <w:tab w:val="clear" w:pos="4240"/>
        <w:tab w:val="clear" w:pos="8460"/>
        <w:tab w:val="center" w:pos="4280"/>
        <w:tab w:val="right" w:pos="8561"/>
      </w:tabs>
      <w:jc w:val="right"/>
      <w:rPr>
        <w:rFonts w:cs="Arial"/>
      </w:rPr>
    </w:pPr>
    <w:r w:rsidRPr="00143E06">
      <w:rPr>
        <w:rFonts w:cs="Arial"/>
      </w:rPr>
      <w:t xml:space="preserve">Classification: </w:t>
    </w:r>
    <w:r w:rsidRPr="00143E06">
      <w:rPr>
        <w:rFonts w:cs="Arial"/>
        <w:bCs/>
        <w:lang w:val="en-US"/>
      </w:rPr>
      <w:fldChar w:fldCharType="begin"/>
    </w:r>
    <w:r w:rsidRPr="00143E06">
      <w:rPr>
        <w:rFonts w:cs="Arial"/>
        <w:bCs/>
        <w:lang w:val="en-US"/>
      </w:rPr>
      <w:instrText xml:space="preserve"> DOCVARIABLE "BS_DocClassDescr"  \* MERGEFORMAT </w:instrText>
    </w:r>
    <w:r w:rsidRPr="00143E06">
      <w:rPr>
        <w:rFonts w:cs="Arial"/>
        <w:bCs/>
        <w:lang w:val="en-US"/>
      </w:rPr>
      <w:fldChar w:fldCharType="separate"/>
    </w:r>
    <w:r w:rsidR="007C4AC4">
      <w:rPr>
        <w:rFonts w:cs="Arial"/>
        <w:bCs/>
        <w:lang w:val="en-US"/>
      </w:rPr>
      <w:t>Confidential</w:t>
    </w:r>
    <w:r w:rsidRPr="00143E06">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E06" w:rsidRDefault="00143E06" w:rsidP="00143E06">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7C4AC4">
      <w:rPr>
        <w:rFonts w:cs="Arial"/>
      </w:rPr>
      <w:t>WORK\37229041\v.3</w:t>
    </w:r>
    <w:r>
      <w:rPr>
        <w:rFonts w:cs="Arial"/>
      </w:rPr>
      <w:fldChar w:fldCharType="end"/>
    </w:r>
    <w:r w:rsidRPr="00143E06">
      <w:rPr>
        <w:rFonts w:cs="Arial"/>
      </w:rPr>
      <w:tab/>
    </w:r>
    <w:r>
      <w:rPr>
        <w:rFonts w:cs="Arial"/>
      </w:rPr>
      <w:fldChar w:fldCharType="begin"/>
    </w:r>
    <w:r>
      <w:rPr>
        <w:rFonts w:cs="Arial"/>
      </w:rPr>
      <w:instrText xml:space="preserve"> PAGE  \* MERGEFORMAT </w:instrText>
    </w:r>
    <w:r>
      <w:rPr>
        <w:rFonts w:cs="Arial"/>
      </w:rPr>
      <w:fldChar w:fldCharType="separate"/>
    </w:r>
    <w:r w:rsidR="007C4AC4">
      <w:rPr>
        <w:rFonts w:cs="Arial"/>
        <w:noProof/>
      </w:rPr>
      <w:t>1</w:t>
    </w:r>
    <w:r>
      <w:rPr>
        <w:rFonts w:cs="Arial"/>
      </w:rPr>
      <w:fldChar w:fldCharType="end"/>
    </w:r>
    <w:r w:rsidRPr="00143E06">
      <w:rPr>
        <w:rFonts w:cs="Arial"/>
      </w:rPr>
      <w:tab/>
    </w:r>
    <w:r>
      <w:rPr>
        <w:rFonts w:cs="Arial"/>
      </w:rPr>
      <w:fldChar w:fldCharType="begin"/>
    </w:r>
    <w:r>
      <w:rPr>
        <w:rFonts w:cs="Arial"/>
      </w:rPr>
      <w:instrText xml:space="preserve"> KEYWORDS  \* MERGEFORMAT </w:instrText>
    </w:r>
    <w:r>
      <w:rPr>
        <w:rFonts w:cs="Arial"/>
      </w:rPr>
      <w:fldChar w:fldCharType="separate"/>
    </w:r>
    <w:r w:rsidR="007C4AC4">
      <w:rPr>
        <w:rFonts w:cs="Arial"/>
      </w:rPr>
      <w:t>50511.6</w:t>
    </w:r>
    <w:r>
      <w:rPr>
        <w:rFonts w:cs="Arial"/>
      </w:rPr>
      <w:fldChar w:fldCharType="end"/>
    </w:r>
  </w:p>
  <w:p w:rsidR="00A920AB" w:rsidRPr="00143E06" w:rsidRDefault="00143E06" w:rsidP="00143E06">
    <w:pPr>
      <w:pStyle w:val="Footer"/>
      <w:tabs>
        <w:tab w:val="clear" w:pos="4240"/>
        <w:tab w:val="clear" w:pos="8460"/>
        <w:tab w:val="center" w:pos="4280"/>
        <w:tab w:val="right" w:pos="8561"/>
      </w:tabs>
      <w:jc w:val="right"/>
      <w:rPr>
        <w:rFonts w:cs="Arial"/>
      </w:rPr>
    </w:pPr>
    <w:r w:rsidRPr="00143E06">
      <w:rPr>
        <w:rFonts w:cs="Arial"/>
      </w:rPr>
      <w:t xml:space="preserve">Classification: </w:t>
    </w:r>
    <w:r w:rsidRPr="00143E06">
      <w:rPr>
        <w:rFonts w:cs="Arial"/>
        <w:bCs/>
        <w:lang w:val="en-US"/>
      </w:rPr>
      <w:fldChar w:fldCharType="begin"/>
    </w:r>
    <w:r w:rsidRPr="00143E06">
      <w:rPr>
        <w:rFonts w:cs="Arial"/>
        <w:bCs/>
        <w:lang w:val="en-US"/>
      </w:rPr>
      <w:instrText xml:space="preserve"> DOCVARIABLE "BS_DocClassDescr"  \* MERGEFORMAT </w:instrText>
    </w:r>
    <w:r w:rsidRPr="00143E06">
      <w:rPr>
        <w:rFonts w:cs="Arial"/>
        <w:bCs/>
        <w:lang w:val="en-US"/>
      </w:rPr>
      <w:fldChar w:fldCharType="separate"/>
    </w:r>
    <w:r w:rsidR="007C4AC4">
      <w:rPr>
        <w:rFonts w:cs="Arial"/>
        <w:bCs/>
        <w:lang w:val="en-US"/>
      </w:rPr>
      <w:t>Confidential</w:t>
    </w:r>
    <w:r w:rsidRPr="00143E06">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72" w:rsidRDefault="00B73572">
      <w:r>
        <w:separator/>
      </w:r>
    </w:p>
  </w:footnote>
  <w:footnote w:type="continuationSeparator" w:id="0">
    <w:p w:rsidR="00B73572" w:rsidRDefault="00B7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E06" w:rsidRDefault="00143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E06" w:rsidRDefault="00143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B37" w:rsidRDefault="00E73B37" w:rsidP="00E73B37">
    <w:pPr>
      <w:pStyle w:val="Header"/>
      <w:jc w:val="right"/>
    </w:pPr>
    <w:r>
      <w:rPr>
        <w:noProof/>
      </w:rPr>
      <w:drawing>
        <wp:inline distT="0" distB="0" distL="0" distR="0" wp14:anchorId="30E576BE" wp14:editId="6E62C576">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8"/>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850DF"/>
    <w:rsid w:val="00094871"/>
    <w:rsid w:val="000A0333"/>
    <w:rsid w:val="000C0F15"/>
    <w:rsid w:val="000F03B1"/>
    <w:rsid w:val="000F1BB6"/>
    <w:rsid w:val="00104E22"/>
    <w:rsid w:val="00143E06"/>
    <w:rsid w:val="001B7F53"/>
    <w:rsid w:val="001D3897"/>
    <w:rsid w:val="001F1C83"/>
    <w:rsid w:val="002236F6"/>
    <w:rsid w:val="0024413D"/>
    <w:rsid w:val="00276FED"/>
    <w:rsid w:val="002B3921"/>
    <w:rsid w:val="002E63A2"/>
    <w:rsid w:val="002F5A9F"/>
    <w:rsid w:val="00305FA1"/>
    <w:rsid w:val="003150BF"/>
    <w:rsid w:val="003E53DC"/>
    <w:rsid w:val="00404690"/>
    <w:rsid w:val="00427724"/>
    <w:rsid w:val="00450D23"/>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E04EC"/>
    <w:rsid w:val="00804E91"/>
    <w:rsid w:val="0080787E"/>
    <w:rsid w:val="008149D0"/>
    <w:rsid w:val="0081748C"/>
    <w:rsid w:val="00820FE0"/>
    <w:rsid w:val="00831296"/>
    <w:rsid w:val="00877C17"/>
    <w:rsid w:val="008835CD"/>
    <w:rsid w:val="00937A56"/>
    <w:rsid w:val="00940AB3"/>
    <w:rsid w:val="00941BA4"/>
    <w:rsid w:val="009435CC"/>
    <w:rsid w:val="009445FC"/>
    <w:rsid w:val="009A5E8C"/>
    <w:rsid w:val="009F16C1"/>
    <w:rsid w:val="009F1D33"/>
    <w:rsid w:val="009F7A5B"/>
    <w:rsid w:val="00A176D9"/>
    <w:rsid w:val="00A265B8"/>
    <w:rsid w:val="00A26F9C"/>
    <w:rsid w:val="00A66988"/>
    <w:rsid w:val="00A7134F"/>
    <w:rsid w:val="00A920AB"/>
    <w:rsid w:val="00AB1AD7"/>
    <w:rsid w:val="00AD554A"/>
    <w:rsid w:val="00AE0A89"/>
    <w:rsid w:val="00B01B29"/>
    <w:rsid w:val="00B0718C"/>
    <w:rsid w:val="00B73572"/>
    <w:rsid w:val="00B86A81"/>
    <w:rsid w:val="00C07AED"/>
    <w:rsid w:val="00C447DA"/>
    <w:rsid w:val="00CA7B11"/>
    <w:rsid w:val="00D0109D"/>
    <w:rsid w:val="00D25936"/>
    <w:rsid w:val="00D82B91"/>
    <w:rsid w:val="00DA36D6"/>
    <w:rsid w:val="00DE286C"/>
    <w:rsid w:val="00DF6EE8"/>
    <w:rsid w:val="00E133B4"/>
    <w:rsid w:val="00E464DA"/>
    <w:rsid w:val="00E540BA"/>
    <w:rsid w:val="00E73B37"/>
    <w:rsid w:val="00E9343F"/>
    <w:rsid w:val="00EB1DC0"/>
    <w:rsid w:val="00ED5038"/>
    <w:rsid w:val="00EE4176"/>
    <w:rsid w:val="00F06C6C"/>
    <w:rsid w:val="00F13B55"/>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0</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WORK\37229041\v.3</dc:subject>
  <dc:creator>Punim Anda</dc:creator>
  <cp:keywords>50511.6</cp:keywords>
  <cp:lastModifiedBy>Sebastian Hare</cp:lastModifiedBy>
  <cp:revision>2</cp:revision>
  <dcterms:created xsi:type="dcterms:W3CDTF">2020-07-03T14:56:00Z</dcterms:created>
  <dcterms:modified xsi:type="dcterms:W3CDTF">2020-07-03T14:56:00Z</dcterms:modified>
  <cp:category>3</cp:category>
</cp:coreProperties>
</file>