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612B" w14:textId="1E15D59E" w:rsidR="00E23FBB" w:rsidRDefault="00F408D1" w:rsidP="00F408D1">
      <w:pPr>
        <w:jc w:val="center"/>
        <w:rPr>
          <w:b/>
          <w:bCs/>
        </w:rPr>
      </w:pPr>
      <w:r>
        <w:rPr>
          <w:b/>
          <w:bCs/>
        </w:rPr>
        <w:t xml:space="preserve">Engagement Event - </w:t>
      </w:r>
      <w:r w:rsidR="00E23FBB" w:rsidRPr="00E23FBB">
        <w:rPr>
          <w:b/>
          <w:bCs/>
        </w:rPr>
        <w:t xml:space="preserve">Non-Obstetric </w:t>
      </w:r>
      <w:r w:rsidR="00AE6B0A" w:rsidRPr="00E23FBB">
        <w:rPr>
          <w:b/>
          <w:bCs/>
        </w:rPr>
        <w:t>Community</w:t>
      </w:r>
      <w:r w:rsidR="00AE6B0A">
        <w:rPr>
          <w:b/>
          <w:bCs/>
        </w:rPr>
        <w:t xml:space="preserve"> Diagnostic</w:t>
      </w:r>
      <w:r w:rsidR="00AE6B0A" w:rsidRPr="00E23FBB">
        <w:rPr>
          <w:b/>
          <w:bCs/>
        </w:rPr>
        <w:t xml:space="preserve"> </w:t>
      </w:r>
      <w:r w:rsidR="00E23FBB" w:rsidRPr="00E23FBB">
        <w:rPr>
          <w:b/>
          <w:bCs/>
        </w:rPr>
        <w:t>Ultrasound Service for Buckinghamshire and Oxfordshire CCGs</w:t>
      </w:r>
    </w:p>
    <w:p w14:paraId="1123A8C7" w14:textId="492CD55D" w:rsidR="00E23FBB" w:rsidRPr="00E23FBB" w:rsidRDefault="00E23FBB" w:rsidP="00F408D1">
      <w:r w:rsidRPr="00E23FBB">
        <w:t>The following is a</w:t>
      </w:r>
      <w:r w:rsidR="002F1B81">
        <w:t xml:space="preserve">n invitation </w:t>
      </w:r>
      <w:r w:rsidR="00E32786">
        <w:t xml:space="preserve">to </w:t>
      </w:r>
      <w:r w:rsidR="002F1B81">
        <w:t xml:space="preserve">a market engagement event </w:t>
      </w:r>
      <w:r w:rsidR="00E77271">
        <w:t>regarding</w:t>
      </w:r>
      <w:r w:rsidR="002F1B81">
        <w:t xml:space="preserve"> </w:t>
      </w:r>
      <w:r w:rsidRPr="00E23FBB">
        <w:t xml:space="preserve">a potential future procurement exercise. Any </w:t>
      </w:r>
      <w:r w:rsidR="001F64AD">
        <w:t xml:space="preserve">details </w:t>
      </w:r>
      <w:r w:rsidRPr="00E23FBB">
        <w:t xml:space="preserve">and timescales stated within this </w:t>
      </w:r>
      <w:r w:rsidR="00E77271">
        <w:t xml:space="preserve">advert </w:t>
      </w:r>
      <w:r w:rsidRPr="00E23FBB">
        <w:t>are for guideline purposes only and should not be taken as a guarantee.</w:t>
      </w:r>
    </w:p>
    <w:p w14:paraId="4C10DF69" w14:textId="46D20D79" w:rsidR="00E23FBB" w:rsidRDefault="00FC57C7" w:rsidP="00F408D1">
      <w:r>
        <w:t xml:space="preserve">Buckinghamshire and </w:t>
      </w:r>
      <w:r w:rsidRPr="00FC57C7">
        <w:t>Oxfordshire Clinical Commissioning Group</w:t>
      </w:r>
      <w:r>
        <w:t>s</w:t>
      </w:r>
      <w:r w:rsidR="002C3849">
        <w:t xml:space="preserve"> (soon to become part of one single Integrated Care System)</w:t>
      </w:r>
      <w:r>
        <w:t xml:space="preserve"> </w:t>
      </w:r>
      <w:r w:rsidR="00E23FBB">
        <w:t xml:space="preserve">are considering procuring </w:t>
      </w:r>
      <w:r w:rsidRPr="00FC57C7">
        <w:t xml:space="preserve">a </w:t>
      </w:r>
      <w:r>
        <w:t xml:space="preserve">non-obstetric </w:t>
      </w:r>
      <w:r w:rsidR="00AE6B0A" w:rsidRPr="00FC57C7">
        <w:t>community</w:t>
      </w:r>
      <w:r w:rsidR="00AE6B0A">
        <w:t xml:space="preserve"> diagnostic </w:t>
      </w:r>
      <w:r w:rsidRPr="00FC57C7">
        <w:t>ultrasound service</w:t>
      </w:r>
      <w:r w:rsidR="00E23FBB">
        <w:t xml:space="preserve"> across </w:t>
      </w:r>
      <w:r w:rsidR="00F631E2">
        <w:t xml:space="preserve">both </w:t>
      </w:r>
      <w:r w:rsidR="002C3849">
        <w:t>region</w:t>
      </w:r>
      <w:r w:rsidR="003B136B">
        <w:t>s</w:t>
      </w:r>
      <w:r w:rsidRPr="00FC57C7">
        <w:t xml:space="preserve">. </w:t>
      </w:r>
      <w:r w:rsidR="00E23FBB">
        <w:t xml:space="preserve">  </w:t>
      </w:r>
    </w:p>
    <w:p w14:paraId="48DA7BD7" w14:textId="61B7775E" w:rsidR="00FC57C7" w:rsidRDefault="00E23FBB" w:rsidP="00F408D1">
      <w:r>
        <w:t xml:space="preserve">The proposal is to go out to </w:t>
      </w:r>
      <w:r w:rsidR="00FC57C7">
        <w:t>procure the same service across both areas but offer this out to tender as two lots, one to cover Buckinghamshire and one to cover Oxfordshire</w:t>
      </w:r>
      <w:r w:rsidR="00F408D1">
        <w:t xml:space="preserve">. </w:t>
      </w:r>
    </w:p>
    <w:p w14:paraId="54975D40" w14:textId="77777777" w:rsidR="00F408D1" w:rsidRDefault="00323896" w:rsidP="00F408D1">
      <w:pPr>
        <w:rPr>
          <w:bCs/>
        </w:rPr>
      </w:pPr>
      <w:r w:rsidRPr="00323896">
        <w:rPr>
          <w:bCs/>
        </w:rPr>
        <w:t>T</w:t>
      </w:r>
      <w:r>
        <w:rPr>
          <w:bCs/>
        </w:rPr>
        <w:t xml:space="preserve">he commissioners are looking for </w:t>
      </w:r>
      <w:r w:rsidR="00DC60F6">
        <w:rPr>
          <w:bCs/>
        </w:rPr>
        <w:t xml:space="preserve">providers </w:t>
      </w:r>
      <w:r>
        <w:rPr>
          <w:bCs/>
        </w:rPr>
        <w:t xml:space="preserve">who can </w:t>
      </w:r>
      <w:r w:rsidR="00DC60F6" w:rsidRPr="00323896">
        <w:rPr>
          <w:bCs/>
        </w:rPr>
        <w:t>deliver</w:t>
      </w:r>
      <w:r w:rsidRPr="00323896">
        <w:rPr>
          <w:bCs/>
        </w:rPr>
        <w:t xml:space="preserve"> a safe and clinically effective service that will provide rapid local access to diagnostic non-obstetric ultrasounds for patients registered within the specified population.</w:t>
      </w:r>
      <w:r w:rsidR="00DC60F6">
        <w:rPr>
          <w:bCs/>
        </w:rPr>
        <w:t xml:space="preserve"> </w:t>
      </w:r>
    </w:p>
    <w:p w14:paraId="7EA66868" w14:textId="77777777" w:rsidR="0073374B" w:rsidRDefault="00F408D1" w:rsidP="00F408D1">
      <w:r>
        <w:t>The service would need to</w:t>
      </w:r>
      <w:r w:rsidR="0073374B">
        <w:t>:</w:t>
      </w:r>
    </w:p>
    <w:p w14:paraId="6C19695A" w14:textId="77777777" w:rsidR="0073374B" w:rsidRPr="0073374B" w:rsidRDefault="00F408D1" w:rsidP="00F408D1">
      <w:pPr>
        <w:pStyle w:val="ListParagraph"/>
        <w:numPr>
          <w:ilvl w:val="0"/>
          <w:numId w:val="4"/>
        </w:numPr>
        <w:spacing w:before="240"/>
        <w:rPr>
          <w:bCs/>
        </w:rPr>
      </w:pPr>
      <w:r>
        <w:t>be provided</w:t>
      </w:r>
      <w:r w:rsidRPr="00FC57C7">
        <w:t xml:space="preserve"> across multiple locations</w:t>
      </w:r>
      <w:r>
        <w:t xml:space="preserve"> to make it </w:t>
      </w:r>
      <w:r w:rsidRPr="00FC57C7">
        <w:t xml:space="preserve">easily accessible to the </w:t>
      </w:r>
      <w:r>
        <w:t xml:space="preserve">people across the </w:t>
      </w:r>
      <w:r w:rsidRPr="00FC57C7">
        <w:t>whole of</w:t>
      </w:r>
      <w:r>
        <w:t xml:space="preserve"> the area they are covering. </w:t>
      </w:r>
    </w:p>
    <w:p w14:paraId="03F634CF" w14:textId="77777777" w:rsidR="0073374B" w:rsidRPr="0073374B" w:rsidRDefault="00DC60F6" w:rsidP="00F246AF">
      <w:pPr>
        <w:pStyle w:val="ListParagraph"/>
        <w:numPr>
          <w:ilvl w:val="0"/>
          <w:numId w:val="4"/>
        </w:numPr>
        <w:spacing w:before="240"/>
        <w:rPr>
          <w:lang w:val="en-US"/>
        </w:rPr>
      </w:pPr>
      <w:r w:rsidRPr="0073374B">
        <w:rPr>
          <w:bCs/>
        </w:rPr>
        <w:t xml:space="preserve">adopt a whole systems approach to the delivery of care and ensure services are safe, effective, patient centred, timely, </w:t>
      </w:r>
      <w:proofErr w:type="gramStart"/>
      <w:r w:rsidRPr="0073374B">
        <w:rPr>
          <w:bCs/>
        </w:rPr>
        <w:t>efficient</w:t>
      </w:r>
      <w:proofErr w:type="gramEnd"/>
      <w:r w:rsidRPr="0073374B">
        <w:rPr>
          <w:bCs/>
        </w:rPr>
        <w:t xml:space="preserve"> and equitable</w:t>
      </w:r>
      <w:r w:rsidR="0073374B" w:rsidRPr="0073374B">
        <w:rPr>
          <w:bCs/>
        </w:rPr>
        <w:t xml:space="preserve">. </w:t>
      </w:r>
    </w:p>
    <w:p w14:paraId="5AD53AA6" w14:textId="77777777" w:rsidR="0073374B" w:rsidRDefault="00F246AF" w:rsidP="00F246AF">
      <w:pPr>
        <w:pStyle w:val="ListParagraph"/>
        <w:numPr>
          <w:ilvl w:val="0"/>
          <w:numId w:val="4"/>
        </w:numPr>
        <w:spacing w:before="240"/>
        <w:rPr>
          <w:lang w:val="en-US"/>
        </w:rPr>
      </w:pPr>
      <w:r w:rsidRPr="00FC57C7">
        <w:t xml:space="preserve">be directly accessible for GPs </w:t>
      </w:r>
      <w:r>
        <w:t xml:space="preserve">and other qualified primary care professionals within the respective areas </w:t>
      </w:r>
      <w:r w:rsidRPr="00FC57C7">
        <w:t>and will be requested via</w:t>
      </w:r>
      <w:r>
        <w:t xml:space="preserve"> the</w:t>
      </w:r>
      <w:r w:rsidRPr="00FC57C7">
        <w:t xml:space="preserve"> electronic referral </w:t>
      </w:r>
      <w:r>
        <w:t xml:space="preserve">system. </w:t>
      </w:r>
    </w:p>
    <w:p w14:paraId="48683F4C" w14:textId="5C6AF80D" w:rsidR="0073374B" w:rsidRDefault="0073374B" w:rsidP="00F408D1">
      <w:pPr>
        <w:pStyle w:val="ListParagraph"/>
        <w:numPr>
          <w:ilvl w:val="0"/>
          <w:numId w:val="4"/>
        </w:numPr>
        <w:spacing w:before="240"/>
        <w:rPr>
          <w:lang w:val="en-US"/>
        </w:rPr>
      </w:pPr>
      <w:r>
        <w:rPr>
          <w:lang w:val="en-US"/>
        </w:rPr>
        <w:t>accept referrals</w:t>
      </w:r>
      <w:r w:rsidR="00F246AF" w:rsidRPr="0073374B">
        <w:rPr>
          <w:lang w:val="en-US"/>
        </w:rPr>
        <w:t xml:space="preserve"> from other providers within the local healthcare system or the Out of Hours Service.</w:t>
      </w:r>
      <w:r w:rsidR="002C50E0" w:rsidRPr="0073374B">
        <w:rPr>
          <w:lang w:val="en-US"/>
        </w:rPr>
        <w:t xml:space="preserve"> </w:t>
      </w:r>
    </w:p>
    <w:p w14:paraId="5F08B4B9" w14:textId="1F4F832E" w:rsidR="00F408D1" w:rsidRPr="0073374B" w:rsidRDefault="00F408D1" w:rsidP="00F408D1">
      <w:pPr>
        <w:pStyle w:val="ListParagraph"/>
        <w:numPr>
          <w:ilvl w:val="0"/>
          <w:numId w:val="4"/>
        </w:numPr>
        <w:spacing w:before="240"/>
        <w:rPr>
          <w:lang w:val="en-US"/>
        </w:rPr>
      </w:pPr>
      <w:r w:rsidRPr="0073374B">
        <w:rPr>
          <w:bCs/>
          <w:lang w:val="en-US"/>
        </w:rPr>
        <w:t xml:space="preserve">be compliant with all regulatory requirements and, where appropriate, will require CQC registration to be maintained throughout the contract period. </w:t>
      </w:r>
    </w:p>
    <w:p w14:paraId="7816055F" w14:textId="0254D361" w:rsidR="00162AAF" w:rsidRPr="00162AAF" w:rsidRDefault="00FC57C7" w:rsidP="00F408D1">
      <w:pPr>
        <w:rPr>
          <w:bCs/>
          <w:lang w:val="en-US"/>
        </w:rPr>
      </w:pPr>
      <w:r w:rsidRPr="00FC57C7">
        <w:br/>
        <w:t xml:space="preserve">The non-obstetric </w:t>
      </w:r>
      <w:r w:rsidR="00D96DB6">
        <w:t xml:space="preserve">diagnostic </w:t>
      </w:r>
      <w:r w:rsidRPr="00FC57C7">
        <w:t xml:space="preserve">ultrasound service </w:t>
      </w:r>
      <w:r w:rsidR="006449A5">
        <w:t xml:space="preserve">the CCGs </w:t>
      </w:r>
      <w:r w:rsidR="00FE3DC7">
        <w:t xml:space="preserve">are looking to commission </w:t>
      </w:r>
      <w:r w:rsidRPr="00FC57C7">
        <w:t>will include the following:</w:t>
      </w:r>
    </w:p>
    <w:p w14:paraId="5ED4E30A" w14:textId="437DDF8F" w:rsidR="00243347" w:rsidRDefault="00243347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>Upper/General abdominal ultrasound scans– includes assessment of the aorta (including screening of first-degree relatives of patients with abdominal aortic aneurysm), biliary tract, gallbladder, inferior vena cava, kidneys, liver, pancreas, retroperitoneum, and spleen</w:t>
      </w:r>
    </w:p>
    <w:p w14:paraId="7FD8FD3A" w14:textId="11009806" w:rsidR="00162AAF" w:rsidRPr="00162AAF" w:rsidRDefault="00162AAF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>Pelvic Ultrasound Scans – including transabdominal and transvaginal</w:t>
      </w:r>
    </w:p>
    <w:p w14:paraId="427793AE" w14:textId="77777777" w:rsidR="00162AAF" w:rsidRPr="00162AAF" w:rsidRDefault="00162AAF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 xml:space="preserve">Renal / bladder / prostate scans </w:t>
      </w:r>
    </w:p>
    <w:p w14:paraId="00694C90" w14:textId="77777777" w:rsidR="00162AAF" w:rsidRPr="00162AAF" w:rsidRDefault="00162AAF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 xml:space="preserve">Scrotal / testicular ultrasound scans </w:t>
      </w:r>
    </w:p>
    <w:p w14:paraId="62AAD553" w14:textId="77777777" w:rsidR="00162AAF" w:rsidRPr="00162AAF" w:rsidRDefault="00162AAF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>Musculoskeletal (as referred by the MSK MATT service)</w:t>
      </w:r>
    </w:p>
    <w:p w14:paraId="4EC6C704" w14:textId="2EA34CE6" w:rsidR="00162AAF" w:rsidRPr="00162AAF" w:rsidRDefault="00162AAF" w:rsidP="00162AAF">
      <w:pPr>
        <w:numPr>
          <w:ilvl w:val="0"/>
          <w:numId w:val="1"/>
        </w:numPr>
        <w:spacing w:after="0"/>
        <w:rPr>
          <w:bCs/>
          <w:lang w:val="en-US"/>
        </w:rPr>
      </w:pPr>
      <w:r w:rsidRPr="00162AAF">
        <w:rPr>
          <w:bCs/>
          <w:lang w:val="en-US"/>
        </w:rPr>
        <w:t xml:space="preserve">Vascular </w:t>
      </w:r>
      <w:r w:rsidR="00F028F3">
        <w:rPr>
          <w:bCs/>
          <w:lang w:val="en-US"/>
        </w:rPr>
        <w:t>(</w:t>
      </w:r>
      <w:r w:rsidRPr="00162AAF">
        <w:rPr>
          <w:bCs/>
          <w:lang w:val="en-US"/>
        </w:rPr>
        <w:t>exclud</w:t>
      </w:r>
      <w:r w:rsidR="00F028F3">
        <w:rPr>
          <w:bCs/>
          <w:lang w:val="en-US"/>
        </w:rPr>
        <w:t>ing</w:t>
      </w:r>
      <w:r w:rsidRPr="00162AAF">
        <w:rPr>
          <w:bCs/>
          <w:lang w:val="en-US"/>
        </w:rPr>
        <w:t xml:space="preserve"> suspected DVT</w:t>
      </w:r>
      <w:r w:rsidR="00F028F3">
        <w:rPr>
          <w:bCs/>
          <w:lang w:val="en-US"/>
        </w:rPr>
        <w:t xml:space="preserve">) </w:t>
      </w:r>
      <w:r w:rsidRPr="00162AAF">
        <w:rPr>
          <w:bCs/>
          <w:lang w:val="en-US"/>
        </w:rPr>
        <w:t xml:space="preserve"> </w:t>
      </w:r>
    </w:p>
    <w:p w14:paraId="6D911DCC" w14:textId="1B700F6D" w:rsidR="00FE7887" w:rsidRPr="00FE7887" w:rsidRDefault="00FC57C7" w:rsidP="00F631E2">
      <w:r w:rsidRPr="00FC57C7">
        <w:br/>
      </w:r>
      <w:r w:rsidRPr="00FC57C7">
        <w:br/>
        <w:t>Exclusions</w:t>
      </w:r>
      <w:r w:rsidR="00243347">
        <w:t xml:space="preserve"> </w:t>
      </w:r>
      <w:r w:rsidR="00FE3DC7">
        <w:t xml:space="preserve">to the service </w:t>
      </w:r>
      <w:r w:rsidR="00243347">
        <w:t>include</w:t>
      </w:r>
      <w:r w:rsidR="00FE3DC7">
        <w:t>:</w:t>
      </w:r>
      <w:r w:rsidR="00243347">
        <w:t xml:space="preserve"> </w:t>
      </w:r>
    </w:p>
    <w:p w14:paraId="0C8F04EA" w14:textId="03CC49FB" w:rsidR="00FE7887" w:rsidRDefault="00FE7887" w:rsidP="00FE7887">
      <w:pPr>
        <w:numPr>
          <w:ilvl w:val="0"/>
          <w:numId w:val="2"/>
        </w:numPr>
        <w:spacing w:after="0"/>
      </w:pPr>
      <w:r w:rsidRPr="00FE7887">
        <w:t>Patients not registered with a Buckinghamshire/Oxfordshire GP</w:t>
      </w:r>
    </w:p>
    <w:p w14:paraId="73311457" w14:textId="3CB1D040" w:rsidR="00FE7887" w:rsidRPr="00FE7887" w:rsidRDefault="00FE7887" w:rsidP="00FE7887">
      <w:pPr>
        <w:numPr>
          <w:ilvl w:val="0"/>
          <w:numId w:val="2"/>
        </w:numPr>
        <w:spacing w:after="0"/>
      </w:pPr>
      <w:r w:rsidRPr="00FE7887">
        <w:t>Patients under 18 years of age</w:t>
      </w:r>
    </w:p>
    <w:p w14:paraId="3CE649E9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lang w:val="en-US"/>
        </w:rPr>
      </w:pPr>
      <w:r w:rsidRPr="00FE7887">
        <w:rPr>
          <w:lang w:val="en-US"/>
        </w:rPr>
        <w:t>Inappropriate referrals that are not suitable for this service</w:t>
      </w:r>
    </w:p>
    <w:p w14:paraId="69AE56AB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</w:rPr>
        <w:t xml:space="preserve">Private patients </w:t>
      </w:r>
    </w:p>
    <w:p w14:paraId="603FD4F5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</w:rPr>
        <w:lastRenderedPageBreak/>
        <w:t>Patients requiring immediate referral to secondary care</w:t>
      </w:r>
    </w:p>
    <w:p w14:paraId="0BD997FE" w14:textId="0EBB0323" w:rsidR="00FE7887" w:rsidRPr="00FE7887" w:rsidRDefault="00FE7887" w:rsidP="00FE7887">
      <w:pPr>
        <w:numPr>
          <w:ilvl w:val="0"/>
          <w:numId w:val="2"/>
        </w:numPr>
        <w:spacing w:after="0"/>
        <w:rPr>
          <w:lang w:val="en-US"/>
        </w:rPr>
      </w:pPr>
      <w:r w:rsidRPr="00FE7887">
        <w:rPr>
          <w:lang w:val="en-US"/>
        </w:rPr>
        <w:t>Thyroid examinations</w:t>
      </w:r>
    </w:p>
    <w:p w14:paraId="35A8AEB6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lang w:val="en-US"/>
        </w:rPr>
      </w:pPr>
      <w:r w:rsidRPr="00FE7887">
        <w:rPr>
          <w:lang w:val="en-US"/>
        </w:rPr>
        <w:t>Lumps and bumps (Head and Neck)</w:t>
      </w:r>
    </w:p>
    <w:p w14:paraId="234341E1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  <w:lang w:val="en-US"/>
        </w:rPr>
        <w:t>Emergency Abdominal aortic aneurysm (</w:t>
      </w:r>
      <w:r w:rsidRPr="00FE7887">
        <w:rPr>
          <w:lang w:val="en-US"/>
        </w:rPr>
        <w:t>AAAs)</w:t>
      </w:r>
    </w:p>
    <w:p w14:paraId="66430C55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  <w:lang w:val="en-US"/>
        </w:rPr>
        <w:t xml:space="preserve">Obstetric care </w:t>
      </w:r>
    </w:p>
    <w:p w14:paraId="353D108A" w14:textId="77777777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  <w:lang w:val="en-US"/>
        </w:rPr>
        <w:t xml:space="preserve">Ultrasound guided procedures </w:t>
      </w:r>
    </w:p>
    <w:p w14:paraId="02B05B0C" w14:textId="3DAB186A" w:rsidR="00FE7887" w:rsidRPr="00FE7887" w:rsidRDefault="00FE7887" w:rsidP="00FE7887">
      <w:pPr>
        <w:numPr>
          <w:ilvl w:val="0"/>
          <w:numId w:val="2"/>
        </w:numPr>
        <w:spacing w:after="0"/>
        <w:rPr>
          <w:bCs/>
        </w:rPr>
      </w:pPr>
      <w:r w:rsidRPr="00FE7887">
        <w:rPr>
          <w:bCs/>
          <w:lang w:val="en-US"/>
        </w:rPr>
        <w:t>Hernias where there is no diagnostic doubt</w:t>
      </w:r>
    </w:p>
    <w:p w14:paraId="2174993E" w14:textId="77777777" w:rsidR="0073374B" w:rsidRPr="0073374B" w:rsidRDefault="00FE7887" w:rsidP="00FC57C7">
      <w:pPr>
        <w:numPr>
          <w:ilvl w:val="0"/>
          <w:numId w:val="2"/>
        </w:numPr>
      </w:pPr>
      <w:r w:rsidRPr="0073374B">
        <w:rPr>
          <w:bCs/>
        </w:rPr>
        <w:t xml:space="preserve">Superficial masses or lumps in the axilla or groin </w:t>
      </w:r>
    </w:p>
    <w:p w14:paraId="73990F8E" w14:textId="1127A582" w:rsidR="00FE7887" w:rsidRDefault="00FC57C7" w:rsidP="0073374B">
      <w:r w:rsidRPr="00FC57C7">
        <w:br/>
      </w:r>
      <w:r w:rsidRPr="00FC57C7">
        <w:br/>
        <w:t xml:space="preserve">The contract </w:t>
      </w:r>
      <w:r w:rsidR="00EC7F55">
        <w:t xml:space="preserve">is </w:t>
      </w:r>
      <w:r w:rsidR="00E40151">
        <w:t>expected</w:t>
      </w:r>
      <w:r w:rsidR="00EC7F55">
        <w:t xml:space="preserve"> to be </w:t>
      </w:r>
      <w:r w:rsidRPr="00FC57C7">
        <w:t xml:space="preserve">for 3 years with the option to extend for 2 further years and </w:t>
      </w:r>
      <w:r w:rsidR="009F7F27">
        <w:t xml:space="preserve">is anticipated to </w:t>
      </w:r>
      <w:r w:rsidRPr="00FC57C7">
        <w:t xml:space="preserve">commence on </w:t>
      </w:r>
      <w:r w:rsidRPr="009F7F27">
        <w:t xml:space="preserve">1st February </w:t>
      </w:r>
      <w:r w:rsidR="00FE7887" w:rsidRPr="009F7F27">
        <w:t>2023</w:t>
      </w:r>
      <w:r w:rsidRPr="009F7F27">
        <w:t>.</w:t>
      </w:r>
      <w:r w:rsidRPr="00FC57C7">
        <w:t xml:space="preserve"> </w:t>
      </w:r>
    </w:p>
    <w:p w14:paraId="284F618F" w14:textId="6B6938E4" w:rsidR="009F7F27" w:rsidRPr="002C3849" w:rsidRDefault="00E77271" w:rsidP="00E77271">
      <w:r w:rsidRPr="002C3849">
        <w:t>We will be hosting a</w:t>
      </w:r>
      <w:r w:rsidR="00EC7F55" w:rsidRPr="002C3849">
        <w:t>n online</w:t>
      </w:r>
      <w:r w:rsidRPr="002C3849">
        <w:t xml:space="preserve"> market engagement event on </w:t>
      </w:r>
      <w:r w:rsidR="00783C7A" w:rsidRPr="002C3849">
        <w:t xml:space="preserve">the afternoon of </w:t>
      </w:r>
      <w:r w:rsidR="00F2762F" w:rsidRPr="002C3849">
        <w:rPr>
          <w:b/>
          <w:bCs/>
        </w:rPr>
        <w:t>Monday 20</w:t>
      </w:r>
      <w:r w:rsidR="00F2762F" w:rsidRPr="002C3849">
        <w:rPr>
          <w:b/>
          <w:bCs/>
          <w:vertAlign w:val="superscript"/>
        </w:rPr>
        <w:t>th</w:t>
      </w:r>
      <w:r w:rsidR="00F2762F" w:rsidRPr="002C3849">
        <w:rPr>
          <w:b/>
          <w:bCs/>
        </w:rPr>
        <w:t xml:space="preserve"> June</w:t>
      </w:r>
      <w:r w:rsidR="00F2762F" w:rsidRPr="002C3849">
        <w:t xml:space="preserve"> </w:t>
      </w:r>
      <w:r w:rsidRPr="002C3849">
        <w:t xml:space="preserve">and invite all interested parties to join. </w:t>
      </w:r>
    </w:p>
    <w:p w14:paraId="3D3835E4" w14:textId="77777777" w:rsidR="00EC7F55" w:rsidRPr="002C3849" w:rsidRDefault="00EC7F55" w:rsidP="00EC7F55">
      <w:r w:rsidRPr="002C3849">
        <w:t xml:space="preserve">At the event we will touch on the contract model, service specification, </w:t>
      </w:r>
      <w:proofErr w:type="gramStart"/>
      <w:r w:rsidRPr="002C3849">
        <w:t>activity</w:t>
      </w:r>
      <w:proofErr w:type="gramEnd"/>
      <w:r w:rsidRPr="002C3849">
        <w:t xml:space="preserve"> and finances. We will be seeking views on appetite and ability to provide the service as proposed and will provide opportunity for open discussion and feedback.  </w:t>
      </w:r>
    </w:p>
    <w:p w14:paraId="320768B0" w14:textId="032F75B0" w:rsidR="00EC7F55" w:rsidRPr="002C3849" w:rsidRDefault="00EC7F55" w:rsidP="00EC7F55">
      <w:r w:rsidRPr="002C3849">
        <w:t>Providers interest</w:t>
      </w:r>
      <w:r w:rsidR="00113D99" w:rsidRPr="002C3849">
        <w:t>ed</w:t>
      </w:r>
      <w:r w:rsidRPr="002C3849">
        <w:t xml:space="preserve"> in joining the event should contact Mark Stanbrook by email</w:t>
      </w:r>
      <w:r w:rsidR="00E40151" w:rsidRPr="002C3849">
        <w:t xml:space="preserve">ing </w:t>
      </w:r>
      <w:hyperlink r:id="rId8" w:history="1">
        <w:r w:rsidR="00E40151" w:rsidRPr="002C3849">
          <w:rPr>
            <w:rStyle w:val="Hyperlink"/>
          </w:rPr>
          <w:t>mstanbrook@nhs.net</w:t>
        </w:r>
      </w:hyperlink>
      <w:r w:rsidRPr="002C3849">
        <w:t xml:space="preserve"> </w:t>
      </w:r>
      <w:r w:rsidR="002C3849">
        <w:t xml:space="preserve">(and cc’ing </w:t>
      </w:r>
      <w:hyperlink r:id="rId9" w:history="1">
        <w:r w:rsidR="002C3849" w:rsidRPr="00A758E2">
          <w:rPr>
            <w:rStyle w:val="Hyperlink"/>
          </w:rPr>
          <w:t>caitlin.dyke@nhs.net</w:t>
        </w:r>
      </w:hyperlink>
      <w:r w:rsidR="002C3849">
        <w:t xml:space="preserve">) </w:t>
      </w:r>
      <w:r w:rsidRPr="002C3849">
        <w:t xml:space="preserve">to express </w:t>
      </w:r>
      <w:r w:rsidR="00E40151" w:rsidRPr="002C3849">
        <w:t>their interest</w:t>
      </w:r>
      <w:r w:rsidRPr="002C3849">
        <w:t xml:space="preserve">. </w:t>
      </w:r>
    </w:p>
    <w:p w14:paraId="0E08C872" w14:textId="2ED5CCFE" w:rsidR="00FC57C7" w:rsidRDefault="00FC57C7" w:rsidP="00FC57C7"/>
    <w:sectPr w:rsidR="00FC5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2F46" w14:textId="77777777" w:rsidR="008C0D42" w:rsidRDefault="008C0D42" w:rsidP="008C0D42">
      <w:pPr>
        <w:spacing w:after="0" w:line="240" w:lineRule="auto"/>
      </w:pPr>
      <w:r>
        <w:separator/>
      </w:r>
    </w:p>
  </w:endnote>
  <w:endnote w:type="continuationSeparator" w:id="0">
    <w:p w14:paraId="57EE22A7" w14:textId="77777777" w:rsidR="008C0D42" w:rsidRDefault="008C0D42" w:rsidP="008C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3744" w14:textId="77777777" w:rsidR="008C0D42" w:rsidRDefault="008C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62AF" w14:textId="77777777" w:rsidR="008C0D42" w:rsidRDefault="008C0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3859" w14:textId="77777777" w:rsidR="008C0D42" w:rsidRDefault="008C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23E8" w14:textId="77777777" w:rsidR="008C0D42" w:rsidRDefault="008C0D42" w:rsidP="008C0D42">
      <w:pPr>
        <w:spacing w:after="0" w:line="240" w:lineRule="auto"/>
      </w:pPr>
      <w:r>
        <w:separator/>
      </w:r>
    </w:p>
  </w:footnote>
  <w:footnote w:type="continuationSeparator" w:id="0">
    <w:p w14:paraId="60EF0B53" w14:textId="77777777" w:rsidR="008C0D42" w:rsidRDefault="008C0D42" w:rsidP="008C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3AA1" w14:textId="77777777" w:rsidR="008C0D42" w:rsidRDefault="008C0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46D4" w14:textId="3175DE44" w:rsidR="008C0D42" w:rsidRDefault="008C0D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5A0" w14:textId="77777777" w:rsidR="008C0D42" w:rsidRDefault="008C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8C2"/>
    <w:multiLevelType w:val="hybridMultilevel"/>
    <w:tmpl w:val="511630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0481C"/>
    <w:multiLevelType w:val="hybridMultilevel"/>
    <w:tmpl w:val="F48A0854"/>
    <w:lvl w:ilvl="0" w:tplc="F9E4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62C4F"/>
    <w:multiLevelType w:val="hybridMultilevel"/>
    <w:tmpl w:val="1208222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5CD3FC2"/>
    <w:multiLevelType w:val="hybridMultilevel"/>
    <w:tmpl w:val="9090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47150">
    <w:abstractNumId w:val="3"/>
  </w:num>
  <w:num w:numId="2" w16cid:durableId="249585364">
    <w:abstractNumId w:val="1"/>
  </w:num>
  <w:num w:numId="3" w16cid:durableId="386492857">
    <w:abstractNumId w:val="2"/>
  </w:num>
  <w:num w:numId="4" w16cid:durableId="210398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C7"/>
    <w:rsid w:val="00113D99"/>
    <w:rsid w:val="00162AAF"/>
    <w:rsid w:val="001F64AD"/>
    <w:rsid w:val="00243347"/>
    <w:rsid w:val="002C3849"/>
    <w:rsid w:val="002C50E0"/>
    <w:rsid w:val="002F1B81"/>
    <w:rsid w:val="00323896"/>
    <w:rsid w:val="003834C2"/>
    <w:rsid w:val="003B136B"/>
    <w:rsid w:val="006449A5"/>
    <w:rsid w:val="0073374B"/>
    <w:rsid w:val="00783C7A"/>
    <w:rsid w:val="007B3574"/>
    <w:rsid w:val="008C0D42"/>
    <w:rsid w:val="009F7F27"/>
    <w:rsid w:val="00A84A97"/>
    <w:rsid w:val="00AE6B0A"/>
    <w:rsid w:val="00BA2839"/>
    <w:rsid w:val="00D96DB6"/>
    <w:rsid w:val="00DC60F6"/>
    <w:rsid w:val="00E23FBB"/>
    <w:rsid w:val="00E32786"/>
    <w:rsid w:val="00E40151"/>
    <w:rsid w:val="00E77271"/>
    <w:rsid w:val="00EC7F55"/>
    <w:rsid w:val="00F028F3"/>
    <w:rsid w:val="00F246AF"/>
    <w:rsid w:val="00F2762F"/>
    <w:rsid w:val="00F408D1"/>
    <w:rsid w:val="00F631E2"/>
    <w:rsid w:val="00FC57C7"/>
    <w:rsid w:val="00FE3DC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AF933"/>
  <w15:chartTrackingRefBased/>
  <w15:docId w15:val="{E450994B-F745-4E97-B1E9-763A5274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7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AAF"/>
    <w:pPr>
      <w:spacing w:after="20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AAF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AF"/>
    <w:pPr>
      <w:spacing w:after="160"/>
    </w:pPr>
    <w:rPr>
      <w:rFonts w:eastAsiaTheme="minorHAns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AF"/>
    <w:rPr>
      <w:rFonts w:eastAsiaTheme="minorEastAsia"/>
      <w:b/>
      <w:bCs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E7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42"/>
  </w:style>
  <w:style w:type="paragraph" w:styleId="Footer">
    <w:name w:val="footer"/>
    <w:basedOn w:val="Normal"/>
    <w:link w:val="FooterChar"/>
    <w:uiPriority w:val="99"/>
    <w:unhideWhenUsed/>
    <w:rsid w:val="008C0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nbrook@nhs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itlin.dyke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D5096A6-5DE7-41C4-9ADC-0A82928D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BRYNING, Charlotte (NHS BUCKINGHAMSHIRE CCG)</dc:creator>
  <cp:keywords/>
  <dc:description/>
  <cp:lastModifiedBy>STANBROOK, Mark (NHS SOUTH, CENTRAL AND WEST COMMISSIONING SUPPORT UNIT)</cp:lastModifiedBy>
  <cp:revision>2</cp:revision>
  <dcterms:created xsi:type="dcterms:W3CDTF">2022-06-06T13:50:00Z</dcterms:created>
  <dcterms:modified xsi:type="dcterms:W3CDTF">2022-06-06T13:50:00Z</dcterms:modified>
</cp:coreProperties>
</file>