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8AC" w:rsidRDefault="00332ADB" w:rsidP="00332ADB">
      <w:pPr>
        <w:pStyle w:val="bodystrongcentred"/>
        <w:tabs>
          <w:tab w:val="center" w:pos="4514"/>
          <w:tab w:val="left" w:pos="7610"/>
        </w:tabs>
        <w:jc w:val="left"/>
      </w:pPr>
      <w:r>
        <w:tab/>
      </w:r>
      <w:r w:rsidR="00FE18AC">
        <w:t>CONTENTS</w:t>
      </w:r>
      <w:r>
        <w:tab/>
      </w:r>
    </w:p>
    <w:p w:rsidR="00FE18AC" w:rsidRDefault="00FE18AC" w:rsidP="00FE18AC"/>
    <w:p w:rsidR="007B5732"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93148650" w:history="1">
        <w:r w:rsidR="007B5732" w:rsidRPr="00A1419B">
          <w:rPr>
            <w:rStyle w:val="Hyperlink"/>
            <w:noProof/>
          </w:rPr>
          <w:t>1.</w:t>
        </w:r>
        <w:r w:rsidR="007B5732">
          <w:rPr>
            <w:rFonts w:asciiTheme="minorHAnsi" w:eastAsiaTheme="minorEastAsia" w:hAnsiTheme="minorHAnsi" w:cstheme="minorBidi"/>
            <w:caps w:val="0"/>
            <w:noProof/>
            <w:szCs w:val="22"/>
            <w:lang w:eastAsia="en-GB"/>
          </w:rPr>
          <w:tab/>
        </w:r>
        <w:r w:rsidR="007B5732" w:rsidRPr="00A1419B">
          <w:rPr>
            <w:rStyle w:val="Hyperlink"/>
            <w:noProof/>
          </w:rPr>
          <w:t>PURPOSE</w:t>
        </w:r>
        <w:r w:rsidR="007B5732">
          <w:rPr>
            <w:noProof/>
            <w:webHidden/>
          </w:rPr>
          <w:tab/>
        </w:r>
        <w:r w:rsidR="007B5732">
          <w:rPr>
            <w:noProof/>
            <w:webHidden/>
          </w:rPr>
          <w:fldChar w:fldCharType="begin"/>
        </w:r>
        <w:r w:rsidR="007B5732">
          <w:rPr>
            <w:noProof/>
            <w:webHidden/>
          </w:rPr>
          <w:instrText xml:space="preserve"> PAGEREF _Toc493148650 \h </w:instrText>
        </w:r>
        <w:r w:rsidR="007B5732">
          <w:rPr>
            <w:noProof/>
            <w:webHidden/>
          </w:rPr>
        </w:r>
        <w:r w:rsidR="007B5732">
          <w:rPr>
            <w:noProof/>
            <w:webHidden/>
          </w:rPr>
          <w:fldChar w:fldCharType="separate"/>
        </w:r>
        <w:r w:rsidR="00B3395F">
          <w:rPr>
            <w:noProof/>
            <w:webHidden/>
          </w:rPr>
          <w:t>2</w:t>
        </w:r>
        <w:r w:rsidR="007B5732">
          <w:rPr>
            <w:noProof/>
            <w:webHidden/>
          </w:rPr>
          <w:fldChar w:fldCharType="end"/>
        </w:r>
      </w:hyperlink>
    </w:p>
    <w:p w:rsidR="007B5732" w:rsidRDefault="002A4A84">
      <w:pPr>
        <w:pStyle w:val="TOC1"/>
        <w:rPr>
          <w:rFonts w:asciiTheme="minorHAnsi" w:eastAsiaTheme="minorEastAsia" w:hAnsiTheme="minorHAnsi" w:cstheme="minorBidi"/>
          <w:caps w:val="0"/>
          <w:noProof/>
          <w:szCs w:val="22"/>
          <w:lang w:eastAsia="en-GB"/>
        </w:rPr>
      </w:pPr>
      <w:hyperlink w:anchor="_Toc493148651" w:history="1">
        <w:r w:rsidR="007B5732" w:rsidRPr="00A1419B">
          <w:rPr>
            <w:rStyle w:val="Hyperlink"/>
            <w:noProof/>
          </w:rPr>
          <w:t>2.</w:t>
        </w:r>
        <w:r w:rsidR="007B5732">
          <w:rPr>
            <w:rFonts w:asciiTheme="minorHAnsi" w:eastAsiaTheme="minorEastAsia" w:hAnsiTheme="minorHAnsi" w:cstheme="minorBidi"/>
            <w:caps w:val="0"/>
            <w:noProof/>
            <w:szCs w:val="22"/>
            <w:lang w:eastAsia="en-GB"/>
          </w:rPr>
          <w:tab/>
        </w:r>
        <w:r w:rsidR="007B5732" w:rsidRPr="00A1419B">
          <w:rPr>
            <w:rStyle w:val="Hyperlink"/>
            <w:noProof/>
          </w:rPr>
          <w:t>BACKGROUND TO THE CONTRACTING aUTHORITY</w:t>
        </w:r>
        <w:r w:rsidR="007B5732">
          <w:rPr>
            <w:noProof/>
            <w:webHidden/>
          </w:rPr>
          <w:tab/>
        </w:r>
        <w:r w:rsidR="007B5732">
          <w:rPr>
            <w:noProof/>
            <w:webHidden/>
          </w:rPr>
          <w:fldChar w:fldCharType="begin"/>
        </w:r>
        <w:r w:rsidR="007B5732">
          <w:rPr>
            <w:noProof/>
            <w:webHidden/>
          </w:rPr>
          <w:instrText xml:space="preserve"> PAGEREF _Toc493148651 \h </w:instrText>
        </w:r>
        <w:r w:rsidR="007B5732">
          <w:rPr>
            <w:noProof/>
            <w:webHidden/>
          </w:rPr>
        </w:r>
        <w:r w:rsidR="007B5732">
          <w:rPr>
            <w:noProof/>
            <w:webHidden/>
          </w:rPr>
          <w:fldChar w:fldCharType="separate"/>
        </w:r>
        <w:r w:rsidR="00B3395F">
          <w:rPr>
            <w:noProof/>
            <w:webHidden/>
          </w:rPr>
          <w:t>2</w:t>
        </w:r>
        <w:r w:rsidR="007B5732">
          <w:rPr>
            <w:noProof/>
            <w:webHidden/>
          </w:rPr>
          <w:fldChar w:fldCharType="end"/>
        </w:r>
      </w:hyperlink>
    </w:p>
    <w:p w:rsidR="007B5732" w:rsidRDefault="002A4A84">
      <w:pPr>
        <w:pStyle w:val="TOC1"/>
        <w:rPr>
          <w:rFonts w:asciiTheme="minorHAnsi" w:eastAsiaTheme="minorEastAsia" w:hAnsiTheme="minorHAnsi" w:cstheme="minorBidi"/>
          <w:caps w:val="0"/>
          <w:noProof/>
          <w:szCs w:val="22"/>
          <w:lang w:eastAsia="en-GB"/>
        </w:rPr>
      </w:pPr>
      <w:hyperlink w:anchor="_Toc493148652" w:history="1">
        <w:r w:rsidR="007B5732" w:rsidRPr="00A1419B">
          <w:rPr>
            <w:rStyle w:val="Hyperlink"/>
            <w:noProof/>
          </w:rPr>
          <w:t>3.</w:t>
        </w:r>
        <w:r w:rsidR="007B5732">
          <w:rPr>
            <w:rFonts w:asciiTheme="minorHAnsi" w:eastAsiaTheme="minorEastAsia" w:hAnsiTheme="minorHAnsi" w:cstheme="minorBidi"/>
            <w:caps w:val="0"/>
            <w:noProof/>
            <w:szCs w:val="22"/>
            <w:lang w:eastAsia="en-GB"/>
          </w:rPr>
          <w:tab/>
        </w:r>
        <w:r w:rsidR="007B5732" w:rsidRPr="00A1419B">
          <w:rPr>
            <w:rStyle w:val="Hyperlink"/>
            <w:noProof/>
          </w:rPr>
          <w:t>Background to requirement/OVERVIEW of requirement</w:t>
        </w:r>
        <w:r w:rsidR="007B5732">
          <w:rPr>
            <w:noProof/>
            <w:webHidden/>
          </w:rPr>
          <w:tab/>
        </w:r>
        <w:r w:rsidR="007B5732">
          <w:rPr>
            <w:noProof/>
            <w:webHidden/>
          </w:rPr>
          <w:fldChar w:fldCharType="begin"/>
        </w:r>
        <w:r w:rsidR="007B5732">
          <w:rPr>
            <w:noProof/>
            <w:webHidden/>
          </w:rPr>
          <w:instrText xml:space="preserve"> PAGEREF _Toc493148652 \h </w:instrText>
        </w:r>
        <w:r w:rsidR="007B5732">
          <w:rPr>
            <w:noProof/>
            <w:webHidden/>
          </w:rPr>
        </w:r>
        <w:r w:rsidR="007B5732">
          <w:rPr>
            <w:noProof/>
            <w:webHidden/>
          </w:rPr>
          <w:fldChar w:fldCharType="separate"/>
        </w:r>
        <w:r w:rsidR="00B3395F">
          <w:rPr>
            <w:noProof/>
            <w:webHidden/>
          </w:rPr>
          <w:t>2</w:t>
        </w:r>
        <w:r w:rsidR="007B5732">
          <w:rPr>
            <w:noProof/>
            <w:webHidden/>
          </w:rPr>
          <w:fldChar w:fldCharType="end"/>
        </w:r>
      </w:hyperlink>
    </w:p>
    <w:p w:rsidR="007B5732" w:rsidRDefault="002A4A84">
      <w:pPr>
        <w:pStyle w:val="TOC1"/>
        <w:rPr>
          <w:rFonts w:asciiTheme="minorHAnsi" w:eastAsiaTheme="minorEastAsia" w:hAnsiTheme="minorHAnsi" w:cstheme="minorBidi"/>
          <w:caps w:val="0"/>
          <w:noProof/>
          <w:szCs w:val="22"/>
          <w:lang w:eastAsia="en-GB"/>
        </w:rPr>
      </w:pPr>
      <w:hyperlink w:anchor="_Toc493148653" w:history="1">
        <w:r w:rsidR="007B5732" w:rsidRPr="00A1419B">
          <w:rPr>
            <w:rStyle w:val="Hyperlink"/>
            <w:noProof/>
          </w:rPr>
          <w:t>4.</w:t>
        </w:r>
        <w:r w:rsidR="007B5732">
          <w:rPr>
            <w:rFonts w:asciiTheme="minorHAnsi" w:eastAsiaTheme="minorEastAsia" w:hAnsiTheme="minorHAnsi" w:cstheme="minorBidi"/>
            <w:caps w:val="0"/>
            <w:noProof/>
            <w:szCs w:val="22"/>
            <w:lang w:eastAsia="en-GB"/>
          </w:rPr>
          <w:tab/>
        </w:r>
        <w:r w:rsidR="007B5732" w:rsidRPr="00A1419B">
          <w:rPr>
            <w:rStyle w:val="Hyperlink"/>
            <w:noProof/>
          </w:rPr>
          <w:t>definitions</w:t>
        </w:r>
        <w:r w:rsidR="007B5732">
          <w:rPr>
            <w:noProof/>
            <w:webHidden/>
          </w:rPr>
          <w:tab/>
        </w:r>
        <w:r w:rsidR="007B5732">
          <w:rPr>
            <w:noProof/>
            <w:webHidden/>
          </w:rPr>
          <w:fldChar w:fldCharType="begin"/>
        </w:r>
        <w:r w:rsidR="007B5732">
          <w:rPr>
            <w:noProof/>
            <w:webHidden/>
          </w:rPr>
          <w:instrText xml:space="preserve"> PAGEREF _Toc493148653 \h </w:instrText>
        </w:r>
        <w:r w:rsidR="007B5732">
          <w:rPr>
            <w:noProof/>
            <w:webHidden/>
          </w:rPr>
        </w:r>
        <w:r w:rsidR="007B5732">
          <w:rPr>
            <w:noProof/>
            <w:webHidden/>
          </w:rPr>
          <w:fldChar w:fldCharType="separate"/>
        </w:r>
        <w:r w:rsidR="00B3395F">
          <w:rPr>
            <w:noProof/>
            <w:webHidden/>
          </w:rPr>
          <w:t>3</w:t>
        </w:r>
        <w:r w:rsidR="007B5732">
          <w:rPr>
            <w:noProof/>
            <w:webHidden/>
          </w:rPr>
          <w:fldChar w:fldCharType="end"/>
        </w:r>
      </w:hyperlink>
    </w:p>
    <w:p w:rsidR="007B5732" w:rsidRDefault="002A4A84">
      <w:pPr>
        <w:pStyle w:val="TOC1"/>
        <w:rPr>
          <w:rFonts w:asciiTheme="minorHAnsi" w:eastAsiaTheme="minorEastAsia" w:hAnsiTheme="minorHAnsi" w:cstheme="minorBidi"/>
          <w:caps w:val="0"/>
          <w:noProof/>
          <w:szCs w:val="22"/>
          <w:lang w:eastAsia="en-GB"/>
        </w:rPr>
      </w:pPr>
      <w:hyperlink w:anchor="_Toc493148654" w:history="1">
        <w:r w:rsidR="007B5732" w:rsidRPr="00A1419B">
          <w:rPr>
            <w:rStyle w:val="Hyperlink"/>
            <w:noProof/>
          </w:rPr>
          <w:t>5.</w:t>
        </w:r>
        <w:r w:rsidR="007B5732">
          <w:rPr>
            <w:rFonts w:asciiTheme="minorHAnsi" w:eastAsiaTheme="minorEastAsia" w:hAnsiTheme="minorHAnsi" w:cstheme="minorBidi"/>
            <w:caps w:val="0"/>
            <w:noProof/>
            <w:szCs w:val="22"/>
            <w:lang w:eastAsia="en-GB"/>
          </w:rPr>
          <w:tab/>
        </w:r>
        <w:r w:rsidR="007B5732" w:rsidRPr="00A1419B">
          <w:rPr>
            <w:rStyle w:val="Hyperlink"/>
            <w:noProof/>
          </w:rPr>
          <w:t>scope of requirement</w:t>
        </w:r>
        <w:r w:rsidR="007B5732">
          <w:rPr>
            <w:noProof/>
            <w:webHidden/>
          </w:rPr>
          <w:tab/>
        </w:r>
        <w:r w:rsidR="007B5732">
          <w:rPr>
            <w:noProof/>
            <w:webHidden/>
          </w:rPr>
          <w:fldChar w:fldCharType="begin"/>
        </w:r>
        <w:r w:rsidR="007B5732">
          <w:rPr>
            <w:noProof/>
            <w:webHidden/>
          </w:rPr>
          <w:instrText xml:space="preserve"> PAGEREF _Toc493148654 \h </w:instrText>
        </w:r>
        <w:r w:rsidR="007B5732">
          <w:rPr>
            <w:noProof/>
            <w:webHidden/>
          </w:rPr>
        </w:r>
        <w:r w:rsidR="007B5732">
          <w:rPr>
            <w:noProof/>
            <w:webHidden/>
          </w:rPr>
          <w:fldChar w:fldCharType="separate"/>
        </w:r>
        <w:r w:rsidR="00B3395F">
          <w:rPr>
            <w:noProof/>
            <w:webHidden/>
          </w:rPr>
          <w:t>4</w:t>
        </w:r>
        <w:r w:rsidR="007B5732">
          <w:rPr>
            <w:noProof/>
            <w:webHidden/>
          </w:rPr>
          <w:fldChar w:fldCharType="end"/>
        </w:r>
      </w:hyperlink>
    </w:p>
    <w:p w:rsidR="007B5732" w:rsidRDefault="002A4A84">
      <w:pPr>
        <w:pStyle w:val="TOC1"/>
        <w:rPr>
          <w:rFonts w:asciiTheme="minorHAnsi" w:eastAsiaTheme="minorEastAsia" w:hAnsiTheme="minorHAnsi" w:cstheme="minorBidi"/>
          <w:caps w:val="0"/>
          <w:noProof/>
          <w:szCs w:val="22"/>
          <w:lang w:eastAsia="en-GB"/>
        </w:rPr>
      </w:pPr>
      <w:hyperlink w:anchor="_Toc493148655" w:history="1">
        <w:r w:rsidR="007B5732" w:rsidRPr="00A1419B">
          <w:rPr>
            <w:rStyle w:val="Hyperlink"/>
            <w:noProof/>
          </w:rPr>
          <w:t>6.</w:t>
        </w:r>
        <w:r w:rsidR="007B5732">
          <w:rPr>
            <w:rFonts w:asciiTheme="minorHAnsi" w:eastAsiaTheme="minorEastAsia" w:hAnsiTheme="minorHAnsi" w:cstheme="minorBidi"/>
            <w:caps w:val="0"/>
            <w:noProof/>
            <w:szCs w:val="22"/>
            <w:lang w:eastAsia="en-GB"/>
          </w:rPr>
          <w:tab/>
        </w:r>
        <w:r w:rsidR="007B5732" w:rsidRPr="00A1419B">
          <w:rPr>
            <w:rStyle w:val="Hyperlink"/>
            <w:noProof/>
          </w:rPr>
          <w:t>The requirement</w:t>
        </w:r>
        <w:r w:rsidR="007B5732">
          <w:rPr>
            <w:noProof/>
            <w:webHidden/>
          </w:rPr>
          <w:tab/>
        </w:r>
        <w:r w:rsidR="007B5732">
          <w:rPr>
            <w:noProof/>
            <w:webHidden/>
          </w:rPr>
          <w:fldChar w:fldCharType="begin"/>
        </w:r>
        <w:r w:rsidR="007B5732">
          <w:rPr>
            <w:noProof/>
            <w:webHidden/>
          </w:rPr>
          <w:instrText xml:space="preserve"> PAGEREF _Toc493148655 \h </w:instrText>
        </w:r>
        <w:r w:rsidR="007B5732">
          <w:rPr>
            <w:noProof/>
            <w:webHidden/>
          </w:rPr>
        </w:r>
        <w:r w:rsidR="007B5732">
          <w:rPr>
            <w:noProof/>
            <w:webHidden/>
          </w:rPr>
          <w:fldChar w:fldCharType="separate"/>
        </w:r>
        <w:r w:rsidR="00B3395F">
          <w:rPr>
            <w:noProof/>
            <w:webHidden/>
          </w:rPr>
          <w:t>4</w:t>
        </w:r>
        <w:r w:rsidR="007B5732">
          <w:rPr>
            <w:noProof/>
            <w:webHidden/>
          </w:rPr>
          <w:fldChar w:fldCharType="end"/>
        </w:r>
      </w:hyperlink>
    </w:p>
    <w:p w:rsidR="007B5732" w:rsidRDefault="002A4A84">
      <w:pPr>
        <w:pStyle w:val="TOC1"/>
        <w:rPr>
          <w:rFonts w:asciiTheme="minorHAnsi" w:eastAsiaTheme="minorEastAsia" w:hAnsiTheme="minorHAnsi" w:cstheme="minorBidi"/>
          <w:caps w:val="0"/>
          <w:noProof/>
          <w:szCs w:val="22"/>
          <w:lang w:eastAsia="en-GB"/>
        </w:rPr>
      </w:pPr>
      <w:hyperlink w:anchor="_Toc493148656" w:history="1">
        <w:r w:rsidR="007B5732" w:rsidRPr="00A1419B">
          <w:rPr>
            <w:rStyle w:val="Hyperlink"/>
            <w:noProof/>
          </w:rPr>
          <w:t>7.</w:t>
        </w:r>
        <w:r w:rsidR="007B5732">
          <w:rPr>
            <w:rFonts w:asciiTheme="minorHAnsi" w:eastAsiaTheme="minorEastAsia" w:hAnsiTheme="minorHAnsi" w:cstheme="minorBidi"/>
            <w:caps w:val="0"/>
            <w:noProof/>
            <w:szCs w:val="22"/>
            <w:lang w:eastAsia="en-GB"/>
          </w:rPr>
          <w:tab/>
        </w:r>
        <w:r w:rsidR="007B5732" w:rsidRPr="00A1419B">
          <w:rPr>
            <w:rStyle w:val="Hyperlink"/>
            <w:noProof/>
          </w:rPr>
          <w:t>key milestones</w:t>
        </w:r>
        <w:r w:rsidR="007B5732">
          <w:rPr>
            <w:noProof/>
            <w:webHidden/>
          </w:rPr>
          <w:tab/>
        </w:r>
        <w:r w:rsidR="007B5732">
          <w:rPr>
            <w:noProof/>
            <w:webHidden/>
          </w:rPr>
          <w:fldChar w:fldCharType="begin"/>
        </w:r>
        <w:r w:rsidR="007B5732">
          <w:rPr>
            <w:noProof/>
            <w:webHidden/>
          </w:rPr>
          <w:instrText xml:space="preserve"> PAGEREF _Toc493148656 \h </w:instrText>
        </w:r>
        <w:r w:rsidR="007B5732">
          <w:rPr>
            <w:noProof/>
            <w:webHidden/>
          </w:rPr>
        </w:r>
        <w:r w:rsidR="007B5732">
          <w:rPr>
            <w:noProof/>
            <w:webHidden/>
          </w:rPr>
          <w:fldChar w:fldCharType="separate"/>
        </w:r>
        <w:r w:rsidR="00B3395F">
          <w:rPr>
            <w:noProof/>
            <w:webHidden/>
          </w:rPr>
          <w:t>5</w:t>
        </w:r>
        <w:r w:rsidR="007B5732">
          <w:rPr>
            <w:noProof/>
            <w:webHidden/>
          </w:rPr>
          <w:fldChar w:fldCharType="end"/>
        </w:r>
      </w:hyperlink>
    </w:p>
    <w:p w:rsidR="007B5732" w:rsidRDefault="002A4A84">
      <w:pPr>
        <w:pStyle w:val="TOC1"/>
        <w:rPr>
          <w:rFonts w:asciiTheme="minorHAnsi" w:eastAsiaTheme="minorEastAsia" w:hAnsiTheme="minorHAnsi" w:cstheme="minorBidi"/>
          <w:caps w:val="0"/>
          <w:noProof/>
          <w:szCs w:val="22"/>
          <w:lang w:eastAsia="en-GB"/>
        </w:rPr>
      </w:pPr>
      <w:hyperlink w:anchor="_Toc493148657" w:history="1">
        <w:r w:rsidR="007B5732" w:rsidRPr="00A1419B">
          <w:rPr>
            <w:rStyle w:val="Hyperlink"/>
            <w:rFonts w:cs="Arial"/>
            <w:noProof/>
          </w:rPr>
          <w:t>8.</w:t>
        </w:r>
        <w:r w:rsidR="007B5732">
          <w:rPr>
            <w:rFonts w:asciiTheme="minorHAnsi" w:eastAsiaTheme="minorEastAsia" w:hAnsiTheme="minorHAnsi" w:cstheme="minorBidi"/>
            <w:caps w:val="0"/>
            <w:noProof/>
            <w:szCs w:val="22"/>
            <w:lang w:eastAsia="en-GB"/>
          </w:rPr>
          <w:tab/>
        </w:r>
        <w:r w:rsidR="007B5732" w:rsidRPr="00A1419B">
          <w:rPr>
            <w:rStyle w:val="Hyperlink"/>
            <w:rFonts w:cs="Arial"/>
            <w:noProof/>
          </w:rPr>
          <w:t>authority’s responsibilities</w:t>
        </w:r>
        <w:r w:rsidR="007B5732">
          <w:rPr>
            <w:noProof/>
            <w:webHidden/>
          </w:rPr>
          <w:tab/>
        </w:r>
        <w:r w:rsidR="007B5732">
          <w:rPr>
            <w:noProof/>
            <w:webHidden/>
          </w:rPr>
          <w:fldChar w:fldCharType="begin"/>
        </w:r>
        <w:r w:rsidR="007B5732">
          <w:rPr>
            <w:noProof/>
            <w:webHidden/>
          </w:rPr>
          <w:instrText xml:space="preserve"> PAGEREF _Toc493148657 \h </w:instrText>
        </w:r>
        <w:r w:rsidR="007B5732">
          <w:rPr>
            <w:noProof/>
            <w:webHidden/>
          </w:rPr>
        </w:r>
        <w:r w:rsidR="007B5732">
          <w:rPr>
            <w:noProof/>
            <w:webHidden/>
          </w:rPr>
          <w:fldChar w:fldCharType="separate"/>
        </w:r>
        <w:r w:rsidR="00B3395F">
          <w:rPr>
            <w:noProof/>
            <w:webHidden/>
          </w:rPr>
          <w:t>5</w:t>
        </w:r>
        <w:r w:rsidR="007B5732">
          <w:rPr>
            <w:noProof/>
            <w:webHidden/>
          </w:rPr>
          <w:fldChar w:fldCharType="end"/>
        </w:r>
      </w:hyperlink>
    </w:p>
    <w:p w:rsidR="007B5732" w:rsidRDefault="002A4A84">
      <w:pPr>
        <w:pStyle w:val="TOC1"/>
        <w:rPr>
          <w:rFonts w:asciiTheme="minorHAnsi" w:eastAsiaTheme="minorEastAsia" w:hAnsiTheme="minorHAnsi" w:cstheme="minorBidi"/>
          <w:caps w:val="0"/>
          <w:noProof/>
          <w:szCs w:val="22"/>
          <w:lang w:eastAsia="en-GB"/>
        </w:rPr>
      </w:pPr>
      <w:hyperlink w:anchor="_Toc493148658" w:history="1">
        <w:r w:rsidR="007B5732" w:rsidRPr="00A1419B">
          <w:rPr>
            <w:rStyle w:val="Hyperlink"/>
            <w:rFonts w:cs="Arial"/>
            <w:noProof/>
          </w:rPr>
          <w:t>9.</w:t>
        </w:r>
        <w:r w:rsidR="007B5732">
          <w:rPr>
            <w:rFonts w:asciiTheme="minorHAnsi" w:eastAsiaTheme="minorEastAsia" w:hAnsiTheme="minorHAnsi" w:cstheme="minorBidi"/>
            <w:caps w:val="0"/>
            <w:noProof/>
            <w:szCs w:val="22"/>
            <w:lang w:eastAsia="en-GB"/>
          </w:rPr>
          <w:tab/>
        </w:r>
        <w:r w:rsidR="007B5732" w:rsidRPr="00A1419B">
          <w:rPr>
            <w:rStyle w:val="Hyperlink"/>
            <w:rFonts w:cs="Arial"/>
            <w:noProof/>
          </w:rPr>
          <w:t>reporting</w:t>
        </w:r>
        <w:r w:rsidR="007B5732">
          <w:rPr>
            <w:noProof/>
            <w:webHidden/>
          </w:rPr>
          <w:tab/>
        </w:r>
        <w:r w:rsidR="007B5732">
          <w:rPr>
            <w:noProof/>
            <w:webHidden/>
          </w:rPr>
          <w:fldChar w:fldCharType="begin"/>
        </w:r>
        <w:r w:rsidR="007B5732">
          <w:rPr>
            <w:noProof/>
            <w:webHidden/>
          </w:rPr>
          <w:instrText xml:space="preserve"> PAGEREF _Toc493148658 \h </w:instrText>
        </w:r>
        <w:r w:rsidR="007B5732">
          <w:rPr>
            <w:noProof/>
            <w:webHidden/>
          </w:rPr>
        </w:r>
        <w:r w:rsidR="007B5732">
          <w:rPr>
            <w:noProof/>
            <w:webHidden/>
          </w:rPr>
          <w:fldChar w:fldCharType="separate"/>
        </w:r>
        <w:r w:rsidR="00B3395F">
          <w:rPr>
            <w:noProof/>
            <w:webHidden/>
          </w:rPr>
          <w:t>5</w:t>
        </w:r>
        <w:r w:rsidR="007B5732">
          <w:rPr>
            <w:noProof/>
            <w:webHidden/>
          </w:rPr>
          <w:fldChar w:fldCharType="end"/>
        </w:r>
      </w:hyperlink>
    </w:p>
    <w:p w:rsidR="007B5732" w:rsidRDefault="002A4A84">
      <w:pPr>
        <w:pStyle w:val="TOC1"/>
        <w:rPr>
          <w:rFonts w:asciiTheme="minorHAnsi" w:eastAsiaTheme="minorEastAsia" w:hAnsiTheme="minorHAnsi" w:cstheme="minorBidi"/>
          <w:caps w:val="0"/>
          <w:noProof/>
          <w:szCs w:val="22"/>
          <w:lang w:eastAsia="en-GB"/>
        </w:rPr>
      </w:pPr>
      <w:hyperlink w:anchor="_Toc493148659" w:history="1">
        <w:r w:rsidR="007B5732" w:rsidRPr="00A1419B">
          <w:rPr>
            <w:rStyle w:val="Hyperlink"/>
            <w:rFonts w:cs="Arial"/>
            <w:noProof/>
          </w:rPr>
          <w:t>10.</w:t>
        </w:r>
        <w:r w:rsidR="007B5732">
          <w:rPr>
            <w:rFonts w:asciiTheme="minorHAnsi" w:eastAsiaTheme="minorEastAsia" w:hAnsiTheme="minorHAnsi" w:cstheme="minorBidi"/>
            <w:caps w:val="0"/>
            <w:noProof/>
            <w:szCs w:val="22"/>
            <w:lang w:eastAsia="en-GB"/>
          </w:rPr>
          <w:tab/>
        </w:r>
        <w:r w:rsidR="007B5732" w:rsidRPr="00A1419B">
          <w:rPr>
            <w:rStyle w:val="Hyperlink"/>
            <w:rFonts w:cs="Arial"/>
            <w:noProof/>
          </w:rPr>
          <w:t>volumes</w:t>
        </w:r>
        <w:r w:rsidR="007B5732">
          <w:rPr>
            <w:noProof/>
            <w:webHidden/>
          </w:rPr>
          <w:tab/>
        </w:r>
        <w:r w:rsidR="007B5732">
          <w:rPr>
            <w:noProof/>
            <w:webHidden/>
          </w:rPr>
          <w:fldChar w:fldCharType="begin"/>
        </w:r>
        <w:r w:rsidR="007B5732">
          <w:rPr>
            <w:noProof/>
            <w:webHidden/>
          </w:rPr>
          <w:instrText xml:space="preserve"> PAGEREF _Toc493148659 \h </w:instrText>
        </w:r>
        <w:r w:rsidR="007B5732">
          <w:rPr>
            <w:noProof/>
            <w:webHidden/>
          </w:rPr>
        </w:r>
        <w:r w:rsidR="007B5732">
          <w:rPr>
            <w:noProof/>
            <w:webHidden/>
          </w:rPr>
          <w:fldChar w:fldCharType="separate"/>
        </w:r>
        <w:r w:rsidR="00B3395F">
          <w:rPr>
            <w:noProof/>
            <w:webHidden/>
          </w:rPr>
          <w:t>6</w:t>
        </w:r>
        <w:r w:rsidR="007B5732">
          <w:rPr>
            <w:noProof/>
            <w:webHidden/>
          </w:rPr>
          <w:fldChar w:fldCharType="end"/>
        </w:r>
      </w:hyperlink>
    </w:p>
    <w:p w:rsidR="007B5732" w:rsidRDefault="002A4A84">
      <w:pPr>
        <w:pStyle w:val="TOC1"/>
        <w:rPr>
          <w:rFonts w:asciiTheme="minorHAnsi" w:eastAsiaTheme="minorEastAsia" w:hAnsiTheme="minorHAnsi" w:cstheme="minorBidi"/>
          <w:caps w:val="0"/>
          <w:noProof/>
          <w:szCs w:val="22"/>
          <w:lang w:eastAsia="en-GB"/>
        </w:rPr>
      </w:pPr>
      <w:hyperlink w:anchor="_Toc493148660" w:history="1">
        <w:r w:rsidR="007B5732" w:rsidRPr="00A1419B">
          <w:rPr>
            <w:rStyle w:val="Hyperlink"/>
            <w:rFonts w:cs="Arial"/>
            <w:noProof/>
          </w:rPr>
          <w:t>11.</w:t>
        </w:r>
        <w:r w:rsidR="007B5732">
          <w:rPr>
            <w:rFonts w:asciiTheme="minorHAnsi" w:eastAsiaTheme="minorEastAsia" w:hAnsiTheme="minorHAnsi" w:cstheme="minorBidi"/>
            <w:caps w:val="0"/>
            <w:noProof/>
            <w:szCs w:val="22"/>
            <w:lang w:eastAsia="en-GB"/>
          </w:rPr>
          <w:tab/>
        </w:r>
        <w:r w:rsidR="007B5732" w:rsidRPr="00A1419B">
          <w:rPr>
            <w:rStyle w:val="Hyperlink"/>
            <w:rFonts w:cs="Arial"/>
            <w:noProof/>
          </w:rPr>
          <w:t>continuous improvement</w:t>
        </w:r>
        <w:r w:rsidR="007B5732">
          <w:rPr>
            <w:noProof/>
            <w:webHidden/>
          </w:rPr>
          <w:tab/>
        </w:r>
        <w:r w:rsidR="007B5732">
          <w:rPr>
            <w:noProof/>
            <w:webHidden/>
          </w:rPr>
          <w:fldChar w:fldCharType="begin"/>
        </w:r>
        <w:r w:rsidR="007B5732">
          <w:rPr>
            <w:noProof/>
            <w:webHidden/>
          </w:rPr>
          <w:instrText xml:space="preserve"> PAGEREF _Toc493148660 \h </w:instrText>
        </w:r>
        <w:r w:rsidR="007B5732">
          <w:rPr>
            <w:noProof/>
            <w:webHidden/>
          </w:rPr>
        </w:r>
        <w:r w:rsidR="007B5732">
          <w:rPr>
            <w:noProof/>
            <w:webHidden/>
          </w:rPr>
          <w:fldChar w:fldCharType="separate"/>
        </w:r>
        <w:r w:rsidR="00B3395F">
          <w:rPr>
            <w:noProof/>
            <w:webHidden/>
          </w:rPr>
          <w:t>6</w:t>
        </w:r>
        <w:r w:rsidR="007B5732">
          <w:rPr>
            <w:noProof/>
            <w:webHidden/>
          </w:rPr>
          <w:fldChar w:fldCharType="end"/>
        </w:r>
      </w:hyperlink>
    </w:p>
    <w:p w:rsidR="007B5732" w:rsidRDefault="002A4A84">
      <w:pPr>
        <w:pStyle w:val="TOC1"/>
        <w:rPr>
          <w:rFonts w:asciiTheme="minorHAnsi" w:eastAsiaTheme="minorEastAsia" w:hAnsiTheme="minorHAnsi" w:cstheme="minorBidi"/>
          <w:caps w:val="0"/>
          <w:noProof/>
          <w:szCs w:val="22"/>
          <w:lang w:eastAsia="en-GB"/>
        </w:rPr>
      </w:pPr>
      <w:hyperlink w:anchor="_Toc493148661" w:history="1">
        <w:r w:rsidR="007B5732" w:rsidRPr="00A1419B">
          <w:rPr>
            <w:rStyle w:val="Hyperlink"/>
            <w:noProof/>
          </w:rPr>
          <w:t>12.</w:t>
        </w:r>
        <w:r w:rsidR="007B5732">
          <w:rPr>
            <w:rFonts w:asciiTheme="minorHAnsi" w:eastAsiaTheme="minorEastAsia" w:hAnsiTheme="minorHAnsi" w:cstheme="minorBidi"/>
            <w:caps w:val="0"/>
            <w:noProof/>
            <w:szCs w:val="22"/>
            <w:lang w:eastAsia="en-GB"/>
          </w:rPr>
          <w:tab/>
        </w:r>
        <w:r w:rsidR="007B5732" w:rsidRPr="00A1419B">
          <w:rPr>
            <w:rStyle w:val="Hyperlink"/>
            <w:noProof/>
          </w:rPr>
          <w:t>Sustainability</w:t>
        </w:r>
        <w:r w:rsidR="007B5732">
          <w:rPr>
            <w:noProof/>
            <w:webHidden/>
          </w:rPr>
          <w:tab/>
        </w:r>
        <w:r w:rsidR="007B5732">
          <w:rPr>
            <w:noProof/>
            <w:webHidden/>
          </w:rPr>
          <w:fldChar w:fldCharType="begin"/>
        </w:r>
        <w:r w:rsidR="007B5732">
          <w:rPr>
            <w:noProof/>
            <w:webHidden/>
          </w:rPr>
          <w:instrText xml:space="preserve"> PAGEREF _Toc493148661 \h </w:instrText>
        </w:r>
        <w:r w:rsidR="007B5732">
          <w:rPr>
            <w:noProof/>
            <w:webHidden/>
          </w:rPr>
        </w:r>
        <w:r w:rsidR="007B5732">
          <w:rPr>
            <w:noProof/>
            <w:webHidden/>
          </w:rPr>
          <w:fldChar w:fldCharType="separate"/>
        </w:r>
        <w:r w:rsidR="00B3395F">
          <w:rPr>
            <w:noProof/>
            <w:webHidden/>
          </w:rPr>
          <w:t>6</w:t>
        </w:r>
        <w:r w:rsidR="007B5732">
          <w:rPr>
            <w:noProof/>
            <w:webHidden/>
          </w:rPr>
          <w:fldChar w:fldCharType="end"/>
        </w:r>
      </w:hyperlink>
    </w:p>
    <w:p w:rsidR="007B5732" w:rsidRDefault="002A4A84">
      <w:pPr>
        <w:pStyle w:val="TOC1"/>
        <w:rPr>
          <w:rFonts w:asciiTheme="minorHAnsi" w:eastAsiaTheme="minorEastAsia" w:hAnsiTheme="minorHAnsi" w:cstheme="minorBidi"/>
          <w:caps w:val="0"/>
          <w:noProof/>
          <w:szCs w:val="22"/>
          <w:lang w:eastAsia="en-GB"/>
        </w:rPr>
      </w:pPr>
      <w:hyperlink w:anchor="_Toc493148662" w:history="1">
        <w:r w:rsidR="007B5732" w:rsidRPr="00A1419B">
          <w:rPr>
            <w:rStyle w:val="Hyperlink"/>
            <w:rFonts w:cs="Arial"/>
            <w:noProof/>
          </w:rPr>
          <w:t>13.</w:t>
        </w:r>
        <w:r w:rsidR="007B5732">
          <w:rPr>
            <w:rFonts w:asciiTheme="minorHAnsi" w:eastAsiaTheme="minorEastAsia" w:hAnsiTheme="minorHAnsi" w:cstheme="minorBidi"/>
            <w:caps w:val="0"/>
            <w:noProof/>
            <w:szCs w:val="22"/>
            <w:lang w:eastAsia="en-GB"/>
          </w:rPr>
          <w:tab/>
        </w:r>
        <w:r w:rsidR="007B5732" w:rsidRPr="00A1419B">
          <w:rPr>
            <w:rStyle w:val="Hyperlink"/>
            <w:rFonts w:cs="Arial"/>
            <w:noProof/>
          </w:rPr>
          <w:t>quality</w:t>
        </w:r>
        <w:r w:rsidR="007B5732">
          <w:rPr>
            <w:noProof/>
            <w:webHidden/>
          </w:rPr>
          <w:tab/>
        </w:r>
        <w:r w:rsidR="007B5732">
          <w:rPr>
            <w:noProof/>
            <w:webHidden/>
          </w:rPr>
          <w:fldChar w:fldCharType="begin"/>
        </w:r>
        <w:r w:rsidR="007B5732">
          <w:rPr>
            <w:noProof/>
            <w:webHidden/>
          </w:rPr>
          <w:instrText xml:space="preserve"> PAGEREF _Toc493148662 \h </w:instrText>
        </w:r>
        <w:r w:rsidR="007B5732">
          <w:rPr>
            <w:noProof/>
            <w:webHidden/>
          </w:rPr>
        </w:r>
        <w:r w:rsidR="007B5732">
          <w:rPr>
            <w:noProof/>
            <w:webHidden/>
          </w:rPr>
          <w:fldChar w:fldCharType="separate"/>
        </w:r>
        <w:r w:rsidR="00B3395F">
          <w:rPr>
            <w:noProof/>
            <w:webHidden/>
          </w:rPr>
          <w:t>6</w:t>
        </w:r>
        <w:r w:rsidR="007B5732">
          <w:rPr>
            <w:noProof/>
            <w:webHidden/>
          </w:rPr>
          <w:fldChar w:fldCharType="end"/>
        </w:r>
      </w:hyperlink>
    </w:p>
    <w:p w:rsidR="007B5732" w:rsidRDefault="002A4A84">
      <w:pPr>
        <w:pStyle w:val="TOC1"/>
        <w:rPr>
          <w:rFonts w:asciiTheme="minorHAnsi" w:eastAsiaTheme="minorEastAsia" w:hAnsiTheme="minorHAnsi" w:cstheme="minorBidi"/>
          <w:caps w:val="0"/>
          <w:noProof/>
          <w:szCs w:val="22"/>
          <w:lang w:eastAsia="en-GB"/>
        </w:rPr>
      </w:pPr>
      <w:hyperlink w:anchor="_Toc493148663" w:history="1">
        <w:r w:rsidR="007B5732" w:rsidRPr="00A1419B">
          <w:rPr>
            <w:rStyle w:val="Hyperlink"/>
            <w:rFonts w:cs="Arial"/>
            <w:noProof/>
          </w:rPr>
          <w:t>14.</w:t>
        </w:r>
        <w:r w:rsidR="007B5732">
          <w:rPr>
            <w:rFonts w:asciiTheme="minorHAnsi" w:eastAsiaTheme="minorEastAsia" w:hAnsiTheme="minorHAnsi" w:cstheme="minorBidi"/>
            <w:caps w:val="0"/>
            <w:noProof/>
            <w:szCs w:val="22"/>
            <w:lang w:eastAsia="en-GB"/>
          </w:rPr>
          <w:tab/>
        </w:r>
        <w:r w:rsidR="007B5732" w:rsidRPr="00A1419B">
          <w:rPr>
            <w:rStyle w:val="Hyperlink"/>
            <w:rFonts w:cs="Arial"/>
            <w:noProof/>
          </w:rPr>
          <w:t>PRICE</w:t>
        </w:r>
        <w:r w:rsidR="007B5732">
          <w:rPr>
            <w:noProof/>
            <w:webHidden/>
          </w:rPr>
          <w:tab/>
        </w:r>
        <w:r w:rsidR="007B5732">
          <w:rPr>
            <w:noProof/>
            <w:webHidden/>
          </w:rPr>
          <w:fldChar w:fldCharType="begin"/>
        </w:r>
        <w:r w:rsidR="007B5732">
          <w:rPr>
            <w:noProof/>
            <w:webHidden/>
          </w:rPr>
          <w:instrText xml:space="preserve"> PAGEREF _Toc493148663 \h </w:instrText>
        </w:r>
        <w:r w:rsidR="007B5732">
          <w:rPr>
            <w:noProof/>
            <w:webHidden/>
          </w:rPr>
        </w:r>
        <w:r w:rsidR="007B5732">
          <w:rPr>
            <w:noProof/>
            <w:webHidden/>
          </w:rPr>
          <w:fldChar w:fldCharType="separate"/>
        </w:r>
        <w:r w:rsidR="00B3395F">
          <w:rPr>
            <w:noProof/>
            <w:webHidden/>
          </w:rPr>
          <w:t>6</w:t>
        </w:r>
        <w:r w:rsidR="007B5732">
          <w:rPr>
            <w:noProof/>
            <w:webHidden/>
          </w:rPr>
          <w:fldChar w:fldCharType="end"/>
        </w:r>
      </w:hyperlink>
    </w:p>
    <w:p w:rsidR="007B5732" w:rsidRDefault="002A4A84">
      <w:pPr>
        <w:pStyle w:val="TOC1"/>
        <w:rPr>
          <w:rFonts w:asciiTheme="minorHAnsi" w:eastAsiaTheme="minorEastAsia" w:hAnsiTheme="minorHAnsi" w:cstheme="minorBidi"/>
          <w:caps w:val="0"/>
          <w:noProof/>
          <w:szCs w:val="22"/>
          <w:lang w:eastAsia="en-GB"/>
        </w:rPr>
      </w:pPr>
      <w:hyperlink w:anchor="_Toc493148664" w:history="1">
        <w:r w:rsidR="007B5732" w:rsidRPr="00A1419B">
          <w:rPr>
            <w:rStyle w:val="Hyperlink"/>
            <w:rFonts w:cs="Arial"/>
            <w:noProof/>
          </w:rPr>
          <w:t>15.</w:t>
        </w:r>
        <w:r w:rsidR="007B5732">
          <w:rPr>
            <w:rFonts w:asciiTheme="minorHAnsi" w:eastAsiaTheme="minorEastAsia" w:hAnsiTheme="minorHAnsi" w:cstheme="minorBidi"/>
            <w:caps w:val="0"/>
            <w:noProof/>
            <w:szCs w:val="22"/>
            <w:lang w:eastAsia="en-GB"/>
          </w:rPr>
          <w:tab/>
        </w:r>
        <w:r w:rsidR="007B5732" w:rsidRPr="00A1419B">
          <w:rPr>
            <w:rStyle w:val="Hyperlink"/>
            <w:rFonts w:cs="Arial"/>
            <w:noProof/>
          </w:rPr>
          <w:t>STAFF AND CUSTOMER SERVICE</w:t>
        </w:r>
        <w:r w:rsidR="007B5732">
          <w:rPr>
            <w:noProof/>
            <w:webHidden/>
          </w:rPr>
          <w:tab/>
        </w:r>
        <w:r w:rsidR="007B5732">
          <w:rPr>
            <w:noProof/>
            <w:webHidden/>
          </w:rPr>
          <w:fldChar w:fldCharType="begin"/>
        </w:r>
        <w:r w:rsidR="007B5732">
          <w:rPr>
            <w:noProof/>
            <w:webHidden/>
          </w:rPr>
          <w:instrText xml:space="preserve"> PAGEREF _Toc493148664 \h </w:instrText>
        </w:r>
        <w:r w:rsidR="007B5732">
          <w:rPr>
            <w:noProof/>
            <w:webHidden/>
          </w:rPr>
        </w:r>
        <w:r w:rsidR="007B5732">
          <w:rPr>
            <w:noProof/>
            <w:webHidden/>
          </w:rPr>
          <w:fldChar w:fldCharType="separate"/>
        </w:r>
        <w:r w:rsidR="00B3395F">
          <w:rPr>
            <w:noProof/>
            <w:webHidden/>
          </w:rPr>
          <w:t>6</w:t>
        </w:r>
        <w:r w:rsidR="007B5732">
          <w:rPr>
            <w:noProof/>
            <w:webHidden/>
          </w:rPr>
          <w:fldChar w:fldCharType="end"/>
        </w:r>
      </w:hyperlink>
    </w:p>
    <w:p w:rsidR="007B5732" w:rsidRDefault="002A4A84">
      <w:pPr>
        <w:pStyle w:val="TOC1"/>
        <w:rPr>
          <w:rFonts w:asciiTheme="minorHAnsi" w:eastAsiaTheme="minorEastAsia" w:hAnsiTheme="minorHAnsi" w:cstheme="minorBidi"/>
          <w:caps w:val="0"/>
          <w:noProof/>
          <w:szCs w:val="22"/>
          <w:lang w:eastAsia="en-GB"/>
        </w:rPr>
      </w:pPr>
      <w:hyperlink w:anchor="_Toc493148665" w:history="1">
        <w:r w:rsidR="007B5732" w:rsidRPr="00A1419B">
          <w:rPr>
            <w:rStyle w:val="Hyperlink"/>
            <w:rFonts w:cs="Arial"/>
            <w:noProof/>
          </w:rPr>
          <w:t>16.</w:t>
        </w:r>
        <w:r w:rsidR="007B5732">
          <w:rPr>
            <w:rFonts w:asciiTheme="minorHAnsi" w:eastAsiaTheme="minorEastAsia" w:hAnsiTheme="minorHAnsi" w:cstheme="minorBidi"/>
            <w:caps w:val="0"/>
            <w:noProof/>
            <w:szCs w:val="22"/>
            <w:lang w:eastAsia="en-GB"/>
          </w:rPr>
          <w:tab/>
        </w:r>
        <w:r w:rsidR="007B5732" w:rsidRPr="00A1419B">
          <w:rPr>
            <w:rStyle w:val="Hyperlink"/>
            <w:rFonts w:cs="Arial"/>
            <w:noProof/>
          </w:rPr>
          <w:t>service levels and performance</w:t>
        </w:r>
        <w:r w:rsidR="007B5732">
          <w:rPr>
            <w:noProof/>
            <w:webHidden/>
          </w:rPr>
          <w:tab/>
        </w:r>
        <w:r w:rsidR="007B5732">
          <w:rPr>
            <w:noProof/>
            <w:webHidden/>
          </w:rPr>
          <w:fldChar w:fldCharType="begin"/>
        </w:r>
        <w:r w:rsidR="007B5732">
          <w:rPr>
            <w:noProof/>
            <w:webHidden/>
          </w:rPr>
          <w:instrText xml:space="preserve"> PAGEREF _Toc493148665 \h </w:instrText>
        </w:r>
        <w:r w:rsidR="007B5732">
          <w:rPr>
            <w:noProof/>
            <w:webHidden/>
          </w:rPr>
        </w:r>
        <w:r w:rsidR="007B5732">
          <w:rPr>
            <w:noProof/>
            <w:webHidden/>
          </w:rPr>
          <w:fldChar w:fldCharType="separate"/>
        </w:r>
        <w:r w:rsidR="00B3395F">
          <w:rPr>
            <w:noProof/>
            <w:webHidden/>
          </w:rPr>
          <w:t>7</w:t>
        </w:r>
        <w:r w:rsidR="007B5732">
          <w:rPr>
            <w:noProof/>
            <w:webHidden/>
          </w:rPr>
          <w:fldChar w:fldCharType="end"/>
        </w:r>
      </w:hyperlink>
    </w:p>
    <w:p w:rsidR="007B5732" w:rsidRDefault="002A4A84">
      <w:pPr>
        <w:pStyle w:val="TOC1"/>
        <w:rPr>
          <w:rFonts w:asciiTheme="minorHAnsi" w:eastAsiaTheme="minorEastAsia" w:hAnsiTheme="minorHAnsi" w:cstheme="minorBidi"/>
          <w:caps w:val="0"/>
          <w:noProof/>
          <w:szCs w:val="22"/>
          <w:lang w:eastAsia="en-GB"/>
        </w:rPr>
      </w:pPr>
      <w:hyperlink w:anchor="_Toc493148666" w:history="1">
        <w:r w:rsidR="007B5732" w:rsidRPr="00A1419B">
          <w:rPr>
            <w:rStyle w:val="Hyperlink"/>
            <w:noProof/>
          </w:rPr>
          <w:t>17.</w:t>
        </w:r>
        <w:r w:rsidR="007B5732">
          <w:rPr>
            <w:rFonts w:asciiTheme="minorHAnsi" w:eastAsiaTheme="minorEastAsia" w:hAnsiTheme="minorHAnsi" w:cstheme="minorBidi"/>
            <w:caps w:val="0"/>
            <w:noProof/>
            <w:szCs w:val="22"/>
            <w:lang w:eastAsia="en-GB"/>
          </w:rPr>
          <w:tab/>
        </w:r>
        <w:r w:rsidR="007B5732" w:rsidRPr="00A1419B">
          <w:rPr>
            <w:rStyle w:val="Hyperlink"/>
            <w:noProof/>
          </w:rPr>
          <w:t>Security requirements</w:t>
        </w:r>
        <w:r w:rsidR="007B5732">
          <w:rPr>
            <w:noProof/>
            <w:webHidden/>
          </w:rPr>
          <w:tab/>
        </w:r>
        <w:r w:rsidR="007B5732">
          <w:rPr>
            <w:noProof/>
            <w:webHidden/>
          </w:rPr>
          <w:fldChar w:fldCharType="begin"/>
        </w:r>
        <w:r w:rsidR="007B5732">
          <w:rPr>
            <w:noProof/>
            <w:webHidden/>
          </w:rPr>
          <w:instrText xml:space="preserve"> PAGEREF _Toc493148666 \h </w:instrText>
        </w:r>
        <w:r w:rsidR="007B5732">
          <w:rPr>
            <w:noProof/>
            <w:webHidden/>
          </w:rPr>
        </w:r>
        <w:r w:rsidR="007B5732">
          <w:rPr>
            <w:noProof/>
            <w:webHidden/>
          </w:rPr>
          <w:fldChar w:fldCharType="separate"/>
        </w:r>
        <w:r w:rsidR="00B3395F">
          <w:rPr>
            <w:noProof/>
            <w:webHidden/>
          </w:rPr>
          <w:t>7</w:t>
        </w:r>
        <w:r w:rsidR="007B5732">
          <w:rPr>
            <w:noProof/>
            <w:webHidden/>
          </w:rPr>
          <w:fldChar w:fldCharType="end"/>
        </w:r>
      </w:hyperlink>
    </w:p>
    <w:p w:rsidR="007B5732" w:rsidRDefault="002A4A84">
      <w:pPr>
        <w:pStyle w:val="TOC1"/>
        <w:rPr>
          <w:rFonts w:asciiTheme="minorHAnsi" w:eastAsiaTheme="minorEastAsia" w:hAnsiTheme="minorHAnsi" w:cstheme="minorBidi"/>
          <w:caps w:val="0"/>
          <w:noProof/>
          <w:szCs w:val="22"/>
          <w:lang w:eastAsia="en-GB"/>
        </w:rPr>
      </w:pPr>
      <w:hyperlink w:anchor="_Toc493148667" w:history="1">
        <w:r w:rsidR="007B5732" w:rsidRPr="00A1419B">
          <w:rPr>
            <w:rStyle w:val="Hyperlink"/>
            <w:rFonts w:cs="Arial"/>
            <w:noProof/>
          </w:rPr>
          <w:t>18.</w:t>
        </w:r>
        <w:r w:rsidR="007B5732">
          <w:rPr>
            <w:rFonts w:asciiTheme="minorHAnsi" w:eastAsiaTheme="minorEastAsia" w:hAnsiTheme="minorHAnsi" w:cstheme="minorBidi"/>
            <w:caps w:val="0"/>
            <w:noProof/>
            <w:szCs w:val="22"/>
            <w:lang w:eastAsia="en-GB"/>
          </w:rPr>
          <w:tab/>
        </w:r>
        <w:r w:rsidR="007B5732" w:rsidRPr="00A1419B">
          <w:rPr>
            <w:rStyle w:val="Hyperlink"/>
            <w:rFonts w:cs="Arial"/>
            <w:noProof/>
          </w:rPr>
          <w:t>intellectual property rights (ipr)</w:t>
        </w:r>
        <w:r w:rsidR="007B5732">
          <w:rPr>
            <w:noProof/>
            <w:webHidden/>
          </w:rPr>
          <w:tab/>
        </w:r>
        <w:r w:rsidR="007B5732">
          <w:rPr>
            <w:noProof/>
            <w:webHidden/>
          </w:rPr>
          <w:fldChar w:fldCharType="begin"/>
        </w:r>
        <w:r w:rsidR="007B5732">
          <w:rPr>
            <w:noProof/>
            <w:webHidden/>
          </w:rPr>
          <w:instrText xml:space="preserve"> PAGEREF _Toc493148667 \h </w:instrText>
        </w:r>
        <w:r w:rsidR="007B5732">
          <w:rPr>
            <w:noProof/>
            <w:webHidden/>
          </w:rPr>
        </w:r>
        <w:r w:rsidR="007B5732">
          <w:rPr>
            <w:noProof/>
            <w:webHidden/>
          </w:rPr>
          <w:fldChar w:fldCharType="separate"/>
        </w:r>
        <w:r w:rsidR="00B3395F">
          <w:rPr>
            <w:noProof/>
            <w:webHidden/>
          </w:rPr>
          <w:t>7</w:t>
        </w:r>
        <w:r w:rsidR="007B5732">
          <w:rPr>
            <w:noProof/>
            <w:webHidden/>
          </w:rPr>
          <w:fldChar w:fldCharType="end"/>
        </w:r>
      </w:hyperlink>
    </w:p>
    <w:p w:rsidR="007B5732" w:rsidRDefault="002A4A84">
      <w:pPr>
        <w:pStyle w:val="TOC1"/>
        <w:rPr>
          <w:rFonts w:asciiTheme="minorHAnsi" w:eastAsiaTheme="minorEastAsia" w:hAnsiTheme="minorHAnsi" w:cstheme="minorBidi"/>
          <w:caps w:val="0"/>
          <w:noProof/>
          <w:szCs w:val="22"/>
          <w:lang w:eastAsia="en-GB"/>
        </w:rPr>
      </w:pPr>
      <w:hyperlink w:anchor="_Toc493148668" w:history="1">
        <w:r w:rsidR="007B5732" w:rsidRPr="00A1419B">
          <w:rPr>
            <w:rStyle w:val="Hyperlink"/>
            <w:rFonts w:cs="Arial"/>
            <w:noProof/>
          </w:rPr>
          <w:t>19.</w:t>
        </w:r>
        <w:r w:rsidR="007B5732">
          <w:rPr>
            <w:rFonts w:asciiTheme="minorHAnsi" w:eastAsiaTheme="minorEastAsia" w:hAnsiTheme="minorHAnsi" w:cstheme="minorBidi"/>
            <w:caps w:val="0"/>
            <w:noProof/>
            <w:szCs w:val="22"/>
            <w:lang w:eastAsia="en-GB"/>
          </w:rPr>
          <w:tab/>
        </w:r>
        <w:r w:rsidR="007B5732" w:rsidRPr="00A1419B">
          <w:rPr>
            <w:rStyle w:val="Hyperlink"/>
            <w:rFonts w:cs="Arial"/>
            <w:noProof/>
          </w:rPr>
          <w:t>payment</w:t>
        </w:r>
        <w:r w:rsidR="007B5732">
          <w:rPr>
            <w:noProof/>
            <w:webHidden/>
          </w:rPr>
          <w:tab/>
        </w:r>
        <w:r w:rsidR="007B5732">
          <w:rPr>
            <w:noProof/>
            <w:webHidden/>
          </w:rPr>
          <w:fldChar w:fldCharType="begin"/>
        </w:r>
        <w:r w:rsidR="007B5732">
          <w:rPr>
            <w:noProof/>
            <w:webHidden/>
          </w:rPr>
          <w:instrText xml:space="preserve"> PAGEREF _Toc493148668 \h </w:instrText>
        </w:r>
        <w:r w:rsidR="007B5732">
          <w:rPr>
            <w:noProof/>
            <w:webHidden/>
          </w:rPr>
        </w:r>
        <w:r w:rsidR="007B5732">
          <w:rPr>
            <w:noProof/>
            <w:webHidden/>
          </w:rPr>
          <w:fldChar w:fldCharType="separate"/>
        </w:r>
        <w:r w:rsidR="00B3395F">
          <w:rPr>
            <w:noProof/>
            <w:webHidden/>
          </w:rPr>
          <w:t>7</w:t>
        </w:r>
        <w:r w:rsidR="007B5732">
          <w:rPr>
            <w:noProof/>
            <w:webHidden/>
          </w:rPr>
          <w:fldChar w:fldCharType="end"/>
        </w:r>
      </w:hyperlink>
    </w:p>
    <w:p w:rsidR="007B5732" w:rsidRDefault="002A4A84">
      <w:pPr>
        <w:pStyle w:val="TOC1"/>
        <w:rPr>
          <w:rFonts w:asciiTheme="minorHAnsi" w:eastAsiaTheme="minorEastAsia" w:hAnsiTheme="minorHAnsi" w:cstheme="minorBidi"/>
          <w:caps w:val="0"/>
          <w:noProof/>
          <w:szCs w:val="22"/>
          <w:lang w:eastAsia="en-GB"/>
        </w:rPr>
      </w:pPr>
      <w:hyperlink w:anchor="_Toc493148669" w:history="1">
        <w:r w:rsidR="007B5732" w:rsidRPr="00A1419B">
          <w:rPr>
            <w:rStyle w:val="Hyperlink"/>
            <w:rFonts w:cs="Arial"/>
            <w:noProof/>
          </w:rPr>
          <w:t>20.</w:t>
        </w:r>
        <w:r w:rsidR="007B5732">
          <w:rPr>
            <w:rFonts w:asciiTheme="minorHAnsi" w:eastAsiaTheme="minorEastAsia" w:hAnsiTheme="minorHAnsi" w:cstheme="minorBidi"/>
            <w:caps w:val="0"/>
            <w:noProof/>
            <w:szCs w:val="22"/>
            <w:lang w:eastAsia="en-GB"/>
          </w:rPr>
          <w:tab/>
        </w:r>
        <w:r w:rsidR="007B5732" w:rsidRPr="00A1419B">
          <w:rPr>
            <w:rStyle w:val="Hyperlink"/>
            <w:rFonts w:cs="Arial"/>
            <w:noProof/>
          </w:rPr>
          <w:t>additional information</w:t>
        </w:r>
        <w:r w:rsidR="007B5732">
          <w:rPr>
            <w:noProof/>
            <w:webHidden/>
          </w:rPr>
          <w:tab/>
        </w:r>
        <w:r w:rsidR="007B5732">
          <w:rPr>
            <w:noProof/>
            <w:webHidden/>
          </w:rPr>
          <w:fldChar w:fldCharType="begin"/>
        </w:r>
        <w:r w:rsidR="007B5732">
          <w:rPr>
            <w:noProof/>
            <w:webHidden/>
          </w:rPr>
          <w:instrText xml:space="preserve"> PAGEREF _Toc493148669 \h </w:instrText>
        </w:r>
        <w:r w:rsidR="007B5732">
          <w:rPr>
            <w:noProof/>
            <w:webHidden/>
          </w:rPr>
        </w:r>
        <w:r w:rsidR="007B5732">
          <w:rPr>
            <w:noProof/>
            <w:webHidden/>
          </w:rPr>
          <w:fldChar w:fldCharType="separate"/>
        </w:r>
        <w:r w:rsidR="00B3395F">
          <w:rPr>
            <w:noProof/>
            <w:webHidden/>
          </w:rPr>
          <w:t>7</w:t>
        </w:r>
        <w:r w:rsidR="007B5732">
          <w:rPr>
            <w:noProof/>
            <w:webHidden/>
          </w:rPr>
          <w:fldChar w:fldCharType="end"/>
        </w:r>
      </w:hyperlink>
    </w:p>
    <w:p w:rsidR="007B5732" w:rsidRDefault="002A4A84">
      <w:pPr>
        <w:pStyle w:val="TOC1"/>
        <w:rPr>
          <w:rFonts w:asciiTheme="minorHAnsi" w:eastAsiaTheme="minorEastAsia" w:hAnsiTheme="minorHAnsi" w:cstheme="minorBidi"/>
          <w:caps w:val="0"/>
          <w:noProof/>
          <w:szCs w:val="22"/>
          <w:lang w:eastAsia="en-GB"/>
        </w:rPr>
      </w:pPr>
      <w:hyperlink w:anchor="_Toc493148670" w:history="1">
        <w:r w:rsidR="007B5732" w:rsidRPr="00A1419B">
          <w:rPr>
            <w:rStyle w:val="Hyperlink"/>
            <w:noProof/>
          </w:rPr>
          <w:t>21.</w:t>
        </w:r>
        <w:r w:rsidR="007B5732">
          <w:rPr>
            <w:rFonts w:asciiTheme="minorHAnsi" w:eastAsiaTheme="minorEastAsia" w:hAnsiTheme="minorHAnsi" w:cstheme="minorBidi"/>
            <w:caps w:val="0"/>
            <w:noProof/>
            <w:szCs w:val="22"/>
            <w:lang w:eastAsia="en-GB"/>
          </w:rPr>
          <w:tab/>
        </w:r>
        <w:r w:rsidR="007B5732" w:rsidRPr="00A1419B">
          <w:rPr>
            <w:rStyle w:val="Hyperlink"/>
            <w:noProof/>
          </w:rPr>
          <w:t>Location</w:t>
        </w:r>
        <w:r w:rsidR="007B5732">
          <w:rPr>
            <w:noProof/>
            <w:webHidden/>
          </w:rPr>
          <w:tab/>
        </w:r>
        <w:r w:rsidR="007B5732">
          <w:rPr>
            <w:noProof/>
            <w:webHidden/>
          </w:rPr>
          <w:fldChar w:fldCharType="begin"/>
        </w:r>
        <w:r w:rsidR="007B5732">
          <w:rPr>
            <w:noProof/>
            <w:webHidden/>
          </w:rPr>
          <w:instrText xml:space="preserve"> PAGEREF _Toc493148670 \h </w:instrText>
        </w:r>
        <w:r w:rsidR="007B5732">
          <w:rPr>
            <w:noProof/>
            <w:webHidden/>
          </w:rPr>
        </w:r>
        <w:r w:rsidR="007B5732">
          <w:rPr>
            <w:noProof/>
            <w:webHidden/>
          </w:rPr>
          <w:fldChar w:fldCharType="separate"/>
        </w:r>
        <w:r w:rsidR="00B3395F">
          <w:rPr>
            <w:noProof/>
            <w:webHidden/>
          </w:rPr>
          <w:t>8</w:t>
        </w:r>
        <w:r w:rsidR="007B5732">
          <w:rPr>
            <w:noProof/>
            <w:webHidden/>
          </w:rPr>
          <w:fldChar w:fldCharType="end"/>
        </w:r>
      </w:hyperlink>
    </w:p>
    <w:p w:rsidR="00FE18AC" w:rsidRPr="00D37BAC" w:rsidRDefault="00E10E97" w:rsidP="00FE18AC">
      <w:pPr>
        <w:spacing w:after="120"/>
        <w:jc w:val="center"/>
        <w:rPr>
          <w:b/>
        </w:rPr>
      </w:pPr>
      <w:r w:rsidRPr="00FA5229">
        <w:rPr>
          <w:rFonts w:cs="Arial"/>
          <w:caps/>
        </w:rPr>
        <w:fldChar w:fldCharType="end"/>
      </w:r>
    </w:p>
    <w:p w:rsidR="00F44D62" w:rsidRPr="00F44D62" w:rsidRDefault="00F44D62" w:rsidP="00F44D62">
      <w:pPr>
        <w:adjustRightInd w:val="0"/>
        <w:spacing w:before="60" w:after="60"/>
        <w:jc w:val="center"/>
        <w:rPr>
          <w:rFonts w:eastAsia="STZhongsong" w:cs="Arial"/>
          <w:b/>
          <w:szCs w:val="22"/>
          <w:highlight w:val="yellow"/>
        </w:rPr>
      </w:pPr>
      <w:bookmarkStart w:id="0" w:name="_Toc297554772"/>
    </w:p>
    <w:p w:rsidR="00F44D62" w:rsidRPr="00F44D62" w:rsidRDefault="00F44D62" w:rsidP="00F44D62">
      <w:pPr>
        <w:adjustRightInd w:val="0"/>
        <w:spacing w:before="60" w:after="60"/>
        <w:jc w:val="both"/>
        <w:rPr>
          <w:rFonts w:eastAsia="STZhongsong"/>
          <w:b/>
          <w:i/>
          <w:szCs w:val="22"/>
        </w:rPr>
      </w:pPr>
    </w:p>
    <w:p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493148650"/>
      <w:r w:rsidRPr="00CE295C">
        <w:rPr>
          <w:caps w:val="0"/>
          <w:szCs w:val="22"/>
        </w:rPr>
        <w:lastRenderedPageBreak/>
        <w:t>PURPOSE</w:t>
      </w:r>
      <w:bookmarkEnd w:id="0"/>
      <w:bookmarkEnd w:id="1"/>
      <w:bookmarkEnd w:id="2"/>
    </w:p>
    <w:p w:rsidR="00FE18AC" w:rsidRDefault="003561BE" w:rsidP="008F3470">
      <w:pPr>
        <w:pStyle w:val="Heading2"/>
        <w:tabs>
          <w:tab w:val="clear" w:pos="720"/>
          <w:tab w:val="num" w:pos="709"/>
        </w:tabs>
        <w:overflowPunct w:val="0"/>
        <w:autoSpaceDE w:val="0"/>
        <w:autoSpaceDN w:val="0"/>
        <w:spacing w:after="120"/>
        <w:ind w:left="709" w:hanging="709"/>
        <w:textAlignment w:val="baseline"/>
        <w:rPr>
          <w:szCs w:val="22"/>
        </w:rPr>
      </w:pPr>
      <w:bookmarkStart w:id="3" w:name="_Toc296415791"/>
      <w:r w:rsidRPr="005A37F8">
        <w:rPr>
          <w:szCs w:val="22"/>
        </w:rPr>
        <w:t xml:space="preserve">To </w:t>
      </w:r>
      <w:r w:rsidR="00263EC6">
        <w:rPr>
          <w:szCs w:val="22"/>
        </w:rPr>
        <w:t xml:space="preserve">broaden </w:t>
      </w:r>
      <w:r w:rsidR="00904347">
        <w:rPr>
          <w:szCs w:val="22"/>
        </w:rPr>
        <w:t xml:space="preserve">Department </w:t>
      </w:r>
      <w:r w:rsidR="00332ADB">
        <w:rPr>
          <w:szCs w:val="22"/>
        </w:rPr>
        <w:t>for</w:t>
      </w:r>
      <w:r w:rsidR="00904347">
        <w:rPr>
          <w:szCs w:val="22"/>
        </w:rPr>
        <w:t xml:space="preserve"> Communities and Local Government’s (</w:t>
      </w:r>
      <w:r w:rsidR="00263EC6">
        <w:rPr>
          <w:szCs w:val="22"/>
        </w:rPr>
        <w:t>DCLG</w:t>
      </w:r>
      <w:r w:rsidR="00904347">
        <w:rPr>
          <w:szCs w:val="22"/>
        </w:rPr>
        <w:t>’</w:t>
      </w:r>
      <w:r w:rsidRPr="005A37F8">
        <w:rPr>
          <w:szCs w:val="22"/>
        </w:rPr>
        <w:t>s</w:t>
      </w:r>
      <w:r w:rsidR="00904347">
        <w:rPr>
          <w:szCs w:val="22"/>
        </w:rPr>
        <w:t>)</w:t>
      </w:r>
      <w:r w:rsidRPr="005A37F8">
        <w:rPr>
          <w:szCs w:val="22"/>
        </w:rPr>
        <w:t xml:space="preserve"> understanding of how the Shared Ownership </w:t>
      </w:r>
      <w:r w:rsidR="00904347">
        <w:rPr>
          <w:szCs w:val="22"/>
        </w:rPr>
        <w:t xml:space="preserve">and </w:t>
      </w:r>
      <w:r w:rsidRPr="005A37F8">
        <w:rPr>
          <w:szCs w:val="22"/>
        </w:rPr>
        <w:t>Affordable Homes Programme</w:t>
      </w:r>
      <w:r w:rsidR="005A37F8" w:rsidRPr="005A37F8">
        <w:rPr>
          <w:szCs w:val="22"/>
        </w:rPr>
        <w:t xml:space="preserve"> </w:t>
      </w:r>
      <w:r w:rsidR="00904347">
        <w:rPr>
          <w:szCs w:val="22"/>
        </w:rPr>
        <w:t xml:space="preserve">2016-21 </w:t>
      </w:r>
      <w:r w:rsidR="005A37F8" w:rsidRPr="005A37F8">
        <w:rPr>
          <w:szCs w:val="22"/>
        </w:rPr>
        <w:t>(AHP)</w:t>
      </w:r>
      <w:r w:rsidR="00904347">
        <w:rPr>
          <w:szCs w:val="22"/>
        </w:rPr>
        <w:t>, run by the Homes and Communities Agency (HCA),</w:t>
      </w:r>
      <w:r w:rsidRPr="005A37F8">
        <w:rPr>
          <w:szCs w:val="22"/>
        </w:rPr>
        <w:t xml:space="preserve"> interacts with the current house building market, from bid making and assessment through to negotiation, contracting and draw down of grant. This will best allow us to estab</w:t>
      </w:r>
      <w:r w:rsidR="005A37F8">
        <w:rPr>
          <w:szCs w:val="22"/>
        </w:rPr>
        <w:t xml:space="preserve">lish current effectiveness of the </w:t>
      </w:r>
      <w:r w:rsidRPr="005A37F8">
        <w:rPr>
          <w:szCs w:val="22"/>
        </w:rPr>
        <w:t xml:space="preserve">AHP to deliver VFM, </w:t>
      </w:r>
      <w:r w:rsidR="0008012F" w:rsidRPr="005A37F8">
        <w:rPr>
          <w:szCs w:val="22"/>
        </w:rPr>
        <w:t>so that we can employ the optimal programme model to support government objectives</w:t>
      </w:r>
      <w:r w:rsidRPr="005A37F8">
        <w:rPr>
          <w:szCs w:val="22"/>
        </w:rPr>
        <w:t xml:space="preserve"> to maximise overall housing supply.</w:t>
      </w:r>
    </w:p>
    <w:p w:rsidR="00671798" w:rsidRPr="005A37F8"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493148651"/>
      <w:bookmarkStart w:id="6" w:name="_Toc297554773"/>
      <w:bookmarkStart w:id="7" w:name="_Toc296415805"/>
      <w:bookmarkStart w:id="8" w:name="_Toc296415793"/>
      <w:bookmarkEnd w:id="3"/>
      <w:r w:rsidRPr="005A37F8">
        <w:rPr>
          <w:szCs w:val="22"/>
        </w:rPr>
        <w:t>BACKGROUND TO THE CONTRACTING aUTHORITY</w:t>
      </w:r>
      <w:bookmarkEnd w:id="4"/>
      <w:bookmarkEnd w:id="5"/>
    </w:p>
    <w:p w:rsidR="008C6867" w:rsidRPr="008C6867" w:rsidRDefault="005A37F8" w:rsidP="0008012F">
      <w:pPr>
        <w:pStyle w:val="Heading2"/>
        <w:rPr>
          <w:rFonts w:cs="Arial"/>
        </w:rPr>
      </w:pPr>
      <w:r w:rsidRPr="005A37F8">
        <w:t xml:space="preserve">DCLG is a ministerial department made up of three groups who focus on </w:t>
      </w:r>
      <w:r w:rsidR="00581A97">
        <w:t>H</w:t>
      </w:r>
      <w:r w:rsidRPr="005A37F8">
        <w:t>ousing,</w:t>
      </w:r>
      <w:r w:rsidR="00904347">
        <w:t xml:space="preserve"> </w:t>
      </w:r>
      <w:r w:rsidR="00332ADB">
        <w:t>L</w:t>
      </w:r>
      <w:r w:rsidR="00904347">
        <w:t xml:space="preserve">ocal </w:t>
      </w:r>
      <w:r w:rsidR="00332ADB">
        <w:t>G</w:t>
      </w:r>
      <w:r w:rsidR="00904347">
        <w:t xml:space="preserve">overnment, </w:t>
      </w:r>
      <w:r w:rsidR="00581A97">
        <w:t>D</w:t>
      </w:r>
      <w:r w:rsidRPr="005A37F8">
        <w:t>evolution</w:t>
      </w:r>
      <w:r w:rsidR="00904347">
        <w:t>,</w:t>
      </w:r>
      <w:r w:rsidRPr="005A37F8">
        <w:t xml:space="preserve"> local growth and communities.</w:t>
      </w:r>
      <w:r w:rsidR="008C6867">
        <w:t xml:space="preserve"> </w:t>
      </w:r>
      <w:r w:rsidR="008C6867" w:rsidRPr="008C6867">
        <w:t>We have around 1,400 employees in and outside London, working on a range of activities, including planning, research, analysis, advisory and policy making.</w:t>
      </w:r>
      <w:r w:rsidR="008C6867">
        <w:t xml:space="preserve"> </w:t>
      </w:r>
      <w:r w:rsidR="008C6867" w:rsidRPr="008C6867">
        <w:rPr>
          <w:rFonts w:cs="Arial"/>
        </w:rPr>
        <w:t xml:space="preserve">The majority of DCLGs work </w:t>
      </w:r>
      <w:bookmarkStart w:id="9" w:name="_GoBack"/>
      <w:bookmarkEnd w:id="9"/>
      <w:r w:rsidR="008C6867" w:rsidRPr="008C6867">
        <w:rPr>
          <w:rFonts w:cs="Arial"/>
        </w:rPr>
        <w:t>and personnel is in the London HQ at 2 Marsham Street. The rest are based in offices all around the country</w:t>
      </w:r>
      <w:r w:rsidR="008C6867">
        <w:rPr>
          <w:rFonts w:cs="Arial"/>
        </w:rPr>
        <w:t>.</w:t>
      </w:r>
    </w:p>
    <w:p w:rsidR="005A37F8" w:rsidRPr="005A37F8" w:rsidRDefault="005A37F8" w:rsidP="0008012F">
      <w:pPr>
        <w:pStyle w:val="Heading2"/>
      </w:pPr>
      <w:r w:rsidRPr="005A37F8">
        <w:t>Work we do is crucial to some of the government’s key priorities</w:t>
      </w:r>
      <w:r w:rsidR="008C6867">
        <w:t>,</w:t>
      </w:r>
      <w:r w:rsidRPr="005A37F8">
        <w:t xml:space="preserve"> and includes driving up housing supply and increasing home ownership.</w:t>
      </w:r>
      <w:r w:rsidR="001F2585">
        <w:t xml:space="preserve"> In </w:t>
      </w:r>
      <w:r w:rsidR="001F2585" w:rsidRPr="001F2585">
        <w:t>2015</w:t>
      </w:r>
      <w:r w:rsidR="001F2585">
        <w:t xml:space="preserve"> the government made a</w:t>
      </w:r>
      <w:r w:rsidR="001F2585" w:rsidRPr="001F2585">
        <w:t xml:space="preserve"> commitment to deliver a milli</w:t>
      </w:r>
      <w:r w:rsidR="001F2585">
        <w:t xml:space="preserve">on homes by the end of 2020 and </w:t>
      </w:r>
      <w:r w:rsidR="001F2585" w:rsidRPr="001F2585">
        <w:t>half a million more by the end of 2022.</w:t>
      </w:r>
      <w:r w:rsidRPr="005A37F8">
        <w:t xml:space="preserve"> The AHP is </w:t>
      </w:r>
      <w:r w:rsidR="00904347">
        <w:t xml:space="preserve">a </w:t>
      </w:r>
      <w:r w:rsidRPr="005A37F8">
        <w:t xml:space="preserve">key </w:t>
      </w:r>
      <w:r w:rsidR="00904347">
        <w:t xml:space="preserve">funding programme </w:t>
      </w:r>
      <w:r w:rsidRPr="005A37F8">
        <w:t xml:space="preserve">to achieving these objectives. </w:t>
      </w:r>
    </w:p>
    <w:p w:rsidR="0008012F" w:rsidRPr="005A37F8" w:rsidRDefault="0008012F" w:rsidP="0008012F">
      <w:pPr>
        <w:pStyle w:val="Heading2"/>
      </w:pPr>
      <w:r w:rsidRPr="005A37F8">
        <w:t xml:space="preserve">The </w:t>
      </w:r>
      <w:r w:rsidR="005A37F8" w:rsidRPr="005A37F8">
        <w:t>AHP</w:t>
      </w:r>
      <w:r w:rsidRPr="005A37F8">
        <w:t xml:space="preserve"> has been supporting Housing Associations and others to deliver affordable homes </w:t>
      </w:r>
      <w:r w:rsidR="00904347">
        <w:t>for</w:t>
      </w:r>
      <w:r w:rsidRPr="005A37F8">
        <w:t xml:space="preserve"> a number of years. The criteria and funding agreements are reviewed and revised periodically to meet the current aims and objectives of the Government. The current Programme (2016-2021) has been introduced to support the growing demands for new homes, and an investment of £7.1bn has been provided to deliver </w:t>
      </w:r>
      <w:r w:rsidR="00581A97">
        <w:t xml:space="preserve">around </w:t>
      </w:r>
      <w:r w:rsidRPr="005A37F8">
        <w:t>225,000 affordable homes by</w:t>
      </w:r>
      <w:r w:rsidR="00263EC6">
        <w:t xml:space="preserve"> March</w:t>
      </w:r>
      <w:r w:rsidRPr="005A37F8">
        <w:t xml:space="preserve"> 2021. </w:t>
      </w:r>
    </w:p>
    <w:p w:rsidR="0008012F" w:rsidRPr="005A37F8" w:rsidRDefault="0008012F" w:rsidP="0008012F">
      <w:pPr>
        <w:pStyle w:val="Heading2"/>
        <w:spacing w:after="120"/>
        <w:ind w:left="709" w:hanging="709"/>
      </w:pPr>
      <w:r w:rsidRPr="005A37F8">
        <w:t xml:space="preserve">This funding is currently administered by the </w:t>
      </w:r>
      <w:r w:rsidR="00332ADB">
        <w:t>Greater London Authority (</w:t>
      </w:r>
      <w:r w:rsidRPr="005A37F8">
        <w:t>GLA</w:t>
      </w:r>
      <w:r w:rsidR="00332ADB">
        <w:t>)</w:t>
      </w:r>
      <w:r w:rsidRPr="005A37F8">
        <w:t xml:space="preserve"> (developments within London) and the </w:t>
      </w:r>
      <w:r w:rsidR="00332ADB">
        <w:t>Homes and Community Authority (</w:t>
      </w:r>
      <w:r w:rsidRPr="005A37F8">
        <w:t>HCA</w:t>
      </w:r>
      <w:r w:rsidR="00332ADB">
        <w:t>)</w:t>
      </w:r>
      <w:r w:rsidRPr="005A37F8">
        <w:t xml:space="preserve"> (developments outside London). This deep dive will only be reviewing the processes and outputs for outside London.</w:t>
      </w:r>
    </w:p>
    <w:p w:rsidR="00FE18AC" w:rsidRDefault="00FE18AC" w:rsidP="008F3470">
      <w:pPr>
        <w:pStyle w:val="Heading1"/>
        <w:tabs>
          <w:tab w:val="clear" w:pos="720"/>
        </w:tabs>
        <w:overflowPunct w:val="0"/>
        <w:autoSpaceDE w:val="0"/>
        <w:autoSpaceDN w:val="0"/>
        <w:spacing w:after="120"/>
        <w:textAlignment w:val="baseline"/>
        <w:rPr>
          <w:szCs w:val="22"/>
        </w:rPr>
      </w:pPr>
      <w:bookmarkStart w:id="10" w:name="_Toc368573029"/>
      <w:bookmarkStart w:id="11" w:name="_Toc493148652"/>
      <w:r w:rsidRPr="005A37F8">
        <w:rPr>
          <w:szCs w:val="22"/>
        </w:rPr>
        <w:t>Background to requirement/OVERVIEW</w:t>
      </w:r>
      <w:bookmarkEnd w:id="6"/>
      <w:r w:rsidRPr="005A37F8">
        <w:rPr>
          <w:szCs w:val="22"/>
        </w:rPr>
        <w:t xml:space="preserve"> of requirement</w:t>
      </w:r>
      <w:bookmarkEnd w:id="10"/>
      <w:bookmarkEnd w:id="11"/>
    </w:p>
    <w:p w:rsidR="00263EC6" w:rsidRPr="005A37F8" w:rsidRDefault="00263EC6" w:rsidP="00263EC6">
      <w:pPr>
        <w:pStyle w:val="Heading2"/>
        <w:spacing w:after="120"/>
        <w:ind w:left="709" w:hanging="709"/>
        <w:rPr>
          <w:bCs/>
          <w:lang w:val="en-US"/>
        </w:rPr>
      </w:pPr>
      <w:r w:rsidRPr="005A37F8">
        <w:rPr>
          <w:bCs/>
          <w:lang w:val="en-US"/>
        </w:rPr>
        <w:t>There is an agreement in place that the HCA provides regular reporting, including, but not limited to, reporting on bids, allocations, starts and completions. DCLG have regular and accessible contact with the HCA, and a dedicated programme manager to govern and oversee the management of the programme.</w:t>
      </w:r>
    </w:p>
    <w:p w:rsidR="00263EC6" w:rsidRPr="00263EC6" w:rsidRDefault="00263EC6" w:rsidP="00263EC6">
      <w:pPr>
        <w:pStyle w:val="Heading2"/>
        <w:spacing w:after="120"/>
        <w:ind w:left="709" w:hanging="709"/>
      </w:pPr>
      <w:r w:rsidRPr="005A37F8">
        <w:rPr>
          <w:bCs/>
        </w:rPr>
        <w:t>Through a bidding and allocation process, the HCA aims to ensure best value is obtained for the grant</w:t>
      </w:r>
      <w:r w:rsidR="00332ADB">
        <w:rPr>
          <w:bCs/>
        </w:rPr>
        <w:t>s</w:t>
      </w:r>
      <w:r w:rsidRPr="005A37F8">
        <w:rPr>
          <w:bCs/>
        </w:rPr>
        <w:t xml:space="preserve"> available, maximising the number of new homes built within the programme and addressing housing affordability. Bidding is competitive and the HCA aim to allocate only to those bids offering a significant contribution to the government’s housing policy for the amount of grant sought. Bids can be submitted by </w:t>
      </w:r>
      <w:r w:rsidR="00904347">
        <w:rPr>
          <w:bCs/>
        </w:rPr>
        <w:t>r</w:t>
      </w:r>
      <w:r w:rsidRPr="005A37F8">
        <w:rPr>
          <w:bCs/>
        </w:rPr>
        <w:t xml:space="preserve">egistered </w:t>
      </w:r>
      <w:r w:rsidR="00904347">
        <w:rPr>
          <w:bCs/>
        </w:rPr>
        <w:t>p</w:t>
      </w:r>
      <w:r w:rsidRPr="005A37F8">
        <w:rPr>
          <w:bCs/>
        </w:rPr>
        <w:t xml:space="preserve">roviders of social housing (largely housing associations and </w:t>
      </w:r>
      <w:r w:rsidR="00581A97">
        <w:rPr>
          <w:bCs/>
        </w:rPr>
        <w:t>l</w:t>
      </w:r>
      <w:r w:rsidRPr="005A37F8">
        <w:rPr>
          <w:bCs/>
        </w:rPr>
        <w:t xml:space="preserve">ocal </w:t>
      </w:r>
      <w:r w:rsidR="00581A97">
        <w:rPr>
          <w:bCs/>
        </w:rPr>
        <w:t>a</w:t>
      </w:r>
      <w:r w:rsidRPr="005A37F8">
        <w:rPr>
          <w:bCs/>
        </w:rPr>
        <w:t xml:space="preserve">uthorities) and by </w:t>
      </w:r>
      <w:r w:rsidR="00904347">
        <w:rPr>
          <w:bCs/>
        </w:rPr>
        <w:t>u</w:t>
      </w:r>
      <w:r w:rsidRPr="005A37F8">
        <w:rPr>
          <w:bCs/>
        </w:rPr>
        <w:t xml:space="preserve">nregistered </w:t>
      </w:r>
      <w:r w:rsidR="00904347">
        <w:rPr>
          <w:bCs/>
        </w:rPr>
        <w:t>b</w:t>
      </w:r>
      <w:r w:rsidRPr="005A37F8">
        <w:rPr>
          <w:bCs/>
        </w:rPr>
        <w:t xml:space="preserve">odies, such as commercial developers. Where there is sufficient delivery certainty, bidders can include nil-grant schemes as firm proposals within their bid.  </w:t>
      </w:r>
    </w:p>
    <w:p w:rsidR="00940047" w:rsidRDefault="00940047" w:rsidP="00940047">
      <w:pPr>
        <w:pStyle w:val="Heading2"/>
      </w:pPr>
      <w:bookmarkStart w:id="12" w:name="_Toc297554774"/>
      <w:bookmarkEnd w:id="7"/>
      <w:r w:rsidRPr="005A37F8">
        <w:lastRenderedPageBreak/>
        <w:t xml:space="preserve">Similar programmes have a history of volatile delivery, with large peaks and troughs in both delivery and spending. The profile of capital funding available for the Programme is uneven, with 90% spread across the last three years (i.e. 2018/19, 2019/20 and 2020/21) to partially reflect this. </w:t>
      </w:r>
    </w:p>
    <w:p w:rsidR="00263EC6" w:rsidRPr="005A37F8" w:rsidRDefault="00263EC6" w:rsidP="00263EC6">
      <w:pPr>
        <w:pStyle w:val="Heading2"/>
      </w:pPr>
      <w:r w:rsidRPr="005A37F8">
        <w:t xml:space="preserve">The </w:t>
      </w:r>
      <w:r w:rsidR="00904347">
        <w:t xml:space="preserve">HCA element of </w:t>
      </w:r>
      <w:r w:rsidRPr="005A37F8">
        <w:t xml:space="preserve">AHP has ambitious delivery targets, including aims to help deliver at least 107,000 affordable homes outside London by March 2021. </w:t>
      </w:r>
    </w:p>
    <w:p w:rsidR="00263EC6" w:rsidRPr="00263EC6" w:rsidRDefault="00492678" w:rsidP="00940047">
      <w:pPr>
        <w:pStyle w:val="Heading2"/>
        <w:spacing w:after="120"/>
        <w:ind w:left="709" w:hanging="709"/>
        <w:rPr>
          <w:bCs/>
          <w:lang w:val="en-US"/>
        </w:rPr>
      </w:pPr>
      <w:r w:rsidRPr="005A37F8">
        <w:t>Current policy thinking, and proposed policy changes being discussed elsewhere</w:t>
      </w:r>
      <w:r w:rsidR="00940047" w:rsidRPr="005A37F8">
        <w:t xml:space="preserve"> within government are expected to have an impact on the AHP</w:t>
      </w:r>
      <w:r w:rsidR="00904347">
        <w:t xml:space="preserve"> and wider housing delivery</w:t>
      </w:r>
      <w:r w:rsidR="00940047" w:rsidRPr="005A37F8">
        <w:t xml:space="preserve">. </w:t>
      </w:r>
      <w:r w:rsidR="00904347">
        <w:t>For example:</w:t>
      </w:r>
    </w:p>
    <w:p w:rsidR="00904347" w:rsidRPr="005A37F8" w:rsidRDefault="00904347" w:rsidP="00904347">
      <w:pPr>
        <w:pStyle w:val="Heading3"/>
      </w:pPr>
      <w:r w:rsidRPr="005A37F8">
        <w:t xml:space="preserve">Rent policy in the social sector post 2020 is yet to be announced. Current rent policy requires social housing landlords to reduce rents by 1% per annum from 2016 – 2020. This has put constraints on the delivery of affordable housing, and uncertainty about future rent policy could have an effect on delivery plans. </w:t>
      </w:r>
    </w:p>
    <w:p w:rsidR="00904347" w:rsidRPr="005A37F8" w:rsidRDefault="00904347" w:rsidP="00904347">
      <w:pPr>
        <w:pStyle w:val="Heading3"/>
        <w:rPr>
          <w:lang w:val="en-US"/>
        </w:rPr>
      </w:pPr>
      <w:r w:rsidRPr="005A37F8">
        <w:t xml:space="preserve">Within DCLG, </w:t>
      </w:r>
      <w:r w:rsidRPr="005A37F8">
        <w:rPr>
          <w:lang w:val="en-US"/>
        </w:rPr>
        <w:t xml:space="preserve">devolution asks from local areas on housing are pushing us to do things differently. London already has a different system with funding allocated by the GLA. If similar deals are made in other areas then DCLG would need to look </w:t>
      </w:r>
      <w:r>
        <w:rPr>
          <w:lang w:val="en-US"/>
        </w:rPr>
        <w:t xml:space="preserve">at </w:t>
      </w:r>
      <w:r w:rsidRPr="005A37F8">
        <w:rPr>
          <w:lang w:val="en-US"/>
        </w:rPr>
        <w:t xml:space="preserve">the way the programme is run in order to ensure that grants are being managed and allocated efficiently across the board. </w:t>
      </w:r>
    </w:p>
    <w:p w:rsidR="00940047" w:rsidRPr="005A37F8" w:rsidRDefault="00581A97" w:rsidP="00B3395F">
      <w:pPr>
        <w:pStyle w:val="Heading3"/>
        <w:rPr>
          <w:lang w:val="en-US"/>
        </w:rPr>
      </w:pPr>
      <w:r>
        <w:rPr>
          <w:lang w:val="en-US"/>
        </w:rPr>
        <w:t>Within the wider construction industry there are more general concerns over the availability of land and skills, with uncertainties in the housing market</w:t>
      </w:r>
      <w:r w:rsidR="00940047" w:rsidRPr="005A37F8">
        <w:rPr>
          <w:lang w:val="en-US"/>
        </w:rPr>
        <w:t xml:space="preserve"> potentially hav</w:t>
      </w:r>
      <w:r>
        <w:rPr>
          <w:lang w:val="en-US"/>
        </w:rPr>
        <w:t>ing</w:t>
      </w:r>
      <w:r w:rsidR="00940047" w:rsidRPr="005A37F8">
        <w:rPr>
          <w:lang w:val="en-US"/>
        </w:rPr>
        <w:t xml:space="preserve"> an impact on the construction industry overall, and within that the delivery of affordable homes.</w:t>
      </w:r>
    </w:p>
    <w:p w:rsidR="00EB6F16" w:rsidRDefault="00EB6F16" w:rsidP="005907CE">
      <w:pPr>
        <w:pStyle w:val="Heading2"/>
        <w:spacing w:after="120"/>
        <w:ind w:left="709" w:hanging="709"/>
      </w:pPr>
      <w:r>
        <w:t>As such, the AHP currently operates in a challenging environment and has demanding targets that are important for Government to achieve. Given the need to maximise effectiveness to deliver both new supply and VFM, DCLG needs to better understand</w:t>
      </w:r>
      <w:r w:rsidR="00A2559D">
        <w:t xml:space="preserve"> the programme’s delivery systems and controls</w:t>
      </w:r>
      <w:r w:rsidR="00A2559D" w:rsidRPr="00A2559D">
        <w:t xml:space="preserve"> </w:t>
      </w:r>
      <w:r w:rsidR="00A2559D" w:rsidRPr="005A37F8">
        <w:t>and have concluded that consultancy support will be required, as a thorough review of current processes would be necessary.</w:t>
      </w:r>
      <w:r>
        <w:t xml:space="preserve"> </w:t>
      </w:r>
    </w:p>
    <w:p w:rsidR="00C4233A" w:rsidRDefault="00106F24">
      <w:pPr>
        <w:pStyle w:val="Heading1"/>
        <w:tabs>
          <w:tab w:val="clear" w:pos="720"/>
        </w:tabs>
        <w:overflowPunct w:val="0"/>
        <w:autoSpaceDE w:val="0"/>
        <w:autoSpaceDN w:val="0"/>
        <w:spacing w:after="120"/>
        <w:textAlignment w:val="baseline"/>
        <w:rPr>
          <w:szCs w:val="22"/>
        </w:rPr>
      </w:pPr>
      <w:bookmarkStart w:id="13" w:name="_Toc493148653"/>
      <w:bookmarkStart w:id="14" w:name="_Toc368573030"/>
      <w:r>
        <w:rPr>
          <w:szCs w:val="22"/>
        </w:rPr>
        <w:t>definitions</w:t>
      </w:r>
      <w:bookmarkEnd w:id="13"/>
      <w:r>
        <w:rPr>
          <w:szCs w:val="22"/>
        </w:rPr>
        <w:t xml:space="preserve"> </w:t>
      </w:r>
    </w:p>
    <w:tbl>
      <w:tblPr>
        <w:tblStyle w:val="TableGrid"/>
        <w:tblW w:w="0" w:type="auto"/>
        <w:tblInd w:w="720" w:type="dxa"/>
        <w:tblLook w:val="04A0" w:firstRow="1" w:lastRow="0" w:firstColumn="1" w:lastColumn="0" w:noHBand="0" w:noVBand="1"/>
      </w:tblPr>
      <w:tblGrid>
        <w:gridCol w:w="2082"/>
        <w:gridCol w:w="6217"/>
      </w:tblGrid>
      <w:tr w:rsidR="00106F24" w:rsidTr="00AF3284">
        <w:tc>
          <w:tcPr>
            <w:tcW w:w="2082" w:type="dxa"/>
            <w:shd w:val="clear" w:color="auto" w:fill="C6D9F1" w:themeFill="text2" w:themeFillTint="33"/>
          </w:tcPr>
          <w:p w:rsidR="00106F24" w:rsidRPr="00497BDF" w:rsidRDefault="00106F24" w:rsidP="0081061A">
            <w:pPr>
              <w:pStyle w:val="Heading2"/>
              <w:numPr>
                <w:ilvl w:val="0"/>
                <w:numId w:val="0"/>
              </w:numPr>
              <w:spacing w:after="120"/>
              <w:ind w:left="18" w:hanging="18"/>
              <w:jc w:val="left"/>
              <w:outlineLvl w:val="1"/>
            </w:pPr>
            <w:r w:rsidRPr="00497BDF">
              <w:t>Expression</w:t>
            </w:r>
            <w:r w:rsidR="0081061A" w:rsidRPr="00497BDF">
              <w:t xml:space="preserve"> or </w:t>
            </w:r>
            <w:r w:rsidRPr="00497BDF">
              <w:t>Acronym</w:t>
            </w:r>
          </w:p>
        </w:tc>
        <w:tc>
          <w:tcPr>
            <w:tcW w:w="6217" w:type="dxa"/>
            <w:shd w:val="clear" w:color="auto" w:fill="C6D9F1" w:themeFill="text2" w:themeFillTint="33"/>
          </w:tcPr>
          <w:p w:rsidR="00106F24" w:rsidRPr="00497BDF" w:rsidRDefault="00106F24" w:rsidP="0081061A">
            <w:pPr>
              <w:pStyle w:val="Heading2"/>
              <w:numPr>
                <w:ilvl w:val="0"/>
                <w:numId w:val="0"/>
              </w:numPr>
              <w:spacing w:after="120"/>
              <w:ind w:left="720" w:hanging="720"/>
              <w:outlineLvl w:val="1"/>
            </w:pPr>
            <w:r w:rsidRPr="00497BDF">
              <w:t>Definition</w:t>
            </w:r>
          </w:p>
        </w:tc>
      </w:tr>
      <w:tr w:rsidR="00106F24" w:rsidTr="00AF3284">
        <w:tc>
          <w:tcPr>
            <w:tcW w:w="2082" w:type="dxa"/>
          </w:tcPr>
          <w:p w:rsidR="00106F24" w:rsidRPr="00497BDF" w:rsidRDefault="00220F7D" w:rsidP="0081061A">
            <w:pPr>
              <w:pStyle w:val="Heading2"/>
              <w:numPr>
                <w:ilvl w:val="0"/>
                <w:numId w:val="0"/>
              </w:numPr>
              <w:spacing w:after="120"/>
              <w:ind w:left="720" w:hanging="720"/>
              <w:outlineLvl w:val="1"/>
            </w:pPr>
            <w:r w:rsidRPr="00497BDF">
              <w:t>DCLG</w:t>
            </w:r>
          </w:p>
        </w:tc>
        <w:tc>
          <w:tcPr>
            <w:tcW w:w="6217" w:type="dxa"/>
          </w:tcPr>
          <w:p w:rsidR="00106F24" w:rsidRPr="00497BDF" w:rsidRDefault="00220F7D" w:rsidP="00220F7D">
            <w:pPr>
              <w:pStyle w:val="Heading2"/>
              <w:numPr>
                <w:ilvl w:val="0"/>
                <w:numId w:val="0"/>
              </w:numPr>
              <w:spacing w:after="120"/>
              <w:outlineLvl w:val="1"/>
            </w:pPr>
            <w:r w:rsidRPr="00497BDF">
              <w:t>Department of Communities and Local Government</w:t>
            </w:r>
          </w:p>
        </w:tc>
      </w:tr>
      <w:tr w:rsidR="00106F24" w:rsidTr="00AF3284">
        <w:tc>
          <w:tcPr>
            <w:tcW w:w="2082" w:type="dxa"/>
          </w:tcPr>
          <w:p w:rsidR="00106F24" w:rsidRPr="00497BDF" w:rsidRDefault="00220F7D" w:rsidP="0081061A">
            <w:pPr>
              <w:pStyle w:val="Heading2"/>
              <w:numPr>
                <w:ilvl w:val="0"/>
                <w:numId w:val="0"/>
              </w:numPr>
              <w:spacing w:after="120"/>
              <w:ind w:left="720" w:hanging="720"/>
              <w:outlineLvl w:val="1"/>
            </w:pPr>
            <w:r w:rsidRPr="00497BDF">
              <w:t>AHP</w:t>
            </w:r>
          </w:p>
        </w:tc>
        <w:tc>
          <w:tcPr>
            <w:tcW w:w="6217" w:type="dxa"/>
          </w:tcPr>
          <w:p w:rsidR="00106F24" w:rsidRPr="00497BDF" w:rsidRDefault="00220F7D" w:rsidP="005907CE">
            <w:pPr>
              <w:pStyle w:val="Heading2"/>
              <w:numPr>
                <w:ilvl w:val="0"/>
                <w:numId w:val="0"/>
              </w:numPr>
              <w:overflowPunct/>
              <w:autoSpaceDE/>
              <w:autoSpaceDN/>
              <w:spacing w:after="120"/>
              <w:textAlignment w:val="auto"/>
              <w:outlineLvl w:val="1"/>
            </w:pPr>
            <w:r w:rsidRPr="00497BDF">
              <w:t>Shared Ownership Affordable Homes Programme</w:t>
            </w:r>
          </w:p>
        </w:tc>
      </w:tr>
      <w:tr w:rsidR="00106F24" w:rsidTr="00AF3284">
        <w:tc>
          <w:tcPr>
            <w:tcW w:w="2082" w:type="dxa"/>
          </w:tcPr>
          <w:p w:rsidR="00106F24" w:rsidRPr="00497BDF" w:rsidRDefault="00220F7D" w:rsidP="0081061A">
            <w:pPr>
              <w:pStyle w:val="Heading2"/>
              <w:numPr>
                <w:ilvl w:val="0"/>
                <w:numId w:val="0"/>
              </w:numPr>
              <w:spacing w:after="120"/>
              <w:ind w:left="720" w:hanging="720"/>
              <w:outlineLvl w:val="1"/>
            </w:pPr>
            <w:r w:rsidRPr="00497BDF">
              <w:t>VFM</w:t>
            </w:r>
          </w:p>
        </w:tc>
        <w:tc>
          <w:tcPr>
            <w:tcW w:w="6217" w:type="dxa"/>
          </w:tcPr>
          <w:p w:rsidR="00106F24" w:rsidRPr="00497BDF" w:rsidRDefault="00220F7D" w:rsidP="00220F7D">
            <w:pPr>
              <w:pStyle w:val="Heading2"/>
              <w:numPr>
                <w:ilvl w:val="0"/>
                <w:numId w:val="0"/>
              </w:numPr>
              <w:spacing w:after="120"/>
              <w:outlineLvl w:val="1"/>
            </w:pPr>
            <w:r w:rsidRPr="00497BDF">
              <w:t>Value for money</w:t>
            </w:r>
          </w:p>
        </w:tc>
      </w:tr>
      <w:tr w:rsidR="00220F7D" w:rsidTr="00AF3284">
        <w:tc>
          <w:tcPr>
            <w:tcW w:w="2082" w:type="dxa"/>
          </w:tcPr>
          <w:p w:rsidR="00220F7D" w:rsidRPr="00497BDF" w:rsidRDefault="00220F7D" w:rsidP="0081061A">
            <w:pPr>
              <w:pStyle w:val="Heading2"/>
              <w:numPr>
                <w:ilvl w:val="0"/>
                <w:numId w:val="0"/>
              </w:numPr>
              <w:spacing w:after="120"/>
              <w:ind w:left="720" w:hanging="720"/>
              <w:outlineLvl w:val="1"/>
            </w:pPr>
            <w:r w:rsidRPr="00497BDF">
              <w:t>HCA</w:t>
            </w:r>
          </w:p>
        </w:tc>
        <w:tc>
          <w:tcPr>
            <w:tcW w:w="6217" w:type="dxa"/>
          </w:tcPr>
          <w:p w:rsidR="00220F7D" w:rsidRPr="00497BDF" w:rsidRDefault="00220F7D" w:rsidP="00A2559D">
            <w:pPr>
              <w:pStyle w:val="Heading2"/>
              <w:numPr>
                <w:ilvl w:val="0"/>
                <w:numId w:val="0"/>
              </w:numPr>
              <w:spacing w:after="120"/>
              <w:outlineLvl w:val="1"/>
            </w:pPr>
            <w:r w:rsidRPr="00497BDF">
              <w:t>Homes and Communities Agency</w:t>
            </w:r>
          </w:p>
        </w:tc>
      </w:tr>
      <w:tr w:rsidR="00220F7D" w:rsidTr="00AF3284">
        <w:tc>
          <w:tcPr>
            <w:tcW w:w="2082" w:type="dxa"/>
          </w:tcPr>
          <w:p w:rsidR="00220F7D" w:rsidRPr="00497BDF" w:rsidRDefault="00220F7D" w:rsidP="0081061A">
            <w:pPr>
              <w:pStyle w:val="Heading2"/>
              <w:numPr>
                <w:ilvl w:val="0"/>
                <w:numId w:val="0"/>
              </w:numPr>
              <w:spacing w:after="120"/>
              <w:ind w:left="720" w:hanging="720"/>
              <w:outlineLvl w:val="1"/>
            </w:pPr>
            <w:r w:rsidRPr="00497BDF">
              <w:t>GLA</w:t>
            </w:r>
          </w:p>
        </w:tc>
        <w:tc>
          <w:tcPr>
            <w:tcW w:w="6217" w:type="dxa"/>
          </w:tcPr>
          <w:p w:rsidR="00220F7D" w:rsidRPr="00497BDF" w:rsidRDefault="00220F7D" w:rsidP="00220F7D">
            <w:pPr>
              <w:pStyle w:val="Heading2"/>
              <w:numPr>
                <w:ilvl w:val="0"/>
                <w:numId w:val="0"/>
              </w:numPr>
              <w:spacing w:after="120"/>
              <w:outlineLvl w:val="1"/>
            </w:pPr>
            <w:r w:rsidRPr="00497BDF">
              <w:t>Greater London Authority</w:t>
            </w:r>
          </w:p>
        </w:tc>
      </w:tr>
      <w:tr w:rsidR="00AF3284" w:rsidTr="00AF3284">
        <w:tc>
          <w:tcPr>
            <w:tcW w:w="2082" w:type="dxa"/>
          </w:tcPr>
          <w:p w:rsidR="00AF3284" w:rsidRPr="00497BDF" w:rsidRDefault="00AF3284" w:rsidP="0081061A">
            <w:pPr>
              <w:pStyle w:val="Heading2"/>
              <w:numPr>
                <w:ilvl w:val="0"/>
                <w:numId w:val="0"/>
              </w:numPr>
              <w:spacing w:after="120"/>
              <w:ind w:left="720" w:hanging="720"/>
              <w:outlineLvl w:val="1"/>
            </w:pPr>
            <w:r w:rsidRPr="00497BDF">
              <w:t>Affordable homes</w:t>
            </w:r>
          </w:p>
        </w:tc>
        <w:tc>
          <w:tcPr>
            <w:tcW w:w="6217" w:type="dxa"/>
          </w:tcPr>
          <w:p w:rsidR="00AF3284" w:rsidRPr="00497BDF" w:rsidRDefault="00A2559D" w:rsidP="00A2559D">
            <w:pPr>
              <w:pStyle w:val="Heading2"/>
              <w:numPr>
                <w:ilvl w:val="0"/>
                <w:numId w:val="0"/>
              </w:numPr>
              <w:spacing w:after="120"/>
              <w:outlineLvl w:val="1"/>
            </w:pPr>
            <w:r>
              <w:t>I</w:t>
            </w:r>
            <w:r w:rsidR="00AF3284" w:rsidRPr="00497BDF">
              <w:t xml:space="preserve">ncludes Shared Ownership, Rent to Buy, </w:t>
            </w:r>
            <w:r w:rsidR="00AF3284" w:rsidRPr="00497BDF">
              <w:rPr>
                <w:bCs/>
              </w:rPr>
              <w:t>Specialist Homes for older, disabled and vulnerable people, and Affordable Rent.</w:t>
            </w:r>
          </w:p>
        </w:tc>
      </w:tr>
    </w:tbl>
    <w:p w:rsidR="00671798" w:rsidRDefault="00FE18AC" w:rsidP="00106F24">
      <w:pPr>
        <w:pStyle w:val="Heading1"/>
        <w:tabs>
          <w:tab w:val="clear" w:pos="720"/>
        </w:tabs>
        <w:overflowPunct w:val="0"/>
        <w:autoSpaceDE w:val="0"/>
        <w:autoSpaceDN w:val="0"/>
        <w:spacing w:before="240" w:after="120"/>
        <w:textAlignment w:val="baseline"/>
        <w:rPr>
          <w:szCs w:val="22"/>
        </w:rPr>
      </w:pPr>
      <w:bookmarkStart w:id="15" w:name="_Toc493148654"/>
      <w:r w:rsidRPr="00B9425F">
        <w:rPr>
          <w:szCs w:val="22"/>
        </w:rPr>
        <w:lastRenderedPageBreak/>
        <w:t>scope of requirement</w:t>
      </w:r>
      <w:bookmarkEnd w:id="12"/>
      <w:bookmarkEnd w:id="14"/>
      <w:bookmarkEnd w:id="15"/>
      <w:r w:rsidRPr="00B9425F">
        <w:rPr>
          <w:szCs w:val="22"/>
        </w:rPr>
        <w:t xml:space="preserve"> </w:t>
      </w:r>
    </w:p>
    <w:bookmarkEnd w:id="8"/>
    <w:p w:rsidR="00671798" w:rsidRPr="00497BDF" w:rsidRDefault="00AD5F0A">
      <w:pPr>
        <w:pStyle w:val="Heading2"/>
        <w:tabs>
          <w:tab w:val="clear" w:pos="720"/>
          <w:tab w:val="num" w:pos="862"/>
        </w:tabs>
        <w:overflowPunct w:val="0"/>
        <w:autoSpaceDE w:val="0"/>
        <w:autoSpaceDN w:val="0"/>
        <w:spacing w:after="120"/>
        <w:ind w:left="709" w:hanging="709"/>
        <w:textAlignment w:val="baseline"/>
        <w:rPr>
          <w:szCs w:val="22"/>
        </w:rPr>
      </w:pPr>
      <w:r w:rsidRPr="00497BDF">
        <w:rPr>
          <w:szCs w:val="22"/>
        </w:rPr>
        <w:t>To develop a high level understanding of the AHP from bid making and assessment through to negotiation, contracting and draw down of grant</w:t>
      </w:r>
      <w:r w:rsidR="00332ADB">
        <w:rPr>
          <w:szCs w:val="22"/>
        </w:rPr>
        <w:t>s</w:t>
      </w:r>
      <w:r w:rsidRPr="00497BDF">
        <w:rPr>
          <w:szCs w:val="22"/>
        </w:rPr>
        <w:t xml:space="preserve">. </w:t>
      </w:r>
      <w:r w:rsidRPr="00497BDF">
        <w:t xml:space="preserve">This information will then be used to </w:t>
      </w:r>
      <w:r w:rsidR="005C0F60">
        <w:t xml:space="preserve">comment on current effectiveness and </w:t>
      </w:r>
      <w:r w:rsidRPr="00497BDF">
        <w:t xml:space="preserve">identify and recommend the most effective programme model to achieve targets </w:t>
      </w:r>
      <w:r w:rsidR="005C0F60">
        <w:t>in the context of the current operating environment for affordable housing development</w:t>
      </w:r>
      <w:r w:rsidRPr="00497BDF">
        <w:t>.</w:t>
      </w:r>
      <w:r w:rsidR="00497BDF" w:rsidRPr="00497BDF">
        <w:t xml:space="preserve"> </w:t>
      </w:r>
    </w:p>
    <w:p w:rsidR="00497BDF" w:rsidRPr="00497BDF" w:rsidRDefault="009D6B82">
      <w:pPr>
        <w:pStyle w:val="Heading3"/>
        <w:spacing w:after="120"/>
      </w:pPr>
      <w:r>
        <w:t xml:space="preserve">The Deep Dive </w:t>
      </w:r>
      <w:r w:rsidR="00497BDF" w:rsidRPr="00497BDF">
        <w:t xml:space="preserve">will focus on how the AHP interacts with the </w:t>
      </w:r>
      <w:r w:rsidR="00497BDF" w:rsidRPr="00497BDF">
        <w:rPr>
          <w:b/>
        </w:rPr>
        <w:t>HCA</w:t>
      </w:r>
      <w:r w:rsidR="00497BDF" w:rsidRPr="00497BDF">
        <w:t xml:space="preserve"> and the current house building market </w:t>
      </w:r>
      <w:r w:rsidR="00497BDF" w:rsidRPr="00497BDF">
        <w:rPr>
          <w:b/>
        </w:rPr>
        <w:t>outside London.</w:t>
      </w:r>
    </w:p>
    <w:p w:rsidR="00497BDF" w:rsidRPr="00497BDF" w:rsidRDefault="00497BDF" w:rsidP="00497BDF">
      <w:pPr>
        <w:pStyle w:val="Heading3"/>
        <w:spacing w:after="120"/>
        <w:rPr>
          <w:bCs/>
          <w:lang w:val="en-US"/>
        </w:rPr>
      </w:pPr>
      <w:r w:rsidRPr="00497BDF">
        <w:rPr>
          <w:bCs/>
          <w:lang w:val="en-US"/>
        </w:rPr>
        <w:t>A direct</w:t>
      </w:r>
      <w:r w:rsidR="005C0F60">
        <w:rPr>
          <w:bCs/>
          <w:lang w:val="en-US"/>
        </w:rPr>
        <w:t>, detailed</w:t>
      </w:r>
      <w:r w:rsidRPr="00497BDF">
        <w:rPr>
          <w:bCs/>
          <w:lang w:val="en-US"/>
        </w:rPr>
        <w:t xml:space="preserve"> analysis of the wider issues and the impact on general housing supply are not within scope for this contract</w:t>
      </w:r>
      <w:r w:rsidR="005C0F60">
        <w:rPr>
          <w:bCs/>
          <w:lang w:val="en-US"/>
        </w:rPr>
        <w:t>, although demonstration of a high level understanding of the operating environment</w:t>
      </w:r>
      <w:r w:rsidR="00581A97">
        <w:rPr>
          <w:bCs/>
          <w:lang w:val="en-US"/>
        </w:rPr>
        <w:t xml:space="preserve"> for affordable housing delivery</w:t>
      </w:r>
      <w:r w:rsidR="005C0F60">
        <w:rPr>
          <w:bCs/>
          <w:lang w:val="en-US"/>
        </w:rPr>
        <w:t xml:space="preserve"> is expected</w:t>
      </w:r>
      <w:r w:rsidRPr="00497BDF">
        <w:rPr>
          <w:bCs/>
          <w:lang w:val="en-US"/>
        </w:rPr>
        <w:t xml:space="preserve">. </w:t>
      </w:r>
    </w:p>
    <w:p w:rsidR="00671798" w:rsidRDefault="00FE18AC">
      <w:pPr>
        <w:pStyle w:val="Heading1"/>
        <w:spacing w:after="120"/>
      </w:pPr>
      <w:bookmarkStart w:id="16" w:name="_Toc368573031"/>
      <w:bookmarkStart w:id="17" w:name="_Toc493148655"/>
      <w:r w:rsidRPr="00BE6EE0">
        <w:t>The requirement</w:t>
      </w:r>
      <w:bookmarkEnd w:id="16"/>
      <w:bookmarkEnd w:id="17"/>
    </w:p>
    <w:p w:rsidR="00C02938" w:rsidRPr="00021854" w:rsidRDefault="00C02938" w:rsidP="00C02938">
      <w:pPr>
        <w:pStyle w:val="Heading2"/>
        <w:spacing w:after="120"/>
        <w:ind w:left="709" w:hanging="709"/>
      </w:pPr>
      <w:r w:rsidRPr="00021854">
        <w:t xml:space="preserve">In delivering this Contract the </w:t>
      </w:r>
      <w:r w:rsidR="007C7787" w:rsidRPr="00021854">
        <w:t>Potential Provider</w:t>
      </w:r>
      <w:r w:rsidR="00196A0A" w:rsidRPr="00021854">
        <w:t xml:space="preserve"> will</w:t>
      </w:r>
      <w:r w:rsidRPr="00021854">
        <w:t xml:space="preserve"> need</w:t>
      </w:r>
      <w:r w:rsidR="00196A0A" w:rsidRPr="00021854">
        <w:t xml:space="preserve"> to interact with DCLG, HCA and a range of housing associations</w:t>
      </w:r>
      <w:r w:rsidRPr="00021854">
        <w:t xml:space="preserve"> to ensure that the following is included:</w:t>
      </w:r>
    </w:p>
    <w:p w:rsidR="00C02938" w:rsidRPr="00021854" w:rsidRDefault="00C02938" w:rsidP="00C02938">
      <w:pPr>
        <w:pStyle w:val="Heading3"/>
      </w:pPr>
      <w:r w:rsidRPr="00021854">
        <w:t>A review of the</w:t>
      </w:r>
      <w:r w:rsidR="00196A0A" w:rsidRPr="00021854">
        <w:t xml:space="preserve"> HCA’s</w:t>
      </w:r>
      <w:r w:rsidRPr="00021854">
        <w:t xml:space="preserve"> current bid</w:t>
      </w:r>
      <w:r w:rsidR="003243F8" w:rsidRPr="00021854">
        <w:t>/</w:t>
      </w:r>
      <w:r w:rsidR="005C0F60" w:rsidRPr="00021854">
        <w:t xml:space="preserve">assessment </w:t>
      </w:r>
      <w:r w:rsidRPr="00021854">
        <w:t>process</w:t>
      </w:r>
      <w:r w:rsidR="00196A0A" w:rsidRPr="00021854">
        <w:t>, b</w:t>
      </w:r>
      <w:r w:rsidR="00EF226E" w:rsidRPr="00021854">
        <w:t xml:space="preserve">oth as </w:t>
      </w:r>
      <w:r w:rsidR="00F77434" w:rsidRPr="00021854">
        <w:t>documented on internal guidelines</w:t>
      </w:r>
      <w:r w:rsidR="00196A0A" w:rsidRPr="00021854">
        <w:t xml:space="preserve"> and in practice</w:t>
      </w:r>
      <w:r w:rsidR="00EF226E" w:rsidRPr="00021854">
        <w:t>,</w:t>
      </w:r>
      <w:r w:rsidR="005F1DC1" w:rsidRPr="00021854">
        <w:t xml:space="preserve"> and</w:t>
      </w:r>
      <w:r w:rsidRPr="00021854">
        <w:t xml:space="preserve"> i</w:t>
      </w:r>
      <w:r w:rsidR="005F1DC1" w:rsidRPr="00021854">
        <w:t>ts effectiveness to achieve VFM and</w:t>
      </w:r>
      <w:r w:rsidRPr="00021854">
        <w:t xml:space="preserve"> government objectives on affordable housing</w:t>
      </w:r>
      <w:r w:rsidR="005F1DC1" w:rsidRPr="00021854">
        <w:t>.</w:t>
      </w:r>
      <w:r w:rsidRPr="00021854">
        <w:t xml:space="preserve"> </w:t>
      </w:r>
    </w:p>
    <w:p w:rsidR="005C0F60" w:rsidRPr="00C02938" w:rsidRDefault="005C0F60" w:rsidP="00C02938">
      <w:pPr>
        <w:pStyle w:val="Heading3"/>
      </w:pPr>
      <w:r>
        <w:t>A review of the current allocations, forecasting and provision of funding process</w:t>
      </w:r>
      <w:r w:rsidR="00581A97">
        <w:t xml:space="preserve">; </w:t>
      </w:r>
      <w:r>
        <w:t>its effectiveness to achieve VFM and government objectives on affordable housing.</w:t>
      </w:r>
    </w:p>
    <w:p w:rsidR="005C0F60" w:rsidRPr="00C02938" w:rsidRDefault="00C02938" w:rsidP="00B74B25">
      <w:pPr>
        <w:pStyle w:val="Heading3"/>
      </w:pPr>
      <w:r w:rsidRPr="00C02938">
        <w:t>An analysis of current grant per unit</w:t>
      </w:r>
      <w:r w:rsidR="005C0F60">
        <w:t xml:space="preserve"> achieved</w:t>
      </w:r>
      <w:r w:rsidRPr="00C02938">
        <w:t xml:space="preserve">, and </w:t>
      </w:r>
      <w:r>
        <w:t>options</w:t>
      </w:r>
      <w:r w:rsidRPr="00C02938">
        <w:t xml:space="preserve"> on improving VFM. This must include a consideration of partial grant and nil grant funding mechanisms</w:t>
      </w:r>
      <w:r w:rsidR="005C0F60">
        <w:t xml:space="preserve"> and</w:t>
      </w:r>
      <w:r w:rsidR="005C0F60" w:rsidRPr="005C0F60">
        <w:t xml:space="preserve"> </w:t>
      </w:r>
      <w:r w:rsidR="005C0F60">
        <w:t>t</w:t>
      </w:r>
      <w:r w:rsidR="005C0F60" w:rsidRPr="00C02938">
        <w:t>he extent to which nil grant developments are having a bearing on grant per unit rates.</w:t>
      </w:r>
    </w:p>
    <w:p w:rsidR="00C02938" w:rsidRPr="00C02938" w:rsidRDefault="00C02938" w:rsidP="00B74B25">
      <w:pPr>
        <w:pStyle w:val="Heading3"/>
      </w:pPr>
      <w:r w:rsidRPr="00C02938">
        <w:t>Recommendations on how the AHP can most effectively be constructed to contribute to overall supply.</w:t>
      </w:r>
    </w:p>
    <w:p w:rsidR="00671798" w:rsidRDefault="00C02938" w:rsidP="00C02938">
      <w:pPr>
        <w:pStyle w:val="Heading3"/>
      </w:pPr>
      <w:r w:rsidRPr="00C02938">
        <w:t xml:space="preserve">A review of the governance </w:t>
      </w:r>
      <w:r w:rsidR="005C0F60">
        <w:t xml:space="preserve">and reporting </w:t>
      </w:r>
      <w:r w:rsidRPr="00C02938">
        <w:t>of the programme, and its effectiveness to ensure it is in line with the Government’s good practice</w:t>
      </w:r>
      <w:r w:rsidR="00126BC3">
        <w:t xml:space="preserve"> for programme control and management of public spending</w:t>
      </w:r>
      <w:r w:rsidRPr="00C02938">
        <w:t xml:space="preserve">.  </w:t>
      </w:r>
    </w:p>
    <w:p w:rsidR="004F6F02" w:rsidRPr="006224A9" w:rsidRDefault="004F6F02" w:rsidP="003957B5">
      <w:pPr>
        <w:pStyle w:val="Heading2"/>
        <w:rPr>
          <w:bCs/>
          <w:lang w:val="en-US"/>
        </w:rPr>
      </w:pPr>
      <w:r w:rsidRPr="006224A9">
        <w:rPr>
          <w:bCs/>
          <w:lang w:val="en-US"/>
        </w:rPr>
        <w:t xml:space="preserve">The Potential Provider </w:t>
      </w:r>
      <w:r w:rsidRPr="006224A9">
        <w:rPr>
          <w:bCs/>
        </w:rPr>
        <w:t>will set out their proposed methodological approach to address the aims and objectives of the requirement, including a full justification of the proposed methods.</w:t>
      </w:r>
    </w:p>
    <w:p w:rsidR="00021854" w:rsidRPr="006224A9" w:rsidRDefault="00021854" w:rsidP="003957B5">
      <w:pPr>
        <w:pStyle w:val="Heading2"/>
        <w:rPr>
          <w:bCs/>
          <w:lang w:val="en-US"/>
        </w:rPr>
      </w:pPr>
      <w:r w:rsidRPr="006224A9">
        <w:rPr>
          <w:bCs/>
          <w:lang w:val="en-US"/>
        </w:rPr>
        <w:t>DCLG requires the Potential Provider to ensure proposed approach is representative of all stakeholders</w:t>
      </w:r>
    </w:p>
    <w:p w:rsidR="00EF226E" w:rsidRPr="006224A9" w:rsidRDefault="00EF226E" w:rsidP="003957B5">
      <w:pPr>
        <w:pStyle w:val="Heading2"/>
        <w:rPr>
          <w:bCs/>
          <w:lang w:val="en-US"/>
        </w:rPr>
      </w:pPr>
      <w:r w:rsidRPr="006224A9">
        <w:rPr>
          <w:bCs/>
          <w:lang w:val="en-US"/>
        </w:rPr>
        <w:t>The Potential Provider will be required to submit a draft report</w:t>
      </w:r>
      <w:r w:rsidR="00021854" w:rsidRPr="006224A9">
        <w:rPr>
          <w:bCs/>
          <w:lang w:val="en-US"/>
        </w:rPr>
        <w:t xml:space="preserve"> in accordance with timescales</w:t>
      </w:r>
      <w:r w:rsidRPr="006224A9">
        <w:rPr>
          <w:bCs/>
          <w:lang w:val="en-US"/>
        </w:rPr>
        <w:t>. This will be submitted to DCLG for comment.</w:t>
      </w:r>
      <w:r w:rsidR="00021854" w:rsidRPr="006224A9">
        <w:rPr>
          <w:bCs/>
          <w:lang w:val="en-US"/>
        </w:rPr>
        <w:t xml:space="preserve"> A meeting will be scheduled by DCLG within 5 working days</w:t>
      </w:r>
      <w:r w:rsidR="00CB568A" w:rsidRPr="006224A9">
        <w:rPr>
          <w:bCs/>
          <w:lang w:val="en-US"/>
        </w:rPr>
        <w:t xml:space="preserve"> to go through the draft report</w:t>
      </w:r>
      <w:r w:rsidR="00021854" w:rsidRPr="006224A9">
        <w:rPr>
          <w:bCs/>
          <w:lang w:val="en-US"/>
        </w:rPr>
        <w:t xml:space="preserve"> with the Potential Provider.</w:t>
      </w:r>
      <w:r w:rsidR="00CB568A" w:rsidRPr="006224A9">
        <w:rPr>
          <w:bCs/>
          <w:lang w:val="en-US"/>
        </w:rPr>
        <w:t xml:space="preserve"> </w:t>
      </w:r>
      <w:r w:rsidR="00021854" w:rsidRPr="006224A9">
        <w:rPr>
          <w:bCs/>
          <w:lang w:val="en-US"/>
        </w:rPr>
        <w:t>T</w:t>
      </w:r>
      <w:r w:rsidRPr="006224A9">
        <w:rPr>
          <w:bCs/>
          <w:lang w:val="en-US"/>
        </w:rPr>
        <w:t>he Potential Provider will need to</w:t>
      </w:r>
      <w:r w:rsidR="00CB568A" w:rsidRPr="006224A9">
        <w:rPr>
          <w:bCs/>
          <w:lang w:val="en-US"/>
        </w:rPr>
        <w:t xml:space="preserve"> </w:t>
      </w:r>
      <w:r w:rsidR="00581A97">
        <w:rPr>
          <w:bCs/>
          <w:lang w:val="en-US"/>
        </w:rPr>
        <w:t>review</w:t>
      </w:r>
      <w:r w:rsidR="00581A97" w:rsidRPr="006224A9">
        <w:rPr>
          <w:bCs/>
          <w:lang w:val="en-US"/>
        </w:rPr>
        <w:t xml:space="preserve"> </w:t>
      </w:r>
      <w:r w:rsidR="00CB568A" w:rsidRPr="006224A9">
        <w:rPr>
          <w:bCs/>
          <w:lang w:val="en-US"/>
        </w:rPr>
        <w:t>and implement any amendments/suggestions made at this point. Following this the final report will be produced</w:t>
      </w:r>
      <w:r w:rsidR="00581A97">
        <w:rPr>
          <w:bCs/>
          <w:lang w:val="en-US"/>
        </w:rPr>
        <w:t xml:space="preserve"> and findings presented to DCLG</w:t>
      </w:r>
      <w:r w:rsidR="00CB568A" w:rsidRPr="006224A9">
        <w:rPr>
          <w:bCs/>
          <w:lang w:val="en-US"/>
        </w:rPr>
        <w:t>.</w:t>
      </w:r>
    </w:p>
    <w:p w:rsidR="003957B5" w:rsidRPr="003957B5" w:rsidRDefault="003957B5" w:rsidP="003957B5">
      <w:pPr>
        <w:pStyle w:val="Heading2"/>
        <w:rPr>
          <w:bCs/>
          <w:lang w:val="en-US"/>
        </w:rPr>
      </w:pPr>
      <w:r w:rsidRPr="003957B5">
        <w:rPr>
          <w:bCs/>
          <w:lang w:val="en-US"/>
        </w:rPr>
        <w:lastRenderedPageBreak/>
        <w:t>The</w:t>
      </w:r>
      <w:r w:rsidR="00CB568A">
        <w:rPr>
          <w:bCs/>
          <w:lang w:val="en-US"/>
        </w:rPr>
        <w:t xml:space="preserve"> draft </w:t>
      </w:r>
      <w:r w:rsidRPr="003957B5">
        <w:rPr>
          <w:bCs/>
          <w:lang w:val="en-US"/>
        </w:rPr>
        <w:t xml:space="preserve">report will: </w:t>
      </w:r>
    </w:p>
    <w:p w:rsidR="003957B5" w:rsidRDefault="003957B5" w:rsidP="003957B5">
      <w:pPr>
        <w:pStyle w:val="Heading3"/>
      </w:pPr>
      <w:r w:rsidRPr="003957B5">
        <w:t>Detail and appraise current processes and h</w:t>
      </w:r>
      <w:r>
        <w:t>ighlight areas for improvement.</w:t>
      </w:r>
    </w:p>
    <w:p w:rsidR="003957B5" w:rsidRPr="003957B5" w:rsidRDefault="003957B5" w:rsidP="003957B5">
      <w:pPr>
        <w:pStyle w:val="Heading3"/>
      </w:pPr>
      <w:r w:rsidRPr="003957B5">
        <w:rPr>
          <w:bCs/>
        </w:rPr>
        <w:t>Clearly state where opportunities exist to improve VFM.</w:t>
      </w:r>
    </w:p>
    <w:p w:rsidR="003957B5" w:rsidRDefault="003957B5" w:rsidP="003957B5">
      <w:pPr>
        <w:pStyle w:val="Heading3"/>
      </w:pPr>
      <w:r w:rsidRPr="003957B5">
        <w:rPr>
          <w:bCs/>
        </w:rPr>
        <w:t xml:space="preserve">Make recommendations, and highlight the </w:t>
      </w:r>
      <w:r w:rsidRPr="003957B5">
        <w:t>optimum programme model to meet delivery targets.</w:t>
      </w:r>
    </w:p>
    <w:p w:rsidR="00F25C87" w:rsidRDefault="003957B5" w:rsidP="00F25C87">
      <w:pPr>
        <w:pStyle w:val="Heading3"/>
      </w:pPr>
      <w:r w:rsidRPr="003957B5">
        <w:t xml:space="preserve">Highlight the potential risks </w:t>
      </w:r>
      <w:r w:rsidR="00126BC3">
        <w:t xml:space="preserve">and opportunities </w:t>
      </w:r>
      <w:r w:rsidRPr="003957B5">
        <w:t>associated with any changes from existing models.</w:t>
      </w:r>
    </w:p>
    <w:p w:rsidR="00021854" w:rsidRPr="006224A9" w:rsidRDefault="00021854" w:rsidP="00E14E9D">
      <w:pPr>
        <w:pStyle w:val="Heading2"/>
      </w:pPr>
      <w:r w:rsidRPr="006224A9">
        <w:t>The final report will</w:t>
      </w:r>
      <w:r w:rsidR="003448E1" w:rsidRPr="006224A9">
        <w:t>:</w:t>
      </w:r>
    </w:p>
    <w:p w:rsidR="00021854" w:rsidRPr="006224A9" w:rsidRDefault="00021854" w:rsidP="00021854">
      <w:pPr>
        <w:pStyle w:val="Heading3"/>
      </w:pPr>
      <w:r w:rsidRPr="006224A9">
        <w:t>Implement any changes agreed following the submission of the draft report</w:t>
      </w:r>
      <w:r w:rsidR="003448E1" w:rsidRPr="006224A9">
        <w:t>.</w:t>
      </w:r>
    </w:p>
    <w:p w:rsidR="003448E1" w:rsidRPr="006224A9" w:rsidRDefault="003448E1" w:rsidP="00021854">
      <w:pPr>
        <w:pStyle w:val="Heading3"/>
      </w:pPr>
      <w:r w:rsidRPr="006224A9">
        <w:t>Be presented to DCLG in accordance with timescales.</w:t>
      </w:r>
    </w:p>
    <w:p w:rsidR="00E14E9D" w:rsidRPr="006224A9" w:rsidRDefault="003448E1" w:rsidP="00E14E9D">
      <w:pPr>
        <w:pStyle w:val="Heading2"/>
      </w:pPr>
      <w:r w:rsidRPr="006224A9">
        <w:t>On completion of the Deep Dive, the</w:t>
      </w:r>
      <w:r w:rsidR="00E14E9D" w:rsidRPr="006224A9">
        <w:t xml:space="preserve"> Potential Provider will be </w:t>
      </w:r>
      <w:r w:rsidRPr="006224A9">
        <w:t>required</w:t>
      </w:r>
      <w:r w:rsidR="00E14E9D" w:rsidRPr="006224A9">
        <w:t xml:space="preserve"> to complete a knowledge transfer with </w:t>
      </w:r>
      <w:r w:rsidRPr="006224A9">
        <w:t>DCLG</w:t>
      </w:r>
      <w:r w:rsidR="00E14E9D" w:rsidRPr="006224A9">
        <w:t>.</w:t>
      </w:r>
      <w:r w:rsidRPr="006224A9">
        <w:t xml:space="preserve"> A meeting will be arranged on submission of final report.</w:t>
      </w:r>
    </w:p>
    <w:p w:rsidR="00671798" w:rsidRPr="00C3753A" w:rsidRDefault="00FE18AC" w:rsidP="00C3753A">
      <w:pPr>
        <w:pStyle w:val="Heading1"/>
        <w:spacing w:after="120"/>
      </w:pPr>
      <w:bookmarkStart w:id="18" w:name="_Toc368573032"/>
      <w:bookmarkStart w:id="19" w:name="_Toc493148656"/>
      <w:r>
        <w:t>key milestones</w:t>
      </w:r>
      <w:bookmarkEnd w:id="18"/>
      <w:bookmarkEnd w:id="19"/>
    </w:p>
    <w:p w:rsidR="00FE18AC" w:rsidRPr="00CA3806"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sidR="00A57B4E">
        <w:rPr>
          <w:rFonts w:cs="Arial"/>
          <w:szCs w:val="22"/>
        </w:rPr>
        <w:t>oject milestones that the Authority</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60"/>
        <w:gridCol w:w="4586"/>
        <w:gridCol w:w="2999"/>
      </w:tblGrid>
      <w:tr w:rsidR="00FE18AC" w:rsidRPr="00297CF4" w:rsidTr="00106F24">
        <w:tc>
          <w:tcPr>
            <w:tcW w:w="898" w:type="pct"/>
            <w:shd w:val="clear" w:color="auto" w:fill="C6D9F1" w:themeFill="text2" w:themeFillTint="33"/>
            <w:vAlign w:val="center"/>
          </w:tcPr>
          <w:p w:rsidR="00671798" w:rsidRPr="00C3753A" w:rsidRDefault="00FE18AC">
            <w:pPr>
              <w:pStyle w:val="Heading3"/>
              <w:numPr>
                <w:ilvl w:val="0"/>
                <w:numId w:val="0"/>
              </w:numPr>
              <w:spacing w:after="120"/>
              <w:jc w:val="center"/>
              <w:outlineLvl w:val="2"/>
              <w:rPr>
                <w:b/>
                <w:szCs w:val="24"/>
              </w:rPr>
            </w:pPr>
            <w:r w:rsidRPr="00C3753A">
              <w:rPr>
                <w:b/>
              </w:rPr>
              <w:t>Milestone</w:t>
            </w:r>
          </w:p>
        </w:tc>
        <w:tc>
          <w:tcPr>
            <w:tcW w:w="2480" w:type="pct"/>
            <w:shd w:val="clear" w:color="auto" w:fill="C6D9F1" w:themeFill="text2" w:themeFillTint="33"/>
            <w:vAlign w:val="center"/>
          </w:tcPr>
          <w:p w:rsidR="00671798" w:rsidRPr="00C3753A" w:rsidRDefault="00FE18AC">
            <w:pPr>
              <w:pStyle w:val="Heading3"/>
              <w:numPr>
                <w:ilvl w:val="0"/>
                <w:numId w:val="0"/>
              </w:numPr>
              <w:spacing w:after="120"/>
              <w:jc w:val="center"/>
              <w:outlineLvl w:val="2"/>
              <w:rPr>
                <w:b/>
                <w:szCs w:val="24"/>
              </w:rPr>
            </w:pPr>
            <w:r w:rsidRPr="00C3753A">
              <w:rPr>
                <w:b/>
              </w:rPr>
              <w:t>Description</w:t>
            </w:r>
          </w:p>
        </w:tc>
        <w:tc>
          <w:tcPr>
            <w:tcW w:w="1622" w:type="pct"/>
            <w:shd w:val="clear" w:color="auto" w:fill="C6D9F1" w:themeFill="text2" w:themeFillTint="33"/>
            <w:vAlign w:val="center"/>
          </w:tcPr>
          <w:p w:rsidR="00671798" w:rsidRPr="00C3753A" w:rsidRDefault="00FE18AC">
            <w:pPr>
              <w:pStyle w:val="Heading3"/>
              <w:numPr>
                <w:ilvl w:val="0"/>
                <w:numId w:val="0"/>
              </w:numPr>
              <w:spacing w:after="120"/>
              <w:jc w:val="center"/>
              <w:outlineLvl w:val="2"/>
              <w:rPr>
                <w:b/>
                <w:szCs w:val="24"/>
              </w:rPr>
            </w:pPr>
            <w:r w:rsidRPr="00C3753A">
              <w:rPr>
                <w:b/>
              </w:rPr>
              <w:t>Timeframe</w:t>
            </w:r>
          </w:p>
        </w:tc>
      </w:tr>
      <w:tr w:rsidR="00FE18AC" w:rsidRPr="00297CF4" w:rsidTr="00E245A6">
        <w:tc>
          <w:tcPr>
            <w:tcW w:w="898" w:type="pct"/>
            <w:vAlign w:val="center"/>
          </w:tcPr>
          <w:p w:rsidR="00671798" w:rsidRPr="00C3753A" w:rsidRDefault="00FE18AC">
            <w:pPr>
              <w:pStyle w:val="Heading3"/>
              <w:numPr>
                <w:ilvl w:val="0"/>
                <w:numId w:val="0"/>
              </w:numPr>
              <w:spacing w:after="120"/>
              <w:jc w:val="center"/>
              <w:outlineLvl w:val="2"/>
              <w:rPr>
                <w:szCs w:val="24"/>
              </w:rPr>
            </w:pPr>
            <w:r w:rsidRPr="00C3753A">
              <w:t>1</w:t>
            </w:r>
          </w:p>
        </w:tc>
        <w:tc>
          <w:tcPr>
            <w:tcW w:w="2480" w:type="pct"/>
            <w:vAlign w:val="center"/>
          </w:tcPr>
          <w:p w:rsidR="00671798" w:rsidRPr="00C3753A" w:rsidRDefault="00C3753A" w:rsidP="006224A9">
            <w:pPr>
              <w:pStyle w:val="Heading3"/>
              <w:numPr>
                <w:ilvl w:val="0"/>
                <w:numId w:val="0"/>
              </w:numPr>
              <w:spacing w:after="120"/>
              <w:jc w:val="left"/>
              <w:outlineLvl w:val="2"/>
              <w:rPr>
                <w:szCs w:val="24"/>
              </w:rPr>
            </w:pPr>
            <w:r w:rsidRPr="00C3753A">
              <w:t xml:space="preserve">All </w:t>
            </w:r>
            <w:r w:rsidR="00126BC3" w:rsidRPr="00C3753A">
              <w:t>data gathering</w:t>
            </w:r>
            <w:r w:rsidRPr="00C3753A">
              <w:t xml:space="preserve"> complete</w:t>
            </w:r>
            <w:r w:rsidR="006224A9">
              <w:t>.</w:t>
            </w:r>
          </w:p>
        </w:tc>
        <w:tc>
          <w:tcPr>
            <w:tcW w:w="1622" w:type="pct"/>
            <w:vAlign w:val="center"/>
          </w:tcPr>
          <w:p w:rsidR="00671798" w:rsidRPr="00C3753A" w:rsidRDefault="00C3753A">
            <w:pPr>
              <w:pStyle w:val="Heading3"/>
              <w:numPr>
                <w:ilvl w:val="0"/>
                <w:numId w:val="0"/>
              </w:numPr>
              <w:spacing w:after="120"/>
              <w:jc w:val="center"/>
              <w:outlineLvl w:val="2"/>
              <w:rPr>
                <w:szCs w:val="24"/>
              </w:rPr>
            </w:pPr>
            <w:r w:rsidRPr="00C3753A">
              <w:t>Within week 3</w:t>
            </w:r>
            <w:r w:rsidR="00FE18AC" w:rsidRPr="00C3753A">
              <w:t xml:space="preserve"> of Contract Award </w:t>
            </w:r>
          </w:p>
        </w:tc>
      </w:tr>
      <w:tr w:rsidR="00FE18AC" w:rsidRPr="00297CF4" w:rsidTr="00E245A6">
        <w:tc>
          <w:tcPr>
            <w:tcW w:w="898" w:type="pct"/>
            <w:vAlign w:val="center"/>
          </w:tcPr>
          <w:p w:rsidR="00671798" w:rsidRPr="00C3753A" w:rsidRDefault="00FE18AC">
            <w:pPr>
              <w:pStyle w:val="Heading3"/>
              <w:numPr>
                <w:ilvl w:val="0"/>
                <w:numId w:val="0"/>
              </w:numPr>
              <w:spacing w:after="120"/>
              <w:jc w:val="center"/>
              <w:outlineLvl w:val="2"/>
              <w:rPr>
                <w:szCs w:val="24"/>
              </w:rPr>
            </w:pPr>
            <w:r w:rsidRPr="00C3753A">
              <w:t>2</w:t>
            </w:r>
          </w:p>
        </w:tc>
        <w:tc>
          <w:tcPr>
            <w:tcW w:w="2480" w:type="pct"/>
            <w:vAlign w:val="center"/>
          </w:tcPr>
          <w:p w:rsidR="00671798" w:rsidRPr="00C3753A" w:rsidRDefault="00C3753A">
            <w:pPr>
              <w:pStyle w:val="Heading3"/>
              <w:numPr>
                <w:ilvl w:val="0"/>
                <w:numId w:val="0"/>
              </w:numPr>
              <w:spacing w:after="120"/>
              <w:jc w:val="left"/>
              <w:outlineLvl w:val="2"/>
              <w:rPr>
                <w:szCs w:val="24"/>
              </w:rPr>
            </w:pPr>
            <w:r w:rsidRPr="00C3753A">
              <w:t>Draft report submitted to DCLG for review</w:t>
            </w:r>
            <w:r w:rsidR="006224A9">
              <w:t>.</w:t>
            </w:r>
          </w:p>
        </w:tc>
        <w:tc>
          <w:tcPr>
            <w:tcW w:w="1622" w:type="pct"/>
            <w:vAlign w:val="center"/>
          </w:tcPr>
          <w:p w:rsidR="00671798" w:rsidRPr="00C3753A" w:rsidRDefault="00C3753A">
            <w:pPr>
              <w:pStyle w:val="Heading3"/>
              <w:numPr>
                <w:ilvl w:val="0"/>
                <w:numId w:val="0"/>
              </w:numPr>
              <w:spacing w:after="120"/>
              <w:jc w:val="center"/>
              <w:outlineLvl w:val="2"/>
              <w:rPr>
                <w:szCs w:val="24"/>
              </w:rPr>
            </w:pPr>
            <w:r w:rsidRPr="00C3753A">
              <w:t>Within week 5-6</w:t>
            </w:r>
            <w:r w:rsidR="00FE18AC" w:rsidRPr="00C3753A">
              <w:t xml:space="preserve"> of Contract Award</w:t>
            </w:r>
          </w:p>
        </w:tc>
      </w:tr>
      <w:tr w:rsidR="00FE18AC" w:rsidRPr="00297CF4" w:rsidTr="00E245A6">
        <w:tc>
          <w:tcPr>
            <w:tcW w:w="898" w:type="pct"/>
            <w:vAlign w:val="center"/>
          </w:tcPr>
          <w:p w:rsidR="00671798" w:rsidRPr="00C3753A" w:rsidRDefault="00FE18AC">
            <w:pPr>
              <w:pStyle w:val="Heading3"/>
              <w:numPr>
                <w:ilvl w:val="0"/>
                <w:numId w:val="0"/>
              </w:numPr>
              <w:spacing w:after="120"/>
              <w:jc w:val="center"/>
              <w:outlineLvl w:val="2"/>
              <w:rPr>
                <w:szCs w:val="24"/>
              </w:rPr>
            </w:pPr>
            <w:r w:rsidRPr="00C3753A">
              <w:t>3</w:t>
            </w:r>
          </w:p>
        </w:tc>
        <w:tc>
          <w:tcPr>
            <w:tcW w:w="2480" w:type="pct"/>
            <w:vAlign w:val="center"/>
          </w:tcPr>
          <w:p w:rsidR="00671798" w:rsidRPr="00C3753A" w:rsidRDefault="00C3753A">
            <w:pPr>
              <w:pStyle w:val="Heading3"/>
              <w:numPr>
                <w:ilvl w:val="0"/>
                <w:numId w:val="0"/>
              </w:numPr>
              <w:spacing w:after="120"/>
              <w:jc w:val="left"/>
              <w:outlineLvl w:val="2"/>
              <w:rPr>
                <w:szCs w:val="24"/>
              </w:rPr>
            </w:pPr>
            <w:r w:rsidRPr="00C3753A">
              <w:t>Final report submitted and presented to DCLG</w:t>
            </w:r>
            <w:r w:rsidR="006224A9">
              <w:t>.</w:t>
            </w:r>
          </w:p>
        </w:tc>
        <w:tc>
          <w:tcPr>
            <w:tcW w:w="1622" w:type="pct"/>
            <w:vAlign w:val="center"/>
          </w:tcPr>
          <w:p w:rsidR="00671798" w:rsidRPr="00C3753A" w:rsidRDefault="00C3753A">
            <w:pPr>
              <w:pStyle w:val="Heading3"/>
              <w:numPr>
                <w:ilvl w:val="0"/>
                <w:numId w:val="0"/>
              </w:numPr>
              <w:spacing w:after="120"/>
              <w:jc w:val="center"/>
              <w:outlineLvl w:val="2"/>
              <w:rPr>
                <w:szCs w:val="24"/>
              </w:rPr>
            </w:pPr>
            <w:r w:rsidRPr="00C3753A">
              <w:t>Within week 7</w:t>
            </w:r>
            <w:r w:rsidR="00FE18AC" w:rsidRPr="00C3753A">
              <w:t xml:space="preserve"> of Contract Award</w:t>
            </w:r>
          </w:p>
        </w:tc>
      </w:tr>
    </w:tbl>
    <w:p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0" w:name="_Toc302637211"/>
    </w:p>
    <w:p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493148657"/>
      <w:bookmarkStart w:id="22" w:name="_Toc368573033"/>
      <w:r>
        <w:rPr>
          <w:rFonts w:cs="Arial"/>
          <w:szCs w:val="22"/>
        </w:rPr>
        <w:t>authority’s responsibilities</w:t>
      </w:r>
      <w:bookmarkEnd w:id="21"/>
    </w:p>
    <w:p w:rsidR="00106F24" w:rsidRPr="003243F8" w:rsidRDefault="00126BC3" w:rsidP="00106F24">
      <w:pPr>
        <w:pStyle w:val="Heading2"/>
      </w:pPr>
      <w:r w:rsidRPr="003243F8">
        <w:t>Documentation outlining the programme structures and reporting will be available on request. Likewise, officials (including senior officials) will be available for interview</w:t>
      </w:r>
      <w:r w:rsidR="003243F8" w:rsidRPr="003243F8">
        <w:t>.</w:t>
      </w:r>
    </w:p>
    <w:p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493148658"/>
      <w:r w:rsidRPr="00BE6EE0">
        <w:rPr>
          <w:rFonts w:cs="Arial"/>
          <w:szCs w:val="22"/>
        </w:rPr>
        <w:t>reporting</w:t>
      </w:r>
      <w:bookmarkEnd w:id="22"/>
      <w:bookmarkEnd w:id="23"/>
    </w:p>
    <w:p w:rsidR="00EB59E2" w:rsidRPr="00EB59E2" w:rsidRDefault="00EB59E2" w:rsidP="00EB59E2">
      <w:pPr>
        <w:pStyle w:val="Heading2"/>
        <w:spacing w:after="120"/>
        <w:ind w:left="709" w:hanging="709"/>
        <w:rPr>
          <w:bCs/>
          <w:lang w:val="en-US"/>
        </w:rPr>
      </w:pPr>
      <w:r w:rsidRPr="00EB59E2">
        <w:rPr>
          <w:bCs/>
          <w:lang w:val="en-US"/>
        </w:rPr>
        <w:t xml:space="preserve">The Contractor will be required to attend an initial briefing in London as early as possible following their engagement. This will ensure that the scope and intentions of the </w:t>
      </w:r>
      <w:r w:rsidR="00332ADB">
        <w:rPr>
          <w:bCs/>
          <w:lang w:val="en-US"/>
        </w:rPr>
        <w:t>C</w:t>
      </w:r>
      <w:r w:rsidRPr="00EB59E2">
        <w:rPr>
          <w:bCs/>
          <w:lang w:val="en-US"/>
        </w:rPr>
        <w:t>ontract specification and the required outputs are fully explained and allow the Contractor to clarify any points of detail.</w:t>
      </w:r>
    </w:p>
    <w:p w:rsidR="00EB59E2" w:rsidRPr="00EB59E2" w:rsidRDefault="00EB59E2" w:rsidP="00EB59E2">
      <w:pPr>
        <w:pStyle w:val="Heading2"/>
        <w:spacing w:after="120"/>
        <w:ind w:left="709" w:hanging="709"/>
        <w:rPr>
          <w:bCs/>
          <w:lang w:val="en-US"/>
        </w:rPr>
      </w:pPr>
      <w:r w:rsidRPr="00EB59E2">
        <w:rPr>
          <w:bCs/>
          <w:lang w:val="en-US"/>
        </w:rPr>
        <w:t xml:space="preserve">During the Contract the Contractor will liaise closely with DCLG. In particular this must occur at any significant points during the Contract; for example, where </w:t>
      </w:r>
      <w:r w:rsidRPr="00EB59E2">
        <w:rPr>
          <w:bCs/>
          <w:lang w:val="en-US"/>
        </w:rPr>
        <w:lastRenderedPageBreak/>
        <w:t xml:space="preserve">clarification is required, a particular approach or method is being proposed or where new or significant assumptions are being made or data appears unreliable or missing. </w:t>
      </w:r>
    </w:p>
    <w:p w:rsidR="00671798" w:rsidRPr="00EB59E2" w:rsidRDefault="00EB59E2" w:rsidP="00EB59E2">
      <w:pPr>
        <w:pStyle w:val="Heading2"/>
        <w:spacing w:after="120"/>
        <w:ind w:left="709" w:hanging="709"/>
        <w:rPr>
          <w:bCs/>
          <w:lang w:val="en-US"/>
        </w:rPr>
      </w:pPr>
      <w:r w:rsidRPr="00EB59E2">
        <w:rPr>
          <w:bCs/>
          <w:lang w:val="en-US"/>
        </w:rPr>
        <w:t xml:space="preserve">Day to day liaison with the Contractor will be managed by a contract manager in the Affordable Housing Regulation and Investment Team. The DCLG contract manager will expect weekly contact and consultation with the project officer. </w:t>
      </w:r>
    </w:p>
    <w:p w:rsidR="00D76752" w:rsidRPr="00D76752" w:rsidRDefault="00D76752" w:rsidP="00D76752">
      <w:pPr>
        <w:pStyle w:val="Heading2"/>
        <w:spacing w:after="120"/>
        <w:ind w:left="709" w:hanging="709"/>
        <w:rPr>
          <w:bCs/>
          <w:lang w:val="en-US"/>
        </w:rPr>
      </w:pPr>
      <w:r w:rsidRPr="00D76752">
        <w:rPr>
          <w:bCs/>
          <w:lang w:val="en-US"/>
        </w:rPr>
        <w:t xml:space="preserve">The </w:t>
      </w:r>
      <w:r>
        <w:rPr>
          <w:bCs/>
          <w:lang w:val="en-US"/>
        </w:rPr>
        <w:t>Deep Dive</w:t>
      </w:r>
      <w:r w:rsidRPr="00D76752">
        <w:rPr>
          <w:bCs/>
          <w:lang w:val="en-US"/>
        </w:rPr>
        <w:t xml:space="preserve"> will be</w:t>
      </w:r>
      <w:r>
        <w:rPr>
          <w:bCs/>
          <w:lang w:val="en-US"/>
        </w:rPr>
        <w:t xml:space="preserve"> ultimately</w:t>
      </w:r>
      <w:r w:rsidRPr="00D76752">
        <w:rPr>
          <w:bCs/>
          <w:lang w:val="en-US"/>
        </w:rPr>
        <w:t xml:space="preserve"> overseen by the </w:t>
      </w:r>
      <w:r>
        <w:rPr>
          <w:bCs/>
          <w:lang w:val="en-US"/>
        </w:rPr>
        <w:t>Director General of Housing and Planning</w:t>
      </w:r>
      <w:r w:rsidRPr="00D76752">
        <w:rPr>
          <w:bCs/>
          <w:lang w:val="en-US"/>
        </w:rPr>
        <w:t xml:space="preserve">. The Contractor must expect to present to the </w:t>
      </w:r>
      <w:r>
        <w:rPr>
          <w:bCs/>
          <w:lang w:val="en-US"/>
        </w:rPr>
        <w:t>Director General</w:t>
      </w:r>
      <w:r w:rsidRPr="00D76752">
        <w:rPr>
          <w:bCs/>
          <w:lang w:val="en-US"/>
        </w:rPr>
        <w:t xml:space="preserve"> during the course of the evaluation. </w:t>
      </w:r>
    </w:p>
    <w:p w:rsidR="004A68D9"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368573034"/>
      <w:bookmarkStart w:id="25" w:name="_Toc493148659"/>
      <w:r w:rsidRPr="00BE6EE0">
        <w:rPr>
          <w:rFonts w:cs="Arial"/>
          <w:szCs w:val="22"/>
        </w:rPr>
        <w:t>volumes</w:t>
      </w:r>
      <w:bookmarkEnd w:id="24"/>
      <w:bookmarkEnd w:id="25"/>
    </w:p>
    <w:p w:rsidR="00FE18AC" w:rsidRPr="00BE6EE0" w:rsidRDefault="004A68D9" w:rsidP="004A68D9">
      <w:pPr>
        <w:pStyle w:val="Heading2"/>
        <w:rPr>
          <w:rFonts w:cs="Arial"/>
          <w:szCs w:val="22"/>
        </w:rPr>
      </w:pPr>
      <w:r>
        <w:rPr>
          <w:rFonts w:cs="Arial"/>
          <w:szCs w:val="22"/>
        </w:rPr>
        <w:t>Not Applicable</w:t>
      </w:r>
    </w:p>
    <w:p w:rsidR="00671798" w:rsidRPr="00EB59E2" w:rsidRDefault="00FE18AC" w:rsidP="00EB59E2">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368573035"/>
      <w:bookmarkStart w:id="27" w:name="_Toc493148660"/>
      <w:r w:rsidRPr="00BE6EE0">
        <w:rPr>
          <w:rFonts w:cs="Arial"/>
          <w:szCs w:val="22"/>
        </w:rPr>
        <w:t>continuous improvement</w:t>
      </w:r>
      <w:bookmarkEnd w:id="26"/>
      <w:bookmarkEnd w:id="27"/>
    </w:p>
    <w:p w:rsidR="00671798" w:rsidRDefault="00FE18AC">
      <w:pPr>
        <w:pStyle w:val="Heading2"/>
        <w:tabs>
          <w:tab w:val="clear" w:pos="720"/>
          <w:tab w:val="num" w:pos="709"/>
        </w:tabs>
        <w:spacing w:after="120"/>
        <w:ind w:left="709" w:hanging="709"/>
      </w:pPr>
      <w:r w:rsidRPr="008104E0">
        <w:t xml:space="preserve">The </w:t>
      </w:r>
      <w:r w:rsidR="003047E0">
        <w:t>Supplier</w:t>
      </w:r>
      <w:r w:rsidRPr="008104E0">
        <w:t xml:space="preserve"> will be expected to continually improve the way in which the required Services are to be delivered throughout the </w:t>
      </w:r>
      <w:r w:rsidR="0052086C">
        <w:t xml:space="preserve">Contract </w:t>
      </w:r>
      <w:r w:rsidRPr="008104E0">
        <w:t>duration.</w:t>
      </w:r>
    </w:p>
    <w:p w:rsidR="00671798" w:rsidRDefault="00FE18AC">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rsidR="004E78BC" w:rsidRDefault="004E78BC" w:rsidP="004E78BC">
      <w:pPr>
        <w:pStyle w:val="Heading1"/>
      </w:pPr>
      <w:bookmarkStart w:id="28" w:name="_Toc493148661"/>
      <w:r>
        <w:t>Sustainability</w:t>
      </w:r>
      <w:bookmarkEnd w:id="28"/>
    </w:p>
    <w:p w:rsidR="004E78BC" w:rsidRPr="00611ED4" w:rsidRDefault="00611ED4" w:rsidP="004E78BC">
      <w:pPr>
        <w:pStyle w:val="Heading2"/>
      </w:pPr>
      <w:r w:rsidRPr="00611ED4">
        <w:rPr>
          <w:lang w:val="en"/>
        </w:rPr>
        <w:t>The Potential Provider is required to consider the social, economic and environmental aspects of sustainability while delivering the Contract.</w:t>
      </w:r>
    </w:p>
    <w:p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9" w:name="_Toc368573036"/>
      <w:bookmarkStart w:id="30" w:name="_Toc493148662"/>
      <w:r w:rsidRPr="00517FEF">
        <w:rPr>
          <w:rFonts w:cs="Arial"/>
          <w:szCs w:val="22"/>
        </w:rPr>
        <w:t>quality</w:t>
      </w:r>
      <w:bookmarkEnd w:id="29"/>
      <w:bookmarkEnd w:id="30"/>
    </w:p>
    <w:p w:rsidR="00C928B9" w:rsidRPr="00CA1C3F" w:rsidRDefault="00C928B9">
      <w:pPr>
        <w:pStyle w:val="Heading2"/>
        <w:tabs>
          <w:tab w:val="clear" w:pos="720"/>
          <w:tab w:val="num" w:pos="709"/>
        </w:tabs>
        <w:spacing w:after="120"/>
        <w:ind w:left="709" w:hanging="709"/>
      </w:pPr>
      <w:r w:rsidRPr="00CA1C3F">
        <w:t xml:space="preserve">The potential provider will be required to have </w:t>
      </w:r>
      <w:r w:rsidR="00CA1C3F" w:rsidRPr="00CA1C3F">
        <w:t>an</w:t>
      </w:r>
      <w:r w:rsidRPr="00CA1C3F">
        <w:t xml:space="preserve"> ISO 9001 certification</w:t>
      </w:r>
      <w:r w:rsidR="00A04A9E">
        <w:t xml:space="preserve"> or equivalent</w:t>
      </w:r>
      <w:r w:rsidR="00CA1C3F" w:rsidRPr="00CA1C3F">
        <w:t>.</w:t>
      </w:r>
    </w:p>
    <w:p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1" w:name="_Toc368573037"/>
      <w:bookmarkStart w:id="32" w:name="_Toc493148663"/>
      <w:r w:rsidRPr="00BE6EE0">
        <w:rPr>
          <w:rFonts w:cs="Arial"/>
          <w:szCs w:val="22"/>
        </w:rPr>
        <w:t>PRICE</w:t>
      </w:r>
      <w:bookmarkEnd w:id="31"/>
      <w:bookmarkEnd w:id="32"/>
    </w:p>
    <w:p w:rsidR="00A37867" w:rsidRPr="006224A9" w:rsidRDefault="00A37867" w:rsidP="00804ADA">
      <w:pPr>
        <w:pStyle w:val="Heading2"/>
        <w:spacing w:after="120"/>
        <w:ind w:left="709" w:hanging="709"/>
      </w:pPr>
      <w:r w:rsidRPr="006224A9">
        <w:t>The maximum budget for this piece of work is £66,000 (exc. of VAT)</w:t>
      </w:r>
      <w:r w:rsidR="00332ADB">
        <w:t>, any bids submitted above this value shall be deemed non-compliant.</w:t>
      </w:r>
    </w:p>
    <w:p w:rsidR="00804ADA" w:rsidRPr="00804ADA" w:rsidRDefault="00804ADA" w:rsidP="00804ADA">
      <w:pPr>
        <w:pStyle w:val="Heading2"/>
        <w:spacing w:after="120"/>
        <w:ind w:left="709" w:hanging="709"/>
      </w:pPr>
      <w:r w:rsidRPr="00804ADA">
        <w:t>Tender prices must be in Sterling.</w:t>
      </w:r>
    </w:p>
    <w:p w:rsidR="00671798" w:rsidRDefault="00804ADA" w:rsidP="005F1DC1">
      <w:pPr>
        <w:pStyle w:val="Heading2"/>
        <w:spacing w:after="120"/>
        <w:ind w:left="709" w:hanging="709"/>
      </w:pPr>
      <w:r w:rsidRPr="00804ADA">
        <w:t>A fixed fee for the project inclusive of all expense</w:t>
      </w:r>
      <w:r w:rsidR="00332ADB">
        <w:t>s</w:t>
      </w:r>
      <w:r w:rsidRPr="00804ADA">
        <w:t>. This should include</w:t>
      </w:r>
      <w:r w:rsidR="005F1DC1">
        <w:t xml:space="preserve"> </w:t>
      </w:r>
      <w:r w:rsidRPr="00804ADA">
        <w:t xml:space="preserve">a breakdown of the personnel who will be involved with the project, along with associated charge rates and anticipated </w:t>
      </w:r>
      <w:r w:rsidRPr="002679AF">
        <w:t>time inputs that can be reconciled to the fixed fee.</w:t>
      </w:r>
    </w:p>
    <w:p w:rsidR="00671798" w:rsidRDefault="00FE18AC">
      <w:pPr>
        <w:pStyle w:val="Heading2"/>
        <w:tabs>
          <w:tab w:val="clear" w:pos="720"/>
          <w:tab w:val="num" w:pos="709"/>
        </w:tabs>
        <w:spacing w:after="120"/>
        <w:ind w:left="709" w:hanging="709"/>
      </w:pPr>
      <w:r w:rsidRPr="002679AF">
        <w:t>Prices are to be submitted via the e</w:t>
      </w:r>
      <w:r w:rsidR="00F44D62" w:rsidRPr="002679AF">
        <w:t>-</w:t>
      </w:r>
      <w:r w:rsidRPr="002679AF">
        <w:t>Sourcing Suite</w:t>
      </w:r>
      <w:r w:rsidR="002679AF" w:rsidRPr="002679AF">
        <w:t xml:space="preserve"> Appendix E</w:t>
      </w:r>
      <w:r w:rsidRPr="002679AF">
        <w:t xml:space="preserve"> excluding</w:t>
      </w:r>
      <w:r>
        <w:t xml:space="preserve"> VAT</w:t>
      </w:r>
      <w:r w:rsidR="00AE3C65">
        <w:t>.</w:t>
      </w:r>
    </w:p>
    <w:p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368573038"/>
      <w:bookmarkStart w:id="34" w:name="_Toc493148664"/>
      <w:r w:rsidRPr="00BE6EE0">
        <w:rPr>
          <w:rFonts w:cs="Arial"/>
          <w:szCs w:val="22"/>
        </w:rPr>
        <w:t>STAFF AND CUSTOMER SERVICE</w:t>
      </w:r>
      <w:bookmarkEnd w:id="33"/>
      <w:bookmarkEnd w:id="34"/>
    </w:p>
    <w:p w:rsidR="008947D9" w:rsidRPr="008947D9" w:rsidRDefault="008947D9" w:rsidP="008947D9">
      <w:pPr>
        <w:pStyle w:val="Heading2"/>
        <w:spacing w:after="120"/>
        <w:ind w:left="709" w:hanging="709"/>
      </w:pPr>
      <w:r w:rsidRPr="008947D9">
        <w:rPr>
          <w:bCs/>
        </w:rPr>
        <w:t>The Potential Provider is required to have a named designated project manager who will be personally responsible and accountable for the overall project.</w:t>
      </w:r>
    </w:p>
    <w:p w:rsidR="00671798" w:rsidRDefault="00FE18AC">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w:t>
      </w:r>
      <w:r w:rsidR="008947D9">
        <w:t>AHP Deep Dive</w:t>
      </w:r>
      <w:r>
        <w:t xml:space="preserve"> Contract in order to consistently deliver a quality service to all Parties.</w:t>
      </w:r>
    </w:p>
    <w:p w:rsidR="00671798" w:rsidRDefault="00FE18AC">
      <w:pPr>
        <w:pStyle w:val="Heading2"/>
        <w:tabs>
          <w:tab w:val="clear" w:pos="720"/>
          <w:tab w:val="num" w:pos="709"/>
        </w:tabs>
        <w:spacing w:after="120"/>
        <w:ind w:left="709" w:hanging="709"/>
      </w:pPr>
      <w:r>
        <w:t xml:space="preserve">Potential Provider’s staff assigned to the </w:t>
      </w:r>
      <w:r w:rsidR="008947D9">
        <w:t>AHP Deep Dive</w:t>
      </w:r>
      <w:r>
        <w:t xml:space="preserve"> Contract</w:t>
      </w:r>
      <w:r w:rsidRPr="002E7082">
        <w:t xml:space="preserve"> </w:t>
      </w:r>
      <w:r>
        <w:t xml:space="preserve">shall have </w:t>
      </w:r>
      <w:r w:rsidR="00E63412">
        <w:t xml:space="preserve">the </w:t>
      </w:r>
      <w:r w:rsidRPr="002E7082">
        <w:t>relevant qualifications and experience to deliver</w:t>
      </w:r>
      <w:r w:rsidR="00E63412">
        <w:t xml:space="preserve"> the</w:t>
      </w:r>
      <w:r w:rsidRPr="002E7082">
        <w:t xml:space="preserve"> Contract. </w:t>
      </w:r>
    </w:p>
    <w:p w:rsidR="00671798" w:rsidRDefault="00FE18AC">
      <w:pPr>
        <w:pStyle w:val="Heading2"/>
        <w:tabs>
          <w:tab w:val="clear" w:pos="720"/>
          <w:tab w:val="num" w:pos="709"/>
        </w:tabs>
        <w:spacing w:after="120"/>
        <w:ind w:left="709" w:hanging="709"/>
      </w:pPr>
      <w:r w:rsidRPr="002E7082">
        <w:lastRenderedPageBreak/>
        <w:t xml:space="preserve">The Potential Provider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5" w:name="_Toc368573039"/>
      <w:bookmarkStart w:id="36" w:name="_Toc493148665"/>
      <w:r w:rsidRPr="004E1D36">
        <w:rPr>
          <w:rFonts w:cs="Arial"/>
          <w:szCs w:val="22"/>
        </w:rPr>
        <w:t>service levels a</w:t>
      </w:r>
      <w:r>
        <w:rPr>
          <w:rFonts w:cs="Arial"/>
          <w:szCs w:val="22"/>
        </w:rPr>
        <w:t>nd performance</w:t>
      </w:r>
      <w:bookmarkEnd w:id="35"/>
      <w:bookmarkEnd w:id="36"/>
    </w:p>
    <w:p w:rsidR="00671798" w:rsidRDefault="00FE18AC">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p w:rsidR="00671798" w:rsidRDefault="008E3044">
      <w:pPr>
        <w:pStyle w:val="Heading3"/>
        <w:tabs>
          <w:tab w:val="clear" w:pos="1800"/>
          <w:tab w:val="num" w:pos="1418"/>
        </w:tabs>
        <w:spacing w:after="120"/>
        <w:ind w:left="1418" w:hanging="698"/>
      </w:pPr>
      <w:r>
        <w:t>Measuring t</w:t>
      </w:r>
      <w:r w:rsidR="00E80B25">
        <w:t>he Potential Provider’s ability to achieve set milestones within timescales given.</w:t>
      </w:r>
    </w:p>
    <w:p w:rsidR="00E80B25" w:rsidRDefault="008E3044">
      <w:pPr>
        <w:pStyle w:val="Heading3"/>
        <w:tabs>
          <w:tab w:val="clear" w:pos="1800"/>
          <w:tab w:val="num" w:pos="1418"/>
        </w:tabs>
        <w:spacing w:after="120"/>
        <w:ind w:left="1418" w:hanging="698"/>
      </w:pPr>
      <w:r>
        <w:t xml:space="preserve">Checking weekly contact is completed on agreed dates/times. </w:t>
      </w:r>
      <w:r w:rsidR="00E80B25">
        <w:t xml:space="preserve"> </w:t>
      </w:r>
    </w:p>
    <w:p w:rsidR="00E80B25" w:rsidRDefault="008E3044">
      <w:pPr>
        <w:pStyle w:val="Heading3"/>
        <w:tabs>
          <w:tab w:val="clear" w:pos="1800"/>
          <w:tab w:val="num" w:pos="1418"/>
        </w:tabs>
        <w:spacing w:after="120"/>
        <w:ind w:left="1418" w:hanging="698"/>
      </w:pPr>
      <w:r>
        <w:t>Measuring t</w:t>
      </w:r>
      <w:r w:rsidR="00E80B25">
        <w:t xml:space="preserve">he Potential Providers ability to achieve the requirements </w:t>
      </w:r>
      <w:r>
        <w:t>set out</w:t>
      </w:r>
      <w:r w:rsidR="00E80B25">
        <w:t>.</w:t>
      </w:r>
    </w:p>
    <w:tbl>
      <w:tblPr>
        <w:tblStyle w:val="TableGrid"/>
        <w:tblW w:w="0" w:type="auto"/>
        <w:tblInd w:w="720" w:type="dxa"/>
        <w:tblLook w:val="04A0" w:firstRow="1" w:lastRow="0" w:firstColumn="1" w:lastColumn="0" w:noHBand="0" w:noVBand="1"/>
      </w:tblPr>
      <w:tblGrid>
        <w:gridCol w:w="1048"/>
        <w:gridCol w:w="1771"/>
        <w:gridCol w:w="3827"/>
        <w:gridCol w:w="1653"/>
      </w:tblGrid>
      <w:tr w:rsidR="00B13763" w:rsidTr="00B13763">
        <w:tc>
          <w:tcPr>
            <w:tcW w:w="1048" w:type="dxa"/>
            <w:shd w:val="clear" w:color="auto" w:fill="DBE5F1" w:themeFill="accent1" w:themeFillTint="33"/>
          </w:tcPr>
          <w:p w:rsidR="00B13763" w:rsidRDefault="00B13763" w:rsidP="00B13763">
            <w:pPr>
              <w:pStyle w:val="Heading2"/>
              <w:numPr>
                <w:ilvl w:val="0"/>
                <w:numId w:val="0"/>
              </w:numPr>
              <w:jc w:val="center"/>
              <w:outlineLvl w:val="1"/>
            </w:pPr>
            <w:r>
              <w:t>KPI/SLA</w:t>
            </w:r>
          </w:p>
        </w:tc>
        <w:tc>
          <w:tcPr>
            <w:tcW w:w="1771" w:type="dxa"/>
            <w:shd w:val="clear" w:color="auto" w:fill="DBE5F1" w:themeFill="accent1" w:themeFillTint="33"/>
          </w:tcPr>
          <w:p w:rsidR="00B13763" w:rsidRDefault="00B13763" w:rsidP="00B13763">
            <w:pPr>
              <w:pStyle w:val="Heading2"/>
              <w:numPr>
                <w:ilvl w:val="0"/>
                <w:numId w:val="0"/>
              </w:numPr>
              <w:jc w:val="center"/>
              <w:outlineLvl w:val="1"/>
            </w:pPr>
            <w:r>
              <w:t>Service Area</w:t>
            </w:r>
          </w:p>
        </w:tc>
        <w:tc>
          <w:tcPr>
            <w:tcW w:w="3827" w:type="dxa"/>
            <w:shd w:val="clear" w:color="auto" w:fill="DBE5F1" w:themeFill="accent1" w:themeFillTint="33"/>
          </w:tcPr>
          <w:p w:rsidR="00B13763" w:rsidRDefault="00B13763" w:rsidP="00B13763">
            <w:pPr>
              <w:pStyle w:val="Heading2"/>
              <w:numPr>
                <w:ilvl w:val="0"/>
                <w:numId w:val="0"/>
              </w:numPr>
              <w:jc w:val="center"/>
              <w:outlineLvl w:val="1"/>
            </w:pPr>
            <w:r>
              <w:t>KPI/SLA description</w:t>
            </w:r>
          </w:p>
        </w:tc>
        <w:tc>
          <w:tcPr>
            <w:tcW w:w="1653" w:type="dxa"/>
            <w:shd w:val="clear" w:color="auto" w:fill="DBE5F1" w:themeFill="accent1" w:themeFillTint="33"/>
          </w:tcPr>
          <w:p w:rsidR="00B13763" w:rsidRDefault="00B13763" w:rsidP="00B13763">
            <w:pPr>
              <w:pStyle w:val="Heading2"/>
              <w:numPr>
                <w:ilvl w:val="0"/>
                <w:numId w:val="0"/>
              </w:numPr>
              <w:jc w:val="center"/>
              <w:outlineLvl w:val="1"/>
            </w:pPr>
            <w:r>
              <w:t>Target</w:t>
            </w:r>
          </w:p>
        </w:tc>
      </w:tr>
      <w:tr w:rsidR="00B13763" w:rsidTr="00B13763">
        <w:tc>
          <w:tcPr>
            <w:tcW w:w="1048" w:type="dxa"/>
          </w:tcPr>
          <w:p w:rsidR="00B13763" w:rsidRDefault="00B13763" w:rsidP="00B13763">
            <w:pPr>
              <w:pStyle w:val="Heading2"/>
              <w:numPr>
                <w:ilvl w:val="0"/>
                <w:numId w:val="0"/>
              </w:numPr>
              <w:jc w:val="center"/>
              <w:outlineLvl w:val="1"/>
            </w:pPr>
            <w:r>
              <w:t>1</w:t>
            </w:r>
          </w:p>
        </w:tc>
        <w:tc>
          <w:tcPr>
            <w:tcW w:w="1771" w:type="dxa"/>
          </w:tcPr>
          <w:p w:rsidR="00B13763" w:rsidRPr="000E245F" w:rsidRDefault="007C7787" w:rsidP="007C7787">
            <w:pPr>
              <w:pStyle w:val="Heading2"/>
              <w:numPr>
                <w:ilvl w:val="0"/>
                <w:numId w:val="0"/>
              </w:numPr>
              <w:jc w:val="left"/>
              <w:outlineLvl w:val="1"/>
            </w:pPr>
            <w:r w:rsidRPr="000E245F">
              <w:t>Milestone timescales</w:t>
            </w:r>
          </w:p>
        </w:tc>
        <w:tc>
          <w:tcPr>
            <w:tcW w:w="3827" w:type="dxa"/>
          </w:tcPr>
          <w:p w:rsidR="00B13763" w:rsidRPr="000E245F" w:rsidRDefault="007C7787" w:rsidP="00B13763">
            <w:pPr>
              <w:pStyle w:val="Heading2"/>
              <w:numPr>
                <w:ilvl w:val="0"/>
                <w:numId w:val="0"/>
              </w:numPr>
              <w:jc w:val="left"/>
              <w:outlineLvl w:val="1"/>
            </w:pPr>
            <w:r w:rsidRPr="000E245F">
              <w:t>Milestones achieved on pre agreed date.</w:t>
            </w:r>
          </w:p>
        </w:tc>
        <w:tc>
          <w:tcPr>
            <w:tcW w:w="1653" w:type="dxa"/>
          </w:tcPr>
          <w:p w:rsidR="00B13763" w:rsidRPr="000E245F" w:rsidRDefault="007C7787" w:rsidP="00B13763">
            <w:pPr>
              <w:pStyle w:val="Heading2"/>
              <w:numPr>
                <w:ilvl w:val="0"/>
                <w:numId w:val="0"/>
              </w:numPr>
              <w:outlineLvl w:val="1"/>
            </w:pPr>
            <w:r w:rsidRPr="000E245F">
              <w:t>100%</w:t>
            </w:r>
          </w:p>
        </w:tc>
      </w:tr>
      <w:tr w:rsidR="00B13763" w:rsidTr="00B13763">
        <w:tc>
          <w:tcPr>
            <w:tcW w:w="1048" w:type="dxa"/>
          </w:tcPr>
          <w:p w:rsidR="00B13763" w:rsidRDefault="00B13763" w:rsidP="00B13763">
            <w:pPr>
              <w:pStyle w:val="Heading2"/>
              <w:numPr>
                <w:ilvl w:val="0"/>
                <w:numId w:val="0"/>
              </w:numPr>
              <w:jc w:val="center"/>
              <w:outlineLvl w:val="1"/>
            </w:pPr>
            <w:r>
              <w:t>2</w:t>
            </w:r>
          </w:p>
        </w:tc>
        <w:tc>
          <w:tcPr>
            <w:tcW w:w="1771" w:type="dxa"/>
          </w:tcPr>
          <w:p w:rsidR="00B13763" w:rsidRDefault="000E245F" w:rsidP="000E245F">
            <w:pPr>
              <w:pStyle w:val="Heading2"/>
              <w:numPr>
                <w:ilvl w:val="0"/>
                <w:numId w:val="0"/>
              </w:numPr>
              <w:outlineLvl w:val="1"/>
            </w:pPr>
            <w:r>
              <w:t>Weekly updates</w:t>
            </w:r>
          </w:p>
        </w:tc>
        <w:tc>
          <w:tcPr>
            <w:tcW w:w="3827" w:type="dxa"/>
          </w:tcPr>
          <w:p w:rsidR="00B13763" w:rsidRDefault="000E245F" w:rsidP="00B13763">
            <w:pPr>
              <w:pStyle w:val="Heading2"/>
              <w:numPr>
                <w:ilvl w:val="0"/>
                <w:numId w:val="0"/>
              </w:numPr>
              <w:outlineLvl w:val="1"/>
            </w:pPr>
            <w:r>
              <w:t>Weekly contact with DCLG to update of progress.</w:t>
            </w:r>
          </w:p>
        </w:tc>
        <w:tc>
          <w:tcPr>
            <w:tcW w:w="1653" w:type="dxa"/>
          </w:tcPr>
          <w:p w:rsidR="00B13763" w:rsidRDefault="000E245F" w:rsidP="00B13763">
            <w:pPr>
              <w:pStyle w:val="Heading2"/>
              <w:numPr>
                <w:ilvl w:val="0"/>
                <w:numId w:val="0"/>
              </w:numPr>
              <w:outlineLvl w:val="1"/>
            </w:pPr>
            <w:r>
              <w:t>100%</w:t>
            </w:r>
          </w:p>
        </w:tc>
      </w:tr>
      <w:tr w:rsidR="00B13763" w:rsidTr="00B13763">
        <w:tc>
          <w:tcPr>
            <w:tcW w:w="1048" w:type="dxa"/>
          </w:tcPr>
          <w:p w:rsidR="00B13763" w:rsidRDefault="00B13763" w:rsidP="00B13763">
            <w:pPr>
              <w:pStyle w:val="Heading2"/>
              <w:numPr>
                <w:ilvl w:val="0"/>
                <w:numId w:val="0"/>
              </w:numPr>
              <w:jc w:val="center"/>
              <w:outlineLvl w:val="1"/>
            </w:pPr>
            <w:r>
              <w:t>3</w:t>
            </w:r>
          </w:p>
        </w:tc>
        <w:tc>
          <w:tcPr>
            <w:tcW w:w="1771" w:type="dxa"/>
          </w:tcPr>
          <w:p w:rsidR="00B13763" w:rsidRDefault="007C7787" w:rsidP="00B13763">
            <w:pPr>
              <w:pStyle w:val="Heading2"/>
              <w:numPr>
                <w:ilvl w:val="0"/>
                <w:numId w:val="0"/>
              </w:numPr>
              <w:outlineLvl w:val="1"/>
            </w:pPr>
            <w:r>
              <w:t>Requirements met</w:t>
            </w:r>
          </w:p>
        </w:tc>
        <w:tc>
          <w:tcPr>
            <w:tcW w:w="3827" w:type="dxa"/>
          </w:tcPr>
          <w:p w:rsidR="00B13763" w:rsidRDefault="007C7787" w:rsidP="007C7787">
            <w:pPr>
              <w:pStyle w:val="Heading2"/>
              <w:numPr>
                <w:ilvl w:val="0"/>
                <w:numId w:val="0"/>
              </w:numPr>
              <w:outlineLvl w:val="1"/>
            </w:pPr>
            <w:r>
              <w:t xml:space="preserve">The Requirements of the deep dive are achieved. </w:t>
            </w:r>
          </w:p>
        </w:tc>
        <w:tc>
          <w:tcPr>
            <w:tcW w:w="1653" w:type="dxa"/>
          </w:tcPr>
          <w:p w:rsidR="00B13763" w:rsidRDefault="007C7787" w:rsidP="00B13763">
            <w:pPr>
              <w:pStyle w:val="Heading2"/>
              <w:numPr>
                <w:ilvl w:val="0"/>
                <w:numId w:val="0"/>
              </w:numPr>
              <w:outlineLvl w:val="1"/>
            </w:pPr>
            <w:r>
              <w:t>100%</w:t>
            </w:r>
          </w:p>
        </w:tc>
      </w:tr>
    </w:tbl>
    <w:p w:rsidR="003F626A" w:rsidRDefault="003F626A" w:rsidP="003F626A">
      <w:pPr>
        <w:pStyle w:val="Heading2"/>
        <w:numPr>
          <w:ilvl w:val="0"/>
          <w:numId w:val="0"/>
        </w:numPr>
        <w:ind w:left="720"/>
      </w:pPr>
    </w:p>
    <w:p w:rsidR="00671798" w:rsidRDefault="00FE18AC">
      <w:pPr>
        <w:pStyle w:val="Heading1"/>
        <w:spacing w:after="120"/>
      </w:pPr>
      <w:bookmarkStart w:id="37" w:name="_Toc368573040"/>
      <w:bookmarkStart w:id="38" w:name="_Toc493148666"/>
      <w:r>
        <w:t>Security requirements</w:t>
      </w:r>
      <w:bookmarkEnd w:id="37"/>
      <w:bookmarkEnd w:id="38"/>
    </w:p>
    <w:p w:rsidR="00611ED4" w:rsidRPr="003957B5" w:rsidRDefault="00611ED4">
      <w:pPr>
        <w:pStyle w:val="Heading2"/>
        <w:tabs>
          <w:tab w:val="clear" w:pos="720"/>
          <w:tab w:val="num" w:pos="709"/>
        </w:tabs>
        <w:spacing w:after="120"/>
        <w:ind w:left="709" w:hanging="709"/>
      </w:pPr>
      <w:r w:rsidRPr="003957B5">
        <w:t>When visiting 2 Marsham Street</w:t>
      </w:r>
      <w:r w:rsidR="003957B5" w:rsidRPr="003957B5">
        <w:t xml:space="preserve"> </w:t>
      </w:r>
      <w:r w:rsidR="00425B1F">
        <w:t>t</w:t>
      </w:r>
      <w:r w:rsidR="003957B5" w:rsidRPr="003957B5">
        <w:t>he Potential Provider will need to</w:t>
      </w:r>
      <w:r w:rsidRPr="003957B5">
        <w:t>:</w:t>
      </w:r>
    </w:p>
    <w:p w:rsidR="00611ED4" w:rsidRPr="003957B5" w:rsidRDefault="003957B5" w:rsidP="003957B5">
      <w:pPr>
        <w:pStyle w:val="Heading3"/>
      </w:pPr>
      <w:r w:rsidRPr="003957B5">
        <w:t>A</w:t>
      </w:r>
      <w:r w:rsidR="00611ED4" w:rsidRPr="003957B5">
        <w:t xml:space="preserve">dvise DCLG </w:t>
      </w:r>
      <w:r w:rsidRPr="003957B5">
        <w:t>at least</w:t>
      </w:r>
      <w:r w:rsidR="00611ED4" w:rsidRPr="003957B5">
        <w:t xml:space="preserve"> 24 hours in advance</w:t>
      </w:r>
      <w:r w:rsidRPr="003957B5">
        <w:t>.</w:t>
      </w:r>
    </w:p>
    <w:p w:rsidR="00611ED4" w:rsidRPr="003957B5" w:rsidRDefault="003957B5" w:rsidP="003957B5">
      <w:pPr>
        <w:pStyle w:val="Heading3"/>
      </w:pPr>
      <w:r w:rsidRPr="003957B5">
        <w:t>Have photographic ID with them at all times.</w:t>
      </w:r>
    </w:p>
    <w:p w:rsidR="003957B5" w:rsidRPr="003957B5" w:rsidRDefault="003957B5" w:rsidP="003957B5">
      <w:pPr>
        <w:pStyle w:val="Heading3"/>
      </w:pPr>
      <w:r w:rsidRPr="003957B5">
        <w:t>Get searched by security every time they enter the building.</w:t>
      </w:r>
    </w:p>
    <w:p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39" w:name="_Toc368573041"/>
      <w:bookmarkStart w:id="40" w:name="_Toc493148667"/>
      <w:r>
        <w:rPr>
          <w:rFonts w:cs="Arial"/>
          <w:szCs w:val="22"/>
        </w:rPr>
        <w:t>intellectual property rights (ipr)</w:t>
      </w:r>
      <w:bookmarkEnd w:id="39"/>
      <w:bookmarkEnd w:id="40"/>
    </w:p>
    <w:p w:rsidR="00804ADA" w:rsidRPr="008947D9" w:rsidRDefault="00F8750E" w:rsidP="00804ADA">
      <w:pPr>
        <w:pStyle w:val="Heading2"/>
      </w:pPr>
      <w:r>
        <w:t>Section 9 of the Terms and Conditions shall apply.</w:t>
      </w:r>
    </w:p>
    <w:p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493148668"/>
      <w:bookmarkStart w:id="42" w:name="_Toc368573042"/>
      <w:r w:rsidRPr="00874062">
        <w:rPr>
          <w:rFonts w:cs="Arial"/>
          <w:szCs w:val="22"/>
        </w:rPr>
        <w:t>payment</w:t>
      </w:r>
      <w:bookmarkEnd w:id="41"/>
    </w:p>
    <w:p w:rsidR="0036555C" w:rsidRPr="004E1217" w:rsidRDefault="0036555C" w:rsidP="0081061A">
      <w:pPr>
        <w:pStyle w:val="Heading2"/>
        <w:rPr>
          <w:szCs w:val="22"/>
        </w:rPr>
      </w:pPr>
      <w:r w:rsidRPr="00771A6C">
        <w:rPr>
          <w:rFonts w:cs="Arial"/>
          <w:color w:val="000000"/>
          <w:szCs w:val="22"/>
          <w:shd w:val="clear" w:color="auto" w:fill="FFFFFF"/>
        </w:rPr>
        <w:t xml:space="preserve">Before payment can be considered, each invoice must include a detailed elemental breakdown of work completed and the associated costs. </w:t>
      </w:r>
    </w:p>
    <w:p w:rsidR="004E1217" w:rsidRPr="004E1217" w:rsidRDefault="004E1217" w:rsidP="004E1217">
      <w:pPr>
        <w:pStyle w:val="Heading2"/>
        <w:spacing w:after="120"/>
        <w:ind w:left="709" w:hanging="709"/>
      </w:pPr>
      <w:r>
        <w:t>Payment will be made on completion of the Deep Dive, subject to requirements being met, and DCLG sign off.</w:t>
      </w:r>
    </w:p>
    <w:p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3" w:name="_Toc493148669"/>
      <w:r>
        <w:rPr>
          <w:rFonts w:cs="Arial"/>
          <w:szCs w:val="22"/>
        </w:rPr>
        <w:t>additional information</w:t>
      </w:r>
      <w:bookmarkEnd w:id="42"/>
      <w:bookmarkEnd w:id="43"/>
      <w:r>
        <w:rPr>
          <w:rFonts w:cs="Arial"/>
          <w:szCs w:val="22"/>
        </w:rPr>
        <w:t xml:space="preserve"> </w:t>
      </w:r>
    </w:p>
    <w:p w:rsidR="00E94E03" w:rsidRDefault="00E94E03" w:rsidP="00E94E03">
      <w:pPr>
        <w:pStyle w:val="Heading2"/>
      </w:pPr>
      <w:bookmarkStart w:id="44" w:name="_Toc368573043"/>
      <w:bookmarkEnd w:id="20"/>
      <w:r>
        <w:t>The findings from the deep dive will remain confidential for internal use within DCLG only, with no intentions of being published.</w:t>
      </w:r>
    </w:p>
    <w:p w:rsidR="00671798" w:rsidRPr="0095451E" w:rsidRDefault="00FE18AC">
      <w:pPr>
        <w:pStyle w:val="Heading1"/>
        <w:spacing w:after="120"/>
      </w:pPr>
      <w:bookmarkStart w:id="45" w:name="_Toc493148670"/>
      <w:r w:rsidRPr="0095451E">
        <w:lastRenderedPageBreak/>
        <w:t>Location</w:t>
      </w:r>
      <w:bookmarkEnd w:id="44"/>
      <w:bookmarkEnd w:id="45"/>
      <w:r w:rsidRPr="0095451E">
        <w:t xml:space="preserve"> </w:t>
      </w:r>
    </w:p>
    <w:p w:rsidR="000500FF" w:rsidRPr="0095451E" w:rsidRDefault="00FE18AC" w:rsidP="00332ADB">
      <w:pPr>
        <w:pStyle w:val="Heading2"/>
        <w:spacing w:after="120"/>
        <w:ind w:left="709" w:hanging="709"/>
      </w:pPr>
      <w:r w:rsidRPr="0095451E">
        <w:t>The</w:t>
      </w:r>
      <w:r w:rsidR="004E1217">
        <w:t xml:space="preserve"> base</w:t>
      </w:r>
      <w:r w:rsidRPr="0095451E">
        <w:t xml:space="preserve"> location of the</w:t>
      </w:r>
      <w:r w:rsidR="004E1217">
        <w:t xml:space="preserve"> s</w:t>
      </w:r>
      <w:r w:rsidR="005F1DC1" w:rsidRPr="0095451E">
        <w:t>ervices</w:t>
      </w:r>
      <w:r w:rsidR="004E1217">
        <w:t xml:space="preserve"> </w:t>
      </w:r>
      <w:r w:rsidR="007F1157">
        <w:t>will be 2 Marsham Street, London. However, the Potential Provider will be expected to work at their premises. There is potential for ad hoc travel to Housing Associations’ pre</w:t>
      </w:r>
      <w:r w:rsidR="004A68D9">
        <w:t xml:space="preserve">mises during the data gathering, this will be claimed in accordance with DCLG’s </w:t>
      </w:r>
      <w:r w:rsidR="000500FF">
        <w:t xml:space="preserve">T&amp;S </w:t>
      </w:r>
      <w:r w:rsidR="004A68D9">
        <w:t>policy.</w:t>
      </w:r>
    </w:p>
    <w:p w:rsidR="00926958" w:rsidRPr="00A74FE3" w:rsidRDefault="00926958" w:rsidP="00AF2BB0">
      <w:pPr>
        <w:tabs>
          <w:tab w:val="left" w:pos="1392"/>
        </w:tabs>
        <w:rPr>
          <w:rFonts w:eastAsia="STZhongsong"/>
          <w:szCs w:val="20"/>
        </w:rPr>
      </w:pPr>
    </w:p>
    <w:sectPr w:rsidR="00926958" w:rsidRPr="00A74FE3" w:rsidSect="00985B4D">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A84" w:rsidRDefault="002A4A84">
      <w:pPr>
        <w:spacing w:line="20" w:lineRule="exact"/>
      </w:pPr>
    </w:p>
  </w:endnote>
  <w:endnote w:type="continuationSeparator" w:id="0">
    <w:p w:rsidR="002A4A84" w:rsidRDefault="002A4A84">
      <w:pPr>
        <w:spacing w:line="20" w:lineRule="exact"/>
      </w:pPr>
      <w:r>
        <w:t xml:space="preserve"> </w:t>
      </w:r>
    </w:p>
  </w:endnote>
  <w:endnote w:type="continuationNotice" w:id="1">
    <w:p w:rsidR="002A4A84" w:rsidRDefault="002A4A84">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97" w:rsidRDefault="00581A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rsidR="00E509E5" w:rsidRDefault="00E509E5"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57AD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rsidR="00E509E5" w:rsidRPr="00985B4D" w:rsidRDefault="00E509E5" w:rsidP="00985B4D">
        <w:pPr>
          <w:pStyle w:val="Footer"/>
          <w:jc w:val="center"/>
          <w:rPr>
            <w:sz w:val="20"/>
            <w:szCs w:val="20"/>
          </w:rPr>
        </w:pPr>
        <w:r w:rsidRPr="00985B4D">
          <w:rPr>
            <w:sz w:val="20"/>
            <w:szCs w:val="20"/>
          </w:rPr>
          <w:t>OFFICIAL</w:t>
        </w:r>
      </w:p>
      <w:p w:rsidR="00E509E5" w:rsidRPr="00985B4D" w:rsidRDefault="00E509E5">
        <w:pPr>
          <w:pStyle w:val="Footer"/>
          <w:rPr>
            <w:sz w:val="20"/>
            <w:szCs w:val="20"/>
          </w:rPr>
        </w:pPr>
        <w:r w:rsidRPr="00985B4D">
          <w:rPr>
            <w:sz w:val="20"/>
            <w:szCs w:val="20"/>
          </w:rPr>
          <w:t>Appendix B – Statement of Requirements</w:t>
        </w:r>
      </w:p>
      <w:p w:rsidR="00E509E5" w:rsidRDefault="00E509E5">
        <w:pPr>
          <w:pStyle w:val="Footer"/>
          <w:rPr>
            <w:sz w:val="20"/>
            <w:szCs w:val="20"/>
          </w:rPr>
        </w:pPr>
        <w:r>
          <w:rPr>
            <w:sz w:val="20"/>
            <w:szCs w:val="20"/>
          </w:rPr>
          <w:t>Penny Haywood</w:t>
        </w:r>
      </w:p>
      <w:p w:rsidR="00E509E5" w:rsidRPr="00985B4D" w:rsidRDefault="00E509E5">
        <w:pPr>
          <w:pStyle w:val="Footer"/>
          <w:rPr>
            <w:sz w:val="20"/>
            <w:szCs w:val="20"/>
          </w:rPr>
        </w:pPr>
        <w:r>
          <w:rPr>
            <w:rFonts w:cs="Arial"/>
            <w:color w:val="222222"/>
            <w:sz w:val="19"/>
            <w:szCs w:val="19"/>
            <w:shd w:val="clear" w:color="auto" w:fill="FFFFFF"/>
          </w:rPr>
          <w:t>© Crown copyright 2016</w:t>
        </w:r>
      </w:p>
      <w:p w:rsidR="00E509E5" w:rsidRPr="00985B4D" w:rsidRDefault="00E509E5" w:rsidP="00985B4D">
        <w:pPr>
          <w:pStyle w:val="Footer"/>
          <w:jc w:val="right"/>
          <w:rPr>
            <w:sz w:val="20"/>
            <w:szCs w:val="20"/>
          </w:rPr>
        </w:pPr>
        <w:r>
          <w:rPr>
            <w:sz w:val="20"/>
            <w:szCs w:val="20"/>
          </w:rPr>
          <w:t>V1.0 06/09/17</w:t>
        </w:r>
      </w:p>
      <w:p w:rsidR="00E509E5" w:rsidRDefault="00E509E5"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B3395F">
          <w:rPr>
            <w:noProof/>
            <w:sz w:val="20"/>
            <w:szCs w:val="20"/>
          </w:rPr>
          <w:t>2</w:t>
        </w:r>
        <w:r w:rsidRPr="00985B4D">
          <w:rPr>
            <w:noProof/>
            <w:sz w:val="20"/>
            <w:szCs w:val="20"/>
          </w:rPr>
          <w:fldChar w:fldCharType="end"/>
        </w:r>
      </w:p>
    </w:sdtContent>
  </w:sdt>
  <w:p w:rsidR="00E509E5" w:rsidRPr="002933F8" w:rsidRDefault="00E509E5" w:rsidP="002933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97" w:rsidRDefault="00581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A84" w:rsidRDefault="002A4A84">
      <w:r>
        <w:separator/>
      </w:r>
    </w:p>
  </w:footnote>
  <w:footnote w:type="continuationSeparator" w:id="0">
    <w:p w:rsidR="002A4A84" w:rsidRDefault="002A4A84">
      <w:r>
        <w:continuationSeparator/>
      </w:r>
    </w:p>
  </w:footnote>
  <w:footnote w:type="continuationNotice" w:id="1">
    <w:p w:rsidR="002A4A84" w:rsidRDefault="002A4A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97" w:rsidRDefault="00581A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9E5" w:rsidRPr="00F44D62" w:rsidRDefault="00E509E5"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rsidR="00E509E5" w:rsidRDefault="00E509E5"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rsidR="00E509E5" w:rsidRDefault="00E509E5" w:rsidP="005334EA">
    <w:pPr>
      <w:tabs>
        <w:tab w:val="center" w:pos="4153"/>
        <w:tab w:val="right" w:pos="8306"/>
      </w:tabs>
      <w:ind w:left="720"/>
      <w:jc w:val="center"/>
      <w:rPr>
        <w:rFonts w:cs="Arial"/>
        <w:sz w:val="20"/>
        <w:szCs w:val="20"/>
        <w:highlight w:val="yellow"/>
      </w:rPr>
    </w:pPr>
    <w:r w:rsidRPr="0095451E">
      <w:rPr>
        <w:rFonts w:cs="Arial"/>
        <w:sz w:val="20"/>
        <w:szCs w:val="20"/>
      </w:rPr>
      <w:t>Deep Dive into the Affordable Homes Programme 2016-21</w:t>
    </w:r>
  </w:p>
  <w:p w:rsidR="00E509E5" w:rsidRPr="0095451E" w:rsidRDefault="00E509E5" w:rsidP="00F946AC">
    <w:pPr>
      <w:pStyle w:val="Header"/>
      <w:jc w:val="center"/>
      <w:rPr>
        <w:rFonts w:cs="Arial"/>
        <w:sz w:val="20"/>
        <w:szCs w:val="20"/>
      </w:rPr>
    </w:pPr>
    <w:r>
      <w:rPr>
        <w:rFonts w:cs="Arial"/>
        <w:sz w:val="20"/>
        <w:szCs w:val="20"/>
      </w:rPr>
      <w:t xml:space="preserve">Contract Reference: </w:t>
    </w:r>
    <w:r w:rsidRPr="0095451E">
      <w:rPr>
        <w:rFonts w:cs="Arial"/>
        <w:sz w:val="20"/>
        <w:szCs w:val="20"/>
      </w:rPr>
      <w:t>CCCC17A86</w:t>
    </w:r>
  </w:p>
  <w:p w:rsidR="00E509E5" w:rsidRPr="00074357" w:rsidRDefault="00E509E5"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43B5B0"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97" w:rsidRDefault="00581A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C75B7E"/>
    <w:multiLevelType w:val="hybridMultilevel"/>
    <w:tmpl w:val="82D227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01872E1"/>
    <w:multiLevelType w:val="hybridMultilevel"/>
    <w:tmpl w:val="E0ACB9D2"/>
    <w:lvl w:ilvl="0" w:tplc="483C71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99D19BA"/>
    <w:multiLevelType w:val="hybridMultilevel"/>
    <w:tmpl w:val="70F4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4C5C8A"/>
    <w:multiLevelType w:val="hybridMultilevel"/>
    <w:tmpl w:val="7A1E4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71E413C"/>
    <w:multiLevelType w:val="hybridMultilevel"/>
    <w:tmpl w:val="C91E2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B6C2C5C"/>
    <w:multiLevelType w:val="multilevel"/>
    <w:tmpl w:val="1332CCD4"/>
    <w:name w:val="Plato Schedule Numbering List"/>
    <w:numStyleLink w:val="111111"/>
  </w:abstractNum>
  <w:abstractNum w:abstractNumId="28" w15:restartNumberingAfterBreak="0">
    <w:nsid w:val="50965CCA"/>
    <w:multiLevelType w:val="multilevel"/>
    <w:tmpl w:val="1332CCD4"/>
    <w:name w:val="Appendicies Heading List"/>
    <w:numStyleLink w:val="111111"/>
  </w:abstractNum>
  <w:abstractNum w:abstractNumId="29"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6" w15:restartNumberingAfterBreak="0">
    <w:nsid w:val="78250274"/>
    <w:multiLevelType w:val="hybridMultilevel"/>
    <w:tmpl w:val="AAC25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9"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9"/>
  </w:num>
  <w:num w:numId="3">
    <w:abstractNumId w:val="18"/>
  </w:num>
  <w:num w:numId="4">
    <w:abstractNumId w:val="19"/>
  </w:num>
  <w:num w:numId="5">
    <w:abstractNumId w:val="5"/>
  </w:num>
  <w:num w:numId="6">
    <w:abstractNumId w:val="25"/>
  </w:num>
  <w:num w:numId="7">
    <w:abstractNumId w:val="21"/>
  </w:num>
  <w:num w:numId="8">
    <w:abstractNumId w:val="15"/>
  </w:num>
  <w:num w:numId="9">
    <w:abstractNumId w:val="4"/>
  </w:num>
  <w:num w:numId="10">
    <w:abstractNumId w:val="3"/>
  </w:num>
  <w:num w:numId="11">
    <w:abstractNumId w:val="2"/>
  </w:num>
  <w:num w:numId="12">
    <w:abstractNumId w:val="1"/>
  </w:num>
  <w:num w:numId="13">
    <w:abstractNumId w:val="0"/>
  </w:num>
  <w:num w:numId="14">
    <w:abstractNumId w:val="38"/>
  </w:num>
  <w:num w:numId="15">
    <w:abstractNumId w:val="10"/>
  </w:num>
  <w:num w:numId="16">
    <w:abstractNumId w:val="33"/>
  </w:num>
  <w:num w:numId="17">
    <w:abstractNumId w:val="9"/>
  </w:num>
  <w:num w:numId="18">
    <w:abstractNumId w:val="23"/>
  </w:num>
  <w:num w:numId="19">
    <w:abstractNumId w:val="20"/>
  </w:num>
  <w:num w:numId="20">
    <w:abstractNumId w:val="31"/>
  </w:num>
  <w:num w:numId="21">
    <w:abstractNumId w:val="14"/>
  </w:num>
  <w:num w:numId="22">
    <w:abstractNumId w:val="35"/>
  </w:num>
  <w:num w:numId="23">
    <w:abstractNumId w:val="26"/>
  </w:num>
  <w:num w:numId="24">
    <w:abstractNumId w:val="12"/>
  </w:num>
  <w:num w:numId="25">
    <w:abstractNumId w:val="34"/>
  </w:num>
  <w:num w:numId="26">
    <w:abstractNumId w:val="7"/>
  </w:num>
  <w:num w:numId="27">
    <w:abstractNumId w:val="30"/>
  </w:num>
  <w:num w:numId="28">
    <w:abstractNumId w:val="24"/>
  </w:num>
  <w:num w:numId="29">
    <w:abstractNumId w:val="37"/>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9"/>
  </w:num>
  <w:num w:numId="33">
    <w:abstractNumId w:val="36"/>
  </w:num>
  <w:num w:numId="34">
    <w:abstractNumId w:val="13"/>
  </w:num>
  <w:num w:numId="35">
    <w:abstractNumId w:val="22"/>
  </w:num>
  <w:num w:numId="36">
    <w:abstractNumId w:val="17"/>
  </w:num>
  <w:num w:numId="37">
    <w:abstractNumId w:val="16"/>
  </w:num>
  <w:num w:numId="38">
    <w:abstractNumId w:val="29"/>
  </w:num>
  <w:num w:numId="39">
    <w:abstractNumId w:val="8"/>
  </w:num>
  <w:num w:numId="40">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1854"/>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00FF"/>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012F"/>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1D0A"/>
    <w:rsid w:val="000C2484"/>
    <w:rsid w:val="000C2E05"/>
    <w:rsid w:val="000C57D9"/>
    <w:rsid w:val="000C68BF"/>
    <w:rsid w:val="000C6BD6"/>
    <w:rsid w:val="000C7C2B"/>
    <w:rsid w:val="000D3719"/>
    <w:rsid w:val="000D4605"/>
    <w:rsid w:val="000E031B"/>
    <w:rsid w:val="000E245F"/>
    <w:rsid w:val="000E4C53"/>
    <w:rsid w:val="000E6052"/>
    <w:rsid w:val="000F232D"/>
    <w:rsid w:val="000F3348"/>
    <w:rsid w:val="000F3500"/>
    <w:rsid w:val="000F3E1D"/>
    <w:rsid w:val="000F52E6"/>
    <w:rsid w:val="00100B77"/>
    <w:rsid w:val="00100EEE"/>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26BC3"/>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4769"/>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96A0A"/>
    <w:rsid w:val="001A1780"/>
    <w:rsid w:val="001A3C4D"/>
    <w:rsid w:val="001A4E4F"/>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585"/>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0F7D"/>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3EC6"/>
    <w:rsid w:val="002649FC"/>
    <w:rsid w:val="002679AF"/>
    <w:rsid w:val="0027062E"/>
    <w:rsid w:val="002723EE"/>
    <w:rsid w:val="00273E03"/>
    <w:rsid w:val="00274391"/>
    <w:rsid w:val="00274416"/>
    <w:rsid w:val="00277524"/>
    <w:rsid w:val="00280B5B"/>
    <w:rsid w:val="002826D7"/>
    <w:rsid w:val="002848C1"/>
    <w:rsid w:val="0028659D"/>
    <w:rsid w:val="0028697F"/>
    <w:rsid w:val="00286F62"/>
    <w:rsid w:val="002876FE"/>
    <w:rsid w:val="00287C83"/>
    <w:rsid w:val="00291584"/>
    <w:rsid w:val="002933F8"/>
    <w:rsid w:val="00297D77"/>
    <w:rsid w:val="002A08BF"/>
    <w:rsid w:val="002A4A84"/>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2065B"/>
    <w:rsid w:val="00323541"/>
    <w:rsid w:val="00323EAA"/>
    <w:rsid w:val="003243F8"/>
    <w:rsid w:val="00330C5C"/>
    <w:rsid w:val="00331523"/>
    <w:rsid w:val="003316AA"/>
    <w:rsid w:val="00332ADB"/>
    <w:rsid w:val="00333D28"/>
    <w:rsid w:val="003341DC"/>
    <w:rsid w:val="00336059"/>
    <w:rsid w:val="00340905"/>
    <w:rsid w:val="0034369B"/>
    <w:rsid w:val="003438D3"/>
    <w:rsid w:val="00343C78"/>
    <w:rsid w:val="003448E1"/>
    <w:rsid w:val="00346A23"/>
    <w:rsid w:val="00347685"/>
    <w:rsid w:val="00347DB3"/>
    <w:rsid w:val="003507DC"/>
    <w:rsid w:val="00352261"/>
    <w:rsid w:val="00353191"/>
    <w:rsid w:val="00353EC0"/>
    <w:rsid w:val="003550DB"/>
    <w:rsid w:val="003561BE"/>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4EB"/>
    <w:rsid w:val="003908EB"/>
    <w:rsid w:val="00390BC3"/>
    <w:rsid w:val="0039193D"/>
    <w:rsid w:val="003957B5"/>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5F9"/>
    <w:rsid w:val="00404F9C"/>
    <w:rsid w:val="0040508D"/>
    <w:rsid w:val="00405A77"/>
    <w:rsid w:val="004126C0"/>
    <w:rsid w:val="004128DA"/>
    <w:rsid w:val="00413A43"/>
    <w:rsid w:val="004147A7"/>
    <w:rsid w:val="00415016"/>
    <w:rsid w:val="0041576D"/>
    <w:rsid w:val="00416045"/>
    <w:rsid w:val="0042185A"/>
    <w:rsid w:val="00422823"/>
    <w:rsid w:val="00425B1F"/>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2678"/>
    <w:rsid w:val="0049625F"/>
    <w:rsid w:val="00497BDF"/>
    <w:rsid w:val="00497D0E"/>
    <w:rsid w:val="004A225E"/>
    <w:rsid w:val="004A2D0B"/>
    <w:rsid w:val="004A2E7B"/>
    <w:rsid w:val="004A31F5"/>
    <w:rsid w:val="004A4371"/>
    <w:rsid w:val="004A48ED"/>
    <w:rsid w:val="004A625B"/>
    <w:rsid w:val="004A68D9"/>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217"/>
    <w:rsid w:val="004E1F9F"/>
    <w:rsid w:val="004E445C"/>
    <w:rsid w:val="004E6FB0"/>
    <w:rsid w:val="004E70A8"/>
    <w:rsid w:val="004E78BC"/>
    <w:rsid w:val="004F2229"/>
    <w:rsid w:val="004F2D68"/>
    <w:rsid w:val="004F4E7F"/>
    <w:rsid w:val="004F624A"/>
    <w:rsid w:val="004F646A"/>
    <w:rsid w:val="004F6B43"/>
    <w:rsid w:val="004F6EE0"/>
    <w:rsid w:val="004F6F02"/>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1A97"/>
    <w:rsid w:val="005821EF"/>
    <w:rsid w:val="0058297A"/>
    <w:rsid w:val="0058409F"/>
    <w:rsid w:val="00586640"/>
    <w:rsid w:val="00586CC2"/>
    <w:rsid w:val="005907CE"/>
    <w:rsid w:val="00590FFC"/>
    <w:rsid w:val="005924FF"/>
    <w:rsid w:val="00593CFF"/>
    <w:rsid w:val="00597B02"/>
    <w:rsid w:val="005A137B"/>
    <w:rsid w:val="005A1F60"/>
    <w:rsid w:val="005A257C"/>
    <w:rsid w:val="005A37F8"/>
    <w:rsid w:val="005A49EA"/>
    <w:rsid w:val="005B228D"/>
    <w:rsid w:val="005B28B1"/>
    <w:rsid w:val="005B2BA5"/>
    <w:rsid w:val="005B466A"/>
    <w:rsid w:val="005B4A89"/>
    <w:rsid w:val="005C0826"/>
    <w:rsid w:val="005C0F60"/>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1DC1"/>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1ED4"/>
    <w:rsid w:val="006121F2"/>
    <w:rsid w:val="00613C61"/>
    <w:rsid w:val="00616BD2"/>
    <w:rsid w:val="00617027"/>
    <w:rsid w:val="00620927"/>
    <w:rsid w:val="006224A9"/>
    <w:rsid w:val="006231D2"/>
    <w:rsid w:val="00627B4B"/>
    <w:rsid w:val="00627D1B"/>
    <w:rsid w:val="0063134B"/>
    <w:rsid w:val="00631AE2"/>
    <w:rsid w:val="00632838"/>
    <w:rsid w:val="00635B31"/>
    <w:rsid w:val="00636209"/>
    <w:rsid w:val="00636E2D"/>
    <w:rsid w:val="006373DB"/>
    <w:rsid w:val="00641074"/>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2081F"/>
    <w:rsid w:val="007217F8"/>
    <w:rsid w:val="00724885"/>
    <w:rsid w:val="00733ACF"/>
    <w:rsid w:val="00734F1B"/>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54FB"/>
    <w:rsid w:val="007667BD"/>
    <w:rsid w:val="0077082E"/>
    <w:rsid w:val="00770F75"/>
    <w:rsid w:val="0077138F"/>
    <w:rsid w:val="00771A6C"/>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F41"/>
    <w:rsid w:val="00793CFE"/>
    <w:rsid w:val="007957E7"/>
    <w:rsid w:val="00797375"/>
    <w:rsid w:val="007A0ADF"/>
    <w:rsid w:val="007A1EDB"/>
    <w:rsid w:val="007A4212"/>
    <w:rsid w:val="007A5C92"/>
    <w:rsid w:val="007A6776"/>
    <w:rsid w:val="007A7E53"/>
    <w:rsid w:val="007B22E8"/>
    <w:rsid w:val="007B3FCD"/>
    <w:rsid w:val="007B5019"/>
    <w:rsid w:val="007B52CD"/>
    <w:rsid w:val="007B5732"/>
    <w:rsid w:val="007B7B17"/>
    <w:rsid w:val="007C33F9"/>
    <w:rsid w:val="007C389F"/>
    <w:rsid w:val="007C59BE"/>
    <w:rsid w:val="007C69BD"/>
    <w:rsid w:val="007C7787"/>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1157"/>
    <w:rsid w:val="007F255C"/>
    <w:rsid w:val="007F48F8"/>
    <w:rsid w:val="007F521C"/>
    <w:rsid w:val="007F78F3"/>
    <w:rsid w:val="007F7976"/>
    <w:rsid w:val="00800097"/>
    <w:rsid w:val="0080204D"/>
    <w:rsid w:val="00802735"/>
    <w:rsid w:val="00803909"/>
    <w:rsid w:val="00804229"/>
    <w:rsid w:val="008042A5"/>
    <w:rsid w:val="00804ADA"/>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47D9"/>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867"/>
    <w:rsid w:val="008C6917"/>
    <w:rsid w:val="008C6DD8"/>
    <w:rsid w:val="008C764B"/>
    <w:rsid w:val="008D01FD"/>
    <w:rsid w:val="008D0383"/>
    <w:rsid w:val="008D17C0"/>
    <w:rsid w:val="008D1AFC"/>
    <w:rsid w:val="008D1F53"/>
    <w:rsid w:val="008D28A6"/>
    <w:rsid w:val="008D66D4"/>
    <w:rsid w:val="008D752C"/>
    <w:rsid w:val="008D7794"/>
    <w:rsid w:val="008E0B8A"/>
    <w:rsid w:val="008E3044"/>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347"/>
    <w:rsid w:val="0090447A"/>
    <w:rsid w:val="00905BFB"/>
    <w:rsid w:val="009064EA"/>
    <w:rsid w:val="009066E0"/>
    <w:rsid w:val="009109BF"/>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0047"/>
    <w:rsid w:val="00943815"/>
    <w:rsid w:val="009448C5"/>
    <w:rsid w:val="0094512F"/>
    <w:rsid w:val="00951437"/>
    <w:rsid w:val="00951A54"/>
    <w:rsid w:val="00951FEC"/>
    <w:rsid w:val="00953FE8"/>
    <w:rsid w:val="0095451E"/>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4CD"/>
    <w:rsid w:val="00990E3F"/>
    <w:rsid w:val="00993750"/>
    <w:rsid w:val="00995562"/>
    <w:rsid w:val="00995864"/>
    <w:rsid w:val="0099607C"/>
    <w:rsid w:val="00996944"/>
    <w:rsid w:val="009979AD"/>
    <w:rsid w:val="00997A9A"/>
    <w:rsid w:val="009A041A"/>
    <w:rsid w:val="009A0DA6"/>
    <w:rsid w:val="009A28B5"/>
    <w:rsid w:val="009A37CD"/>
    <w:rsid w:val="009B059A"/>
    <w:rsid w:val="009B0A14"/>
    <w:rsid w:val="009B0A8A"/>
    <w:rsid w:val="009B0E63"/>
    <w:rsid w:val="009C0C3A"/>
    <w:rsid w:val="009C1684"/>
    <w:rsid w:val="009C2B62"/>
    <w:rsid w:val="009C3578"/>
    <w:rsid w:val="009C3DAF"/>
    <w:rsid w:val="009C3E01"/>
    <w:rsid w:val="009C426E"/>
    <w:rsid w:val="009D08E6"/>
    <w:rsid w:val="009D12CD"/>
    <w:rsid w:val="009D4394"/>
    <w:rsid w:val="009D6B82"/>
    <w:rsid w:val="009D737E"/>
    <w:rsid w:val="009D7801"/>
    <w:rsid w:val="009E1BA0"/>
    <w:rsid w:val="009E2289"/>
    <w:rsid w:val="009E22EF"/>
    <w:rsid w:val="009E2B2D"/>
    <w:rsid w:val="009E38B3"/>
    <w:rsid w:val="009E46E8"/>
    <w:rsid w:val="009E7CA6"/>
    <w:rsid w:val="009F0B88"/>
    <w:rsid w:val="009F0C3F"/>
    <w:rsid w:val="009F0C62"/>
    <w:rsid w:val="009F0DAB"/>
    <w:rsid w:val="009F44CA"/>
    <w:rsid w:val="00A04242"/>
    <w:rsid w:val="00A04A9E"/>
    <w:rsid w:val="00A055F2"/>
    <w:rsid w:val="00A061A4"/>
    <w:rsid w:val="00A06EEA"/>
    <w:rsid w:val="00A07797"/>
    <w:rsid w:val="00A07BA2"/>
    <w:rsid w:val="00A11943"/>
    <w:rsid w:val="00A120C0"/>
    <w:rsid w:val="00A126CF"/>
    <w:rsid w:val="00A13177"/>
    <w:rsid w:val="00A150ED"/>
    <w:rsid w:val="00A163C2"/>
    <w:rsid w:val="00A203DA"/>
    <w:rsid w:val="00A2522F"/>
    <w:rsid w:val="00A2559D"/>
    <w:rsid w:val="00A26DB5"/>
    <w:rsid w:val="00A27A35"/>
    <w:rsid w:val="00A3180D"/>
    <w:rsid w:val="00A326AA"/>
    <w:rsid w:val="00A32EAE"/>
    <w:rsid w:val="00A33F0B"/>
    <w:rsid w:val="00A3630D"/>
    <w:rsid w:val="00A363DA"/>
    <w:rsid w:val="00A37384"/>
    <w:rsid w:val="00A37867"/>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0A"/>
    <w:rsid w:val="00AD5F2B"/>
    <w:rsid w:val="00AD6003"/>
    <w:rsid w:val="00AD6C7F"/>
    <w:rsid w:val="00AD7BEE"/>
    <w:rsid w:val="00AE0361"/>
    <w:rsid w:val="00AE169A"/>
    <w:rsid w:val="00AE1C64"/>
    <w:rsid w:val="00AE2742"/>
    <w:rsid w:val="00AE2E10"/>
    <w:rsid w:val="00AE3547"/>
    <w:rsid w:val="00AE36E5"/>
    <w:rsid w:val="00AE3C65"/>
    <w:rsid w:val="00AF0BC0"/>
    <w:rsid w:val="00AF21E6"/>
    <w:rsid w:val="00AF2BB0"/>
    <w:rsid w:val="00AF3284"/>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395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ACD"/>
    <w:rsid w:val="00B64C19"/>
    <w:rsid w:val="00B67970"/>
    <w:rsid w:val="00B67996"/>
    <w:rsid w:val="00B720D3"/>
    <w:rsid w:val="00B7286F"/>
    <w:rsid w:val="00B72C7B"/>
    <w:rsid w:val="00B7431E"/>
    <w:rsid w:val="00B74B25"/>
    <w:rsid w:val="00B74E47"/>
    <w:rsid w:val="00B7653D"/>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1AC7"/>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039"/>
    <w:rsid w:val="00BC44B6"/>
    <w:rsid w:val="00BC79C0"/>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C00B5F"/>
    <w:rsid w:val="00C00D58"/>
    <w:rsid w:val="00C02938"/>
    <w:rsid w:val="00C02A15"/>
    <w:rsid w:val="00C02C4F"/>
    <w:rsid w:val="00C0327F"/>
    <w:rsid w:val="00C0387E"/>
    <w:rsid w:val="00C04E9F"/>
    <w:rsid w:val="00C1747F"/>
    <w:rsid w:val="00C20E79"/>
    <w:rsid w:val="00C226E8"/>
    <w:rsid w:val="00C233B8"/>
    <w:rsid w:val="00C25BEE"/>
    <w:rsid w:val="00C26F1C"/>
    <w:rsid w:val="00C3280C"/>
    <w:rsid w:val="00C356C1"/>
    <w:rsid w:val="00C35E26"/>
    <w:rsid w:val="00C36C28"/>
    <w:rsid w:val="00C3701E"/>
    <w:rsid w:val="00C3753A"/>
    <w:rsid w:val="00C4233A"/>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8B9"/>
    <w:rsid w:val="00C92F49"/>
    <w:rsid w:val="00C944BE"/>
    <w:rsid w:val="00C959C7"/>
    <w:rsid w:val="00CA1C3F"/>
    <w:rsid w:val="00CA2595"/>
    <w:rsid w:val="00CA3052"/>
    <w:rsid w:val="00CA3130"/>
    <w:rsid w:val="00CA3806"/>
    <w:rsid w:val="00CA69F1"/>
    <w:rsid w:val="00CB0B3E"/>
    <w:rsid w:val="00CB14F9"/>
    <w:rsid w:val="00CB1680"/>
    <w:rsid w:val="00CB3318"/>
    <w:rsid w:val="00CB568A"/>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18A0"/>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4FF"/>
    <w:rsid w:val="00D62E47"/>
    <w:rsid w:val="00D70A58"/>
    <w:rsid w:val="00D7211C"/>
    <w:rsid w:val="00D74BF3"/>
    <w:rsid w:val="00D74C4C"/>
    <w:rsid w:val="00D750BD"/>
    <w:rsid w:val="00D75C1C"/>
    <w:rsid w:val="00D76752"/>
    <w:rsid w:val="00D80252"/>
    <w:rsid w:val="00D8251C"/>
    <w:rsid w:val="00D82A24"/>
    <w:rsid w:val="00D82DB4"/>
    <w:rsid w:val="00D83B95"/>
    <w:rsid w:val="00D846CA"/>
    <w:rsid w:val="00D84A3C"/>
    <w:rsid w:val="00D92179"/>
    <w:rsid w:val="00D94567"/>
    <w:rsid w:val="00D957DB"/>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14E9D"/>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509E5"/>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0B25"/>
    <w:rsid w:val="00E83567"/>
    <w:rsid w:val="00E84FBC"/>
    <w:rsid w:val="00E8578F"/>
    <w:rsid w:val="00E876BF"/>
    <w:rsid w:val="00E90397"/>
    <w:rsid w:val="00E90BDB"/>
    <w:rsid w:val="00E9160D"/>
    <w:rsid w:val="00E91B23"/>
    <w:rsid w:val="00E92407"/>
    <w:rsid w:val="00E9262A"/>
    <w:rsid w:val="00E927E9"/>
    <w:rsid w:val="00E94E03"/>
    <w:rsid w:val="00EA0A6E"/>
    <w:rsid w:val="00EA3CBF"/>
    <w:rsid w:val="00EA6A93"/>
    <w:rsid w:val="00EB1275"/>
    <w:rsid w:val="00EB3DA4"/>
    <w:rsid w:val="00EB512C"/>
    <w:rsid w:val="00EB59E2"/>
    <w:rsid w:val="00EB5CE0"/>
    <w:rsid w:val="00EB6DB1"/>
    <w:rsid w:val="00EB6F16"/>
    <w:rsid w:val="00EC0DB8"/>
    <w:rsid w:val="00EC1B98"/>
    <w:rsid w:val="00EC212C"/>
    <w:rsid w:val="00EC3A14"/>
    <w:rsid w:val="00EC6507"/>
    <w:rsid w:val="00ED08E0"/>
    <w:rsid w:val="00ED0A35"/>
    <w:rsid w:val="00ED0E52"/>
    <w:rsid w:val="00ED208B"/>
    <w:rsid w:val="00ED3242"/>
    <w:rsid w:val="00ED3ECF"/>
    <w:rsid w:val="00ED6D4F"/>
    <w:rsid w:val="00EE2602"/>
    <w:rsid w:val="00EE2DA4"/>
    <w:rsid w:val="00EE3490"/>
    <w:rsid w:val="00EE3CAE"/>
    <w:rsid w:val="00EE4132"/>
    <w:rsid w:val="00EE6DC8"/>
    <w:rsid w:val="00EE7827"/>
    <w:rsid w:val="00EF0368"/>
    <w:rsid w:val="00EF1231"/>
    <w:rsid w:val="00EF14C7"/>
    <w:rsid w:val="00EF226E"/>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5C87"/>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6151"/>
    <w:rsid w:val="00F576F1"/>
    <w:rsid w:val="00F62DC9"/>
    <w:rsid w:val="00F6463B"/>
    <w:rsid w:val="00F656D5"/>
    <w:rsid w:val="00F65C1B"/>
    <w:rsid w:val="00F70525"/>
    <w:rsid w:val="00F718BA"/>
    <w:rsid w:val="00F71D56"/>
    <w:rsid w:val="00F722CD"/>
    <w:rsid w:val="00F7526B"/>
    <w:rsid w:val="00F77434"/>
    <w:rsid w:val="00F80355"/>
    <w:rsid w:val="00F8366A"/>
    <w:rsid w:val="00F8387B"/>
    <w:rsid w:val="00F85C06"/>
    <w:rsid w:val="00F8750E"/>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30E"/>
    <w:rsid w:val="00FD4669"/>
    <w:rsid w:val="00FD5489"/>
    <w:rsid w:val="00FD67FF"/>
    <w:rsid w:val="00FD6F08"/>
    <w:rsid w:val="00FE008E"/>
    <w:rsid w:val="00FE038C"/>
    <w:rsid w:val="00FE0D7E"/>
    <w:rsid w:val="00FE18AC"/>
    <w:rsid w:val="00FE2F95"/>
    <w:rsid w:val="00FE591B"/>
    <w:rsid w:val="00FE7B9A"/>
    <w:rsid w:val="00FE7D76"/>
    <w:rsid w:val="00FF4D9A"/>
    <w:rsid w:val="00FF6476"/>
    <w:rsid w:val="00FF6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0B6BE1-BE7F-48B6-9A3F-067FF09B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1499F-5285-4F5F-93ED-8F84807B8EB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C672210-0004-4066-83B8-9FAE49734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2365</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15817</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Erica Smith</cp:lastModifiedBy>
  <cp:revision>2</cp:revision>
  <cp:lastPrinted>2017-09-06T13:40:00Z</cp:lastPrinted>
  <dcterms:created xsi:type="dcterms:W3CDTF">2017-09-22T08:17:00Z</dcterms:created>
  <dcterms:modified xsi:type="dcterms:W3CDTF">2017-09-22T08:17:00Z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docIndexRef">
    <vt:lpwstr>6b7ef0c4-40c3-4cc1-8f4a-6e756e39d1c2</vt:lpwstr>
  </property>
  <property fmtid="{D5CDD505-2E9C-101B-9397-08002B2CF9AE}" pid="8" name="bjSaver">
    <vt:lpwstr>Y1/A7DxeSu1dR0gSUinuwUkwQJ9jikif</vt:lpwstr>
  </property>
  <property fmtid="{D5CDD505-2E9C-101B-9397-08002B2CF9AE}" pid="9" name="bjDocumentSecurityLabel">
    <vt:lpwstr>No Marking</vt:lpwstr>
  </property>
</Properties>
</file>