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AKESO and Company Limited</w:t>
      </w:r>
    </w:p>
    <w:p w:rsidR="00000000" w:rsidDel="00000000" w:rsidP="00000000" w:rsidRDefault="00000000" w:rsidRPr="00000000" w14:paraId="00000002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21 Bloomsbury Way</w:t>
      </w:r>
    </w:p>
    <w:p w:rsidR="00000000" w:rsidDel="00000000" w:rsidP="00000000" w:rsidRDefault="00000000" w:rsidRPr="00000000" w14:paraId="00000003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Holborn</w:t>
      </w:r>
    </w:p>
    <w:p w:rsidR="00000000" w:rsidDel="00000000" w:rsidP="00000000" w:rsidRDefault="00000000" w:rsidRPr="00000000" w14:paraId="00000004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London</w:t>
      </w:r>
    </w:p>
    <w:p w:rsidR="00000000" w:rsidDel="00000000" w:rsidP="00000000" w:rsidRDefault="00000000" w:rsidRPr="00000000" w14:paraId="00000005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WC1A 2TH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rtl w:val="0"/>
          </w:rPr>
          <w:t xml:space="preserve">REDACTED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TEXT</w:t>
      </w:r>
    </w:p>
    <w:p w:rsidR="00000000" w:rsidDel="00000000" w:rsidP="00000000" w:rsidRDefault="00000000" w:rsidRPr="00000000" w14:paraId="00000007">
      <w:pPr>
        <w:tabs>
          <w:tab w:val="center" w:pos="4153"/>
          <w:tab w:val="right" w:pos="8306"/>
        </w:tabs>
        <w:spacing w:after="120" w:lineRule="auto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rtl w:val="0"/>
          </w:rPr>
          <w:t xml:space="preserve">info@akesoco.com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center" w:pos="4153"/>
          <w:tab w:val="right" w:pos="8306"/>
        </w:tabs>
        <w:spacing w:after="12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5 May 2021</w:t>
        <w:tab/>
      </w:r>
    </w:p>
    <w:p w:rsidR="00000000" w:rsidDel="00000000" w:rsidP="00000000" w:rsidRDefault="00000000" w:rsidRPr="00000000" w14:paraId="00000009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Contract ref: CCCC21A67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REDACTED TEXT,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Award of Contract for Provision of Consultancy for Test and Trace Programme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0"/>
        </w:tabs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 behalf of the Department for Health and Social Care (DHSC) (the “Authority”), I am pleased to inform you that we would like to award the contract to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1st day of April 2021 and the Expiry Date will be 30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day of September 2021. The total contract value shall be £1,089,773.00 ex VAT.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Direct Award under Commercial Agreement RM6008 Management Consultancy Framework 2 Lot 1: Business Consultancy Services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a copy of the Contract Order Form and forward to the Procurement Lead electronically by 11am Thursday 5 May 2021.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pos="4513"/>
          <w:tab w:val="right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tbl>
      <w:tblPr>
        <w:tblStyle w:val="Table1"/>
        <w:tblW w:w="8748.0" w:type="dxa"/>
        <w:jc w:val="left"/>
        <w:tblInd w:w="-142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the Department for Health and Social Care (DHSC)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REDACTED TEXT</w:t>
            </w:r>
          </w:p>
          <w:p w:rsidR="00000000" w:rsidDel="00000000" w:rsidP="00000000" w:rsidRDefault="00000000" w:rsidRPr="00000000" w14:paraId="0000001E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440" w:left="85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34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 Off Award letter</w:t>
    </w:r>
  </w:p>
  <w:p w:rsidR="00000000" w:rsidDel="00000000" w:rsidP="00000000" w:rsidRDefault="00000000" w:rsidRPr="00000000" w14:paraId="00000035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2016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V1.0 29 March 2021</w:t>
    </w:r>
  </w:p>
  <w:p w:rsidR="00000000" w:rsidDel="00000000" w:rsidP="00000000" w:rsidRDefault="00000000" w:rsidRPr="00000000" w14:paraId="00000037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0858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tblGridChange w:id="0">
        <w:tblGrid>
          <w:gridCol w:w="2723"/>
          <w:gridCol w:w="1813"/>
          <w:gridCol w:w="2835"/>
          <w:gridCol w:w="3487"/>
        </w:tblGrid>
      </w:tblGridChange>
    </w:tblGrid>
    <w:tr>
      <w:trPr>
        <w:trHeight w:val="268" w:hRule="atLeast"/>
      </w:trPr>
      <w:tc>
        <w:tcPr>
          <w:gridSpan w:val="4"/>
        </w:tcPr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trHeight w:val="1300" w:hRule="atLeast"/>
      </w:trPr>
      <w:tc>
        <w:tcPr/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B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2C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  0345 010 3503</w:t>
          </w:r>
        </w:p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  info@crowncommercial.gov.uk</w:t>
          </w:r>
        </w:p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4C74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rowncommercial.lightning.force.com/lightning/r/0030N00002mLzLCQA0/view" TargetMode="External"/><Relationship Id="rId8" Type="http://schemas.openxmlformats.org/officeDocument/2006/relationships/hyperlink" Target="mailto:info@akesoco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iC5/f6nmDyQgPF2yygJULlztnA==">AMUW2mUaO3NX9N0CRQLpTDXqOn+HC/CX9hYwCooD0CuSZ99a4+vx5D29c62Q+zckfVKAfL8Kd1hF+VdR30W3ulAPiDgnD1wPYnwjTgK5DCbAY3nVTEtF7Vd6WYsV5VAFEiiRb1ws4Mt3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2021-03-30T13:31:00Z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