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0C" w:rsidRDefault="00267C0C" w:rsidP="00267C0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wo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uld like to inform you that the contract to provide primary medical services at The Stanmore Surgery, 71 Elm Park, Stanmore, HA7 4AU, will come to an end on 30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September 2017.</w:t>
      </w:r>
    </w:p>
    <w:p w:rsidR="00267C0C" w:rsidRDefault="00267C0C" w:rsidP="00267C0C">
      <w:pPr>
        <w:rPr>
          <w:rFonts w:ascii="Arial" w:hAnsi="Arial" w:cs="Arial"/>
          <w:color w:val="000000"/>
          <w:sz w:val="24"/>
          <w:szCs w:val="24"/>
        </w:rPr>
      </w:pPr>
    </w:p>
    <w:p w:rsidR="00267C0C" w:rsidRDefault="00267C0C" w:rsidP="00267C0C">
      <w:pPr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On 24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July 2017 NHS England wrote to patients informing them that the list is being dispersed and that they should register with an alternative local practice of their choice. </w:t>
      </w:r>
    </w:p>
    <w:p w:rsidR="00267C0C" w:rsidRDefault="00267C0C" w:rsidP="00267C0C">
      <w:pPr>
        <w:rPr>
          <w:color w:val="000000"/>
        </w:rPr>
      </w:pPr>
    </w:p>
    <w:p w:rsidR="00267C0C" w:rsidRDefault="00267C0C" w:rsidP="00267C0C">
      <w:pPr>
        <w:jc w:val="both"/>
        <w:rPr>
          <w:color w:val="000000"/>
        </w:rPr>
      </w:pPr>
      <w:r>
        <w:rPr>
          <w:rStyle w:val="stylebold"/>
          <w:b w:val="0"/>
          <w:bCs w:val="0"/>
          <w:color w:val="000000"/>
          <w:sz w:val="24"/>
          <w:szCs w:val="24"/>
        </w:rPr>
        <w:t xml:space="preserve">As with any practice closure, there is likely to be a number of clinical and administrative tasks that will need to be undertaken after the practice has closed. We therefore need to put in place a temporary ‘caretaking service’ so that these tasks can be actioned accordingly and to ensure that any potential areas of clinical risk are identified and acted upon appropriately.  </w:t>
      </w:r>
    </w:p>
    <w:p w:rsidR="00267C0C" w:rsidRDefault="00267C0C" w:rsidP="00267C0C">
      <w:pPr>
        <w:jc w:val="both"/>
        <w:rPr>
          <w:color w:val="000000"/>
        </w:rPr>
      </w:pPr>
      <w:r>
        <w:rPr>
          <w:rStyle w:val="stylebold"/>
          <w:b w:val="0"/>
          <w:bCs w:val="0"/>
          <w:color w:val="000000"/>
          <w:sz w:val="24"/>
          <w:szCs w:val="24"/>
        </w:rPr>
        <w:t> </w:t>
      </w:r>
    </w:p>
    <w:p w:rsidR="00267C0C" w:rsidRDefault="00267C0C" w:rsidP="00267C0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‘caretaking service’ will commence on </w:t>
      </w:r>
      <w:r>
        <w:rPr>
          <w:rFonts w:ascii="Arial" w:hAnsi="Arial" w:cs="Arial"/>
          <w:b/>
          <w:bCs/>
          <w:color w:val="000000"/>
          <w:sz w:val="24"/>
          <w:szCs w:val="24"/>
        </w:rPr>
        <w:t>Monday 2</w:t>
      </w:r>
      <w:r w:rsidRPr="00267C0C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October 2017</w:t>
      </w:r>
      <w:r>
        <w:rPr>
          <w:rFonts w:ascii="Arial" w:hAnsi="Arial" w:cs="Arial"/>
          <w:color w:val="000000"/>
          <w:sz w:val="24"/>
          <w:szCs w:val="24"/>
        </w:rPr>
        <w:t xml:space="preserve"> and will be for a period of 4 weeks, with provision to extend for a further 2 weeks with the agreement of both parties on such terms and conditions as agreed between the parties at the time.  </w:t>
      </w:r>
    </w:p>
    <w:p w:rsidR="00267C0C" w:rsidRDefault="00267C0C" w:rsidP="00267C0C">
      <w:pPr>
        <w:rPr>
          <w:color w:val="000000"/>
        </w:rPr>
      </w:pPr>
      <w:r>
        <w:rPr>
          <w:rStyle w:val="stylebold"/>
          <w:b w:val="0"/>
          <w:bCs w:val="0"/>
          <w:color w:val="000000"/>
        </w:rPr>
        <w:t> </w:t>
      </w:r>
    </w:p>
    <w:p w:rsidR="00267C0C" w:rsidRDefault="00267C0C" w:rsidP="00267C0C">
      <w:pPr>
        <w:rPr>
          <w:color w:val="000000"/>
        </w:rPr>
      </w:pPr>
      <w:r>
        <w:rPr>
          <w:rStyle w:val="stylebold"/>
          <w:b w:val="0"/>
          <w:bCs w:val="0"/>
          <w:color w:val="000000"/>
          <w:sz w:val="24"/>
          <w:szCs w:val="24"/>
        </w:rPr>
        <w:t xml:space="preserve">We are inviting expressions of interest from a range of primary care providers to perform this service.  The range of tasks will include: </w:t>
      </w:r>
    </w:p>
    <w:p w:rsidR="00267C0C" w:rsidRDefault="00267C0C" w:rsidP="00267C0C">
      <w:pPr>
        <w:rPr>
          <w:color w:val="000000"/>
        </w:rPr>
      </w:pPr>
      <w:r>
        <w:rPr>
          <w:color w:val="000000"/>
        </w:rPr>
        <w:t> </w:t>
      </w:r>
    </w:p>
    <w:p w:rsidR="00267C0C" w:rsidRDefault="00267C0C" w:rsidP="00267C0C">
      <w:pPr>
        <w:jc w:val="both"/>
      </w:pPr>
      <w:r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7114"/>
      </w:tblGrid>
      <w:tr w:rsidR="00267C0C" w:rsidTr="00267C0C">
        <w:trPr>
          <w:trHeight w:val="2829"/>
        </w:trPr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Hard copy material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Retrieve the hard copy test results, clinical letters and faxes.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All the hard copy material will need to be assessed and appropriate clinical action taken as required. 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267C0C" w:rsidRDefault="00267C0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clinician on examining a test result should contact Capita at </w:t>
            </w:r>
            <w:hyperlink r:id="rId4" w:history="1">
              <w:r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england.NWLRegistration@nhs.net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hyperlink r:id="rId5" w:history="1">
              <w:r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pcse.enquiries@nhs.net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to determine if the patient has registered with a new practice. If this is the case the clinician should contact the practice that the patient is now registered with.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If the patient has not yet registered with a new practice then the clinician should contact the patient directly if required.   The provider should also encourage the patient to register with an alternative local practice of their choice.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7C0C" w:rsidTr="00267C0C">
        <w:trPr>
          <w:trHeight w:val="456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GP2GP</w:t>
            </w:r>
          </w:p>
        </w:tc>
        <w:tc>
          <w:tcPr>
            <w:tcW w:w="1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Authorise requests as required.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7C0C" w:rsidTr="00267C0C">
        <w:trPr>
          <w:trHeight w:val="832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Electronic test results</w:t>
            </w:r>
          </w:p>
        </w:tc>
        <w:tc>
          <w:tcPr>
            <w:tcW w:w="1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Process all outstanding test results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clinical system and action as required.  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Process any new test results received during the period of this contract. 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clinician on examining a test result should contact Capita at </w:t>
            </w:r>
            <w:hyperlink r:id="rId6" w:history="1">
              <w:r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england.NWLRegistration@nhs.net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hyperlink r:id="rId7" w:history="1">
              <w:r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pcse.enquiries@nhs.net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to determine if the patient has registered with a new practice. If this is the case the clinician should contact the practice that the patient is now registered with.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If the patient has not yet registered with a new practice then the clinician should contact the patient directly if required.   The provider should also encourage the patient to register with an alternative local practice of their choice.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7C0C" w:rsidTr="00267C0C">
        <w:trPr>
          <w:trHeight w:val="685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Choose and Book</w:t>
            </w:r>
          </w:p>
        </w:tc>
        <w:tc>
          <w:tcPr>
            <w:tcW w:w="1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Deal with all Choose and book correspondence as required for the duration of the contract.</w:t>
            </w:r>
          </w:p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7C0C" w:rsidTr="00267C0C">
        <w:trPr>
          <w:trHeight w:val="456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Patients</w:t>
            </w:r>
          </w:p>
        </w:tc>
        <w:tc>
          <w:tcPr>
            <w:tcW w:w="1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Contact vulnerable patients if necessary regarding registering with appropriate local practice</w:t>
            </w:r>
          </w:p>
        </w:tc>
      </w:tr>
      <w:tr w:rsidR="00267C0C" w:rsidTr="00267C0C">
        <w:trPr>
          <w:trHeight w:val="456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System Close Down</w:t>
            </w:r>
          </w:p>
        </w:tc>
        <w:tc>
          <w:tcPr>
            <w:tcW w:w="1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Provider to liaise with CCG IT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regarding the close down of the system once agreed and all tasks completed. The provider must ensure that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system is closed down on the final day of the contract.   </w:t>
            </w:r>
          </w:p>
        </w:tc>
      </w:tr>
    </w:tbl>
    <w:p w:rsidR="00267C0C" w:rsidRDefault="00267C0C" w:rsidP="00267C0C">
      <w:pPr>
        <w:jc w:val="both"/>
      </w:pPr>
      <w:r>
        <w:rPr>
          <w:rFonts w:ascii="Arial" w:hAnsi="Arial" w:cs="Arial"/>
          <w:sz w:val="24"/>
          <w:szCs w:val="24"/>
        </w:rPr>
        <w:t> </w:t>
      </w:r>
    </w:p>
    <w:p w:rsidR="00267C0C" w:rsidRDefault="00267C0C" w:rsidP="00267C0C">
      <w:pPr>
        <w:jc w:val="both"/>
      </w:pPr>
      <w:r>
        <w:rPr>
          <w:rFonts w:ascii="Arial" w:hAnsi="Arial" w:cs="Arial"/>
          <w:sz w:val="24"/>
          <w:szCs w:val="24"/>
        </w:rPr>
        <w:t> </w:t>
      </w:r>
    </w:p>
    <w:p w:rsidR="00267C0C" w:rsidRDefault="00267C0C" w:rsidP="00267C0C">
      <w:pPr>
        <w:jc w:val="both"/>
        <w:rPr>
          <w:rFonts w:ascii="Arial" w:hAnsi="Arial" w:cs="Arial"/>
          <w:b/>
          <w:bCs/>
          <w:color w:val="1F497D"/>
          <w:sz w:val="24"/>
          <w:szCs w:val="24"/>
          <w:shd w:val="clear" w:color="auto" w:fill="FFFF00"/>
        </w:rPr>
      </w:pPr>
      <w:r>
        <w:rPr>
          <w:rFonts w:ascii="Arial" w:hAnsi="Arial" w:cs="Arial"/>
          <w:sz w:val="24"/>
          <w:szCs w:val="24"/>
        </w:rPr>
        <w:t xml:space="preserve">It is important to note the clinical system, </w:t>
      </w:r>
      <w:proofErr w:type="spellStart"/>
      <w:r>
        <w:rPr>
          <w:rFonts w:ascii="Arial" w:hAnsi="Arial" w:cs="Arial"/>
          <w:sz w:val="24"/>
          <w:szCs w:val="24"/>
        </w:rPr>
        <w:t>Emis</w:t>
      </w:r>
      <w:proofErr w:type="spellEnd"/>
      <w:r>
        <w:rPr>
          <w:rFonts w:ascii="Arial" w:hAnsi="Arial" w:cs="Arial"/>
          <w:sz w:val="24"/>
          <w:szCs w:val="24"/>
        </w:rPr>
        <w:t>, will be accessed from the Providers premises.  </w:t>
      </w:r>
      <w:r>
        <w:rPr>
          <w:rFonts w:ascii="Arial" w:hAnsi="Arial" w:cs="Arial"/>
          <w:b/>
          <w:bCs/>
          <w:sz w:val="24"/>
          <w:szCs w:val="24"/>
        </w:rPr>
        <w:t xml:space="preserve">Bidders will need to demonstrate they have experience in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Emis</w:t>
      </w:r>
      <w:proofErr w:type="spellEnd"/>
    </w:p>
    <w:p w:rsidR="00267C0C" w:rsidRDefault="00267C0C" w:rsidP="00267C0C">
      <w:pPr>
        <w:jc w:val="both"/>
        <w:rPr>
          <w:rFonts w:ascii="Arial" w:hAnsi="Arial" w:cs="Arial"/>
          <w:sz w:val="24"/>
          <w:szCs w:val="24"/>
        </w:rPr>
      </w:pPr>
    </w:p>
    <w:p w:rsidR="00267C0C" w:rsidRDefault="00267C0C" w:rsidP="00267C0C">
      <w:pPr>
        <w:jc w:val="both"/>
      </w:pPr>
      <w:r>
        <w:rPr>
          <w:rFonts w:ascii="Arial" w:hAnsi="Arial" w:cs="Arial"/>
          <w:color w:val="1F497D"/>
          <w:sz w:val="24"/>
          <w:szCs w:val="24"/>
        </w:rPr>
        <w:t> </w:t>
      </w:r>
    </w:p>
    <w:p w:rsidR="00267C0C" w:rsidRDefault="00267C0C" w:rsidP="00267C0C">
      <w:r>
        <w:rPr>
          <w:rStyle w:val="stylebold"/>
          <w:b w:val="0"/>
          <w:bCs w:val="0"/>
          <w:sz w:val="24"/>
          <w:szCs w:val="24"/>
        </w:rPr>
        <w:t>The timetable is set out below:</w:t>
      </w:r>
    </w:p>
    <w:p w:rsidR="00267C0C" w:rsidRDefault="00267C0C" w:rsidP="00267C0C">
      <w:r>
        <w:rPr>
          <w:rStyle w:val="stylebold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3174"/>
      </w:tblGrid>
      <w:tr w:rsidR="00267C0C" w:rsidTr="00267C0C">
        <w:tc>
          <w:tcPr>
            <w:tcW w:w="5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Expressions of Interest Invited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rPr>
                <w:color w:val="000000"/>
              </w:rPr>
            </w:pP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>Monday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 xml:space="preserve"> 24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  <w:vertAlign w:val="superscript"/>
              </w:rPr>
              <w:t xml:space="preserve">th 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>July 2017</w:t>
            </w:r>
          </w:p>
        </w:tc>
      </w:tr>
      <w:tr w:rsidR="00267C0C" w:rsidTr="00267C0C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Expression of Interest return deadline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rPr>
                <w:color w:val="000000"/>
              </w:rPr>
            </w:pP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>Thursday 27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 xml:space="preserve"> July 2017</w:t>
            </w:r>
          </w:p>
        </w:tc>
      </w:tr>
      <w:tr w:rsidR="00267C0C" w:rsidTr="00267C0C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Service Specification emailed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rPr>
                <w:color w:val="000000"/>
              </w:rPr>
            </w:pP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>Friday 28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 xml:space="preserve"> July 2017</w:t>
            </w:r>
          </w:p>
        </w:tc>
      </w:tr>
      <w:tr w:rsidR="00267C0C" w:rsidTr="00267C0C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MOI emailed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rPr>
                <w:color w:val="000000"/>
              </w:rPr>
            </w:pP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>Friday 28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 xml:space="preserve"> July 2017</w:t>
            </w:r>
          </w:p>
        </w:tc>
      </w:tr>
      <w:tr w:rsidR="00267C0C" w:rsidTr="00267C0C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Appendix A:  Evaluation questions emailed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rPr>
                <w:color w:val="000000"/>
              </w:rPr>
            </w:pP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>Friday 28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 xml:space="preserve"> July 2017</w:t>
            </w:r>
          </w:p>
        </w:tc>
      </w:tr>
      <w:tr w:rsidR="00267C0C" w:rsidTr="00267C0C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Appendix B:  Evaluation questions return deadline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rPr>
                <w:color w:val="000000"/>
              </w:rPr>
            </w:pP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>Friday 4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 xml:space="preserve"> August 2017</w:t>
            </w:r>
          </w:p>
        </w:tc>
      </w:tr>
      <w:tr w:rsidR="00267C0C" w:rsidTr="00267C0C">
        <w:trPr>
          <w:trHeight w:val="392"/>
        </w:trPr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Contract awarded: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0C" w:rsidRDefault="00267C0C">
            <w:pPr>
              <w:spacing w:line="276" w:lineRule="auto"/>
              <w:rPr>
                <w:color w:val="000000"/>
              </w:rPr>
            </w:pP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>Friday 18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color w:val="000000"/>
                <w:sz w:val="24"/>
                <w:szCs w:val="24"/>
              </w:rPr>
              <w:t xml:space="preserve"> August 2017</w:t>
            </w:r>
          </w:p>
        </w:tc>
      </w:tr>
    </w:tbl>
    <w:p w:rsidR="00267C0C" w:rsidRDefault="00267C0C" w:rsidP="00267C0C">
      <w:pPr>
        <w:autoSpaceDE w:val="0"/>
        <w:autoSpaceDN w:val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 xml:space="preserve">  </w:t>
      </w:r>
    </w:p>
    <w:p w:rsidR="00267C0C" w:rsidRDefault="00267C0C" w:rsidP="00267C0C">
      <w:pPr>
        <w:rPr>
          <w:rStyle w:val="stylebold"/>
          <w:b w:val="0"/>
          <w:bCs w:val="0"/>
          <w:color w:val="1F497D"/>
          <w:sz w:val="24"/>
          <w:szCs w:val="24"/>
        </w:rPr>
      </w:pPr>
    </w:p>
    <w:p w:rsidR="00267C0C" w:rsidRDefault="00267C0C" w:rsidP="00267C0C">
      <w:pPr>
        <w:rPr>
          <w:rStyle w:val="stylebold"/>
          <w:rFonts w:ascii="Calibri" w:hAnsi="Calibri"/>
          <w:b w:val="0"/>
          <w:bCs w:val="0"/>
          <w:color w:val="1F497D"/>
        </w:rPr>
      </w:pPr>
    </w:p>
    <w:p w:rsidR="00267C0C" w:rsidRDefault="00267C0C" w:rsidP="00267C0C">
      <w:pPr>
        <w:rPr>
          <w:color w:val="000000"/>
        </w:rPr>
      </w:pPr>
      <w:r>
        <w:rPr>
          <w:rStyle w:val="stylebold"/>
          <w:b w:val="0"/>
          <w:bCs w:val="0"/>
          <w:color w:val="000000"/>
          <w:sz w:val="24"/>
          <w:szCs w:val="24"/>
        </w:rPr>
        <w:t xml:space="preserve">If interested, please register your ‘Expression of Interest’ to </w:t>
      </w:r>
      <w:hyperlink r:id="rId8" w:history="1">
        <w:r>
          <w:rPr>
            <w:rStyle w:val="Hyperlink"/>
            <w:rFonts w:ascii="Arial" w:hAnsi="Arial" w:cs="Arial"/>
            <w:color w:val="000000"/>
            <w:sz w:val="24"/>
            <w:szCs w:val="24"/>
          </w:rPr>
          <w:t>england.lon-nw-pcc@nhs.net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Style w:val="stylebold"/>
          <w:b w:val="0"/>
          <w:bCs w:val="0"/>
          <w:color w:val="000000"/>
          <w:sz w:val="24"/>
          <w:szCs w:val="24"/>
        </w:rPr>
        <w:t>by</w:t>
      </w:r>
      <w:r>
        <w:rPr>
          <w:rStyle w:val="stylebold"/>
          <w:color w:val="000000"/>
          <w:sz w:val="24"/>
          <w:szCs w:val="24"/>
        </w:rPr>
        <w:t xml:space="preserve"> </w:t>
      </w:r>
      <w:r>
        <w:rPr>
          <w:rStyle w:val="stylebold"/>
          <w:color w:val="000000"/>
          <w:sz w:val="24"/>
          <w:szCs w:val="24"/>
        </w:rPr>
        <w:t>12:00 n</w:t>
      </w:r>
      <w:r>
        <w:rPr>
          <w:rStyle w:val="stylebold"/>
          <w:color w:val="000000"/>
          <w:sz w:val="24"/>
          <w:szCs w:val="24"/>
        </w:rPr>
        <w:t>oon Thursday 27</w:t>
      </w:r>
      <w:r>
        <w:rPr>
          <w:rStyle w:val="stylebold"/>
          <w:color w:val="000000"/>
          <w:sz w:val="24"/>
          <w:szCs w:val="24"/>
          <w:vertAlign w:val="superscript"/>
        </w:rPr>
        <w:t>th</w:t>
      </w:r>
      <w:r>
        <w:rPr>
          <w:rStyle w:val="stylebold"/>
          <w:color w:val="000000"/>
          <w:sz w:val="24"/>
          <w:szCs w:val="24"/>
        </w:rPr>
        <w:t xml:space="preserve"> July 2017. </w:t>
      </w:r>
      <w:r>
        <w:rPr>
          <w:rStyle w:val="stylebold"/>
          <w:b w:val="0"/>
          <w:bCs w:val="0"/>
          <w:color w:val="000000"/>
          <w:sz w:val="24"/>
          <w:szCs w:val="24"/>
        </w:rPr>
        <w:t xml:space="preserve">The relevant documents will be emailed out to you upon receipt of expression of interest. </w:t>
      </w:r>
      <w:r>
        <w:rPr>
          <w:rFonts w:ascii="Arial" w:hAnsi="Arial" w:cs="Arial"/>
          <w:sz w:val="24"/>
          <w:szCs w:val="24"/>
        </w:rPr>
        <w:t>Exact contractual and financial matters will be discussed at the selection stage. </w:t>
      </w:r>
      <w:r>
        <w:rPr>
          <w:rStyle w:val="stylebold"/>
          <w:b w:val="0"/>
          <w:bCs w:val="0"/>
          <w:sz w:val="24"/>
          <w:szCs w:val="24"/>
        </w:rPr>
        <w:t> </w:t>
      </w:r>
    </w:p>
    <w:p w:rsidR="00267C0C" w:rsidRDefault="00267C0C" w:rsidP="00267C0C">
      <w:r>
        <w:rPr>
          <w:rStyle w:val="stylebold"/>
          <w:sz w:val="24"/>
          <w:szCs w:val="24"/>
        </w:rPr>
        <w:t> </w:t>
      </w:r>
    </w:p>
    <w:p w:rsidR="00267C0C" w:rsidRDefault="00267C0C" w:rsidP="00267C0C">
      <w:r>
        <w:rPr>
          <w:rStyle w:val="stylebold"/>
          <w:sz w:val="24"/>
          <w:szCs w:val="24"/>
        </w:rPr>
        <w:t>Bidders that have not expressed an interest by the deadline will not be considered.</w:t>
      </w:r>
    </w:p>
    <w:p w:rsidR="00267C0C" w:rsidRDefault="00267C0C" w:rsidP="00267C0C">
      <w:r>
        <w:rPr>
          <w:rStyle w:val="stylebold"/>
          <w:color w:val="1F497D"/>
          <w:sz w:val="24"/>
          <w:szCs w:val="24"/>
        </w:rPr>
        <w:t> </w:t>
      </w:r>
    </w:p>
    <w:p w:rsidR="00267C0C" w:rsidRDefault="00267C0C" w:rsidP="00267C0C">
      <w:r>
        <w:rPr>
          <w:rFonts w:ascii="Arial" w:hAnsi="Arial" w:cs="Arial"/>
          <w:color w:val="000000"/>
          <w:sz w:val="24"/>
          <w:szCs w:val="24"/>
        </w:rPr>
        <w:lastRenderedPageBreak/>
        <w:t xml:space="preserve">If you have any queries, please do not hesitate to contact the Primary Care Team. </w:t>
      </w:r>
    </w:p>
    <w:p w:rsidR="00F34BF6" w:rsidRDefault="00F34BF6"/>
    <w:sectPr w:rsidR="00F34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0C"/>
    <w:rsid w:val="00267C0C"/>
    <w:rsid w:val="00F3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A784D-9AE0-473A-9A71-017B75A8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C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C0C"/>
    <w:rPr>
      <w:color w:val="0000FF"/>
      <w:u w:val="single"/>
    </w:rPr>
  </w:style>
  <w:style w:type="character" w:customStyle="1" w:styleId="stylebold">
    <w:name w:val="stylebold"/>
    <w:basedOn w:val="DefaultParagraphFont"/>
    <w:rsid w:val="00267C0C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and.lon-nw-pcc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cse.enquirie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land.NWLRegistration@nhs.net" TargetMode="External"/><Relationship Id="rId5" Type="http://schemas.openxmlformats.org/officeDocument/2006/relationships/hyperlink" Target="mailto:pcse.enquiries@nhs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ngland.NWLRegistration@nhs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Sethi, Nirula - Procurement Officer</dc:creator>
  <cp:keywords/>
  <dc:description/>
  <cp:lastModifiedBy>Sethi, Nirula - Procurement Officer</cp:lastModifiedBy>
  <cp:revision>1</cp:revision>
  <dcterms:created xsi:type="dcterms:W3CDTF">2017-07-24T15:48:00Z</dcterms:created>
  <dcterms:modified xsi:type="dcterms:W3CDTF">2017-07-24T15:56:00Z</dcterms:modified>
</cp:coreProperties>
</file>