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2ED" w:rsidRPr="008B3FE9" w:rsidRDefault="00F542ED" w:rsidP="00F542ED">
      <w:pPr>
        <w:pStyle w:val="NoSpacing"/>
        <w:jc w:val="center"/>
        <w:rPr>
          <w:rFonts w:ascii="Arial" w:hAnsi="Arial" w:cs="Arial"/>
          <w:b/>
        </w:rPr>
      </w:pPr>
      <w:r w:rsidRPr="008B3FE9">
        <w:rPr>
          <w:rFonts w:ascii="Arial" w:hAnsi="Arial" w:cs="Arial"/>
          <w:b/>
        </w:rPr>
        <w:t>Invitation to Quote (ITQ)</w:t>
      </w:r>
    </w:p>
    <w:p w:rsidR="00F542ED" w:rsidRDefault="00982343" w:rsidP="00F542ED">
      <w:pPr>
        <w:pStyle w:val="NoSpacing"/>
        <w:jc w:val="center"/>
        <w:rPr>
          <w:rFonts w:ascii="Arial" w:hAnsi="Arial" w:cs="Arial"/>
          <w:b/>
        </w:rPr>
      </w:pPr>
      <w:r>
        <w:rPr>
          <w:rFonts w:ascii="Arial" w:hAnsi="Arial" w:cs="Arial"/>
          <w:b/>
        </w:rPr>
        <w:t>Consultancy support in relation to Primary Care GPFV</w:t>
      </w:r>
    </w:p>
    <w:p w:rsidR="00982343" w:rsidRPr="008B3FE9" w:rsidRDefault="00982343" w:rsidP="00F542ED">
      <w:pPr>
        <w:pStyle w:val="NoSpacing"/>
        <w:jc w:val="center"/>
        <w:rPr>
          <w:rFonts w:ascii="Arial" w:hAnsi="Arial" w:cs="Arial"/>
          <w:b/>
        </w:rPr>
      </w:pPr>
      <w:r>
        <w:rPr>
          <w:rFonts w:ascii="Arial" w:hAnsi="Arial" w:cs="Arial"/>
          <w:b/>
        </w:rPr>
        <w:t>Brent CCG – Provider Development Investment Plan</w:t>
      </w:r>
    </w:p>
    <w:p w:rsidR="00F542ED" w:rsidRPr="008B3FE9" w:rsidRDefault="00F542ED" w:rsidP="00F542ED">
      <w:pPr>
        <w:pStyle w:val="NoSpacing"/>
        <w:rPr>
          <w:rFonts w:ascii="Arial" w:hAnsi="Arial" w:cs="Arial"/>
        </w:rPr>
      </w:pPr>
    </w:p>
    <w:p w:rsidR="00F542ED" w:rsidRPr="008B3FE9" w:rsidRDefault="00656CED" w:rsidP="00656CED">
      <w:pPr>
        <w:pStyle w:val="NoSpacing"/>
        <w:rPr>
          <w:rFonts w:ascii="Arial" w:hAnsi="Arial" w:cs="Arial"/>
          <w:b/>
        </w:rPr>
      </w:pPr>
      <w:r>
        <w:rPr>
          <w:rFonts w:ascii="Arial" w:hAnsi="Arial" w:cs="Arial"/>
          <w:b/>
        </w:rPr>
        <w:t>1.</w:t>
      </w:r>
      <w:r w:rsidR="00F542ED" w:rsidRPr="008B3FE9">
        <w:rPr>
          <w:rFonts w:ascii="Arial" w:hAnsi="Arial" w:cs="Arial"/>
          <w:b/>
        </w:rPr>
        <w:tab/>
        <w:t>Summary</w:t>
      </w:r>
    </w:p>
    <w:p w:rsidR="00F542ED" w:rsidRPr="008B3FE9" w:rsidRDefault="00F542ED" w:rsidP="00F542ED">
      <w:pPr>
        <w:pStyle w:val="NoSpacing"/>
        <w:ind w:left="405"/>
        <w:rPr>
          <w:rFonts w:ascii="Arial" w:hAnsi="Arial" w:cs="Arial"/>
        </w:rPr>
      </w:pPr>
    </w:p>
    <w:p w:rsidR="008A27BF" w:rsidRPr="00463F66" w:rsidRDefault="00830A0E" w:rsidP="008A27BF">
      <w:pPr>
        <w:ind w:left="720"/>
        <w:jc w:val="left"/>
        <w:rPr>
          <w:rFonts w:ascii="Arial" w:hAnsi="Arial" w:cs="Arial"/>
          <w:sz w:val="24"/>
          <w:szCs w:val="24"/>
        </w:rPr>
      </w:pPr>
      <w:r w:rsidRPr="00463F66">
        <w:rPr>
          <w:rFonts w:ascii="Arial" w:hAnsi="Arial" w:cs="Arial"/>
          <w:sz w:val="24"/>
          <w:szCs w:val="24"/>
        </w:rPr>
        <w:t>NHS Brent Clinical Commissioning Group (CCG) is continuing its</w:t>
      </w:r>
      <w:r>
        <w:rPr>
          <w:rFonts w:ascii="Arial" w:hAnsi="Arial" w:cs="Arial"/>
          <w:sz w:val="24"/>
          <w:szCs w:val="24"/>
        </w:rPr>
        <w:t xml:space="preserve"> important work from previous years’ work stream which focused on </w:t>
      </w:r>
      <w:r w:rsidRPr="00463F66">
        <w:rPr>
          <w:rFonts w:ascii="Arial" w:hAnsi="Arial" w:cs="Arial"/>
          <w:sz w:val="24"/>
          <w:szCs w:val="24"/>
        </w:rPr>
        <w:t>‘</w:t>
      </w:r>
      <w:r w:rsidRPr="00463F66">
        <w:rPr>
          <w:rFonts w:ascii="Arial" w:hAnsi="Arial" w:cs="Arial"/>
          <w:i/>
          <w:sz w:val="24"/>
          <w:szCs w:val="24"/>
        </w:rPr>
        <w:t>Provider Development &amp; Resilience’</w:t>
      </w:r>
      <w:r w:rsidRPr="00463F66">
        <w:rPr>
          <w:rFonts w:ascii="Arial" w:hAnsi="Arial" w:cs="Arial"/>
          <w:sz w:val="24"/>
          <w:szCs w:val="24"/>
        </w:rPr>
        <w:t>.  Through this</w:t>
      </w:r>
      <w:r>
        <w:rPr>
          <w:rFonts w:ascii="Arial" w:hAnsi="Arial" w:cs="Arial"/>
          <w:sz w:val="24"/>
          <w:szCs w:val="24"/>
        </w:rPr>
        <w:t xml:space="preserve"> our</w:t>
      </w:r>
      <w:r w:rsidRPr="00463F66">
        <w:rPr>
          <w:rFonts w:ascii="Arial" w:hAnsi="Arial" w:cs="Arial"/>
          <w:sz w:val="24"/>
          <w:szCs w:val="24"/>
        </w:rPr>
        <w:t xml:space="preserve"> local practices and primary care providers have developed their resilience, sustainability, forward plans and (in turn) improved outcomes, which </w:t>
      </w:r>
      <w:r w:rsidR="00E85E50" w:rsidRPr="00463F66">
        <w:rPr>
          <w:rFonts w:ascii="Arial" w:hAnsi="Arial" w:cs="Arial"/>
          <w:sz w:val="24"/>
          <w:szCs w:val="24"/>
        </w:rPr>
        <w:t>have</w:t>
      </w:r>
      <w:r w:rsidRPr="00463F66">
        <w:rPr>
          <w:rFonts w:ascii="Arial" w:hAnsi="Arial" w:cs="Arial"/>
          <w:sz w:val="24"/>
          <w:szCs w:val="24"/>
        </w:rPr>
        <w:t xml:space="preserve"> been supported by the successful provider(s) who identified priorities and delivered against a tailored action plan.</w:t>
      </w:r>
      <w:r w:rsidR="008A27BF">
        <w:rPr>
          <w:rFonts w:ascii="Arial" w:hAnsi="Arial" w:cs="Arial"/>
          <w:sz w:val="24"/>
          <w:szCs w:val="24"/>
        </w:rPr>
        <w:t xml:space="preserve">  </w:t>
      </w:r>
    </w:p>
    <w:p w:rsidR="00830A0E" w:rsidRPr="00463F66" w:rsidRDefault="00830A0E" w:rsidP="00830A0E">
      <w:pPr>
        <w:ind w:left="720"/>
        <w:jc w:val="left"/>
        <w:rPr>
          <w:rFonts w:ascii="Arial" w:hAnsi="Arial" w:cs="Arial"/>
          <w:sz w:val="24"/>
          <w:szCs w:val="24"/>
        </w:rPr>
      </w:pPr>
    </w:p>
    <w:p w:rsidR="008A27BF" w:rsidRDefault="00830A0E" w:rsidP="00830A0E">
      <w:pPr>
        <w:ind w:left="720"/>
        <w:jc w:val="left"/>
        <w:rPr>
          <w:rFonts w:ascii="Arial" w:hAnsi="Arial" w:cs="Arial"/>
          <w:sz w:val="24"/>
          <w:szCs w:val="24"/>
        </w:rPr>
      </w:pPr>
      <w:r w:rsidRPr="00463F66">
        <w:rPr>
          <w:rFonts w:ascii="Arial" w:hAnsi="Arial" w:cs="Arial"/>
          <w:sz w:val="24"/>
          <w:szCs w:val="24"/>
        </w:rPr>
        <w:t>The CCG recognises the importance of having a range of suitable support available to enable support to be promptly matched to the needs of the various individual primary care providers within Brent. With this in mind, Brent CCG is looking to identify high calibre individuals / organisations that commissioners, practices and primary care providers can draw on as required.  Having consulted the Brent Primary Care Transformation Board and Joint Co-Commissioning Committee, the CCG is now seeking a single proposal from a provider to meet the CCG’s requirements for this important area of the programme.</w:t>
      </w:r>
    </w:p>
    <w:p w:rsidR="008A27BF" w:rsidRDefault="008A27BF" w:rsidP="00830A0E">
      <w:pPr>
        <w:ind w:left="720"/>
        <w:jc w:val="left"/>
        <w:rPr>
          <w:rFonts w:ascii="Arial" w:hAnsi="Arial" w:cs="Arial"/>
          <w:sz w:val="24"/>
          <w:szCs w:val="24"/>
        </w:rPr>
      </w:pPr>
    </w:p>
    <w:p w:rsidR="00830A0E" w:rsidRPr="00463F66" w:rsidRDefault="008A27BF" w:rsidP="00830A0E">
      <w:pPr>
        <w:ind w:left="720"/>
        <w:jc w:val="left"/>
        <w:rPr>
          <w:rFonts w:ascii="Arial" w:hAnsi="Arial" w:cs="Arial"/>
          <w:sz w:val="24"/>
          <w:szCs w:val="24"/>
        </w:rPr>
      </w:pPr>
      <w:r>
        <w:rPr>
          <w:rFonts w:ascii="Arial" w:hAnsi="Arial" w:cs="Arial"/>
          <w:sz w:val="24"/>
          <w:szCs w:val="24"/>
        </w:rPr>
        <w:t>From the Brent Practices 18 are in the scope of receiving the service/support from the successful provider(s).</w:t>
      </w:r>
      <w:r w:rsidR="00830A0E" w:rsidRPr="00463F66">
        <w:rPr>
          <w:rFonts w:ascii="Arial" w:hAnsi="Arial" w:cs="Arial"/>
          <w:sz w:val="24"/>
          <w:szCs w:val="24"/>
        </w:rPr>
        <w:t xml:space="preserve"> </w:t>
      </w:r>
    </w:p>
    <w:p w:rsidR="00830A0E" w:rsidRPr="00463F66" w:rsidRDefault="00830A0E" w:rsidP="00830A0E">
      <w:pPr>
        <w:ind w:left="720"/>
        <w:jc w:val="left"/>
        <w:rPr>
          <w:rFonts w:ascii="Arial" w:hAnsi="Arial" w:cs="Arial"/>
          <w:sz w:val="24"/>
          <w:szCs w:val="24"/>
        </w:rPr>
      </w:pPr>
    </w:p>
    <w:p w:rsidR="00830A0E" w:rsidRDefault="00830A0E" w:rsidP="008A27BF">
      <w:pPr>
        <w:ind w:left="720"/>
        <w:jc w:val="left"/>
        <w:rPr>
          <w:rFonts w:ascii="Arial" w:hAnsi="Arial" w:cs="Arial"/>
          <w:sz w:val="24"/>
          <w:szCs w:val="24"/>
        </w:rPr>
      </w:pPr>
      <w:r w:rsidRPr="00463F66">
        <w:rPr>
          <w:rFonts w:ascii="Arial" w:hAnsi="Arial" w:cs="Arial"/>
          <w:sz w:val="24"/>
          <w:szCs w:val="24"/>
        </w:rPr>
        <w:t>The CCG Delivery Lead, who successful</w:t>
      </w:r>
      <w:r>
        <w:rPr>
          <w:rFonts w:ascii="Arial" w:hAnsi="Arial" w:cs="Arial"/>
          <w:sz w:val="24"/>
          <w:szCs w:val="24"/>
        </w:rPr>
        <w:t>ly le</w:t>
      </w:r>
      <w:r w:rsidRPr="00463F66">
        <w:rPr>
          <w:rFonts w:ascii="Arial" w:hAnsi="Arial" w:cs="Arial"/>
          <w:sz w:val="24"/>
          <w:szCs w:val="24"/>
        </w:rPr>
        <w:t xml:space="preserve">d last year’s </w:t>
      </w:r>
      <w:r>
        <w:rPr>
          <w:rFonts w:ascii="Arial" w:hAnsi="Arial" w:cs="Arial"/>
          <w:sz w:val="24"/>
          <w:szCs w:val="24"/>
        </w:rPr>
        <w:t xml:space="preserve">resilience </w:t>
      </w:r>
      <w:r w:rsidRPr="00463F66">
        <w:rPr>
          <w:rFonts w:ascii="Arial" w:hAnsi="Arial" w:cs="Arial"/>
          <w:sz w:val="24"/>
          <w:szCs w:val="24"/>
        </w:rPr>
        <w:t>programme</w:t>
      </w:r>
      <w:r w:rsidR="008A27BF">
        <w:rPr>
          <w:rFonts w:ascii="Arial" w:hAnsi="Arial" w:cs="Arial"/>
          <w:sz w:val="24"/>
          <w:szCs w:val="24"/>
        </w:rPr>
        <w:t>.  T</w:t>
      </w:r>
      <w:r w:rsidR="008A27BF" w:rsidRPr="003D0F7A">
        <w:rPr>
          <w:rFonts w:ascii="Arial" w:hAnsi="Arial" w:cs="Arial"/>
        </w:rPr>
        <w:t>he CCG Delivery Lead will progress the first visits to practices and carry out the initial diagnostic/self-assessment from which priority areas for development, key actions and an outline timeline will be agreed. The Delivery Lead will help match the practice with the appropriate provider, who will then be expected to build on initial work, offering a detailed approach and refined plan for each practice they work with and delivering this support</w:t>
      </w:r>
    </w:p>
    <w:p w:rsidR="00830A0E" w:rsidRDefault="00830A0E" w:rsidP="00830A0E">
      <w:pPr>
        <w:ind w:left="720"/>
        <w:jc w:val="left"/>
        <w:rPr>
          <w:rFonts w:ascii="Arial" w:hAnsi="Arial" w:cs="Arial"/>
          <w:sz w:val="24"/>
          <w:szCs w:val="24"/>
        </w:rPr>
      </w:pPr>
    </w:p>
    <w:p w:rsidR="00830A0E" w:rsidRPr="00463F66" w:rsidRDefault="00830A0E" w:rsidP="00830A0E">
      <w:pPr>
        <w:pStyle w:val="NoSpacing"/>
        <w:rPr>
          <w:rFonts w:ascii="Arial" w:hAnsi="Arial" w:cs="Arial"/>
          <w:b/>
          <w:sz w:val="24"/>
          <w:szCs w:val="24"/>
        </w:rPr>
      </w:pPr>
      <w:r w:rsidRPr="00463F66">
        <w:rPr>
          <w:rFonts w:ascii="Arial" w:hAnsi="Arial" w:cs="Arial"/>
          <w:b/>
          <w:sz w:val="24"/>
          <w:szCs w:val="24"/>
        </w:rPr>
        <w:t>2.</w:t>
      </w:r>
      <w:r w:rsidRPr="00463F66">
        <w:rPr>
          <w:rFonts w:ascii="Arial" w:hAnsi="Arial" w:cs="Arial"/>
          <w:b/>
          <w:sz w:val="24"/>
          <w:szCs w:val="24"/>
        </w:rPr>
        <w:tab/>
        <w:t>Service Specification Requirements</w:t>
      </w:r>
    </w:p>
    <w:p w:rsidR="00830A0E" w:rsidRPr="00463F66" w:rsidRDefault="00830A0E" w:rsidP="00830A0E">
      <w:pPr>
        <w:pStyle w:val="NoSpacing"/>
        <w:ind w:left="720"/>
        <w:rPr>
          <w:rFonts w:ascii="Arial" w:hAnsi="Arial" w:cs="Arial"/>
          <w:sz w:val="24"/>
          <w:szCs w:val="24"/>
        </w:rPr>
      </w:pPr>
    </w:p>
    <w:p w:rsidR="008A27BF" w:rsidRDefault="00830A0E" w:rsidP="00982343">
      <w:pPr>
        <w:pStyle w:val="NoSpacing"/>
        <w:ind w:left="720"/>
        <w:rPr>
          <w:rFonts w:ascii="Arial" w:hAnsi="Arial" w:cs="Arial"/>
          <w:sz w:val="24"/>
          <w:szCs w:val="24"/>
        </w:rPr>
      </w:pPr>
      <w:r w:rsidRPr="00463F66">
        <w:rPr>
          <w:rFonts w:ascii="Arial" w:hAnsi="Arial" w:cs="Arial"/>
          <w:sz w:val="24"/>
          <w:szCs w:val="24"/>
        </w:rPr>
        <w:t>The support/consultancy from the successful provider</w:t>
      </w:r>
      <w:r w:rsidR="005901EC">
        <w:rPr>
          <w:rFonts w:ascii="Arial" w:hAnsi="Arial" w:cs="Arial"/>
          <w:sz w:val="24"/>
          <w:szCs w:val="24"/>
        </w:rPr>
        <w:t xml:space="preserve">(s) </w:t>
      </w:r>
      <w:r w:rsidRPr="00463F66">
        <w:rPr>
          <w:rFonts w:ascii="Arial" w:hAnsi="Arial" w:cs="Arial"/>
          <w:sz w:val="24"/>
          <w:szCs w:val="24"/>
        </w:rPr>
        <w:t xml:space="preserve">will involve provision of a range of expert, technical and professional resources and improvement solutions, which should be specific to the General Practice setting. Providers should demonstrate a proven track record in successfully delivering support to frontline healthcare services and, have the experience, capacity and capability to deliver at pace and to a high standard. The ability to help identify and implement key actions that will provide future stability and secure </w:t>
      </w:r>
      <w:r>
        <w:rPr>
          <w:rFonts w:ascii="Arial" w:hAnsi="Arial" w:cs="Arial"/>
          <w:sz w:val="24"/>
          <w:szCs w:val="24"/>
        </w:rPr>
        <w:t>im</w:t>
      </w:r>
      <w:r w:rsidRPr="00463F66">
        <w:rPr>
          <w:rFonts w:ascii="Arial" w:hAnsi="Arial" w:cs="Arial"/>
          <w:sz w:val="24"/>
          <w:szCs w:val="24"/>
        </w:rPr>
        <w:t>provements in primary care is an important requirement that the Provider(s) should d</w:t>
      </w:r>
      <w:r w:rsidR="00982343">
        <w:rPr>
          <w:rFonts w:ascii="Arial" w:hAnsi="Arial" w:cs="Arial"/>
          <w:sz w:val="24"/>
          <w:szCs w:val="24"/>
        </w:rPr>
        <w:t xml:space="preserve">eliver as part of the service.  </w:t>
      </w:r>
    </w:p>
    <w:p w:rsidR="008A27BF" w:rsidRDefault="008A27BF" w:rsidP="00982343">
      <w:pPr>
        <w:pStyle w:val="NoSpacing"/>
        <w:ind w:left="720"/>
        <w:rPr>
          <w:rFonts w:ascii="Arial" w:hAnsi="Arial" w:cs="Arial"/>
          <w:sz w:val="24"/>
          <w:szCs w:val="24"/>
        </w:rPr>
      </w:pPr>
    </w:p>
    <w:p w:rsidR="00830A0E" w:rsidRPr="00463F66" w:rsidRDefault="00982343" w:rsidP="00982343">
      <w:pPr>
        <w:pStyle w:val="NoSpacing"/>
        <w:ind w:left="720"/>
        <w:rPr>
          <w:rFonts w:ascii="Arial" w:hAnsi="Arial" w:cs="Arial"/>
          <w:sz w:val="24"/>
          <w:szCs w:val="24"/>
        </w:rPr>
      </w:pPr>
      <w:r>
        <w:rPr>
          <w:rFonts w:ascii="Arial" w:hAnsi="Arial" w:cs="Arial"/>
          <w:sz w:val="24"/>
          <w:szCs w:val="24"/>
        </w:rPr>
        <w:lastRenderedPageBreak/>
        <w:t>S</w:t>
      </w:r>
      <w:r w:rsidR="00830A0E" w:rsidRPr="00463F66">
        <w:rPr>
          <w:rFonts w:ascii="Arial" w:hAnsi="Arial" w:cs="Arial"/>
          <w:sz w:val="24"/>
          <w:szCs w:val="24"/>
        </w:rPr>
        <w:t xml:space="preserve">uppliers will be expected to work alongside the CCG Delivery Lead and </w:t>
      </w:r>
      <w:r w:rsidR="005901EC">
        <w:rPr>
          <w:rFonts w:ascii="Arial" w:hAnsi="Arial" w:cs="Arial"/>
          <w:sz w:val="24"/>
          <w:szCs w:val="24"/>
        </w:rPr>
        <w:t xml:space="preserve">the </w:t>
      </w:r>
      <w:r w:rsidR="001A57BF" w:rsidRPr="001A57BF">
        <w:rPr>
          <w:rFonts w:ascii="Arial" w:hAnsi="Arial" w:cs="Arial"/>
          <w:sz w:val="24"/>
          <w:szCs w:val="24"/>
        </w:rPr>
        <w:t>Assistant Director, Primary Care</w:t>
      </w:r>
      <w:r w:rsidR="001A57BF">
        <w:rPr>
          <w:rFonts w:ascii="Arial" w:hAnsi="Arial" w:cs="Arial"/>
          <w:sz w:val="24"/>
          <w:szCs w:val="24"/>
        </w:rPr>
        <w:t xml:space="preserve"> </w:t>
      </w:r>
      <w:r w:rsidR="00830A0E" w:rsidRPr="00463F66">
        <w:rPr>
          <w:rFonts w:ascii="Arial" w:hAnsi="Arial" w:cs="Arial"/>
          <w:sz w:val="24"/>
          <w:szCs w:val="24"/>
        </w:rPr>
        <w:t>who will support access to practices to enable the work to be delivered.</w:t>
      </w:r>
    </w:p>
    <w:p w:rsidR="0002796A" w:rsidRDefault="0002796A" w:rsidP="001A57BF">
      <w:pPr>
        <w:jc w:val="left"/>
      </w:pPr>
    </w:p>
    <w:p w:rsidR="00FB72F3" w:rsidRDefault="00FB72F3" w:rsidP="001A57BF">
      <w:pPr>
        <w:pStyle w:val="NoSpacing"/>
        <w:ind w:left="720"/>
        <w:rPr>
          <w:rFonts w:ascii="Arial" w:hAnsi="Arial" w:cs="Arial"/>
          <w:sz w:val="24"/>
          <w:szCs w:val="24"/>
        </w:rPr>
      </w:pPr>
      <w:r w:rsidRPr="00463F66">
        <w:rPr>
          <w:rFonts w:ascii="Arial" w:hAnsi="Arial" w:cs="Arial"/>
          <w:sz w:val="24"/>
          <w:szCs w:val="24"/>
        </w:rPr>
        <w:t xml:space="preserve">The CCG’s service requirements are categorised into </w:t>
      </w:r>
      <w:r w:rsidR="008A27BF">
        <w:rPr>
          <w:rFonts w:ascii="Arial" w:hAnsi="Arial" w:cs="Arial"/>
          <w:sz w:val="24"/>
          <w:szCs w:val="24"/>
        </w:rPr>
        <w:t>2</w:t>
      </w:r>
      <w:r w:rsidRPr="00463F66">
        <w:rPr>
          <w:rFonts w:ascii="Arial" w:hAnsi="Arial" w:cs="Arial"/>
          <w:sz w:val="24"/>
          <w:szCs w:val="24"/>
        </w:rPr>
        <w:t xml:space="preserve"> main areas</w:t>
      </w:r>
      <w:r>
        <w:rPr>
          <w:rFonts w:ascii="Arial" w:hAnsi="Arial" w:cs="Arial"/>
          <w:sz w:val="24"/>
          <w:szCs w:val="24"/>
        </w:rPr>
        <w:t xml:space="preserve"> below:</w:t>
      </w:r>
    </w:p>
    <w:p w:rsidR="00FB72F3" w:rsidRPr="00463F66" w:rsidRDefault="00FB72F3" w:rsidP="00FB72F3">
      <w:pPr>
        <w:pStyle w:val="NoSpacing"/>
        <w:ind w:left="720"/>
        <w:rPr>
          <w:rFonts w:ascii="Arial" w:hAnsi="Arial" w:cs="Arial"/>
          <w:sz w:val="24"/>
          <w:szCs w:val="24"/>
        </w:rPr>
      </w:pPr>
    </w:p>
    <w:tbl>
      <w:tblPr>
        <w:tblStyle w:val="TableGrid"/>
        <w:tblW w:w="9214" w:type="dxa"/>
        <w:tblInd w:w="250" w:type="dxa"/>
        <w:tblLook w:val="04A0" w:firstRow="1" w:lastRow="0" w:firstColumn="1" w:lastColumn="0" w:noHBand="0" w:noVBand="1"/>
      </w:tblPr>
      <w:tblGrid>
        <w:gridCol w:w="9214"/>
      </w:tblGrid>
      <w:tr w:rsidR="00FB72F3" w:rsidRPr="00463F66" w:rsidTr="008A27BF">
        <w:tc>
          <w:tcPr>
            <w:tcW w:w="9214" w:type="dxa"/>
            <w:shd w:val="clear" w:color="auto" w:fill="00B0F0"/>
          </w:tcPr>
          <w:p w:rsidR="00FB72F3" w:rsidRPr="007B009E" w:rsidRDefault="00410B62" w:rsidP="001A57BF">
            <w:pPr>
              <w:pStyle w:val="NoSpacing"/>
              <w:numPr>
                <w:ilvl w:val="0"/>
                <w:numId w:val="9"/>
              </w:numPr>
              <w:rPr>
                <w:rFonts w:ascii="Arial" w:hAnsi="Arial" w:cs="Arial"/>
                <w:b/>
              </w:rPr>
            </w:pPr>
            <w:r>
              <w:rPr>
                <w:rFonts w:ascii="Arial" w:hAnsi="Arial" w:cs="Arial"/>
                <w:b/>
                <w:color w:val="FFFFFF" w:themeColor="background1"/>
              </w:rPr>
              <w:t>Strategic Planning &amp; Workforce Development</w:t>
            </w:r>
          </w:p>
        </w:tc>
      </w:tr>
      <w:tr w:rsidR="00410B62" w:rsidRPr="00463F66" w:rsidTr="008A27BF">
        <w:tc>
          <w:tcPr>
            <w:tcW w:w="9214" w:type="dxa"/>
          </w:tcPr>
          <w:p w:rsidR="00410B62" w:rsidRDefault="00410B62" w:rsidP="009A3F3F">
            <w:pPr>
              <w:pStyle w:val="NoSpacing"/>
              <w:rPr>
                <w:rFonts w:ascii="Arial" w:hAnsi="Arial" w:cs="Arial"/>
              </w:rPr>
            </w:pPr>
            <w:r>
              <w:rPr>
                <w:rFonts w:ascii="Arial" w:hAnsi="Arial" w:cs="Arial"/>
              </w:rPr>
              <w:t>Work with staff in order to develop the General Practice teams, General Practice leads, and partners through providing suitable coaching, supervision and business mentoring skills</w:t>
            </w:r>
            <w:r w:rsidR="000B4F6D">
              <w:rPr>
                <w:rFonts w:ascii="Arial" w:hAnsi="Arial" w:cs="Arial"/>
              </w:rPr>
              <w:t>;</w:t>
            </w:r>
          </w:p>
          <w:p w:rsidR="00410B62" w:rsidRDefault="00410B62" w:rsidP="009A3F3F">
            <w:pPr>
              <w:pStyle w:val="NoSpacing"/>
              <w:rPr>
                <w:rFonts w:ascii="Arial" w:hAnsi="Arial" w:cs="Arial"/>
              </w:rPr>
            </w:pPr>
          </w:p>
        </w:tc>
      </w:tr>
      <w:tr w:rsidR="00410B62" w:rsidRPr="00463F66" w:rsidTr="008A27BF">
        <w:tc>
          <w:tcPr>
            <w:tcW w:w="9214" w:type="dxa"/>
          </w:tcPr>
          <w:p w:rsidR="00410B62" w:rsidRDefault="00410B62" w:rsidP="009A3F3F">
            <w:pPr>
              <w:pStyle w:val="NoSpacing"/>
              <w:rPr>
                <w:rFonts w:ascii="Arial" w:hAnsi="Arial" w:cs="Arial"/>
              </w:rPr>
            </w:pPr>
            <w:r>
              <w:rPr>
                <w:rFonts w:ascii="Arial" w:hAnsi="Arial" w:cs="Arial"/>
              </w:rPr>
              <w:t>Provide support with developing strategies and business plans e.g. development as a training practice, joint or at scale working, mergers, participation in locum chambers and the role that practice/practice team will form in the new care models</w:t>
            </w:r>
            <w:r w:rsidR="000B4F6D">
              <w:rPr>
                <w:rFonts w:ascii="Arial" w:hAnsi="Arial" w:cs="Arial"/>
              </w:rPr>
              <w:t>;</w:t>
            </w:r>
          </w:p>
        </w:tc>
      </w:tr>
      <w:tr w:rsidR="00410B62" w:rsidRPr="00463F66" w:rsidTr="008A27BF">
        <w:tc>
          <w:tcPr>
            <w:tcW w:w="9214" w:type="dxa"/>
          </w:tcPr>
          <w:p w:rsidR="00410B62" w:rsidRDefault="00410B62" w:rsidP="009A3F3F">
            <w:pPr>
              <w:pStyle w:val="NoSpacing"/>
              <w:rPr>
                <w:rFonts w:ascii="Arial" w:hAnsi="Arial" w:cs="Arial"/>
              </w:rPr>
            </w:pPr>
            <w:r>
              <w:rPr>
                <w:rFonts w:ascii="Arial" w:hAnsi="Arial" w:cs="Arial"/>
              </w:rPr>
              <w:t>Workforce planning &amp; development – supporting practice staff and teams to understand and access appropriate training and development opportunities</w:t>
            </w:r>
            <w:r w:rsidR="000B4F6D">
              <w:rPr>
                <w:rFonts w:ascii="Arial" w:hAnsi="Arial" w:cs="Arial"/>
              </w:rPr>
              <w:t>;</w:t>
            </w:r>
          </w:p>
          <w:p w:rsidR="00410B62" w:rsidRDefault="00410B62" w:rsidP="009A3F3F">
            <w:pPr>
              <w:pStyle w:val="NoSpacing"/>
              <w:rPr>
                <w:rFonts w:ascii="Arial" w:hAnsi="Arial" w:cs="Arial"/>
              </w:rPr>
            </w:pPr>
          </w:p>
        </w:tc>
      </w:tr>
      <w:tr w:rsidR="00410B62" w:rsidRPr="00463F66" w:rsidTr="008A27BF">
        <w:tc>
          <w:tcPr>
            <w:tcW w:w="9214" w:type="dxa"/>
          </w:tcPr>
          <w:p w:rsidR="00410B62" w:rsidRDefault="00410B62" w:rsidP="009A3F3F">
            <w:pPr>
              <w:pStyle w:val="NoSpacing"/>
              <w:rPr>
                <w:rFonts w:ascii="Arial" w:hAnsi="Arial" w:cs="Arial"/>
              </w:rPr>
            </w:pPr>
            <w:r>
              <w:rPr>
                <w:rFonts w:ascii="Arial" w:hAnsi="Arial" w:cs="Arial"/>
              </w:rPr>
              <w:t xml:space="preserve">Development of practice teams including new roles e.g. Clinical Pharmacists, Medical Assistants, </w:t>
            </w:r>
            <w:r w:rsidR="007050A4">
              <w:rPr>
                <w:rFonts w:ascii="Arial" w:hAnsi="Arial" w:cs="Arial"/>
              </w:rPr>
              <w:t>and Care</w:t>
            </w:r>
            <w:r>
              <w:rPr>
                <w:rFonts w:ascii="Arial" w:hAnsi="Arial" w:cs="Arial"/>
              </w:rPr>
              <w:t xml:space="preserve"> Navigators</w:t>
            </w:r>
            <w:r w:rsidR="000B4F6D">
              <w:rPr>
                <w:rFonts w:ascii="Arial" w:hAnsi="Arial" w:cs="Arial"/>
              </w:rPr>
              <w:t>.</w:t>
            </w:r>
          </w:p>
          <w:p w:rsidR="00410B62" w:rsidRDefault="00410B62" w:rsidP="009A3F3F">
            <w:pPr>
              <w:pStyle w:val="NoSpacing"/>
              <w:rPr>
                <w:rFonts w:ascii="Arial" w:hAnsi="Arial" w:cs="Arial"/>
              </w:rPr>
            </w:pPr>
          </w:p>
        </w:tc>
      </w:tr>
      <w:tr w:rsidR="00410B62" w:rsidRPr="00463F66" w:rsidTr="008A27BF">
        <w:trPr>
          <w:trHeight w:val="347"/>
        </w:trPr>
        <w:tc>
          <w:tcPr>
            <w:tcW w:w="9214" w:type="dxa"/>
            <w:shd w:val="clear" w:color="auto" w:fill="00B0F0"/>
          </w:tcPr>
          <w:p w:rsidR="00410B62" w:rsidRPr="007B009E" w:rsidRDefault="001A57BF" w:rsidP="001A57BF">
            <w:pPr>
              <w:pStyle w:val="NoSpacing"/>
              <w:numPr>
                <w:ilvl w:val="0"/>
                <w:numId w:val="9"/>
              </w:numPr>
              <w:rPr>
                <w:rFonts w:ascii="Arial" w:hAnsi="Arial" w:cs="Arial"/>
                <w:b/>
              </w:rPr>
            </w:pPr>
            <w:r w:rsidRPr="001A57BF">
              <w:rPr>
                <w:rFonts w:ascii="Arial" w:hAnsi="Arial" w:cs="Arial"/>
                <w:b/>
                <w:color w:val="FFFFFF" w:themeColor="background1"/>
              </w:rPr>
              <w:t>Management</w:t>
            </w:r>
          </w:p>
        </w:tc>
      </w:tr>
      <w:tr w:rsidR="00410B62" w:rsidRPr="00463F66" w:rsidTr="008A27BF">
        <w:tc>
          <w:tcPr>
            <w:tcW w:w="9214" w:type="dxa"/>
          </w:tcPr>
          <w:p w:rsidR="00410B62" w:rsidRDefault="00410B62" w:rsidP="009A3F3F">
            <w:pPr>
              <w:pStyle w:val="NoSpacing"/>
              <w:rPr>
                <w:rFonts w:ascii="Arial" w:hAnsi="Arial" w:cs="Arial"/>
              </w:rPr>
            </w:pPr>
            <w:r>
              <w:rPr>
                <w:rFonts w:ascii="Arial" w:hAnsi="Arial" w:cs="Arial"/>
              </w:rPr>
              <w:t>To provide advice, guidance and training in HR and management processes e.g. line management, retention and recruitment, induction and processes for new practice staff, performance management, appraisal and development</w:t>
            </w:r>
            <w:r w:rsidR="000B4F6D">
              <w:rPr>
                <w:rFonts w:ascii="Arial" w:hAnsi="Arial" w:cs="Arial"/>
              </w:rPr>
              <w:t>;</w:t>
            </w:r>
          </w:p>
          <w:p w:rsidR="00410B62" w:rsidRDefault="00410B62" w:rsidP="009A3F3F">
            <w:pPr>
              <w:pStyle w:val="NoSpacing"/>
              <w:rPr>
                <w:rFonts w:ascii="Arial" w:hAnsi="Arial" w:cs="Arial"/>
              </w:rPr>
            </w:pPr>
          </w:p>
        </w:tc>
      </w:tr>
      <w:tr w:rsidR="00410B62" w:rsidRPr="00463F66" w:rsidTr="008A27BF">
        <w:tc>
          <w:tcPr>
            <w:tcW w:w="9214" w:type="dxa"/>
          </w:tcPr>
          <w:p w:rsidR="00410B62" w:rsidRDefault="00410B62" w:rsidP="009A3F3F">
            <w:pPr>
              <w:pStyle w:val="NoSpacing"/>
              <w:rPr>
                <w:rFonts w:ascii="Arial" w:hAnsi="Arial" w:cs="Arial"/>
              </w:rPr>
            </w:pPr>
            <w:r>
              <w:rPr>
                <w:rFonts w:ascii="Arial" w:hAnsi="Arial" w:cs="Arial"/>
              </w:rPr>
              <w:t>To develop effective approaches to the operational management of the practice – e.g. this may include direct support e.g. personnel development for  Practice Manages and/or senior administrators</w:t>
            </w:r>
            <w:r w:rsidR="000B4F6D">
              <w:rPr>
                <w:rFonts w:ascii="Arial" w:hAnsi="Arial" w:cs="Arial"/>
              </w:rPr>
              <w:t>;</w:t>
            </w:r>
          </w:p>
          <w:p w:rsidR="00410B62" w:rsidRDefault="00410B62" w:rsidP="009A3F3F">
            <w:pPr>
              <w:pStyle w:val="NoSpacing"/>
              <w:rPr>
                <w:rFonts w:ascii="Arial" w:hAnsi="Arial" w:cs="Arial"/>
              </w:rPr>
            </w:pPr>
          </w:p>
        </w:tc>
      </w:tr>
      <w:tr w:rsidR="00410B62" w:rsidRPr="00463F66" w:rsidTr="008A27BF">
        <w:tc>
          <w:tcPr>
            <w:tcW w:w="9214" w:type="dxa"/>
          </w:tcPr>
          <w:p w:rsidR="00410B62" w:rsidRDefault="00410B62" w:rsidP="009A3F3F">
            <w:pPr>
              <w:pStyle w:val="NoSpacing"/>
              <w:rPr>
                <w:rFonts w:ascii="Arial" w:hAnsi="Arial" w:cs="Arial"/>
              </w:rPr>
            </w:pPr>
            <w:r>
              <w:rPr>
                <w:rFonts w:ascii="Arial" w:hAnsi="Arial" w:cs="Arial"/>
              </w:rPr>
              <w:t>To review and develop robust models of patient access including for example scheduling, use of telephone triage and consultation, use of groups clinics, introduction of e-consultations, use of access hub services</w:t>
            </w:r>
            <w:r w:rsidR="000B4F6D">
              <w:rPr>
                <w:rFonts w:ascii="Arial" w:hAnsi="Arial" w:cs="Arial"/>
              </w:rPr>
              <w:t>;</w:t>
            </w:r>
          </w:p>
          <w:p w:rsidR="00410B62" w:rsidRDefault="00410B62" w:rsidP="009A3F3F">
            <w:pPr>
              <w:pStyle w:val="NoSpacing"/>
              <w:rPr>
                <w:rFonts w:ascii="Arial" w:hAnsi="Arial" w:cs="Arial"/>
              </w:rPr>
            </w:pPr>
          </w:p>
        </w:tc>
      </w:tr>
      <w:tr w:rsidR="00410B62" w:rsidRPr="00463F66" w:rsidTr="008A27BF">
        <w:tc>
          <w:tcPr>
            <w:tcW w:w="9214" w:type="dxa"/>
          </w:tcPr>
          <w:p w:rsidR="00410B62" w:rsidRDefault="001045A4" w:rsidP="009A3F3F">
            <w:pPr>
              <w:pStyle w:val="NoSpacing"/>
              <w:rPr>
                <w:rFonts w:ascii="Arial" w:hAnsi="Arial" w:cs="Arial"/>
              </w:rPr>
            </w:pPr>
            <w:r>
              <w:rPr>
                <w:rFonts w:ascii="Arial" w:hAnsi="Arial" w:cs="Arial"/>
              </w:rPr>
              <w:t xml:space="preserve">Scoping out view of collaborative working, </w:t>
            </w:r>
            <w:r w:rsidR="007050A4">
              <w:rPr>
                <w:rFonts w:ascii="Arial" w:hAnsi="Arial" w:cs="Arial"/>
              </w:rPr>
              <w:t xml:space="preserve">potential </w:t>
            </w:r>
            <w:r>
              <w:rPr>
                <w:rFonts w:ascii="Arial" w:hAnsi="Arial" w:cs="Arial"/>
              </w:rPr>
              <w:t>merg</w:t>
            </w:r>
            <w:r w:rsidR="007050A4">
              <w:rPr>
                <w:rFonts w:ascii="Arial" w:hAnsi="Arial" w:cs="Arial"/>
              </w:rPr>
              <w:t>ers</w:t>
            </w:r>
            <w:r>
              <w:rPr>
                <w:rFonts w:ascii="Arial" w:hAnsi="Arial" w:cs="Arial"/>
              </w:rPr>
              <w:t xml:space="preserve"> and d</w:t>
            </w:r>
            <w:r w:rsidR="00410B62">
              <w:rPr>
                <w:rFonts w:ascii="Arial" w:hAnsi="Arial" w:cs="Arial"/>
              </w:rPr>
              <w:t>eveloping the framework through which the practice captures, reviews, actions and responds to patient feedback in a timely manner, working with the appropriate members of staff and stakeholders.</w:t>
            </w:r>
          </w:p>
          <w:p w:rsidR="00410B62" w:rsidRDefault="00410B62" w:rsidP="009A3F3F">
            <w:pPr>
              <w:pStyle w:val="NoSpacing"/>
              <w:rPr>
                <w:rFonts w:ascii="Arial" w:hAnsi="Arial" w:cs="Arial"/>
              </w:rPr>
            </w:pPr>
          </w:p>
        </w:tc>
      </w:tr>
    </w:tbl>
    <w:p w:rsidR="001045A4" w:rsidRDefault="001045A4" w:rsidP="00C02F6F">
      <w:pPr>
        <w:pStyle w:val="NoSpacing"/>
        <w:rPr>
          <w:rFonts w:ascii="Arial" w:eastAsia="Calibri" w:hAnsi="Arial" w:cs="Arial"/>
          <w:b/>
        </w:rPr>
      </w:pPr>
    </w:p>
    <w:p w:rsidR="00531F2D" w:rsidRPr="008B3FE9" w:rsidRDefault="00531F2D" w:rsidP="00531F2D">
      <w:pPr>
        <w:pStyle w:val="NoSpacing"/>
        <w:rPr>
          <w:rFonts w:ascii="Arial" w:hAnsi="Arial" w:cs="Arial"/>
          <w:b/>
        </w:rPr>
      </w:pPr>
      <w:r w:rsidRPr="008B3FE9">
        <w:rPr>
          <w:rFonts w:ascii="Arial" w:hAnsi="Arial" w:cs="Arial"/>
          <w:b/>
        </w:rPr>
        <w:t>3.</w:t>
      </w:r>
      <w:r w:rsidRPr="008B3FE9">
        <w:rPr>
          <w:rFonts w:ascii="Arial" w:hAnsi="Arial" w:cs="Arial"/>
          <w:b/>
        </w:rPr>
        <w:tab/>
        <w:t xml:space="preserve">Lot Structure </w:t>
      </w:r>
    </w:p>
    <w:p w:rsidR="00531F2D" w:rsidRPr="008B3FE9" w:rsidRDefault="00531F2D" w:rsidP="00531F2D">
      <w:pPr>
        <w:pStyle w:val="NoSpacing"/>
        <w:ind w:left="720"/>
        <w:rPr>
          <w:rFonts w:ascii="Arial" w:hAnsi="Arial" w:cs="Arial"/>
        </w:rPr>
      </w:pPr>
    </w:p>
    <w:p w:rsidR="00531F2D" w:rsidRPr="008B3FE9" w:rsidRDefault="00531F2D" w:rsidP="00531F2D">
      <w:pPr>
        <w:pStyle w:val="NoSpacing"/>
        <w:ind w:left="720"/>
        <w:rPr>
          <w:rFonts w:ascii="Arial" w:hAnsi="Arial" w:cs="Arial"/>
        </w:rPr>
      </w:pPr>
      <w:r w:rsidRPr="008B3FE9">
        <w:rPr>
          <w:rFonts w:ascii="Arial" w:hAnsi="Arial" w:cs="Arial"/>
        </w:rPr>
        <w:t>The CCG reserves the right for the above service to award a single contract to meet the full requirements. As part of the ITQ response, the provider should clearly indicate breakdown of the prices for each area of the specification that they are quoting for.</w:t>
      </w:r>
    </w:p>
    <w:p w:rsidR="00531F2D" w:rsidRDefault="00531F2D" w:rsidP="00C02F6F">
      <w:pPr>
        <w:pStyle w:val="NoSpacing"/>
        <w:rPr>
          <w:rFonts w:ascii="Arial" w:eastAsia="Calibri" w:hAnsi="Arial" w:cs="Arial"/>
          <w:b/>
        </w:rPr>
      </w:pPr>
    </w:p>
    <w:p w:rsidR="00B8423F" w:rsidRPr="008B3FE9" w:rsidRDefault="00531F2D" w:rsidP="00B8423F">
      <w:pPr>
        <w:pStyle w:val="NoSpacing"/>
        <w:rPr>
          <w:rFonts w:ascii="Arial" w:hAnsi="Arial" w:cs="Arial"/>
          <w:b/>
        </w:rPr>
      </w:pPr>
      <w:r>
        <w:rPr>
          <w:rFonts w:ascii="Arial" w:hAnsi="Arial" w:cs="Arial"/>
          <w:b/>
        </w:rPr>
        <w:t>4.</w:t>
      </w:r>
      <w:r w:rsidR="00B8423F" w:rsidRPr="008B3FE9">
        <w:rPr>
          <w:rFonts w:ascii="Arial" w:hAnsi="Arial" w:cs="Arial"/>
          <w:b/>
        </w:rPr>
        <w:tab/>
        <w:t>Outputs/deliverables</w:t>
      </w:r>
    </w:p>
    <w:p w:rsidR="00B8423F" w:rsidRPr="008B3FE9" w:rsidRDefault="00B8423F" w:rsidP="00B8423F">
      <w:pPr>
        <w:pStyle w:val="NoSpacing"/>
        <w:ind w:left="720"/>
        <w:rPr>
          <w:rFonts w:ascii="Arial" w:hAnsi="Arial" w:cs="Arial"/>
        </w:rPr>
      </w:pPr>
    </w:p>
    <w:p w:rsidR="00436654" w:rsidRDefault="00436654" w:rsidP="00436654">
      <w:pPr>
        <w:pStyle w:val="NoSpacing"/>
        <w:ind w:left="720"/>
        <w:rPr>
          <w:rFonts w:ascii="Arial" w:hAnsi="Arial" w:cs="Arial"/>
        </w:rPr>
      </w:pPr>
      <w:r>
        <w:rPr>
          <w:rFonts w:ascii="Arial" w:hAnsi="Arial" w:cs="Arial"/>
        </w:rPr>
        <w:t xml:space="preserve">Bidders will agree specific outputs/deliverables with each of the practices, with oversight from the CCG to ensure this meets the overall objectives for this work.  </w:t>
      </w:r>
    </w:p>
    <w:p w:rsidR="00436654" w:rsidRDefault="00436654" w:rsidP="00436654">
      <w:pPr>
        <w:pStyle w:val="NoSpacing"/>
        <w:ind w:left="720"/>
        <w:rPr>
          <w:rFonts w:ascii="Arial" w:hAnsi="Arial" w:cs="Arial"/>
        </w:rPr>
      </w:pPr>
    </w:p>
    <w:p w:rsidR="00436654" w:rsidRDefault="00436654" w:rsidP="00436654">
      <w:pPr>
        <w:pStyle w:val="NoSpacing"/>
        <w:ind w:left="720"/>
        <w:rPr>
          <w:rFonts w:ascii="Arial" w:hAnsi="Arial" w:cs="Arial"/>
        </w:rPr>
      </w:pPr>
      <w:r>
        <w:rPr>
          <w:rFonts w:ascii="Arial" w:hAnsi="Arial" w:cs="Arial"/>
        </w:rPr>
        <w:lastRenderedPageBreak/>
        <w:t>Deliverables may include a brief plan for each practice intervention, planning for and delivery of workshops/practice team sessions, training, toolkits and/or documents to be developed (e.g. strategies, plans, frameworks, business cases, dashboards).</w:t>
      </w:r>
    </w:p>
    <w:p w:rsidR="00436654" w:rsidRDefault="00436654" w:rsidP="00436654">
      <w:pPr>
        <w:pStyle w:val="NoSpacing"/>
        <w:ind w:left="720"/>
        <w:rPr>
          <w:rFonts w:ascii="Arial" w:hAnsi="Arial" w:cs="Arial"/>
        </w:rPr>
      </w:pPr>
    </w:p>
    <w:p w:rsidR="00436654" w:rsidRDefault="00436654" w:rsidP="00436654">
      <w:pPr>
        <w:pStyle w:val="NoSpacing"/>
        <w:ind w:left="720"/>
        <w:rPr>
          <w:rFonts w:ascii="Arial" w:hAnsi="Arial" w:cs="Arial"/>
        </w:rPr>
      </w:pPr>
      <w:r>
        <w:rPr>
          <w:rFonts w:ascii="Arial" w:hAnsi="Arial" w:cs="Arial"/>
        </w:rPr>
        <w:t>Bidders will also be required to provide a fortnightly highlight report to the CCG documenting the work undertaken, including outputs produced and progress towards key outcomes and milestones.</w:t>
      </w:r>
    </w:p>
    <w:p w:rsidR="00436654" w:rsidRDefault="00436654" w:rsidP="00436654">
      <w:pPr>
        <w:pStyle w:val="NoSpacing"/>
        <w:ind w:left="720"/>
        <w:rPr>
          <w:rFonts w:ascii="Arial" w:hAnsi="Arial" w:cs="Arial"/>
        </w:rPr>
      </w:pPr>
    </w:p>
    <w:p w:rsidR="00436654" w:rsidRDefault="00436654" w:rsidP="00436654">
      <w:pPr>
        <w:pStyle w:val="NoSpacing"/>
        <w:ind w:left="720"/>
        <w:rPr>
          <w:rFonts w:ascii="Arial" w:hAnsi="Arial" w:cs="Arial"/>
        </w:rPr>
      </w:pPr>
      <w:r>
        <w:rPr>
          <w:rFonts w:ascii="Arial" w:hAnsi="Arial" w:cs="Arial"/>
        </w:rPr>
        <w:t xml:space="preserve">Bidders will need to be available immediately to commence the work </w:t>
      </w:r>
      <w:r w:rsidR="00015ED2">
        <w:rPr>
          <w:rFonts w:ascii="Arial" w:hAnsi="Arial" w:cs="Arial"/>
        </w:rPr>
        <w:t>beginning of January 2018</w:t>
      </w:r>
      <w:r>
        <w:rPr>
          <w:rFonts w:ascii="Arial" w:hAnsi="Arial" w:cs="Arial"/>
        </w:rPr>
        <w:t>, working flexibly with practices, and also be able to prioritise delivery of a focused and timely intervention with each.</w:t>
      </w:r>
    </w:p>
    <w:p w:rsidR="00436654" w:rsidRDefault="00436654" w:rsidP="00436654">
      <w:pPr>
        <w:pStyle w:val="NoSpacing"/>
        <w:ind w:left="720"/>
        <w:rPr>
          <w:rFonts w:ascii="Arial" w:hAnsi="Arial" w:cs="Arial"/>
        </w:rPr>
      </w:pPr>
    </w:p>
    <w:p w:rsidR="00436654" w:rsidRDefault="00436654" w:rsidP="00436654">
      <w:pPr>
        <w:pStyle w:val="NoSpacing"/>
        <w:ind w:left="720"/>
        <w:rPr>
          <w:rFonts w:ascii="Arial" w:hAnsi="Arial" w:cs="Arial"/>
        </w:rPr>
      </w:pPr>
      <w:r>
        <w:rPr>
          <w:rFonts w:ascii="Arial" w:hAnsi="Arial" w:cs="Arial"/>
        </w:rPr>
        <w:t>The outputs should be produced to a high standard and embedded in the practice following an effective handover.  These outputs will be owned by the practice.  The CCG may also request copies of any outputs created as part of delivery the service.</w:t>
      </w:r>
    </w:p>
    <w:p w:rsidR="00B8423F" w:rsidRPr="008B3FE9" w:rsidRDefault="00B8423F" w:rsidP="00B8423F">
      <w:pPr>
        <w:pStyle w:val="NoSpacing"/>
        <w:ind w:left="720"/>
        <w:rPr>
          <w:rFonts w:ascii="Arial" w:hAnsi="Arial" w:cs="Arial"/>
        </w:rPr>
      </w:pPr>
    </w:p>
    <w:p w:rsidR="00B8423F" w:rsidRPr="008B3FE9" w:rsidRDefault="00531F2D" w:rsidP="00B8423F">
      <w:pPr>
        <w:pStyle w:val="NoSpacing"/>
        <w:rPr>
          <w:rFonts w:ascii="Arial" w:hAnsi="Arial" w:cs="Arial"/>
          <w:b/>
        </w:rPr>
      </w:pPr>
      <w:r>
        <w:rPr>
          <w:rFonts w:ascii="Arial" w:hAnsi="Arial" w:cs="Arial"/>
          <w:b/>
        </w:rPr>
        <w:t>5</w:t>
      </w:r>
      <w:r w:rsidR="00B8423F" w:rsidRPr="008B3FE9">
        <w:rPr>
          <w:rFonts w:ascii="Arial" w:hAnsi="Arial" w:cs="Arial"/>
          <w:b/>
        </w:rPr>
        <w:t>.</w:t>
      </w:r>
      <w:r w:rsidR="00B8423F" w:rsidRPr="008B3FE9">
        <w:rPr>
          <w:rFonts w:ascii="Arial" w:hAnsi="Arial" w:cs="Arial"/>
          <w:b/>
        </w:rPr>
        <w:tab/>
        <w:t>Outcomes</w:t>
      </w:r>
    </w:p>
    <w:p w:rsidR="00B8423F" w:rsidRPr="008B3FE9" w:rsidRDefault="00B8423F" w:rsidP="00B8423F">
      <w:pPr>
        <w:pStyle w:val="NoSpacing"/>
        <w:rPr>
          <w:rFonts w:ascii="Arial" w:hAnsi="Arial" w:cs="Arial"/>
        </w:rPr>
      </w:pPr>
    </w:p>
    <w:p w:rsidR="00B8423F" w:rsidRPr="008B3FE9" w:rsidRDefault="00B8423F" w:rsidP="00B8423F">
      <w:pPr>
        <w:pStyle w:val="NoSpacing"/>
        <w:ind w:left="720"/>
        <w:rPr>
          <w:rFonts w:ascii="Arial" w:hAnsi="Arial" w:cs="Arial"/>
        </w:rPr>
      </w:pPr>
      <w:r w:rsidRPr="008B3FE9">
        <w:rPr>
          <w:rFonts w:ascii="Arial" w:hAnsi="Arial" w:cs="Arial"/>
        </w:rPr>
        <w:t>The expected outcomes from this practice-level support are:</w:t>
      </w:r>
    </w:p>
    <w:p w:rsidR="00B8423F" w:rsidRPr="008B3FE9" w:rsidRDefault="00B8423F" w:rsidP="00B8423F">
      <w:pPr>
        <w:pStyle w:val="NoSpacing"/>
        <w:ind w:left="720"/>
        <w:rPr>
          <w:rFonts w:ascii="Arial" w:hAnsi="Arial" w:cs="Arial"/>
        </w:rPr>
      </w:pPr>
    </w:p>
    <w:p w:rsidR="00B8423F" w:rsidRPr="008B3FE9" w:rsidRDefault="00B8423F" w:rsidP="00B8423F">
      <w:pPr>
        <w:pStyle w:val="NoSpacing"/>
        <w:numPr>
          <w:ilvl w:val="0"/>
          <w:numId w:val="7"/>
        </w:numPr>
        <w:rPr>
          <w:rFonts w:ascii="Arial" w:hAnsi="Arial" w:cs="Arial"/>
        </w:rPr>
      </w:pPr>
      <w:r w:rsidRPr="008B3FE9">
        <w:rPr>
          <w:rFonts w:ascii="Arial" w:hAnsi="Arial" w:cs="Arial"/>
        </w:rPr>
        <w:t>Practice who are provided with resilience support priorities are identified, agreed and prioritised in a timely manner;</w:t>
      </w:r>
    </w:p>
    <w:p w:rsidR="00B8423F" w:rsidRPr="008B3FE9" w:rsidRDefault="00B8423F" w:rsidP="00B8423F">
      <w:pPr>
        <w:pStyle w:val="NoSpacing"/>
        <w:numPr>
          <w:ilvl w:val="0"/>
          <w:numId w:val="7"/>
        </w:numPr>
        <w:rPr>
          <w:rFonts w:ascii="Arial" w:hAnsi="Arial" w:cs="Arial"/>
        </w:rPr>
      </w:pPr>
      <w:r w:rsidRPr="008B3FE9">
        <w:rPr>
          <w:rFonts w:ascii="Arial" w:hAnsi="Arial" w:cs="Arial"/>
        </w:rPr>
        <w:t xml:space="preserve">Practice teams are engaged in their own development; </w:t>
      </w:r>
    </w:p>
    <w:p w:rsidR="00B8423F" w:rsidRPr="008B3FE9" w:rsidRDefault="00B8423F" w:rsidP="00B8423F">
      <w:pPr>
        <w:pStyle w:val="NoSpacing"/>
        <w:numPr>
          <w:ilvl w:val="0"/>
          <w:numId w:val="7"/>
        </w:numPr>
        <w:rPr>
          <w:rFonts w:ascii="Arial" w:hAnsi="Arial" w:cs="Arial"/>
        </w:rPr>
      </w:pPr>
      <w:r w:rsidRPr="008B3FE9">
        <w:rPr>
          <w:rFonts w:ascii="Arial" w:hAnsi="Arial" w:cs="Arial"/>
        </w:rPr>
        <w:t xml:space="preserve">Short term improvements where issues are putting practice viability at-risk; </w:t>
      </w:r>
    </w:p>
    <w:p w:rsidR="00B8423F" w:rsidRPr="008B3FE9" w:rsidRDefault="00B8423F" w:rsidP="00B8423F">
      <w:pPr>
        <w:pStyle w:val="NoSpacing"/>
        <w:numPr>
          <w:ilvl w:val="0"/>
          <w:numId w:val="7"/>
        </w:numPr>
        <w:rPr>
          <w:rFonts w:ascii="Arial" w:hAnsi="Arial" w:cs="Arial"/>
        </w:rPr>
      </w:pPr>
      <w:r w:rsidRPr="008B3FE9">
        <w:rPr>
          <w:rFonts w:ascii="Arial" w:hAnsi="Arial" w:cs="Arial"/>
        </w:rPr>
        <w:t>Clear plans for development in the medium to longer term;</w:t>
      </w:r>
    </w:p>
    <w:p w:rsidR="00B8423F" w:rsidRPr="008B3FE9" w:rsidRDefault="00B8423F" w:rsidP="00B8423F">
      <w:pPr>
        <w:pStyle w:val="NoSpacing"/>
        <w:numPr>
          <w:ilvl w:val="0"/>
          <w:numId w:val="7"/>
        </w:numPr>
        <w:rPr>
          <w:rFonts w:ascii="Arial" w:hAnsi="Arial" w:cs="Arial"/>
        </w:rPr>
      </w:pPr>
      <w:r w:rsidRPr="008B3FE9">
        <w:rPr>
          <w:rFonts w:ascii="Arial" w:hAnsi="Arial" w:cs="Arial"/>
        </w:rPr>
        <w:t>Increased resilience and sustainability;</w:t>
      </w:r>
    </w:p>
    <w:p w:rsidR="00B8423F" w:rsidRPr="008B3FE9" w:rsidRDefault="00B8423F" w:rsidP="00B8423F">
      <w:pPr>
        <w:pStyle w:val="NoSpacing"/>
        <w:numPr>
          <w:ilvl w:val="0"/>
          <w:numId w:val="7"/>
        </w:numPr>
        <w:rPr>
          <w:rFonts w:ascii="Arial" w:hAnsi="Arial" w:cs="Arial"/>
        </w:rPr>
      </w:pPr>
      <w:r w:rsidRPr="008B3FE9">
        <w:rPr>
          <w:rFonts w:ascii="Arial" w:hAnsi="Arial" w:cs="Arial"/>
        </w:rPr>
        <w:t xml:space="preserve">Effective working relationships and high performing teams at the General Practices; </w:t>
      </w:r>
    </w:p>
    <w:p w:rsidR="00B8423F" w:rsidRPr="008B3FE9" w:rsidRDefault="00B8423F" w:rsidP="00B8423F">
      <w:pPr>
        <w:pStyle w:val="NoSpacing"/>
        <w:numPr>
          <w:ilvl w:val="0"/>
          <w:numId w:val="7"/>
        </w:numPr>
        <w:rPr>
          <w:rFonts w:ascii="Arial" w:hAnsi="Arial" w:cs="Arial"/>
        </w:rPr>
      </w:pPr>
      <w:r w:rsidRPr="008B3FE9">
        <w:rPr>
          <w:rFonts w:ascii="Arial" w:hAnsi="Arial" w:cs="Arial"/>
        </w:rPr>
        <w:t xml:space="preserve">Improved understanding of the help and support available from peers and from the commissioner(s) at Brent level and; </w:t>
      </w:r>
    </w:p>
    <w:p w:rsidR="00B8423F" w:rsidRPr="008B3FE9" w:rsidRDefault="00B8423F" w:rsidP="00B8423F">
      <w:pPr>
        <w:pStyle w:val="NoSpacing"/>
        <w:numPr>
          <w:ilvl w:val="0"/>
          <w:numId w:val="7"/>
        </w:numPr>
        <w:rPr>
          <w:rFonts w:ascii="Arial" w:hAnsi="Arial" w:cs="Arial"/>
        </w:rPr>
      </w:pPr>
      <w:r w:rsidRPr="008B3FE9">
        <w:rPr>
          <w:rFonts w:ascii="Arial" w:hAnsi="Arial" w:cs="Arial"/>
        </w:rPr>
        <w:t>Clear and robust structures, systems and processes at the General Practices.</w:t>
      </w:r>
    </w:p>
    <w:p w:rsidR="00B8423F" w:rsidRDefault="00B8423F" w:rsidP="00B8423F">
      <w:pPr>
        <w:pStyle w:val="NoSpacing"/>
        <w:ind w:left="720"/>
        <w:rPr>
          <w:rFonts w:ascii="Arial" w:hAnsi="Arial" w:cs="Arial"/>
        </w:rPr>
      </w:pPr>
    </w:p>
    <w:p w:rsidR="00B8423F" w:rsidRPr="008B3FE9" w:rsidRDefault="00531F2D" w:rsidP="00B8423F">
      <w:pPr>
        <w:pStyle w:val="NoSpacing"/>
        <w:rPr>
          <w:rFonts w:ascii="Arial" w:hAnsi="Arial" w:cs="Arial"/>
          <w:b/>
        </w:rPr>
      </w:pPr>
      <w:r>
        <w:rPr>
          <w:rFonts w:ascii="Arial" w:hAnsi="Arial" w:cs="Arial"/>
          <w:b/>
        </w:rPr>
        <w:t>6</w:t>
      </w:r>
      <w:r w:rsidR="00B8423F" w:rsidRPr="008B3FE9">
        <w:rPr>
          <w:rFonts w:ascii="Arial" w:hAnsi="Arial" w:cs="Arial"/>
          <w:b/>
        </w:rPr>
        <w:t>.</w:t>
      </w:r>
      <w:r w:rsidR="00B8423F" w:rsidRPr="008B3FE9">
        <w:rPr>
          <w:rFonts w:ascii="Arial" w:hAnsi="Arial" w:cs="Arial"/>
          <w:b/>
        </w:rPr>
        <w:tab/>
        <w:t>Pricing</w:t>
      </w:r>
    </w:p>
    <w:p w:rsidR="00B8423F" w:rsidRPr="008B3FE9" w:rsidRDefault="00B8423F" w:rsidP="00B8423F">
      <w:pPr>
        <w:pStyle w:val="NoSpacing"/>
        <w:ind w:left="720"/>
        <w:rPr>
          <w:rFonts w:ascii="Arial" w:hAnsi="Arial" w:cs="Arial"/>
        </w:rPr>
      </w:pPr>
    </w:p>
    <w:p w:rsidR="00436654" w:rsidRDefault="00436654" w:rsidP="00436654">
      <w:pPr>
        <w:ind w:left="720"/>
        <w:rPr>
          <w:rFonts w:ascii="Arial" w:hAnsi="Arial" w:cs="Arial"/>
        </w:rPr>
      </w:pPr>
      <w:r>
        <w:rPr>
          <w:rFonts w:ascii="Arial" w:hAnsi="Arial" w:cs="Arial"/>
        </w:rPr>
        <w:t>Bidders are required to provide an itemised list of prices (in pound sterling and inclusive of VAT, all fees and expenses) for the elements of the service they are bidding for. Bidders should clearly state the day rates, estimated number of days and the role description for any roles included.</w:t>
      </w:r>
    </w:p>
    <w:p w:rsidR="00436654" w:rsidRDefault="00436654" w:rsidP="00436654">
      <w:pPr>
        <w:pStyle w:val="NoSpacing"/>
        <w:ind w:left="720"/>
        <w:rPr>
          <w:rFonts w:ascii="Arial" w:hAnsi="Arial" w:cs="Arial"/>
        </w:rPr>
      </w:pPr>
    </w:p>
    <w:p w:rsidR="00436654" w:rsidRDefault="00436654" w:rsidP="00436654">
      <w:pPr>
        <w:pStyle w:val="NoSpacing"/>
        <w:ind w:left="720"/>
        <w:rPr>
          <w:rFonts w:ascii="Arial" w:hAnsi="Arial" w:cs="Arial"/>
        </w:rPr>
      </w:pPr>
      <w:r>
        <w:rPr>
          <w:rFonts w:ascii="Arial" w:hAnsi="Arial" w:cs="Arial"/>
        </w:rPr>
        <w:t xml:space="preserve">The upper, total affordability limit for the contract </w:t>
      </w:r>
      <w:r w:rsidR="007050A4">
        <w:rPr>
          <w:rFonts w:ascii="Arial" w:hAnsi="Arial" w:cs="Arial"/>
        </w:rPr>
        <w:t>(providing all 2</w:t>
      </w:r>
      <w:r>
        <w:rPr>
          <w:rFonts w:ascii="Arial" w:hAnsi="Arial" w:cs="Arial"/>
        </w:rPr>
        <w:t xml:space="preserve"> areas of the service specification) is £</w:t>
      </w:r>
      <w:r w:rsidR="008A27BF">
        <w:rPr>
          <w:rFonts w:ascii="Arial" w:hAnsi="Arial" w:cs="Arial"/>
        </w:rPr>
        <w:t>144,000.</w:t>
      </w:r>
      <w:r>
        <w:rPr>
          <w:rFonts w:ascii="Arial" w:hAnsi="Arial" w:cs="Arial"/>
        </w:rPr>
        <w:t xml:space="preserve"> The upper affordability limits for each of the lots/areas of the service are detailed below:</w:t>
      </w:r>
    </w:p>
    <w:p w:rsidR="00436654" w:rsidRDefault="00436654" w:rsidP="00436654">
      <w:pPr>
        <w:pStyle w:val="NoSpacing"/>
        <w:ind w:left="720"/>
        <w:rPr>
          <w:rFonts w:ascii="Arial" w:hAnsi="Arial" w:cs="Arial"/>
        </w:rPr>
      </w:pPr>
    </w:p>
    <w:p w:rsidR="00436654" w:rsidRPr="00536B2C" w:rsidRDefault="000B4F6D" w:rsidP="00436654">
      <w:pPr>
        <w:pStyle w:val="NoSpacing"/>
        <w:numPr>
          <w:ilvl w:val="0"/>
          <w:numId w:val="8"/>
        </w:numPr>
        <w:rPr>
          <w:rFonts w:ascii="Arial" w:hAnsi="Arial" w:cs="Arial"/>
        </w:rPr>
      </w:pPr>
      <w:r>
        <w:rPr>
          <w:rFonts w:ascii="Arial" w:hAnsi="Arial" w:cs="Arial"/>
        </w:rPr>
        <w:t>Strategic Planning &amp; Workforce Development</w:t>
      </w:r>
      <w:r w:rsidR="000C6627">
        <w:rPr>
          <w:rFonts w:ascii="Arial" w:hAnsi="Arial" w:cs="Arial"/>
        </w:rPr>
        <w:t xml:space="preserve">: </w:t>
      </w:r>
      <w:r w:rsidR="00CC40FE">
        <w:rPr>
          <w:rFonts w:ascii="Arial" w:hAnsi="Arial" w:cs="Arial"/>
        </w:rPr>
        <w:t xml:space="preserve"> </w:t>
      </w:r>
      <w:r w:rsidR="008A27BF">
        <w:rPr>
          <w:rFonts w:ascii="Arial" w:hAnsi="Arial" w:cs="Arial"/>
        </w:rPr>
        <w:t xml:space="preserve"> £72</w:t>
      </w:r>
      <w:r w:rsidR="00436654">
        <w:rPr>
          <w:rFonts w:ascii="Arial" w:hAnsi="Arial" w:cs="Arial"/>
        </w:rPr>
        <w:t>,000</w:t>
      </w:r>
      <w:r w:rsidR="00436654" w:rsidRPr="00536B2C">
        <w:rPr>
          <w:rFonts w:ascii="Arial" w:hAnsi="Arial" w:cs="Arial"/>
        </w:rPr>
        <w:t xml:space="preserve">                     </w:t>
      </w:r>
    </w:p>
    <w:p w:rsidR="00436654" w:rsidRDefault="000B4F6D" w:rsidP="00436654">
      <w:pPr>
        <w:pStyle w:val="NoSpacing"/>
        <w:numPr>
          <w:ilvl w:val="0"/>
          <w:numId w:val="8"/>
        </w:numPr>
        <w:rPr>
          <w:rFonts w:ascii="Arial" w:hAnsi="Arial" w:cs="Arial"/>
        </w:rPr>
      </w:pPr>
      <w:r>
        <w:rPr>
          <w:rFonts w:ascii="Arial" w:hAnsi="Arial" w:cs="Arial"/>
        </w:rPr>
        <w:t>Management</w:t>
      </w:r>
      <w:r w:rsidR="000C6627">
        <w:rPr>
          <w:rFonts w:ascii="Arial" w:hAnsi="Arial" w:cs="Arial"/>
        </w:rPr>
        <w:t xml:space="preserve">: </w:t>
      </w:r>
      <w:r w:rsidR="00CC40FE">
        <w:rPr>
          <w:rFonts w:ascii="Arial" w:hAnsi="Arial" w:cs="Arial"/>
        </w:rPr>
        <w:t xml:space="preserve"> </w:t>
      </w:r>
      <w:r w:rsidR="008A27BF">
        <w:rPr>
          <w:rFonts w:ascii="Arial" w:hAnsi="Arial" w:cs="Arial"/>
        </w:rPr>
        <w:t xml:space="preserve"> £72</w:t>
      </w:r>
      <w:r w:rsidR="00436654">
        <w:rPr>
          <w:rFonts w:ascii="Arial" w:hAnsi="Arial" w:cs="Arial"/>
        </w:rPr>
        <w:t>,000</w:t>
      </w:r>
      <w:r w:rsidR="00436654" w:rsidRPr="00536B2C">
        <w:rPr>
          <w:rFonts w:ascii="Arial" w:hAnsi="Arial" w:cs="Arial"/>
        </w:rPr>
        <w:t xml:space="preserve">     </w:t>
      </w:r>
    </w:p>
    <w:p w:rsidR="00A437AF" w:rsidRPr="00536B2C" w:rsidRDefault="00A437AF" w:rsidP="00A437AF">
      <w:pPr>
        <w:pStyle w:val="NoSpacing"/>
        <w:ind w:left="1440"/>
        <w:rPr>
          <w:rFonts w:ascii="Arial" w:hAnsi="Arial" w:cs="Arial"/>
        </w:rPr>
      </w:pPr>
    </w:p>
    <w:p w:rsidR="00436654" w:rsidRDefault="00436654" w:rsidP="00436654">
      <w:pPr>
        <w:pStyle w:val="NoSpacing"/>
        <w:ind w:left="720"/>
        <w:rPr>
          <w:rFonts w:ascii="Arial" w:hAnsi="Arial" w:cs="Arial"/>
        </w:rPr>
      </w:pPr>
      <w:r>
        <w:rPr>
          <w:rFonts w:ascii="Arial" w:hAnsi="Arial" w:cs="Arial"/>
        </w:rPr>
        <w:t xml:space="preserve">In order for a Bid price to be compliant, this must be within the upper affordability limit.  There will be no further funding available for additional costs, expenses and liabilities incurred. Any additional costs shall be the responsibility of the successful Bidder(s).  Further, it is the responsibility of Bidders to obtain for themselves, at their </w:t>
      </w:r>
      <w:r>
        <w:rPr>
          <w:rFonts w:ascii="Arial" w:hAnsi="Arial" w:cs="Arial"/>
        </w:rPr>
        <w:lastRenderedPageBreak/>
        <w:t>own expense, any additional information necessary for the preparation of their quotation.</w:t>
      </w:r>
    </w:p>
    <w:p w:rsidR="00B8423F" w:rsidRDefault="00B8423F" w:rsidP="00B8423F">
      <w:pPr>
        <w:pStyle w:val="NoSpacing"/>
        <w:rPr>
          <w:rFonts w:ascii="Arial" w:hAnsi="Arial" w:cs="Arial"/>
        </w:rPr>
      </w:pPr>
    </w:p>
    <w:p w:rsidR="00B8423F" w:rsidRPr="008B3FE9" w:rsidRDefault="00531F2D" w:rsidP="00B8423F">
      <w:pPr>
        <w:pStyle w:val="NoSpacing"/>
        <w:rPr>
          <w:rFonts w:ascii="Arial" w:hAnsi="Arial" w:cs="Arial"/>
          <w:b/>
        </w:rPr>
      </w:pPr>
      <w:r>
        <w:rPr>
          <w:rFonts w:ascii="Arial" w:hAnsi="Arial" w:cs="Arial"/>
          <w:b/>
        </w:rPr>
        <w:t>7</w:t>
      </w:r>
      <w:r w:rsidR="00B8423F" w:rsidRPr="008B3FE9">
        <w:rPr>
          <w:rFonts w:ascii="Arial" w:hAnsi="Arial" w:cs="Arial"/>
          <w:b/>
        </w:rPr>
        <w:t>.</w:t>
      </w:r>
      <w:r w:rsidR="00B8423F" w:rsidRPr="008B3FE9">
        <w:rPr>
          <w:rFonts w:ascii="Arial" w:hAnsi="Arial" w:cs="Arial"/>
          <w:b/>
        </w:rPr>
        <w:tab/>
        <w:t>Timetable</w:t>
      </w:r>
    </w:p>
    <w:p w:rsidR="00B8423F" w:rsidRPr="008B3FE9" w:rsidRDefault="00B8423F" w:rsidP="00B8423F">
      <w:pPr>
        <w:pStyle w:val="NoSpacing"/>
        <w:ind w:left="720"/>
        <w:rPr>
          <w:rFonts w:ascii="Arial" w:hAnsi="Arial" w:cs="Arial"/>
        </w:rPr>
      </w:pPr>
    </w:p>
    <w:tbl>
      <w:tblPr>
        <w:tblStyle w:val="TableGrid"/>
        <w:tblW w:w="0" w:type="auto"/>
        <w:tblInd w:w="720" w:type="dxa"/>
        <w:tblLook w:val="04A0" w:firstRow="1" w:lastRow="0" w:firstColumn="1" w:lastColumn="0" w:noHBand="0" w:noVBand="1"/>
      </w:tblPr>
      <w:tblGrid>
        <w:gridCol w:w="4219"/>
        <w:gridCol w:w="3686"/>
      </w:tblGrid>
      <w:tr w:rsidR="00B8423F" w:rsidRPr="008B3FE9" w:rsidTr="009A3F3F">
        <w:tc>
          <w:tcPr>
            <w:tcW w:w="4219" w:type="dxa"/>
          </w:tcPr>
          <w:p w:rsidR="00B8423F" w:rsidRPr="008B3FE9" w:rsidRDefault="00B8423F" w:rsidP="009A3F3F">
            <w:pPr>
              <w:pStyle w:val="NoSpacing"/>
              <w:rPr>
                <w:rFonts w:ascii="Arial" w:hAnsi="Arial" w:cs="Arial"/>
                <w:b/>
              </w:rPr>
            </w:pPr>
            <w:r w:rsidRPr="008B3FE9">
              <w:rPr>
                <w:rFonts w:ascii="Arial" w:hAnsi="Arial" w:cs="Arial"/>
                <w:b/>
              </w:rPr>
              <w:t>Milestone</w:t>
            </w:r>
          </w:p>
        </w:tc>
        <w:tc>
          <w:tcPr>
            <w:tcW w:w="3686" w:type="dxa"/>
          </w:tcPr>
          <w:p w:rsidR="00B8423F" w:rsidRPr="008B3FE9" w:rsidRDefault="00B8423F" w:rsidP="009A3F3F">
            <w:pPr>
              <w:pStyle w:val="NoSpacing"/>
              <w:rPr>
                <w:rFonts w:ascii="Arial" w:hAnsi="Arial" w:cs="Arial"/>
                <w:b/>
              </w:rPr>
            </w:pPr>
            <w:r w:rsidRPr="008B3FE9">
              <w:rPr>
                <w:rFonts w:ascii="Arial" w:hAnsi="Arial" w:cs="Arial"/>
                <w:b/>
              </w:rPr>
              <w:t>Date</w:t>
            </w:r>
          </w:p>
          <w:p w:rsidR="00B8423F" w:rsidRPr="008B3FE9" w:rsidRDefault="00B8423F" w:rsidP="009A3F3F">
            <w:pPr>
              <w:pStyle w:val="NoSpacing"/>
              <w:rPr>
                <w:rFonts w:ascii="Arial" w:hAnsi="Arial" w:cs="Arial"/>
                <w:b/>
              </w:rPr>
            </w:pPr>
          </w:p>
        </w:tc>
      </w:tr>
      <w:tr w:rsidR="00B8423F" w:rsidRPr="008B3FE9" w:rsidTr="009A3F3F">
        <w:tc>
          <w:tcPr>
            <w:tcW w:w="4219" w:type="dxa"/>
          </w:tcPr>
          <w:p w:rsidR="00B8423F" w:rsidRPr="008B3FE9" w:rsidRDefault="00B8423F" w:rsidP="009A3F3F">
            <w:pPr>
              <w:pStyle w:val="NoSpacing"/>
              <w:rPr>
                <w:rFonts w:ascii="Arial" w:hAnsi="Arial" w:cs="Arial"/>
              </w:rPr>
            </w:pPr>
            <w:r w:rsidRPr="008B3FE9">
              <w:rPr>
                <w:rFonts w:ascii="Arial" w:hAnsi="Arial" w:cs="Arial"/>
              </w:rPr>
              <w:t>Invitation to Quote issued</w:t>
            </w:r>
          </w:p>
        </w:tc>
        <w:tc>
          <w:tcPr>
            <w:tcW w:w="3686" w:type="dxa"/>
          </w:tcPr>
          <w:p w:rsidR="00B8423F" w:rsidRDefault="008A27BF" w:rsidP="009A3F3F">
            <w:pPr>
              <w:pStyle w:val="NoSpacing"/>
              <w:rPr>
                <w:rFonts w:ascii="Arial" w:hAnsi="Arial" w:cs="Arial"/>
              </w:rPr>
            </w:pPr>
            <w:r>
              <w:rPr>
                <w:rFonts w:ascii="Arial" w:hAnsi="Arial" w:cs="Arial"/>
              </w:rPr>
              <w:t>Tuesday 28th</w:t>
            </w:r>
            <w:r w:rsidR="000B4F6D">
              <w:rPr>
                <w:rFonts w:ascii="Arial" w:hAnsi="Arial" w:cs="Arial"/>
              </w:rPr>
              <w:t xml:space="preserve"> November</w:t>
            </w:r>
            <w:r w:rsidR="00B8423F" w:rsidRPr="008B3FE9">
              <w:rPr>
                <w:rFonts w:ascii="Arial" w:hAnsi="Arial" w:cs="Arial"/>
              </w:rPr>
              <w:t xml:space="preserve"> 2017</w:t>
            </w:r>
          </w:p>
          <w:p w:rsidR="00B8423F" w:rsidRPr="008B3FE9" w:rsidRDefault="00B8423F" w:rsidP="009A3F3F">
            <w:pPr>
              <w:pStyle w:val="NoSpacing"/>
              <w:rPr>
                <w:rFonts w:ascii="Arial" w:hAnsi="Arial" w:cs="Arial"/>
              </w:rPr>
            </w:pPr>
          </w:p>
        </w:tc>
      </w:tr>
      <w:tr w:rsidR="00B8423F" w:rsidRPr="008B3FE9" w:rsidTr="009A3F3F">
        <w:tc>
          <w:tcPr>
            <w:tcW w:w="4219" w:type="dxa"/>
          </w:tcPr>
          <w:p w:rsidR="00B8423F" w:rsidRPr="008B3FE9" w:rsidRDefault="00B8423F" w:rsidP="009A3F3F">
            <w:pPr>
              <w:pStyle w:val="NoSpacing"/>
              <w:rPr>
                <w:rFonts w:ascii="Arial" w:hAnsi="Arial" w:cs="Arial"/>
              </w:rPr>
            </w:pPr>
            <w:r w:rsidRPr="008B3FE9">
              <w:rPr>
                <w:rFonts w:ascii="Arial" w:hAnsi="Arial" w:cs="Arial"/>
              </w:rPr>
              <w:t>Deadline for receipt of bids</w:t>
            </w:r>
          </w:p>
        </w:tc>
        <w:tc>
          <w:tcPr>
            <w:tcW w:w="3686" w:type="dxa"/>
          </w:tcPr>
          <w:p w:rsidR="00B8423F" w:rsidRPr="008B3FE9" w:rsidRDefault="00B8423F" w:rsidP="000B4F6D">
            <w:pPr>
              <w:pStyle w:val="NoSpacing"/>
              <w:rPr>
                <w:rFonts w:ascii="Arial" w:hAnsi="Arial" w:cs="Arial"/>
                <w:b/>
              </w:rPr>
            </w:pPr>
            <w:r w:rsidRPr="008B3FE9">
              <w:rPr>
                <w:rFonts w:ascii="Arial" w:hAnsi="Arial" w:cs="Arial"/>
                <w:b/>
                <w:color w:val="FF0000"/>
              </w:rPr>
              <w:t xml:space="preserve">4pm on Monday </w:t>
            </w:r>
            <w:r w:rsidR="000B4F6D">
              <w:rPr>
                <w:rFonts w:ascii="Arial" w:hAnsi="Arial" w:cs="Arial"/>
                <w:b/>
                <w:color w:val="FF0000"/>
              </w:rPr>
              <w:t>11</w:t>
            </w:r>
            <w:r w:rsidR="000B4F6D" w:rsidRPr="000B4F6D">
              <w:rPr>
                <w:rFonts w:ascii="Arial" w:hAnsi="Arial" w:cs="Arial"/>
                <w:b/>
                <w:color w:val="FF0000"/>
                <w:vertAlign w:val="superscript"/>
              </w:rPr>
              <w:t>th</w:t>
            </w:r>
            <w:r w:rsidR="000B4F6D">
              <w:rPr>
                <w:rFonts w:ascii="Arial" w:hAnsi="Arial" w:cs="Arial"/>
                <w:b/>
                <w:color w:val="FF0000"/>
              </w:rPr>
              <w:t xml:space="preserve"> December</w:t>
            </w:r>
            <w:r w:rsidRPr="008B3FE9">
              <w:rPr>
                <w:rFonts w:ascii="Arial" w:hAnsi="Arial" w:cs="Arial"/>
                <w:b/>
                <w:color w:val="FF0000"/>
              </w:rPr>
              <w:t xml:space="preserve"> 2017</w:t>
            </w:r>
          </w:p>
        </w:tc>
      </w:tr>
      <w:tr w:rsidR="00B8423F" w:rsidRPr="008B3FE9" w:rsidTr="009A3F3F">
        <w:tc>
          <w:tcPr>
            <w:tcW w:w="4219" w:type="dxa"/>
          </w:tcPr>
          <w:p w:rsidR="00B8423F" w:rsidRPr="008B3FE9" w:rsidRDefault="00B8423F" w:rsidP="009A3F3F">
            <w:pPr>
              <w:pStyle w:val="NoSpacing"/>
              <w:rPr>
                <w:rFonts w:ascii="Arial" w:hAnsi="Arial" w:cs="Arial"/>
              </w:rPr>
            </w:pPr>
            <w:r w:rsidRPr="008B3FE9">
              <w:rPr>
                <w:rFonts w:ascii="Arial" w:hAnsi="Arial" w:cs="Arial"/>
              </w:rPr>
              <w:t>Evaluation Panel to review bids</w:t>
            </w:r>
          </w:p>
        </w:tc>
        <w:tc>
          <w:tcPr>
            <w:tcW w:w="3686" w:type="dxa"/>
          </w:tcPr>
          <w:p w:rsidR="00B8423F" w:rsidRDefault="007050A4" w:rsidP="009A3F3F">
            <w:pPr>
              <w:pStyle w:val="NoSpacing"/>
              <w:rPr>
                <w:rFonts w:ascii="Arial" w:hAnsi="Arial" w:cs="Arial"/>
              </w:rPr>
            </w:pPr>
            <w:r>
              <w:rPr>
                <w:rFonts w:ascii="Arial" w:hAnsi="Arial" w:cs="Arial"/>
              </w:rPr>
              <w:t>Monday 18</w:t>
            </w:r>
            <w:r w:rsidRPr="007050A4">
              <w:rPr>
                <w:rFonts w:ascii="Arial" w:hAnsi="Arial" w:cs="Arial"/>
                <w:vertAlign w:val="superscript"/>
              </w:rPr>
              <w:t>th</w:t>
            </w:r>
            <w:r>
              <w:rPr>
                <w:rFonts w:ascii="Arial" w:hAnsi="Arial" w:cs="Arial"/>
              </w:rPr>
              <w:t xml:space="preserve"> </w:t>
            </w:r>
            <w:r w:rsidR="000B4F6D">
              <w:rPr>
                <w:rFonts w:ascii="Arial" w:hAnsi="Arial" w:cs="Arial"/>
              </w:rPr>
              <w:t>December</w:t>
            </w:r>
            <w:r w:rsidR="00B8423F">
              <w:rPr>
                <w:rFonts w:ascii="Arial" w:hAnsi="Arial" w:cs="Arial"/>
              </w:rPr>
              <w:t xml:space="preserve"> </w:t>
            </w:r>
            <w:r w:rsidR="00B8423F" w:rsidRPr="008B3FE9">
              <w:rPr>
                <w:rFonts w:ascii="Arial" w:hAnsi="Arial" w:cs="Arial"/>
              </w:rPr>
              <w:t xml:space="preserve"> 2017</w:t>
            </w:r>
            <w:r>
              <w:rPr>
                <w:rFonts w:ascii="Arial" w:hAnsi="Arial" w:cs="Arial"/>
              </w:rPr>
              <w:t xml:space="preserve"> and Tuesday 19</w:t>
            </w:r>
            <w:r w:rsidRPr="007050A4">
              <w:rPr>
                <w:rFonts w:ascii="Arial" w:hAnsi="Arial" w:cs="Arial"/>
                <w:vertAlign w:val="superscript"/>
              </w:rPr>
              <w:t>th</w:t>
            </w:r>
            <w:r>
              <w:rPr>
                <w:rFonts w:ascii="Arial" w:hAnsi="Arial" w:cs="Arial"/>
              </w:rPr>
              <w:t xml:space="preserve"> December 2017</w:t>
            </w:r>
          </w:p>
          <w:p w:rsidR="00B8423F" w:rsidRPr="008B3FE9" w:rsidRDefault="00B8423F" w:rsidP="009A3F3F">
            <w:pPr>
              <w:pStyle w:val="NoSpacing"/>
              <w:rPr>
                <w:rFonts w:ascii="Arial" w:hAnsi="Arial" w:cs="Arial"/>
              </w:rPr>
            </w:pPr>
          </w:p>
        </w:tc>
      </w:tr>
      <w:tr w:rsidR="00B8423F" w:rsidRPr="008B3FE9" w:rsidTr="009A3F3F">
        <w:tc>
          <w:tcPr>
            <w:tcW w:w="4219" w:type="dxa"/>
          </w:tcPr>
          <w:p w:rsidR="00B8423F" w:rsidRPr="008B3FE9" w:rsidRDefault="00B8423F" w:rsidP="009A3F3F">
            <w:pPr>
              <w:pStyle w:val="NoSpacing"/>
              <w:rPr>
                <w:rFonts w:ascii="Arial" w:hAnsi="Arial" w:cs="Arial"/>
              </w:rPr>
            </w:pPr>
            <w:r w:rsidRPr="008B3FE9">
              <w:rPr>
                <w:rFonts w:ascii="Arial" w:hAnsi="Arial" w:cs="Arial"/>
              </w:rPr>
              <w:t>Bidders notified of outcome</w:t>
            </w:r>
          </w:p>
        </w:tc>
        <w:tc>
          <w:tcPr>
            <w:tcW w:w="3686" w:type="dxa"/>
          </w:tcPr>
          <w:p w:rsidR="00B8423F" w:rsidRPr="008B3FE9" w:rsidRDefault="007050A4" w:rsidP="009A3F3F">
            <w:pPr>
              <w:pStyle w:val="NoSpacing"/>
              <w:rPr>
                <w:rFonts w:ascii="Arial" w:hAnsi="Arial" w:cs="Arial"/>
              </w:rPr>
            </w:pPr>
            <w:r>
              <w:rPr>
                <w:rFonts w:ascii="Arial" w:hAnsi="Arial" w:cs="Arial"/>
              </w:rPr>
              <w:t xml:space="preserve">Thursday 21st </w:t>
            </w:r>
            <w:r w:rsidR="000B4F6D">
              <w:rPr>
                <w:rFonts w:ascii="Arial" w:hAnsi="Arial" w:cs="Arial"/>
              </w:rPr>
              <w:t>December</w:t>
            </w:r>
            <w:r w:rsidR="00B8423F" w:rsidRPr="008B3FE9">
              <w:rPr>
                <w:rFonts w:ascii="Arial" w:hAnsi="Arial" w:cs="Arial"/>
              </w:rPr>
              <w:t xml:space="preserve"> 2017</w:t>
            </w:r>
          </w:p>
          <w:p w:rsidR="00B8423F" w:rsidRPr="008B3FE9" w:rsidRDefault="00B8423F" w:rsidP="009A3F3F">
            <w:pPr>
              <w:pStyle w:val="NoSpacing"/>
              <w:rPr>
                <w:rFonts w:ascii="Arial" w:hAnsi="Arial" w:cs="Arial"/>
              </w:rPr>
            </w:pPr>
          </w:p>
        </w:tc>
      </w:tr>
      <w:tr w:rsidR="00B8423F" w:rsidRPr="008B3FE9" w:rsidTr="009A3F3F">
        <w:tc>
          <w:tcPr>
            <w:tcW w:w="4219" w:type="dxa"/>
          </w:tcPr>
          <w:p w:rsidR="00B8423F" w:rsidRPr="008B3FE9" w:rsidRDefault="00B8423F" w:rsidP="009A3F3F">
            <w:pPr>
              <w:pStyle w:val="NoSpacing"/>
              <w:rPr>
                <w:rFonts w:ascii="Arial" w:hAnsi="Arial" w:cs="Arial"/>
              </w:rPr>
            </w:pPr>
            <w:r>
              <w:rPr>
                <w:rFonts w:ascii="Arial" w:hAnsi="Arial" w:cs="Arial"/>
              </w:rPr>
              <w:t>Commencement</w:t>
            </w:r>
          </w:p>
        </w:tc>
        <w:tc>
          <w:tcPr>
            <w:tcW w:w="3686" w:type="dxa"/>
          </w:tcPr>
          <w:p w:rsidR="00B8423F" w:rsidRDefault="007050A4" w:rsidP="009A3F3F">
            <w:pPr>
              <w:pStyle w:val="NoSpacing"/>
              <w:rPr>
                <w:rFonts w:ascii="Arial" w:hAnsi="Arial" w:cs="Arial"/>
              </w:rPr>
            </w:pPr>
            <w:r>
              <w:rPr>
                <w:rFonts w:ascii="Arial" w:hAnsi="Arial" w:cs="Arial"/>
              </w:rPr>
              <w:t>Monday 8</w:t>
            </w:r>
            <w:r w:rsidRPr="007050A4">
              <w:rPr>
                <w:rFonts w:ascii="Arial" w:hAnsi="Arial" w:cs="Arial"/>
                <w:vertAlign w:val="superscript"/>
              </w:rPr>
              <w:t>th</w:t>
            </w:r>
            <w:r>
              <w:rPr>
                <w:rFonts w:ascii="Arial" w:hAnsi="Arial" w:cs="Arial"/>
              </w:rPr>
              <w:t xml:space="preserve"> January 2018</w:t>
            </w:r>
          </w:p>
          <w:p w:rsidR="00B8423F" w:rsidRDefault="00B8423F" w:rsidP="009A3F3F">
            <w:pPr>
              <w:pStyle w:val="NoSpacing"/>
              <w:rPr>
                <w:rFonts w:ascii="Arial" w:hAnsi="Arial" w:cs="Arial"/>
              </w:rPr>
            </w:pPr>
          </w:p>
        </w:tc>
      </w:tr>
    </w:tbl>
    <w:p w:rsidR="00B8423F" w:rsidRPr="008B3FE9" w:rsidRDefault="00B8423F" w:rsidP="00B8423F">
      <w:pPr>
        <w:pStyle w:val="NoSpacing"/>
        <w:ind w:left="720"/>
        <w:rPr>
          <w:rFonts w:ascii="Arial" w:hAnsi="Arial" w:cs="Arial"/>
          <w:color w:val="1F497D"/>
          <w:lang w:eastAsia="en-GB"/>
        </w:rPr>
      </w:pPr>
    </w:p>
    <w:p w:rsidR="00B8423F" w:rsidRPr="008B3FE9" w:rsidRDefault="00531F2D" w:rsidP="00B8423F">
      <w:pPr>
        <w:pStyle w:val="NoSpacing"/>
        <w:rPr>
          <w:rFonts w:ascii="Arial" w:hAnsi="Arial" w:cs="Arial"/>
          <w:b/>
        </w:rPr>
      </w:pPr>
      <w:r>
        <w:rPr>
          <w:rFonts w:ascii="Arial" w:hAnsi="Arial" w:cs="Arial"/>
          <w:b/>
        </w:rPr>
        <w:t>8</w:t>
      </w:r>
      <w:r w:rsidR="00B8423F" w:rsidRPr="008B3FE9">
        <w:rPr>
          <w:rFonts w:ascii="Arial" w:hAnsi="Arial" w:cs="Arial"/>
          <w:b/>
        </w:rPr>
        <w:t xml:space="preserve">. </w:t>
      </w:r>
      <w:r w:rsidR="00B8423F" w:rsidRPr="008B3FE9">
        <w:rPr>
          <w:rFonts w:ascii="Arial" w:hAnsi="Arial" w:cs="Arial"/>
          <w:b/>
        </w:rPr>
        <w:tab/>
        <w:t>Clarification Questions</w:t>
      </w:r>
    </w:p>
    <w:p w:rsidR="00B8423F" w:rsidRPr="008B3FE9" w:rsidRDefault="00B8423F" w:rsidP="00B8423F">
      <w:pPr>
        <w:pStyle w:val="NoSpacing"/>
        <w:ind w:left="720"/>
        <w:rPr>
          <w:rFonts w:ascii="Arial" w:hAnsi="Arial" w:cs="Arial"/>
        </w:rPr>
      </w:pPr>
      <w:r w:rsidRPr="008B3FE9">
        <w:rPr>
          <w:rFonts w:ascii="Arial" w:hAnsi="Arial" w:cs="Arial"/>
        </w:rPr>
        <w:t>Given the timescales, please feel free to contact the commissioners by phone as soon as possible if you have any clarifications using the contact details in the section below:</w:t>
      </w:r>
    </w:p>
    <w:p w:rsidR="00B8423F" w:rsidRPr="008B3FE9" w:rsidRDefault="00B8423F" w:rsidP="00B8423F">
      <w:pPr>
        <w:pStyle w:val="NoSpacing"/>
        <w:ind w:left="720"/>
        <w:rPr>
          <w:rFonts w:ascii="Arial" w:hAnsi="Arial" w:cs="Arial"/>
        </w:rPr>
      </w:pPr>
    </w:p>
    <w:p w:rsidR="00B8423F" w:rsidRPr="008B3FE9" w:rsidRDefault="00B8423F" w:rsidP="00B8423F">
      <w:pPr>
        <w:pStyle w:val="NoSpacing"/>
        <w:ind w:left="720"/>
        <w:rPr>
          <w:rFonts w:ascii="Arial" w:hAnsi="Arial" w:cs="Arial"/>
        </w:rPr>
      </w:pPr>
      <w:r w:rsidRPr="008B3FE9">
        <w:rPr>
          <w:rFonts w:ascii="Arial" w:hAnsi="Arial" w:cs="Arial"/>
          <w:b/>
        </w:rPr>
        <w:t>Please note</w:t>
      </w:r>
      <w:r w:rsidRPr="008B3FE9">
        <w:rPr>
          <w:rFonts w:ascii="Arial" w:hAnsi="Arial" w:cs="Arial"/>
        </w:rPr>
        <w:t>: All enquiries in connection with this RFQ should be addressed to:</w:t>
      </w:r>
    </w:p>
    <w:p w:rsidR="00B8423F" w:rsidRPr="008B3FE9" w:rsidRDefault="00363F01" w:rsidP="00B8423F">
      <w:pPr>
        <w:pStyle w:val="NoSpacing"/>
        <w:ind w:left="720"/>
        <w:rPr>
          <w:rFonts w:ascii="Arial" w:hAnsi="Arial" w:cs="Arial"/>
        </w:rPr>
      </w:pPr>
      <w:hyperlink r:id="rId8" w:history="1">
        <w:r w:rsidR="00B8423F" w:rsidRPr="008B3FE9">
          <w:rPr>
            <w:rStyle w:val="Hyperlink"/>
            <w:rFonts w:ascii="Arial" w:hAnsi="Arial" w:cs="Arial"/>
          </w:rPr>
          <w:t>carolynmatthews@nhs.net</w:t>
        </w:r>
      </w:hyperlink>
    </w:p>
    <w:p w:rsidR="00B8423F" w:rsidRPr="008B3FE9" w:rsidRDefault="00B8423F" w:rsidP="00B8423F">
      <w:pPr>
        <w:pStyle w:val="NoSpacing"/>
        <w:ind w:left="720"/>
        <w:rPr>
          <w:rFonts w:ascii="Arial" w:hAnsi="Arial" w:cs="Arial"/>
        </w:rPr>
      </w:pPr>
      <w:r w:rsidRPr="008B3FE9">
        <w:rPr>
          <w:rFonts w:ascii="Arial" w:hAnsi="Arial" w:cs="Arial"/>
        </w:rPr>
        <w:t>Tel: 0208 900 5433 or 07500007112</w:t>
      </w:r>
    </w:p>
    <w:p w:rsidR="00B8423F" w:rsidRPr="008B3FE9" w:rsidRDefault="00B8423F" w:rsidP="00B8423F">
      <w:pPr>
        <w:pStyle w:val="NoSpacing"/>
        <w:ind w:left="720"/>
        <w:rPr>
          <w:rFonts w:ascii="Arial" w:hAnsi="Arial" w:cs="Arial"/>
        </w:rPr>
      </w:pPr>
    </w:p>
    <w:p w:rsidR="00B8423F" w:rsidRPr="008B3FE9" w:rsidRDefault="00531F2D" w:rsidP="00B8423F">
      <w:pPr>
        <w:pStyle w:val="NoSpacing"/>
        <w:rPr>
          <w:rFonts w:ascii="Arial" w:hAnsi="Arial" w:cs="Arial"/>
          <w:b/>
        </w:rPr>
      </w:pPr>
      <w:r>
        <w:rPr>
          <w:rFonts w:ascii="Arial" w:hAnsi="Arial" w:cs="Arial"/>
          <w:b/>
        </w:rPr>
        <w:t>9</w:t>
      </w:r>
      <w:r w:rsidR="00B8423F" w:rsidRPr="008B3FE9">
        <w:rPr>
          <w:rFonts w:ascii="Arial" w:hAnsi="Arial" w:cs="Arial"/>
          <w:b/>
        </w:rPr>
        <w:t xml:space="preserve">. </w:t>
      </w:r>
      <w:r w:rsidR="00B8423F" w:rsidRPr="008B3FE9">
        <w:rPr>
          <w:rFonts w:ascii="Arial" w:hAnsi="Arial" w:cs="Arial"/>
          <w:b/>
        </w:rPr>
        <w:tab/>
        <w:t>Submissions of Bid responses</w:t>
      </w:r>
    </w:p>
    <w:p w:rsidR="00B8423F" w:rsidRPr="008B3FE9" w:rsidRDefault="00B8423F" w:rsidP="00B8423F">
      <w:pPr>
        <w:pStyle w:val="NoSpacing"/>
        <w:rPr>
          <w:rFonts w:ascii="Arial" w:hAnsi="Arial" w:cs="Arial"/>
          <w:b/>
        </w:rPr>
      </w:pPr>
    </w:p>
    <w:p w:rsidR="00B8423F" w:rsidRPr="008B3FE9" w:rsidRDefault="00B8423F" w:rsidP="00B8423F">
      <w:pPr>
        <w:pStyle w:val="NoSpacing"/>
        <w:ind w:left="720"/>
        <w:rPr>
          <w:rFonts w:ascii="Arial" w:hAnsi="Arial" w:cs="Arial"/>
        </w:rPr>
      </w:pPr>
      <w:r w:rsidRPr="008B3FE9">
        <w:rPr>
          <w:rFonts w:ascii="Arial" w:hAnsi="Arial" w:cs="Arial"/>
        </w:rPr>
        <w:t xml:space="preserve">Bidders must complete the ITQ Bidder Response Questionnaire (Appendix A) and return to </w:t>
      </w:r>
      <w:hyperlink r:id="rId9" w:history="1">
        <w:r w:rsidR="00C474D4" w:rsidRPr="009C7800">
          <w:rPr>
            <w:rStyle w:val="Hyperlink"/>
            <w:rFonts w:ascii="Arial" w:hAnsi="Arial" w:cs="Arial"/>
          </w:rPr>
          <w:t>ekkehard_kugler@nhs.net</w:t>
        </w:r>
      </w:hyperlink>
      <w:r w:rsidR="00C474D4">
        <w:rPr>
          <w:rFonts w:ascii="Arial" w:hAnsi="Arial" w:cs="Arial"/>
        </w:rPr>
        <w:t xml:space="preserve"> </w:t>
      </w:r>
      <w:r w:rsidRPr="008B3FE9">
        <w:rPr>
          <w:rFonts w:ascii="Arial" w:hAnsi="Arial" w:cs="Arial"/>
        </w:rPr>
        <w:t>by the deadline indicat</w:t>
      </w:r>
      <w:r w:rsidR="00C474D4">
        <w:rPr>
          <w:rFonts w:ascii="Arial" w:hAnsi="Arial" w:cs="Arial"/>
        </w:rPr>
        <w:t xml:space="preserve">ed in the timetable in Section </w:t>
      </w:r>
      <w:r w:rsidR="00531F2D">
        <w:rPr>
          <w:rFonts w:ascii="Arial" w:hAnsi="Arial" w:cs="Arial"/>
        </w:rPr>
        <w:t>7</w:t>
      </w:r>
      <w:r w:rsidRPr="008B3FE9">
        <w:rPr>
          <w:rFonts w:ascii="Arial" w:hAnsi="Arial" w:cs="Arial"/>
        </w:rPr>
        <w:t xml:space="preserve">. </w:t>
      </w:r>
    </w:p>
    <w:p w:rsidR="00B8423F" w:rsidRDefault="00B8423F" w:rsidP="00B8423F">
      <w:pPr>
        <w:pStyle w:val="NoSpacing"/>
        <w:ind w:left="720"/>
        <w:rPr>
          <w:rFonts w:ascii="Arial" w:hAnsi="Arial" w:cs="Arial"/>
          <w:b/>
        </w:rPr>
      </w:pPr>
    </w:p>
    <w:p w:rsidR="00B8423F" w:rsidRDefault="00531F2D" w:rsidP="00B8423F">
      <w:pPr>
        <w:pStyle w:val="NoSpacing"/>
        <w:rPr>
          <w:rFonts w:ascii="Arial" w:hAnsi="Arial" w:cs="Arial"/>
          <w:b/>
        </w:rPr>
      </w:pPr>
      <w:r>
        <w:rPr>
          <w:rFonts w:ascii="Arial" w:hAnsi="Arial" w:cs="Arial"/>
          <w:b/>
        </w:rPr>
        <w:t>10</w:t>
      </w:r>
      <w:r w:rsidR="00B8423F" w:rsidRPr="008B3FE9">
        <w:rPr>
          <w:rFonts w:ascii="Arial" w:hAnsi="Arial" w:cs="Arial"/>
          <w:b/>
        </w:rPr>
        <w:t xml:space="preserve">. </w:t>
      </w:r>
      <w:r w:rsidR="00B8423F" w:rsidRPr="008B3FE9">
        <w:rPr>
          <w:rFonts w:ascii="Arial" w:hAnsi="Arial" w:cs="Arial"/>
          <w:b/>
        </w:rPr>
        <w:tab/>
        <w:t>Terms &amp; Conditions</w:t>
      </w:r>
    </w:p>
    <w:p w:rsidR="00B8423F" w:rsidRPr="008B3FE9" w:rsidRDefault="00B8423F" w:rsidP="00B8423F">
      <w:pPr>
        <w:pStyle w:val="NoSpacing"/>
        <w:rPr>
          <w:rFonts w:ascii="Arial" w:hAnsi="Arial" w:cs="Arial"/>
          <w:b/>
        </w:rPr>
      </w:pPr>
    </w:p>
    <w:p w:rsidR="00B8423F" w:rsidRPr="008B3FE9" w:rsidRDefault="00B8423F" w:rsidP="00B8423F">
      <w:pPr>
        <w:pStyle w:val="NoSpacing"/>
        <w:ind w:left="720"/>
        <w:rPr>
          <w:rFonts w:ascii="Arial" w:hAnsi="Arial" w:cs="Arial"/>
        </w:rPr>
      </w:pPr>
      <w:r w:rsidRPr="008B3FE9">
        <w:rPr>
          <w:rFonts w:ascii="Arial" w:hAnsi="Arial" w:cs="Arial"/>
        </w:rPr>
        <w:t xml:space="preserve">The terms and conditions applied will be the NHS Terms and Conditions for the Supply of Services available at </w:t>
      </w:r>
      <w:hyperlink r:id="rId10" w:history="1">
        <w:r w:rsidRPr="008B3FE9">
          <w:rPr>
            <w:rStyle w:val="Hyperlink"/>
          </w:rPr>
          <w:t>https://www.gov.uk/government/publications/nhs-standard-terms-and-conditions-of-contract-for-the-purchase-of-goods-and-supply-of-services</w:t>
        </w:r>
      </w:hyperlink>
    </w:p>
    <w:p w:rsidR="00B8423F" w:rsidRPr="008B3FE9" w:rsidRDefault="00B8423F" w:rsidP="00B8423F">
      <w:pPr>
        <w:pStyle w:val="NoSpacing"/>
        <w:ind w:left="720"/>
        <w:rPr>
          <w:rFonts w:ascii="Arial" w:hAnsi="Arial" w:cs="Arial"/>
        </w:rPr>
      </w:pPr>
    </w:p>
    <w:p w:rsidR="00B8423F" w:rsidRPr="008B3FE9" w:rsidRDefault="00B8423F" w:rsidP="00B8423F">
      <w:pPr>
        <w:pStyle w:val="NoSpacing"/>
        <w:ind w:left="720"/>
        <w:rPr>
          <w:rFonts w:ascii="Arial" w:hAnsi="Arial" w:cs="Arial"/>
        </w:rPr>
      </w:pPr>
      <w:r w:rsidRPr="008B3FE9">
        <w:rPr>
          <w:rFonts w:ascii="Arial" w:hAnsi="Arial" w:cs="Arial"/>
        </w:rPr>
        <w:t xml:space="preserve">It is expected bidders will be engaged in the delivery of plans for a period </w:t>
      </w:r>
      <w:r w:rsidR="00015ED2">
        <w:rPr>
          <w:rFonts w:ascii="Arial" w:hAnsi="Arial" w:cs="Arial"/>
        </w:rPr>
        <w:t xml:space="preserve">of 3 </w:t>
      </w:r>
      <w:r w:rsidRPr="008B3FE9">
        <w:rPr>
          <w:rFonts w:ascii="Arial" w:hAnsi="Arial" w:cs="Arial"/>
        </w:rPr>
        <w:t>months commencing</w:t>
      </w:r>
      <w:r w:rsidR="000B4F6D">
        <w:rPr>
          <w:rFonts w:ascii="Arial" w:hAnsi="Arial" w:cs="Arial"/>
        </w:rPr>
        <w:t xml:space="preserve"> </w:t>
      </w:r>
      <w:r w:rsidR="00C474D4">
        <w:rPr>
          <w:rFonts w:ascii="Arial" w:hAnsi="Arial" w:cs="Arial"/>
        </w:rPr>
        <w:t>beginning  of January</w:t>
      </w:r>
      <w:r w:rsidR="000B4F6D">
        <w:rPr>
          <w:rFonts w:ascii="Arial" w:hAnsi="Arial" w:cs="Arial"/>
        </w:rPr>
        <w:t xml:space="preserve"> </w:t>
      </w:r>
      <w:r w:rsidRPr="008B3FE9">
        <w:rPr>
          <w:rFonts w:ascii="Arial" w:hAnsi="Arial" w:cs="Arial"/>
        </w:rPr>
        <w:t>201</w:t>
      </w:r>
      <w:r w:rsidR="00C474D4">
        <w:rPr>
          <w:rFonts w:ascii="Arial" w:hAnsi="Arial" w:cs="Arial"/>
        </w:rPr>
        <w:t>8</w:t>
      </w:r>
      <w:r w:rsidR="000B4F6D">
        <w:rPr>
          <w:rFonts w:ascii="Arial" w:hAnsi="Arial" w:cs="Arial"/>
        </w:rPr>
        <w:t xml:space="preserve"> completion </w:t>
      </w:r>
      <w:r w:rsidR="00C474D4">
        <w:rPr>
          <w:rFonts w:ascii="Arial" w:hAnsi="Arial" w:cs="Arial"/>
        </w:rPr>
        <w:t>end of March</w:t>
      </w:r>
      <w:r w:rsidR="000B4F6D">
        <w:rPr>
          <w:rFonts w:ascii="Arial" w:hAnsi="Arial" w:cs="Arial"/>
        </w:rPr>
        <w:t xml:space="preserve"> 2018.</w:t>
      </w:r>
    </w:p>
    <w:p w:rsidR="00B8423F" w:rsidRPr="008B3FE9" w:rsidRDefault="00B8423F" w:rsidP="00B8423F">
      <w:pPr>
        <w:pStyle w:val="NoSpacing"/>
        <w:ind w:left="720"/>
        <w:rPr>
          <w:rFonts w:ascii="Arial" w:hAnsi="Arial" w:cs="Arial"/>
        </w:rPr>
      </w:pPr>
    </w:p>
    <w:p w:rsidR="00B8423F" w:rsidRPr="008B3FE9" w:rsidRDefault="00531F2D" w:rsidP="00B8423F">
      <w:pPr>
        <w:pStyle w:val="NoSpacing"/>
        <w:rPr>
          <w:rFonts w:ascii="Arial" w:hAnsi="Arial" w:cs="Arial"/>
          <w:b/>
        </w:rPr>
      </w:pPr>
      <w:r>
        <w:rPr>
          <w:rFonts w:ascii="Arial" w:hAnsi="Arial" w:cs="Arial"/>
          <w:b/>
        </w:rPr>
        <w:t>11</w:t>
      </w:r>
      <w:r w:rsidR="00B8423F" w:rsidRPr="008B3FE9">
        <w:rPr>
          <w:rFonts w:ascii="Arial" w:hAnsi="Arial" w:cs="Arial"/>
          <w:b/>
        </w:rPr>
        <w:t>.</w:t>
      </w:r>
      <w:r w:rsidR="00B8423F" w:rsidRPr="008B3FE9">
        <w:rPr>
          <w:rFonts w:ascii="Arial" w:hAnsi="Arial" w:cs="Arial"/>
          <w:b/>
        </w:rPr>
        <w:tab/>
        <w:t>Freedom of Information Act</w:t>
      </w:r>
    </w:p>
    <w:p w:rsidR="00B8423F" w:rsidRPr="008B3FE9" w:rsidRDefault="00B8423F" w:rsidP="00B8423F">
      <w:pPr>
        <w:pStyle w:val="NoSpacing"/>
        <w:rPr>
          <w:rFonts w:ascii="Arial" w:hAnsi="Arial" w:cs="Arial"/>
          <w:b/>
        </w:rPr>
      </w:pPr>
    </w:p>
    <w:p w:rsidR="00B8423F" w:rsidRPr="008B3FE9" w:rsidRDefault="00B8423F" w:rsidP="00B8423F">
      <w:pPr>
        <w:pStyle w:val="NoSpacing"/>
        <w:ind w:left="720"/>
        <w:rPr>
          <w:rFonts w:ascii="Arial" w:hAnsi="Arial" w:cs="Arial"/>
        </w:rPr>
      </w:pPr>
      <w:r w:rsidRPr="008B3FE9">
        <w:rPr>
          <w:rFonts w:ascii="Arial" w:hAnsi="Arial" w:cs="Arial"/>
        </w:rPr>
        <w:t xml:space="preserve">NHS Brent CCG is subject to the provisions of the Freedom of Information Act 2000 (FOI) and the Environmental Information Regulations 2004.  If the Bidders consider that any information supplied by them is either commercially sensitive or confidential in nature, this should be highlighted and the reasons for its sensitivity given.  </w:t>
      </w:r>
    </w:p>
    <w:p w:rsidR="00B8423F" w:rsidRPr="008B3FE9" w:rsidRDefault="00B8423F" w:rsidP="00B8423F">
      <w:pPr>
        <w:pStyle w:val="NoSpacing"/>
        <w:ind w:left="720"/>
        <w:rPr>
          <w:rFonts w:ascii="Arial" w:hAnsi="Arial" w:cs="Arial"/>
        </w:rPr>
      </w:pPr>
    </w:p>
    <w:p w:rsidR="00B8423F" w:rsidRPr="008B3FE9" w:rsidRDefault="00B8423F" w:rsidP="00B8423F">
      <w:pPr>
        <w:pStyle w:val="NoSpacing"/>
        <w:ind w:left="720"/>
        <w:rPr>
          <w:rFonts w:ascii="Arial" w:hAnsi="Arial" w:cs="Arial"/>
        </w:rPr>
      </w:pPr>
      <w:r w:rsidRPr="008B3FE9">
        <w:rPr>
          <w:rFonts w:ascii="Arial" w:hAnsi="Arial" w:cs="Arial"/>
        </w:rPr>
        <w:t>Bidders shall treat all information supplied by NHS Brent CCG in connection with this RFQ as confidential.  Information may be disclosed by Bidders insofar as is necessary for the preparation, submission, and evaluation of quotes.</w:t>
      </w:r>
    </w:p>
    <w:p w:rsidR="00B8423F" w:rsidRPr="008B3FE9" w:rsidRDefault="00B8423F" w:rsidP="00B8423F">
      <w:pPr>
        <w:pStyle w:val="NoSpacing"/>
        <w:ind w:left="720"/>
        <w:rPr>
          <w:rFonts w:ascii="Arial" w:hAnsi="Arial" w:cs="Arial"/>
        </w:rPr>
      </w:pPr>
    </w:p>
    <w:p w:rsidR="00B8423F" w:rsidRPr="008B3FE9" w:rsidRDefault="00531F2D" w:rsidP="00B8423F">
      <w:pPr>
        <w:pStyle w:val="NoSpacing"/>
        <w:rPr>
          <w:rFonts w:ascii="Arial" w:hAnsi="Arial" w:cs="Arial"/>
          <w:b/>
        </w:rPr>
      </w:pPr>
      <w:r>
        <w:rPr>
          <w:rFonts w:ascii="Arial" w:hAnsi="Arial" w:cs="Arial"/>
          <w:b/>
        </w:rPr>
        <w:t>12</w:t>
      </w:r>
      <w:r w:rsidR="00B8423F" w:rsidRPr="008B3FE9">
        <w:rPr>
          <w:rFonts w:ascii="Arial" w:hAnsi="Arial" w:cs="Arial"/>
          <w:b/>
        </w:rPr>
        <w:t>.</w:t>
      </w:r>
      <w:r w:rsidR="00B8423F" w:rsidRPr="008B3FE9">
        <w:rPr>
          <w:rFonts w:ascii="Arial" w:hAnsi="Arial" w:cs="Arial"/>
          <w:b/>
        </w:rPr>
        <w:tab/>
        <w:t>Evaluation</w:t>
      </w:r>
    </w:p>
    <w:p w:rsidR="00B8423F" w:rsidRPr="008B3FE9" w:rsidRDefault="00B8423F" w:rsidP="00B8423F">
      <w:pPr>
        <w:pStyle w:val="NoSpacing"/>
        <w:rPr>
          <w:rFonts w:ascii="Arial" w:hAnsi="Arial" w:cs="Arial"/>
        </w:rPr>
      </w:pPr>
    </w:p>
    <w:p w:rsidR="00B8423F" w:rsidRPr="008B3FE9" w:rsidRDefault="00B8423F" w:rsidP="00B8423F">
      <w:pPr>
        <w:pStyle w:val="NoSpacing"/>
        <w:ind w:left="720"/>
        <w:rPr>
          <w:rFonts w:ascii="Arial" w:hAnsi="Arial" w:cs="Arial"/>
        </w:rPr>
      </w:pPr>
      <w:r w:rsidRPr="008B3FE9">
        <w:rPr>
          <w:rFonts w:ascii="Arial" w:hAnsi="Arial" w:cs="Arial"/>
        </w:rPr>
        <w:t xml:space="preserve">Bidders will be invited to submit a Bidder ITQ Questionnaire (Appendix A) no later than the deadline as indicated in the timetable </w:t>
      </w:r>
      <w:r w:rsidR="00531F2D">
        <w:rPr>
          <w:rFonts w:ascii="Arial" w:hAnsi="Arial" w:cs="Arial"/>
        </w:rPr>
        <w:t>in section 7</w:t>
      </w:r>
      <w:r w:rsidR="000E08EB">
        <w:rPr>
          <w:rFonts w:ascii="Arial" w:hAnsi="Arial" w:cs="Arial"/>
        </w:rPr>
        <w:t>.</w:t>
      </w:r>
    </w:p>
    <w:p w:rsidR="00B8423F" w:rsidRPr="008B3FE9" w:rsidRDefault="00B8423F" w:rsidP="00B8423F">
      <w:pPr>
        <w:pStyle w:val="NoSpacing"/>
        <w:ind w:left="720"/>
        <w:rPr>
          <w:rFonts w:ascii="Arial" w:hAnsi="Arial" w:cs="Arial"/>
        </w:rPr>
      </w:pPr>
    </w:p>
    <w:p w:rsidR="00B8423F" w:rsidRPr="008B3FE9" w:rsidRDefault="00B8423F" w:rsidP="00B8423F">
      <w:pPr>
        <w:pStyle w:val="NoSpacing"/>
        <w:ind w:left="720"/>
        <w:rPr>
          <w:rFonts w:ascii="Arial" w:hAnsi="Arial" w:cs="Arial"/>
        </w:rPr>
      </w:pPr>
      <w:r w:rsidRPr="008B3FE9">
        <w:rPr>
          <w:rFonts w:ascii="Arial" w:hAnsi="Arial" w:cs="Arial"/>
        </w:rPr>
        <w:t>The written response to this RFQ will be evaluated in accordance with the scoring criteria as detailed below:</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1"/>
        <w:gridCol w:w="992"/>
      </w:tblGrid>
      <w:tr w:rsidR="00B8423F" w:rsidRPr="008B3FE9" w:rsidTr="009E4AF6">
        <w:trPr>
          <w:cantSplit/>
          <w:trHeight w:val="278"/>
          <w:tblHeader/>
        </w:trPr>
        <w:tc>
          <w:tcPr>
            <w:tcW w:w="8221" w:type="dxa"/>
            <w:shd w:val="clear" w:color="auto" w:fill="FFFF99"/>
            <w:vAlign w:val="center"/>
          </w:tcPr>
          <w:p w:rsidR="00B8423F" w:rsidRPr="008B3FE9" w:rsidRDefault="00B8423F" w:rsidP="009A3F3F">
            <w:pPr>
              <w:autoSpaceDE w:val="0"/>
              <w:autoSpaceDN w:val="0"/>
              <w:adjustRightInd w:val="0"/>
              <w:spacing w:before="60" w:after="60"/>
              <w:ind w:left="176"/>
              <w:rPr>
                <w:rFonts w:ascii="Arial" w:eastAsia="Arial" w:hAnsi="Arial" w:cs="Arial"/>
              </w:rPr>
            </w:pPr>
            <w:r w:rsidRPr="008B3FE9">
              <w:rPr>
                <w:rFonts w:ascii="Arial" w:eastAsia="Arial" w:hAnsi="Arial" w:cs="Arial"/>
                <w:b/>
                <w:bCs/>
              </w:rPr>
              <w:t>Definitions for Pass/Fail Questions</w:t>
            </w:r>
          </w:p>
        </w:tc>
        <w:tc>
          <w:tcPr>
            <w:tcW w:w="992" w:type="dxa"/>
            <w:shd w:val="clear" w:color="auto" w:fill="FFFF99"/>
            <w:vAlign w:val="center"/>
          </w:tcPr>
          <w:p w:rsidR="00B8423F" w:rsidRPr="008B3FE9" w:rsidRDefault="00B8423F" w:rsidP="009A3F3F">
            <w:pPr>
              <w:autoSpaceDE w:val="0"/>
              <w:autoSpaceDN w:val="0"/>
              <w:adjustRightInd w:val="0"/>
              <w:spacing w:before="60" w:after="60"/>
              <w:jc w:val="center"/>
              <w:rPr>
                <w:rFonts w:ascii="Arial" w:eastAsia="Arial" w:hAnsi="Arial" w:cs="Arial"/>
                <w:b/>
              </w:rPr>
            </w:pPr>
            <w:r w:rsidRPr="008B3FE9">
              <w:rPr>
                <w:rFonts w:ascii="Arial" w:eastAsia="Arial" w:hAnsi="Arial" w:cs="Arial"/>
                <w:b/>
              </w:rPr>
              <w:t>Grade</w:t>
            </w:r>
          </w:p>
        </w:tc>
      </w:tr>
      <w:tr w:rsidR="00B8423F" w:rsidRPr="008B3FE9" w:rsidTr="009E4AF6">
        <w:trPr>
          <w:cantSplit/>
          <w:trHeight w:val="516"/>
        </w:trPr>
        <w:tc>
          <w:tcPr>
            <w:tcW w:w="8221" w:type="dxa"/>
            <w:vAlign w:val="center"/>
          </w:tcPr>
          <w:p w:rsidR="00B8423F" w:rsidRPr="008B3FE9" w:rsidRDefault="00B8423F" w:rsidP="009A3F3F">
            <w:pPr>
              <w:autoSpaceDE w:val="0"/>
              <w:autoSpaceDN w:val="0"/>
              <w:adjustRightInd w:val="0"/>
              <w:spacing w:before="60" w:after="60"/>
              <w:ind w:left="176" w:right="357"/>
              <w:rPr>
                <w:rFonts w:ascii="Arial" w:eastAsia="Arial" w:hAnsi="Arial" w:cs="Arial"/>
              </w:rPr>
            </w:pPr>
            <w:r w:rsidRPr="008B3FE9">
              <w:rPr>
                <w:rFonts w:ascii="Arial" w:eastAsia="Arial" w:hAnsi="Arial" w:cs="Arial"/>
              </w:rPr>
              <w:t>Meets all the criteria set out in the question</w:t>
            </w:r>
          </w:p>
        </w:tc>
        <w:tc>
          <w:tcPr>
            <w:tcW w:w="992" w:type="dxa"/>
            <w:vAlign w:val="center"/>
          </w:tcPr>
          <w:p w:rsidR="00B8423F" w:rsidRPr="008B3FE9" w:rsidRDefault="00B8423F" w:rsidP="009A3F3F">
            <w:pPr>
              <w:autoSpaceDE w:val="0"/>
              <w:autoSpaceDN w:val="0"/>
              <w:adjustRightInd w:val="0"/>
              <w:spacing w:before="60" w:after="60"/>
              <w:jc w:val="center"/>
              <w:rPr>
                <w:rFonts w:ascii="Arial" w:eastAsia="Arial" w:hAnsi="Arial" w:cs="Arial"/>
              </w:rPr>
            </w:pPr>
            <w:r w:rsidRPr="008B3FE9">
              <w:rPr>
                <w:rFonts w:ascii="Arial" w:eastAsia="Arial" w:hAnsi="Arial" w:cs="Arial"/>
              </w:rPr>
              <w:t>Pass</w:t>
            </w:r>
          </w:p>
        </w:tc>
      </w:tr>
      <w:tr w:rsidR="00B8423F" w:rsidRPr="008B3FE9" w:rsidTr="009E4AF6">
        <w:trPr>
          <w:cantSplit/>
          <w:trHeight w:val="516"/>
        </w:trPr>
        <w:tc>
          <w:tcPr>
            <w:tcW w:w="8221" w:type="dxa"/>
            <w:vAlign w:val="center"/>
          </w:tcPr>
          <w:p w:rsidR="00B8423F" w:rsidRPr="008B3FE9" w:rsidRDefault="00B8423F" w:rsidP="009A3F3F">
            <w:pPr>
              <w:autoSpaceDE w:val="0"/>
              <w:autoSpaceDN w:val="0"/>
              <w:adjustRightInd w:val="0"/>
              <w:spacing w:before="60" w:after="60"/>
              <w:ind w:left="176" w:right="357"/>
              <w:rPr>
                <w:rFonts w:ascii="Arial" w:eastAsia="Arial" w:hAnsi="Arial" w:cs="Arial"/>
              </w:rPr>
            </w:pPr>
            <w:r w:rsidRPr="008B3FE9">
              <w:rPr>
                <w:rFonts w:ascii="Arial" w:eastAsia="Arial" w:hAnsi="Arial" w:cs="Arial"/>
              </w:rPr>
              <w:t>Does not meet all the criteria set out in the question</w:t>
            </w:r>
          </w:p>
        </w:tc>
        <w:tc>
          <w:tcPr>
            <w:tcW w:w="992" w:type="dxa"/>
            <w:vAlign w:val="center"/>
          </w:tcPr>
          <w:p w:rsidR="00B8423F" w:rsidRPr="008B3FE9" w:rsidRDefault="00B8423F" w:rsidP="009A3F3F">
            <w:pPr>
              <w:autoSpaceDE w:val="0"/>
              <w:autoSpaceDN w:val="0"/>
              <w:adjustRightInd w:val="0"/>
              <w:spacing w:before="60" w:after="60"/>
              <w:jc w:val="center"/>
              <w:rPr>
                <w:rFonts w:ascii="Arial" w:eastAsia="Arial" w:hAnsi="Arial" w:cs="Arial"/>
              </w:rPr>
            </w:pPr>
            <w:r w:rsidRPr="008B3FE9">
              <w:rPr>
                <w:rFonts w:ascii="Arial" w:eastAsia="Arial" w:hAnsi="Arial" w:cs="Arial"/>
              </w:rPr>
              <w:t>Fail</w:t>
            </w:r>
          </w:p>
        </w:tc>
      </w:tr>
    </w:tbl>
    <w:p w:rsidR="00B8423F" w:rsidRPr="008B3FE9" w:rsidRDefault="00B8423F" w:rsidP="00B8423F">
      <w:pPr>
        <w:pStyle w:val="NoSpacing"/>
        <w:ind w:left="720"/>
        <w:rPr>
          <w:rFonts w:ascii="Arial" w:hAnsi="Arial" w:cs="Arial"/>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953"/>
        <w:gridCol w:w="992"/>
      </w:tblGrid>
      <w:tr w:rsidR="00B8423F" w:rsidRPr="008B3FE9" w:rsidTr="009E4AF6">
        <w:trPr>
          <w:trHeight w:val="103"/>
        </w:trPr>
        <w:tc>
          <w:tcPr>
            <w:tcW w:w="2268" w:type="dxa"/>
            <w:shd w:val="clear" w:color="auto" w:fill="FFFF99"/>
          </w:tcPr>
          <w:p w:rsidR="00B8423F" w:rsidRPr="008B3FE9" w:rsidRDefault="00B8423F" w:rsidP="009A3F3F">
            <w:pPr>
              <w:autoSpaceDE w:val="0"/>
              <w:autoSpaceDN w:val="0"/>
              <w:adjustRightInd w:val="0"/>
              <w:spacing w:before="60" w:after="60"/>
              <w:ind w:left="176" w:right="176"/>
              <w:rPr>
                <w:rFonts w:ascii="Arial" w:eastAsia="Arial" w:hAnsi="Arial" w:cs="Arial"/>
                <w:b/>
                <w:bCs/>
              </w:rPr>
            </w:pPr>
            <w:r w:rsidRPr="008B3FE9">
              <w:rPr>
                <w:rFonts w:ascii="Arial" w:eastAsia="Arial" w:hAnsi="Arial" w:cs="Arial"/>
                <w:b/>
                <w:bCs/>
              </w:rPr>
              <w:t>Grade Label</w:t>
            </w:r>
          </w:p>
        </w:tc>
        <w:tc>
          <w:tcPr>
            <w:tcW w:w="5953" w:type="dxa"/>
            <w:shd w:val="clear" w:color="auto" w:fill="FFFF99"/>
          </w:tcPr>
          <w:p w:rsidR="00B8423F" w:rsidRPr="008B3FE9" w:rsidRDefault="00B8423F" w:rsidP="009A3F3F">
            <w:pPr>
              <w:autoSpaceDE w:val="0"/>
              <w:autoSpaceDN w:val="0"/>
              <w:adjustRightInd w:val="0"/>
              <w:spacing w:before="60" w:after="60"/>
              <w:ind w:left="176" w:right="176"/>
              <w:rPr>
                <w:rFonts w:ascii="Arial" w:eastAsia="Arial" w:hAnsi="Arial" w:cs="Arial"/>
              </w:rPr>
            </w:pPr>
            <w:r w:rsidRPr="008B3FE9">
              <w:rPr>
                <w:rFonts w:ascii="Arial" w:eastAsia="Arial" w:hAnsi="Arial" w:cs="Arial"/>
                <w:b/>
                <w:bCs/>
              </w:rPr>
              <w:t>Definition of Scored Questions</w:t>
            </w:r>
          </w:p>
        </w:tc>
        <w:tc>
          <w:tcPr>
            <w:tcW w:w="992" w:type="dxa"/>
            <w:shd w:val="clear" w:color="auto" w:fill="FFFF99"/>
          </w:tcPr>
          <w:p w:rsidR="00B8423F" w:rsidRPr="008B3FE9" w:rsidRDefault="00B8423F" w:rsidP="009A3F3F">
            <w:pPr>
              <w:autoSpaceDE w:val="0"/>
              <w:autoSpaceDN w:val="0"/>
              <w:adjustRightInd w:val="0"/>
              <w:spacing w:before="60" w:after="60"/>
              <w:ind w:left="15"/>
              <w:jc w:val="center"/>
              <w:rPr>
                <w:rFonts w:ascii="Arial" w:eastAsia="Arial" w:hAnsi="Arial" w:cs="Arial"/>
              </w:rPr>
            </w:pPr>
            <w:r w:rsidRPr="008B3FE9">
              <w:rPr>
                <w:rFonts w:ascii="Arial" w:eastAsia="Arial" w:hAnsi="Arial" w:cs="Arial"/>
                <w:b/>
                <w:bCs/>
              </w:rPr>
              <w:t>Grade</w:t>
            </w:r>
          </w:p>
        </w:tc>
      </w:tr>
      <w:tr w:rsidR="00B8423F" w:rsidRPr="008B3FE9" w:rsidTr="009E4AF6">
        <w:trPr>
          <w:trHeight w:val="103"/>
        </w:trPr>
        <w:tc>
          <w:tcPr>
            <w:tcW w:w="2268" w:type="dxa"/>
            <w:vAlign w:val="center"/>
          </w:tcPr>
          <w:p w:rsidR="00B8423F" w:rsidRPr="008B3FE9" w:rsidRDefault="00B8423F" w:rsidP="009A3F3F">
            <w:pPr>
              <w:autoSpaceDE w:val="0"/>
              <w:autoSpaceDN w:val="0"/>
              <w:adjustRightInd w:val="0"/>
              <w:spacing w:before="60" w:after="60"/>
              <w:ind w:left="176" w:right="176"/>
              <w:jc w:val="center"/>
              <w:rPr>
                <w:rFonts w:ascii="Arial" w:eastAsia="Arial" w:hAnsi="Arial" w:cs="Arial"/>
              </w:rPr>
            </w:pPr>
            <w:r w:rsidRPr="008B3FE9">
              <w:rPr>
                <w:rFonts w:ascii="Arial" w:eastAsia="Arial" w:hAnsi="Arial" w:cs="Arial"/>
              </w:rPr>
              <w:t>Superior</w:t>
            </w:r>
          </w:p>
        </w:tc>
        <w:tc>
          <w:tcPr>
            <w:tcW w:w="5953" w:type="dxa"/>
            <w:vAlign w:val="center"/>
          </w:tcPr>
          <w:p w:rsidR="00B8423F" w:rsidRPr="008B3FE9" w:rsidRDefault="00B8423F" w:rsidP="009A3F3F">
            <w:pPr>
              <w:spacing w:before="100" w:beforeAutospacing="1" w:after="100" w:afterAutospacing="1"/>
              <w:ind w:right="176"/>
              <w:rPr>
                <w:rFonts w:ascii="Arial" w:eastAsia="Arial" w:hAnsi="Arial" w:cs="Arial"/>
              </w:rPr>
            </w:pPr>
            <w:r w:rsidRPr="008B3FE9">
              <w:rPr>
                <w:rFonts w:ascii="Arial" w:eastAsia="Arial" w:hAnsi="Arial" w:cs="Arial"/>
              </w:rPr>
              <w:t>The response supports an excellent degree of confidence in the Bidder’s ability to deliver and/or exceed the Contracting Authority’s specified requirements and/or expectations. Where appropriate, the response is well evidenced, and/or of a quality and/or level of detail, and understanding that provides either a very high certainty of delivery or is considered likely to offer added value, likely to result in improved: quality and/or; performance and/or; efficiency and/or; outcomes.</w:t>
            </w:r>
          </w:p>
        </w:tc>
        <w:tc>
          <w:tcPr>
            <w:tcW w:w="992" w:type="dxa"/>
            <w:vAlign w:val="center"/>
          </w:tcPr>
          <w:p w:rsidR="00B8423F" w:rsidRPr="008B3FE9" w:rsidRDefault="00B8423F" w:rsidP="009A3F3F">
            <w:pPr>
              <w:autoSpaceDE w:val="0"/>
              <w:autoSpaceDN w:val="0"/>
              <w:adjustRightInd w:val="0"/>
              <w:spacing w:before="60" w:after="60"/>
              <w:ind w:left="15"/>
              <w:jc w:val="center"/>
              <w:rPr>
                <w:rFonts w:ascii="Arial" w:eastAsia="Arial" w:hAnsi="Arial" w:cs="Arial"/>
              </w:rPr>
            </w:pPr>
            <w:r w:rsidRPr="008B3FE9">
              <w:rPr>
                <w:rFonts w:ascii="Arial" w:eastAsia="Arial" w:hAnsi="Arial" w:cs="Arial"/>
              </w:rPr>
              <w:t>4</w:t>
            </w:r>
          </w:p>
        </w:tc>
      </w:tr>
      <w:tr w:rsidR="00B8423F" w:rsidRPr="008B3FE9" w:rsidTr="009E4AF6">
        <w:trPr>
          <w:trHeight w:val="355"/>
        </w:trPr>
        <w:tc>
          <w:tcPr>
            <w:tcW w:w="2268" w:type="dxa"/>
            <w:vAlign w:val="center"/>
          </w:tcPr>
          <w:p w:rsidR="00B8423F" w:rsidRPr="008B3FE9" w:rsidRDefault="00B8423F" w:rsidP="009A3F3F">
            <w:pPr>
              <w:autoSpaceDE w:val="0"/>
              <w:autoSpaceDN w:val="0"/>
              <w:adjustRightInd w:val="0"/>
              <w:spacing w:before="60" w:after="60"/>
              <w:ind w:left="176" w:right="176"/>
              <w:jc w:val="center"/>
              <w:rPr>
                <w:rFonts w:ascii="Arial" w:eastAsia="Arial" w:hAnsi="Arial" w:cs="Arial"/>
              </w:rPr>
            </w:pPr>
            <w:r w:rsidRPr="008B3FE9">
              <w:rPr>
                <w:rFonts w:ascii="Arial" w:eastAsia="Arial" w:hAnsi="Arial" w:cs="Arial"/>
              </w:rPr>
              <w:t>Comprehensive</w:t>
            </w:r>
          </w:p>
        </w:tc>
        <w:tc>
          <w:tcPr>
            <w:tcW w:w="5953" w:type="dxa"/>
            <w:vAlign w:val="center"/>
          </w:tcPr>
          <w:p w:rsidR="00B8423F" w:rsidRPr="008B3FE9" w:rsidRDefault="00B8423F" w:rsidP="009A3F3F">
            <w:pPr>
              <w:autoSpaceDE w:val="0"/>
              <w:autoSpaceDN w:val="0"/>
              <w:adjustRightInd w:val="0"/>
              <w:spacing w:before="60" w:after="60"/>
              <w:ind w:right="176"/>
              <w:rPr>
                <w:rFonts w:ascii="Arial" w:eastAsia="Arial" w:hAnsi="Arial" w:cs="Arial"/>
              </w:rPr>
            </w:pPr>
            <w:r w:rsidRPr="008B3FE9">
              <w:rPr>
                <w:rFonts w:ascii="Arial" w:eastAsia="Arial" w:hAnsi="Arial" w:cs="Arial"/>
              </w:rPr>
              <w:t>A comprehensive response submitted in terms of relevance, detail and evidence; and able to meet in full the requirements of the Contracting Authority. A high degree of confidence in the Bidder’s ability to do what is being requested.</w:t>
            </w:r>
          </w:p>
        </w:tc>
        <w:tc>
          <w:tcPr>
            <w:tcW w:w="992" w:type="dxa"/>
            <w:vAlign w:val="center"/>
          </w:tcPr>
          <w:p w:rsidR="00B8423F" w:rsidRPr="008B3FE9" w:rsidRDefault="00B8423F" w:rsidP="009A3F3F">
            <w:pPr>
              <w:autoSpaceDE w:val="0"/>
              <w:autoSpaceDN w:val="0"/>
              <w:adjustRightInd w:val="0"/>
              <w:spacing w:before="60" w:after="60"/>
              <w:ind w:left="15"/>
              <w:jc w:val="center"/>
              <w:rPr>
                <w:rFonts w:ascii="Arial" w:eastAsia="Arial" w:hAnsi="Arial" w:cs="Arial"/>
              </w:rPr>
            </w:pPr>
            <w:r w:rsidRPr="008B3FE9">
              <w:rPr>
                <w:rFonts w:ascii="Arial" w:eastAsia="Arial" w:hAnsi="Arial" w:cs="Arial"/>
              </w:rPr>
              <w:t>3</w:t>
            </w:r>
          </w:p>
        </w:tc>
      </w:tr>
      <w:tr w:rsidR="00B8423F" w:rsidRPr="008B3FE9" w:rsidTr="009E4AF6">
        <w:trPr>
          <w:trHeight w:val="355"/>
        </w:trPr>
        <w:tc>
          <w:tcPr>
            <w:tcW w:w="2268" w:type="dxa"/>
            <w:vAlign w:val="center"/>
          </w:tcPr>
          <w:p w:rsidR="00B8423F" w:rsidRPr="008B3FE9" w:rsidRDefault="00B8423F" w:rsidP="009A3F3F">
            <w:pPr>
              <w:autoSpaceDE w:val="0"/>
              <w:autoSpaceDN w:val="0"/>
              <w:adjustRightInd w:val="0"/>
              <w:spacing w:before="60" w:after="60"/>
              <w:ind w:left="176" w:right="176"/>
              <w:jc w:val="center"/>
              <w:rPr>
                <w:rFonts w:ascii="Arial" w:eastAsia="Arial" w:hAnsi="Arial" w:cs="Arial"/>
              </w:rPr>
            </w:pPr>
            <w:r w:rsidRPr="008B3FE9">
              <w:rPr>
                <w:rFonts w:ascii="Arial" w:eastAsia="Arial" w:hAnsi="Arial" w:cs="Arial"/>
              </w:rPr>
              <w:t>Acceptable</w:t>
            </w:r>
          </w:p>
        </w:tc>
        <w:tc>
          <w:tcPr>
            <w:tcW w:w="5953" w:type="dxa"/>
            <w:vAlign w:val="center"/>
          </w:tcPr>
          <w:p w:rsidR="00B8423F" w:rsidRPr="008B3FE9" w:rsidRDefault="00B8423F" w:rsidP="009A3F3F">
            <w:pPr>
              <w:autoSpaceDE w:val="0"/>
              <w:autoSpaceDN w:val="0"/>
              <w:adjustRightInd w:val="0"/>
              <w:spacing w:before="60" w:after="60"/>
              <w:ind w:right="176"/>
              <w:rPr>
                <w:rFonts w:ascii="Arial" w:eastAsia="Arial" w:hAnsi="Arial" w:cs="Arial"/>
              </w:rPr>
            </w:pPr>
            <w:r w:rsidRPr="008B3FE9">
              <w:rPr>
                <w:rFonts w:ascii="Arial" w:eastAsia="Arial" w:hAnsi="Arial" w:cs="Arial"/>
              </w:rPr>
              <w:t>An acceptable response submitted in terms of the level of detail and relevance. There is reasonable confidence that the Bidder will be able to deliver in line with expectations and the requirements of the Contracting Authority as detailed in the Service Specification.</w:t>
            </w:r>
          </w:p>
        </w:tc>
        <w:tc>
          <w:tcPr>
            <w:tcW w:w="992" w:type="dxa"/>
            <w:vAlign w:val="center"/>
          </w:tcPr>
          <w:p w:rsidR="00B8423F" w:rsidRPr="008B3FE9" w:rsidRDefault="00B8423F" w:rsidP="009A3F3F">
            <w:pPr>
              <w:autoSpaceDE w:val="0"/>
              <w:autoSpaceDN w:val="0"/>
              <w:adjustRightInd w:val="0"/>
              <w:spacing w:before="60" w:after="60"/>
              <w:ind w:left="15"/>
              <w:jc w:val="center"/>
              <w:rPr>
                <w:rFonts w:ascii="Arial" w:eastAsia="Arial" w:hAnsi="Arial" w:cs="Arial"/>
              </w:rPr>
            </w:pPr>
            <w:r w:rsidRPr="008B3FE9">
              <w:rPr>
                <w:rFonts w:ascii="Arial" w:eastAsia="Arial" w:hAnsi="Arial" w:cs="Arial"/>
              </w:rPr>
              <w:t>2</w:t>
            </w:r>
          </w:p>
        </w:tc>
      </w:tr>
      <w:tr w:rsidR="00B8423F" w:rsidRPr="008B3FE9" w:rsidTr="009E4AF6">
        <w:trPr>
          <w:trHeight w:val="346"/>
        </w:trPr>
        <w:tc>
          <w:tcPr>
            <w:tcW w:w="2268" w:type="dxa"/>
            <w:vAlign w:val="center"/>
          </w:tcPr>
          <w:p w:rsidR="00B8423F" w:rsidRPr="008B3FE9" w:rsidRDefault="00B8423F" w:rsidP="009A3F3F">
            <w:pPr>
              <w:autoSpaceDE w:val="0"/>
              <w:autoSpaceDN w:val="0"/>
              <w:adjustRightInd w:val="0"/>
              <w:spacing w:before="60" w:after="60"/>
              <w:ind w:left="176" w:right="176"/>
              <w:jc w:val="center"/>
              <w:rPr>
                <w:rFonts w:ascii="Arial" w:eastAsia="Arial" w:hAnsi="Arial" w:cs="Arial"/>
              </w:rPr>
            </w:pPr>
            <w:r w:rsidRPr="008B3FE9">
              <w:rPr>
                <w:rFonts w:ascii="Arial" w:eastAsia="Arial" w:hAnsi="Arial" w:cs="Arial"/>
              </w:rPr>
              <w:t>Limited</w:t>
            </w:r>
          </w:p>
        </w:tc>
        <w:tc>
          <w:tcPr>
            <w:tcW w:w="5953" w:type="dxa"/>
            <w:vAlign w:val="center"/>
          </w:tcPr>
          <w:p w:rsidR="00B8423F" w:rsidRPr="008B3FE9" w:rsidRDefault="00B8423F" w:rsidP="009A3F3F">
            <w:pPr>
              <w:autoSpaceDE w:val="0"/>
              <w:autoSpaceDN w:val="0"/>
              <w:adjustRightInd w:val="0"/>
              <w:spacing w:before="60" w:after="60"/>
              <w:ind w:right="176"/>
              <w:rPr>
                <w:rFonts w:ascii="Arial" w:eastAsia="Arial" w:hAnsi="Arial" w:cs="Arial"/>
              </w:rPr>
            </w:pPr>
            <w:r w:rsidRPr="008B3FE9">
              <w:rPr>
                <w:rFonts w:ascii="Arial" w:eastAsia="Arial" w:hAnsi="Arial" w:cs="Arial"/>
              </w:rPr>
              <w:t>Limited information provided and/or a response that is inadequate. Fails to meet expectations/requirements in many ways and provides insufficient confidence of delivery.</w:t>
            </w:r>
          </w:p>
        </w:tc>
        <w:tc>
          <w:tcPr>
            <w:tcW w:w="992" w:type="dxa"/>
            <w:vAlign w:val="center"/>
          </w:tcPr>
          <w:p w:rsidR="00B8423F" w:rsidRPr="008B3FE9" w:rsidRDefault="00B8423F" w:rsidP="009A3F3F">
            <w:pPr>
              <w:autoSpaceDE w:val="0"/>
              <w:autoSpaceDN w:val="0"/>
              <w:adjustRightInd w:val="0"/>
              <w:spacing w:before="60" w:after="60"/>
              <w:ind w:left="15"/>
              <w:jc w:val="center"/>
              <w:rPr>
                <w:rFonts w:ascii="Arial" w:eastAsia="Arial" w:hAnsi="Arial" w:cs="Arial"/>
              </w:rPr>
            </w:pPr>
            <w:r w:rsidRPr="008B3FE9">
              <w:rPr>
                <w:rFonts w:ascii="Arial" w:eastAsia="Arial" w:hAnsi="Arial" w:cs="Arial"/>
              </w:rPr>
              <w:t>1</w:t>
            </w:r>
          </w:p>
        </w:tc>
      </w:tr>
      <w:tr w:rsidR="00B8423F" w:rsidRPr="008B3FE9" w:rsidTr="009E4AF6">
        <w:trPr>
          <w:trHeight w:val="737"/>
        </w:trPr>
        <w:tc>
          <w:tcPr>
            <w:tcW w:w="2268" w:type="dxa"/>
            <w:vAlign w:val="center"/>
          </w:tcPr>
          <w:p w:rsidR="00B8423F" w:rsidRPr="008B3FE9" w:rsidRDefault="00B8423F" w:rsidP="009A3F3F">
            <w:pPr>
              <w:autoSpaceDE w:val="0"/>
              <w:autoSpaceDN w:val="0"/>
              <w:adjustRightInd w:val="0"/>
              <w:spacing w:before="60" w:after="60"/>
              <w:ind w:left="176" w:right="176"/>
              <w:jc w:val="center"/>
              <w:rPr>
                <w:rFonts w:ascii="Arial" w:eastAsia="Arial" w:hAnsi="Arial" w:cs="Arial"/>
              </w:rPr>
            </w:pPr>
            <w:r w:rsidRPr="008B3FE9">
              <w:rPr>
                <w:rFonts w:ascii="Arial" w:eastAsia="Arial" w:hAnsi="Arial" w:cs="Arial"/>
              </w:rPr>
              <w:t>Deficient</w:t>
            </w:r>
          </w:p>
        </w:tc>
        <w:tc>
          <w:tcPr>
            <w:tcW w:w="5953" w:type="dxa"/>
            <w:vAlign w:val="center"/>
          </w:tcPr>
          <w:p w:rsidR="00B8423F" w:rsidRPr="008B3FE9" w:rsidRDefault="00B8423F" w:rsidP="009A3F3F">
            <w:pPr>
              <w:autoSpaceDE w:val="0"/>
              <w:autoSpaceDN w:val="0"/>
              <w:adjustRightInd w:val="0"/>
              <w:spacing w:before="60" w:after="60"/>
              <w:ind w:right="176"/>
              <w:rPr>
                <w:rFonts w:ascii="Arial" w:eastAsia="Arial" w:hAnsi="Arial" w:cs="Arial"/>
              </w:rPr>
            </w:pPr>
            <w:r w:rsidRPr="008B3FE9">
              <w:rPr>
                <w:rFonts w:ascii="Arial" w:eastAsia="Arial" w:hAnsi="Arial" w:cs="Arial"/>
              </w:rPr>
              <w:t>Response to the question and/or an implicit requirement is deficient, or no response received. Provides no confidence that the issues will be addressed and managed at all in line with the Contracting Authority’s requirements and/or expectations.</w:t>
            </w:r>
          </w:p>
        </w:tc>
        <w:tc>
          <w:tcPr>
            <w:tcW w:w="992" w:type="dxa"/>
            <w:vAlign w:val="center"/>
          </w:tcPr>
          <w:p w:rsidR="00B8423F" w:rsidRPr="008B3FE9" w:rsidRDefault="00B8423F" w:rsidP="009A3F3F">
            <w:pPr>
              <w:autoSpaceDE w:val="0"/>
              <w:autoSpaceDN w:val="0"/>
              <w:adjustRightInd w:val="0"/>
              <w:spacing w:before="60" w:after="60"/>
              <w:ind w:left="15"/>
              <w:jc w:val="center"/>
              <w:rPr>
                <w:rFonts w:ascii="Arial" w:eastAsia="Arial" w:hAnsi="Arial" w:cs="Arial"/>
              </w:rPr>
            </w:pPr>
            <w:r w:rsidRPr="008B3FE9">
              <w:rPr>
                <w:rFonts w:ascii="Arial" w:eastAsia="Arial" w:hAnsi="Arial" w:cs="Arial"/>
              </w:rPr>
              <w:t>0</w:t>
            </w:r>
          </w:p>
        </w:tc>
      </w:tr>
    </w:tbl>
    <w:p w:rsidR="00B8423F" w:rsidRPr="008B3FE9" w:rsidRDefault="00B8423F" w:rsidP="00B8423F">
      <w:pPr>
        <w:pStyle w:val="NoSpacing"/>
        <w:ind w:left="720"/>
        <w:rPr>
          <w:rFonts w:ascii="Arial" w:hAnsi="Arial" w:cs="Arial"/>
        </w:rPr>
      </w:pPr>
    </w:p>
    <w:p w:rsidR="00B8423F" w:rsidRPr="008B3FE9" w:rsidRDefault="00B8423F" w:rsidP="00B8423F">
      <w:pPr>
        <w:pStyle w:val="NoSpacing"/>
        <w:ind w:left="720"/>
        <w:rPr>
          <w:rFonts w:ascii="Arial" w:hAnsi="Arial" w:cs="Arial"/>
        </w:rPr>
      </w:pPr>
      <w:r w:rsidRPr="008B3FE9">
        <w:rPr>
          <w:rFonts w:ascii="Arial" w:hAnsi="Arial" w:cs="Arial"/>
        </w:rPr>
        <w:t>Scores will be allocated as following:</w:t>
      </w:r>
    </w:p>
    <w:p w:rsidR="00B8423F" w:rsidRPr="008B3FE9" w:rsidRDefault="00B8423F" w:rsidP="00B8423F">
      <w:pPr>
        <w:pStyle w:val="NoSpacing"/>
        <w:ind w:left="720"/>
        <w:rPr>
          <w:rFonts w:ascii="Arial" w:hAnsi="Arial" w:cs="Arial"/>
        </w:rPr>
      </w:pPr>
    </w:p>
    <w:tbl>
      <w:tblPr>
        <w:tblStyle w:val="TableGrid"/>
        <w:tblW w:w="0" w:type="auto"/>
        <w:tblInd w:w="720" w:type="dxa"/>
        <w:tblLook w:val="04A0" w:firstRow="1" w:lastRow="0" w:firstColumn="1" w:lastColumn="0" w:noHBand="0" w:noVBand="1"/>
      </w:tblPr>
      <w:tblGrid>
        <w:gridCol w:w="4291"/>
        <w:gridCol w:w="4231"/>
      </w:tblGrid>
      <w:tr w:rsidR="00B8423F" w:rsidRPr="008B3FE9" w:rsidTr="009A3F3F">
        <w:tc>
          <w:tcPr>
            <w:tcW w:w="4291" w:type="dxa"/>
            <w:shd w:val="clear" w:color="auto" w:fill="B8CCE4" w:themeFill="accent1" w:themeFillTint="66"/>
          </w:tcPr>
          <w:p w:rsidR="00B8423F" w:rsidRPr="008B3FE9" w:rsidRDefault="00B8423F" w:rsidP="009A3F3F">
            <w:pPr>
              <w:pStyle w:val="NoSpacing"/>
              <w:jc w:val="center"/>
              <w:rPr>
                <w:rFonts w:ascii="Arial" w:hAnsi="Arial" w:cs="Arial"/>
              </w:rPr>
            </w:pPr>
            <w:r w:rsidRPr="008B3FE9">
              <w:rPr>
                <w:rFonts w:ascii="Arial" w:hAnsi="Arial" w:cs="Arial"/>
              </w:rPr>
              <w:t>Area</w:t>
            </w:r>
          </w:p>
        </w:tc>
        <w:tc>
          <w:tcPr>
            <w:tcW w:w="4231" w:type="dxa"/>
            <w:shd w:val="clear" w:color="auto" w:fill="B8CCE4" w:themeFill="accent1" w:themeFillTint="66"/>
          </w:tcPr>
          <w:p w:rsidR="00B8423F" w:rsidRPr="008B3FE9" w:rsidRDefault="00B8423F" w:rsidP="009A3F3F">
            <w:pPr>
              <w:pStyle w:val="NoSpacing"/>
              <w:jc w:val="center"/>
              <w:rPr>
                <w:rFonts w:ascii="Arial" w:hAnsi="Arial" w:cs="Arial"/>
              </w:rPr>
            </w:pPr>
            <w:r w:rsidRPr="008B3FE9">
              <w:rPr>
                <w:rFonts w:ascii="Arial" w:hAnsi="Arial" w:cs="Arial"/>
              </w:rPr>
              <w:t>Weighting</w:t>
            </w:r>
          </w:p>
        </w:tc>
      </w:tr>
      <w:tr w:rsidR="00B8423F" w:rsidRPr="008B3FE9" w:rsidTr="009A3F3F">
        <w:tc>
          <w:tcPr>
            <w:tcW w:w="4291" w:type="dxa"/>
          </w:tcPr>
          <w:p w:rsidR="00B8423F" w:rsidRPr="008B3FE9" w:rsidRDefault="00B8423F" w:rsidP="009A3F3F">
            <w:pPr>
              <w:pStyle w:val="NoSpacing"/>
              <w:rPr>
                <w:rFonts w:ascii="Arial" w:hAnsi="Arial" w:cs="Arial"/>
              </w:rPr>
            </w:pPr>
            <w:r w:rsidRPr="008B3FE9">
              <w:rPr>
                <w:rFonts w:ascii="Arial" w:hAnsi="Arial" w:cs="Arial"/>
              </w:rPr>
              <w:t>Question 1</w:t>
            </w:r>
          </w:p>
        </w:tc>
        <w:tc>
          <w:tcPr>
            <w:tcW w:w="4231" w:type="dxa"/>
          </w:tcPr>
          <w:p w:rsidR="00B8423F" w:rsidRPr="008B3FE9" w:rsidRDefault="00B452D5" w:rsidP="009A3F3F">
            <w:pPr>
              <w:pStyle w:val="NoSpacing"/>
              <w:jc w:val="center"/>
              <w:rPr>
                <w:rFonts w:ascii="Arial" w:hAnsi="Arial" w:cs="Arial"/>
              </w:rPr>
            </w:pPr>
            <w:r>
              <w:rPr>
                <w:rFonts w:ascii="Arial" w:hAnsi="Arial" w:cs="Arial"/>
              </w:rPr>
              <w:t>20</w:t>
            </w:r>
            <w:r w:rsidR="007F015F">
              <w:rPr>
                <w:rFonts w:ascii="Arial" w:hAnsi="Arial" w:cs="Arial"/>
              </w:rPr>
              <w:t>%</w:t>
            </w:r>
          </w:p>
        </w:tc>
      </w:tr>
      <w:tr w:rsidR="00B8423F" w:rsidRPr="008B3FE9" w:rsidTr="009A3F3F">
        <w:tc>
          <w:tcPr>
            <w:tcW w:w="4291" w:type="dxa"/>
          </w:tcPr>
          <w:p w:rsidR="00B8423F" w:rsidRPr="008B3FE9" w:rsidRDefault="00B8423F" w:rsidP="009A3F3F">
            <w:pPr>
              <w:pStyle w:val="NoSpacing"/>
              <w:rPr>
                <w:rFonts w:ascii="Arial" w:hAnsi="Arial" w:cs="Arial"/>
              </w:rPr>
            </w:pPr>
            <w:r w:rsidRPr="008B3FE9">
              <w:rPr>
                <w:rFonts w:ascii="Arial" w:hAnsi="Arial" w:cs="Arial"/>
              </w:rPr>
              <w:t>Question 2</w:t>
            </w:r>
          </w:p>
        </w:tc>
        <w:tc>
          <w:tcPr>
            <w:tcW w:w="4231" w:type="dxa"/>
          </w:tcPr>
          <w:p w:rsidR="00B8423F" w:rsidRPr="008B3FE9" w:rsidRDefault="00B452D5" w:rsidP="009A3F3F">
            <w:pPr>
              <w:pStyle w:val="NoSpacing"/>
              <w:jc w:val="center"/>
              <w:rPr>
                <w:rFonts w:ascii="Arial" w:hAnsi="Arial" w:cs="Arial"/>
              </w:rPr>
            </w:pPr>
            <w:r>
              <w:rPr>
                <w:rFonts w:ascii="Arial" w:hAnsi="Arial" w:cs="Arial"/>
              </w:rPr>
              <w:t>20</w:t>
            </w:r>
            <w:r w:rsidR="00B8423F" w:rsidRPr="008B3FE9">
              <w:rPr>
                <w:rFonts w:ascii="Arial" w:hAnsi="Arial" w:cs="Arial"/>
              </w:rPr>
              <w:t>%</w:t>
            </w:r>
          </w:p>
        </w:tc>
      </w:tr>
      <w:tr w:rsidR="00B8423F" w:rsidRPr="008B3FE9" w:rsidTr="009A3F3F">
        <w:tc>
          <w:tcPr>
            <w:tcW w:w="4291" w:type="dxa"/>
          </w:tcPr>
          <w:p w:rsidR="00B8423F" w:rsidRPr="008B3FE9" w:rsidRDefault="00B8423F" w:rsidP="009A3F3F">
            <w:pPr>
              <w:pStyle w:val="NoSpacing"/>
              <w:rPr>
                <w:rFonts w:ascii="Arial" w:hAnsi="Arial" w:cs="Arial"/>
              </w:rPr>
            </w:pPr>
            <w:r w:rsidRPr="008B3FE9">
              <w:rPr>
                <w:rFonts w:ascii="Arial" w:hAnsi="Arial" w:cs="Arial"/>
              </w:rPr>
              <w:t>Question 3</w:t>
            </w:r>
          </w:p>
        </w:tc>
        <w:tc>
          <w:tcPr>
            <w:tcW w:w="4231" w:type="dxa"/>
          </w:tcPr>
          <w:p w:rsidR="00B8423F" w:rsidRPr="008B3FE9" w:rsidRDefault="00B452D5" w:rsidP="009A3F3F">
            <w:pPr>
              <w:pStyle w:val="NoSpacing"/>
              <w:jc w:val="center"/>
              <w:rPr>
                <w:rFonts w:ascii="Arial" w:hAnsi="Arial" w:cs="Arial"/>
              </w:rPr>
            </w:pPr>
            <w:r>
              <w:rPr>
                <w:rFonts w:ascii="Arial" w:hAnsi="Arial" w:cs="Arial"/>
              </w:rPr>
              <w:t>20</w:t>
            </w:r>
            <w:r w:rsidR="00B8423F" w:rsidRPr="008B3FE9">
              <w:rPr>
                <w:rFonts w:ascii="Arial" w:hAnsi="Arial" w:cs="Arial"/>
              </w:rPr>
              <w:t>%</w:t>
            </w:r>
          </w:p>
        </w:tc>
      </w:tr>
      <w:tr w:rsidR="00B8423F" w:rsidRPr="008B3FE9" w:rsidTr="009A3F3F">
        <w:tc>
          <w:tcPr>
            <w:tcW w:w="4291" w:type="dxa"/>
          </w:tcPr>
          <w:p w:rsidR="00B8423F" w:rsidRPr="008B3FE9" w:rsidRDefault="00B8423F" w:rsidP="009A3F3F">
            <w:pPr>
              <w:pStyle w:val="NoSpacing"/>
              <w:rPr>
                <w:rFonts w:ascii="Arial" w:hAnsi="Arial" w:cs="Arial"/>
              </w:rPr>
            </w:pPr>
            <w:r w:rsidRPr="008B3FE9">
              <w:rPr>
                <w:rFonts w:ascii="Arial" w:hAnsi="Arial" w:cs="Arial"/>
              </w:rPr>
              <w:t>Question 4</w:t>
            </w:r>
          </w:p>
        </w:tc>
        <w:tc>
          <w:tcPr>
            <w:tcW w:w="4231" w:type="dxa"/>
          </w:tcPr>
          <w:p w:rsidR="00B8423F" w:rsidRPr="008B3FE9" w:rsidRDefault="007F015F" w:rsidP="009A3F3F">
            <w:pPr>
              <w:pStyle w:val="NoSpacing"/>
              <w:jc w:val="center"/>
              <w:rPr>
                <w:rFonts w:ascii="Arial" w:hAnsi="Arial" w:cs="Arial"/>
              </w:rPr>
            </w:pPr>
            <w:r>
              <w:rPr>
                <w:rFonts w:ascii="Arial" w:hAnsi="Arial" w:cs="Arial"/>
              </w:rPr>
              <w:t>25</w:t>
            </w:r>
            <w:r w:rsidR="00B8423F" w:rsidRPr="008B3FE9">
              <w:rPr>
                <w:rFonts w:ascii="Arial" w:hAnsi="Arial" w:cs="Arial"/>
              </w:rPr>
              <w:t>%</w:t>
            </w:r>
          </w:p>
        </w:tc>
      </w:tr>
      <w:tr w:rsidR="00B8423F" w:rsidRPr="008B3FE9" w:rsidTr="009A3F3F">
        <w:tc>
          <w:tcPr>
            <w:tcW w:w="4291" w:type="dxa"/>
            <w:tcBorders>
              <w:bottom w:val="single" w:sz="4" w:space="0" w:color="auto"/>
            </w:tcBorders>
          </w:tcPr>
          <w:p w:rsidR="00B8423F" w:rsidRPr="008B3FE9" w:rsidRDefault="00B8423F" w:rsidP="009A3F3F">
            <w:pPr>
              <w:pStyle w:val="NoSpacing"/>
              <w:rPr>
                <w:rFonts w:ascii="Arial" w:hAnsi="Arial" w:cs="Arial"/>
              </w:rPr>
            </w:pPr>
            <w:r w:rsidRPr="008B3FE9">
              <w:rPr>
                <w:rFonts w:ascii="Arial" w:hAnsi="Arial" w:cs="Arial"/>
              </w:rPr>
              <w:t>Question 5</w:t>
            </w:r>
          </w:p>
        </w:tc>
        <w:tc>
          <w:tcPr>
            <w:tcW w:w="4231" w:type="dxa"/>
            <w:tcBorders>
              <w:bottom w:val="single" w:sz="4" w:space="0" w:color="auto"/>
            </w:tcBorders>
          </w:tcPr>
          <w:p w:rsidR="00B8423F" w:rsidRPr="008B3FE9" w:rsidRDefault="00B452D5" w:rsidP="00B452D5">
            <w:pPr>
              <w:pStyle w:val="NoSpacing"/>
              <w:jc w:val="center"/>
              <w:rPr>
                <w:rFonts w:ascii="Arial" w:hAnsi="Arial" w:cs="Arial"/>
              </w:rPr>
            </w:pPr>
            <w:r>
              <w:rPr>
                <w:rFonts w:ascii="Arial" w:hAnsi="Arial" w:cs="Arial"/>
              </w:rPr>
              <w:t>15%</w:t>
            </w:r>
          </w:p>
        </w:tc>
      </w:tr>
      <w:tr w:rsidR="00B8423F" w:rsidRPr="008B3FE9" w:rsidTr="009A3F3F">
        <w:tc>
          <w:tcPr>
            <w:tcW w:w="4291" w:type="dxa"/>
            <w:tcBorders>
              <w:bottom w:val="single" w:sz="4" w:space="0" w:color="auto"/>
            </w:tcBorders>
          </w:tcPr>
          <w:p w:rsidR="00B8423F" w:rsidRPr="008B3FE9" w:rsidRDefault="00B8423F" w:rsidP="009A3F3F">
            <w:pPr>
              <w:pStyle w:val="NoSpacing"/>
              <w:rPr>
                <w:rFonts w:ascii="Arial" w:hAnsi="Arial" w:cs="Arial"/>
              </w:rPr>
            </w:pPr>
            <w:r w:rsidRPr="008B3FE9">
              <w:rPr>
                <w:rFonts w:ascii="Arial" w:hAnsi="Arial" w:cs="Arial"/>
              </w:rPr>
              <w:t>Question 6 (Bid Price)</w:t>
            </w:r>
          </w:p>
        </w:tc>
        <w:tc>
          <w:tcPr>
            <w:tcW w:w="4231" w:type="dxa"/>
            <w:tcBorders>
              <w:bottom w:val="single" w:sz="4" w:space="0" w:color="auto"/>
            </w:tcBorders>
          </w:tcPr>
          <w:p w:rsidR="00B8423F" w:rsidRPr="008B3FE9" w:rsidRDefault="00B8423F" w:rsidP="009A3F3F">
            <w:pPr>
              <w:pStyle w:val="NoSpacing"/>
              <w:jc w:val="center"/>
              <w:rPr>
                <w:rFonts w:ascii="Arial" w:hAnsi="Arial" w:cs="Arial"/>
              </w:rPr>
            </w:pPr>
            <w:r w:rsidRPr="008B3FE9">
              <w:rPr>
                <w:rFonts w:ascii="Arial" w:hAnsi="Arial" w:cs="Arial"/>
              </w:rPr>
              <w:t>Pass/Fail</w:t>
            </w:r>
          </w:p>
        </w:tc>
      </w:tr>
      <w:tr w:rsidR="00B8423F" w:rsidRPr="008B3FE9" w:rsidTr="009A3F3F">
        <w:tc>
          <w:tcPr>
            <w:tcW w:w="4291" w:type="dxa"/>
            <w:shd w:val="clear" w:color="auto" w:fill="D9D9D9" w:themeFill="background1" w:themeFillShade="D9"/>
          </w:tcPr>
          <w:p w:rsidR="00B8423F" w:rsidRPr="008B3FE9" w:rsidRDefault="00B8423F" w:rsidP="009A3F3F">
            <w:pPr>
              <w:pStyle w:val="NoSpacing"/>
              <w:rPr>
                <w:rFonts w:ascii="Arial" w:hAnsi="Arial" w:cs="Arial"/>
                <w:b/>
              </w:rPr>
            </w:pPr>
            <w:r w:rsidRPr="008B3FE9">
              <w:rPr>
                <w:rFonts w:ascii="Arial" w:hAnsi="Arial" w:cs="Arial"/>
                <w:b/>
              </w:rPr>
              <w:t>Total</w:t>
            </w:r>
          </w:p>
        </w:tc>
        <w:tc>
          <w:tcPr>
            <w:tcW w:w="4231" w:type="dxa"/>
            <w:shd w:val="clear" w:color="auto" w:fill="D9D9D9" w:themeFill="background1" w:themeFillShade="D9"/>
          </w:tcPr>
          <w:p w:rsidR="00B8423F" w:rsidRPr="008B3FE9" w:rsidRDefault="00B8423F" w:rsidP="009A3F3F">
            <w:pPr>
              <w:pStyle w:val="NoSpacing"/>
              <w:jc w:val="center"/>
              <w:rPr>
                <w:rFonts w:ascii="Arial" w:hAnsi="Arial" w:cs="Arial"/>
                <w:b/>
              </w:rPr>
            </w:pPr>
            <w:r w:rsidRPr="008B3FE9">
              <w:rPr>
                <w:rFonts w:ascii="Arial" w:hAnsi="Arial" w:cs="Arial"/>
                <w:b/>
              </w:rPr>
              <w:t>100%</w:t>
            </w:r>
          </w:p>
        </w:tc>
      </w:tr>
    </w:tbl>
    <w:p w:rsidR="00B8423F" w:rsidRDefault="00B8423F" w:rsidP="00B8423F">
      <w:pPr>
        <w:pStyle w:val="NoSpacing"/>
        <w:ind w:left="720"/>
        <w:rPr>
          <w:rFonts w:ascii="Arial" w:hAnsi="Arial" w:cs="Arial"/>
        </w:rPr>
      </w:pPr>
    </w:p>
    <w:p w:rsidR="008A27BF" w:rsidRPr="008B3FE9" w:rsidRDefault="008A27BF" w:rsidP="00B8423F">
      <w:pPr>
        <w:pStyle w:val="NoSpacing"/>
        <w:ind w:left="720"/>
        <w:rPr>
          <w:rFonts w:ascii="Arial" w:hAnsi="Arial" w:cs="Arial"/>
        </w:rPr>
      </w:pPr>
    </w:p>
    <w:p w:rsidR="00B8423F" w:rsidRPr="008B3FE9" w:rsidRDefault="00B8423F" w:rsidP="00B8423F">
      <w:pPr>
        <w:pStyle w:val="NoSpacing"/>
        <w:ind w:left="720"/>
        <w:rPr>
          <w:rFonts w:ascii="Arial" w:hAnsi="Arial" w:cs="Arial"/>
        </w:rPr>
      </w:pPr>
      <w:r w:rsidRPr="008B3FE9">
        <w:rPr>
          <w:rFonts w:ascii="Arial" w:hAnsi="Arial" w:cs="Arial"/>
        </w:rPr>
        <w:t xml:space="preserve">  </w:t>
      </w:r>
    </w:p>
    <w:p w:rsidR="006D49A3" w:rsidRDefault="00531F2D" w:rsidP="00B8423F">
      <w:pPr>
        <w:pStyle w:val="NoSpacing"/>
        <w:rPr>
          <w:rFonts w:ascii="Arial" w:hAnsi="Arial" w:cs="Arial"/>
          <w:b/>
        </w:rPr>
      </w:pPr>
      <w:r>
        <w:rPr>
          <w:rFonts w:ascii="Arial" w:hAnsi="Arial" w:cs="Arial"/>
          <w:b/>
        </w:rPr>
        <w:t>13</w:t>
      </w:r>
      <w:r w:rsidR="00B8423F" w:rsidRPr="008B3FE9">
        <w:rPr>
          <w:rFonts w:ascii="Arial" w:hAnsi="Arial" w:cs="Arial"/>
          <w:b/>
        </w:rPr>
        <w:t>.</w:t>
      </w:r>
      <w:r w:rsidR="00B8423F" w:rsidRPr="008B3FE9">
        <w:rPr>
          <w:rFonts w:ascii="Arial" w:hAnsi="Arial" w:cs="Arial"/>
          <w:b/>
        </w:rPr>
        <w:tab/>
      </w:r>
      <w:r w:rsidR="006D49A3">
        <w:rPr>
          <w:rFonts w:ascii="Arial" w:hAnsi="Arial" w:cs="Arial"/>
          <w:b/>
        </w:rPr>
        <w:t>Previous Resilience support Outcomes</w:t>
      </w:r>
    </w:p>
    <w:p w:rsidR="006D49A3" w:rsidRDefault="006D49A3" w:rsidP="00B8423F">
      <w:pPr>
        <w:pStyle w:val="NoSpacing"/>
        <w:rPr>
          <w:rFonts w:ascii="Arial" w:hAnsi="Arial" w:cs="Arial"/>
          <w:b/>
        </w:rPr>
      </w:pPr>
    </w:p>
    <w:p w:rsidR="008A27BF" w:rsidRDefault="006D49A3" w:rsidP="00B452D5">
      <w:pPr>
        <w:pStyle w:val="NoSpacing"/>
        <w:ind w:left="720"/>
        <w:rPr>
          <w:rFonts w:ascii="Tahoma" w:hAnsi="Tahoma" w:cs="Tahoma"/>
          <w:color w:val="000000"/>
          <w:sz w:val="20"/>
          <w:szCs w:val="20"/>
        </w:rPr>
      </w:pPr>
      <w:r w:rsidRPr="006D49A3">
        <w:rPr>
          <w:rFonts w:ascii="Arial" w:hAnsi="Arial" w:cs="Arial"/>
        </w:rPr>
        <w:t xml:space="preserve">Outcomes achieved </w:t>
      </w:r>
      <w:r w:rsidR="00B452D5">
        <w:rPr>
          <w:rFonts w:ascii="Arial" w:hAnsi="Arial" w:cs="Arial"/>
        </w:rPr>
        <w:t xml:space="preserve">by our </w:t>
      </w:r>
      <w:r w:rsidRPr="006D49A3">
        <w:rPr>
          <w:rFonts w:ascii="Arial" w:hAnsi="Arial" w:cs="Arial"/>
        </w:rPr>
        <w:t xml:space="preserve">previous </w:t>
      </w:r>
      <w:r w:rsidR="00B452D5">
        <w:rPr>
          <w:rFonts w:ascii="Arial" w:hAnsi="Arial" w:cs="Arial"/>
        </w:rPr>
        <w:t>cohort of Practices with the Resilience programme - t</w:t>
      </w:r>
      <w:r w:rsidRPr="006D49A3">
        <w:rPr>
          <w:rFonts w:ascii="Arial" w:hAnsi="Arial" w:cs="Arial"/>
        </w:rPr>
        <w:t xml:space="preserve">he video </w:t>
      </w:r>
      <w:r w:rsidR="00B452D5">
        <w:rPr>
          <w:rFonts w:ascii="Arial" w:hAnsi="Arial" w:cs="Arial"/>
        </w:rPr>
        <w:t xml:space="preserve">link </w:t>
      </w:r>
      <w:r w:rsidRPr="006D49A3">
        <w:rPr>
          <w:rFonts w:ascii="Arial" w:hAnsi="Arial" w:cs="Arial"/>
        </w:rPr>
        <w:t>to the CCG's YouTube channel</w:t>
      </w:r>
      <w:r w:rsidR="00B452D5">
        <w:rPr>
          <w:rFonts w:ascii="Arial" w:hAnsi="Arial" w:cs="Arial"/>
        </w:rPr>
        <w:t>:</w:t>
      </w:r>
      <w:r>
        <w:rPr>
          <w:rFonts w:ascii="Tahoma" w:hAnsi="Tahoma" w:cs="Tahoma"/>
          <w:color w:val="000000"/>
          <w:sz w:val="20"/>
          <w:szCs w:val="20"/>
        </w:rPr>
        <w:t xml:space="preserve"> </w:t>
      </w:r>
      <w:r>
        <w:rPr>
          <w:rFonts w:ascii="Tahoma" w:hAnsi="Tahoma" w:cs="Tahoma"/>
          <w:color w:val="000000"/>
          <w:sz w:val="20"/>
          <w:szCs w:val="20"/>
        </w:rPr>
        <w:tab/>
      </w:r>
    </w:p>
    <w:p w:rsidR="00AA3D4B" w:rsidRDefault="00AA3D4B" w:rsidP="00B8423F">
      <w:pPr>
        <w:pStyle w:val="NoSpacing"/>
        <w:rPr>
          <w:rFonts w:ascii="Tahoma" w:hAnsi="Tahoma" w:cs="Tahoma"/>
          <w:color w:val="000000"/>
          <w:sz w:val="20"/>
          <w:szCs w:val="20"/>
        </w:rPr>
      </w:pPr>
    </w:p>
    <w:p w:rsidR="00AA3D4B" w:rsidRDefault="00363F01" w:rsidP="00AA3D4B">
      <w:pPr>
        <w:pStyle w:val="NormalWeb"/>
        <w:jc w:val="center"/>
        <w:rPr>
          <w:rFonts w:ascii="Courier New" w:hAnsi="Courier New" w:cs="Courier New"/>
          <w:color w:val="000000"/>
        </w:rPr>
      </w:pPr>
      <w:hyperlink r:id="rId11" w:history="1">
        <w:r w:rsidR="00AA3D4B">
          <w:rPr>
            <w:rStyle w:val="Hyperlink"/>
            <w:rFonts w:ascii="Courier New" w:hAnsi="Courier New" w:cs="Courier New"/>
          </w:rPr>
          <w:t>https://www.youtube.com/watch?v=sk8kQeLwnIg</w:t>
        </w:r>
      </w:hyperlink>
      <w:r w:rsidR="00AA3D4B">
        <w:rPr>
          <w:rFonts w:ascii="Cambria Math" w:hAnsi="Cambria Math"/>
          <w:color w:val="000000"/>
        </w:rPr>
        <w:t>​</w:t>
      </w:r>
    </w:p>
    <w:p w:rsidR="00AA3D4B" w:rsidRDefault="00AA3D4B" w:rsidP="00B8423F">
      <w:pPr>
        <w:pStyle w:val="NoSpacing"/>
        <w:rPr>
          <w:rFonts w:ascii="Arial" w:hAnsi="Arial" w:cs="Arial"/>
          <w:b/>
        </w:rPr>
      </w:pPr>
    </w:p>
    <w:p w:rsidR="008A27BF" w:rsidRDefault="008A27BF" w:rsidP="00B8423F">
      <w:pPr>
        <w:pStyle w:val="NoSpacing"/>
        <w:rPr>
          <w:rFonts w:ascii="Arial" w:hAnsi="Arial" w:cs="Arial"/>
          <w:b/>
        </w:rPr>
      </w:pPr>
    </w:p>
    <w:p w:rsidR="00B8423F" w:rsidRPr="008B3FE9" w:rsidRDefault="00531F2D" w:rsidP="00B8423F">
      <w:pPr>
        <w:pStyle w:val="NoSpacing"/>
        <w:rPr>
          <w:rFonts w:ascii="Arial" w:hAnsi="Arial" w:cs="Arial"/>
          <w:b/>
        </w:rPr>
      </w:pPr>
      <w:r>
        <w:rPr>
          <w:rFonts w:ascii="Arial" w:hAnsi="Arial" w:cs="Arial"/>
          <w:b/>
        </w:rPr>
        <w:t>14</w:t>
      </w:r>
      <w:r w:rsidR="008A27BF">
        <w:rPr>
          <w:rFonts w:ascii="Arial" w:hAnsi="Arial" w:cs="Arial"/>
          <w:b/>
        </w:rPr>
        <w:t>.</w:t>
      </w:r>
      <w:r w:rsidR="008A27BF">
        <w:rPr>
          <w:rFonts w:ascii="Arial" w:hAnsi="Arial" w:cs="Arial"/>
          <w:b/>
        </w:rPr>
        <w:tab/>
      </w:r>
      <w:r w:rsidR="00B8423F" w:rsidRPr="008B3FE9">
        <w:rPr>
          <w:rFonts w:ascii="Arial" w:hAnsi="Arial" w:cs="Arial"/>
          <w:b/>
        </w:rPr>
        <w:t>Contract Award:</w:t>
      </w:r>
    </w:p>
    <w:p w:rsidR="00B8423F" w:rsidRPr="008B3FE9" w:rsidRDefault="00B8423F" w:rsidP="00B8423F">
      <w:pPr>
        <w:pStyle w:val="NoSpacing"/>
        <w:rPr>
          <w:rFonts w:ascii="Arial" w:hAnsi="Arial" w:cs="Arial"/>
        </w:rPr>
      </w:pPr>
    </w:p>
    <w:p w:rsidR="00B8423F" w:rsidRPr="008B3FE9" w:rsidRDefault="00B8423F" w:rsidP="00B8423F">
      <w:pPr>
        <w:pStyle w:val="NoSpacing"/>
        <w:ind w:left="720"/>
        <w:rPr>
          <w:rFonts w:ascii="Arial" w:hAnsi="Arial" w:cs="Arial"/>
        </w:rPr>
      </w:pPr>
      <w:r w:rsidRPr="008B3FE9">
        <w:rPr>
          <w:rFonts w:ascii="Arial" w:hAnsi="Arial" w:cs="Arial"/>
        </w:rPr>
        <w:t xml:space="preserve">NHS Brent CCG will award the contract(s) to the provider(s) which achieves the highest overall score for the questions in the ITQ Bidder Response questionnaire for each lot/area of the service specification following the evaluation.  In order for Bid’s price to be compliant the bid price(s) submitted must fall within each of the maximum affordability threshold as specified for each of the lots/areas of the specification that you are bidding for.  </w:t>
      </w:r>
    </w:p>
    <w:p w:rsidR="00FB72F3" w:rsidRDefault="00FB72F3">
      <w:bookmarkStart w:id="0" w:name="_GoBack"/>
      <w:bookmarkEnd w:id="0"/>
    </w:p>
    <w:p w:rsidR="001A57BF" w:rsidRDefault="001A57BF"/>
    <w:bookmarkStart w:id="1" w:name="_MON_1573300779"/>
    <w:bookmarkStart w:id="2" w:name="_MON_1573300781"/>
    <w:bookmarkStart w:id="3" w:name="_MON_1573285369"/>
    <w:bookmarkStart w:id="4" w:name="_MON_1573303290"/>
    <w:bookmarkEnd w:id="1"/>
    <w:bookmarkEnd w:id="2"/>
    <w:bookmarkEnd w:id="3"/>
    <w:bookmarkEnd w:id="4"/>
    <w:bookmarkStart w:id="5" w:name="_MON_1573296755"/>
    <w:bookmarkEnd w:id="5"/>
    <w:p w:rsidR="001A57BF" w:rsidRDefault="007E4C7F" w:rsidP="001A57BF">
      <w:pPr>
        <w:jc w:val="center"/>
      </w:pPr>
      <w: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9.45pt" o:ole="">
            <v:imagedata r:id="rId12" o:title=""/>
          </v:shape>
          <o:OLEObject Type="Embed" ProgID="Word.Document.12" ShapeID="_x0000_i1025" DrawAspect="Icon" ObjectID="_1573367490" r:id="rId13">
            <o:FieldCodes>\s</o:FieldCodes>
          </o:OLEObject>
        </w:object>
      </w:r>
    </w:p>
    <w:sectPr w:rsidR="001A57BF">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F01" w:rsidRDefault="00363F01" w:rsidP="00F542ED">
      <w:r>
        <w:separator/>
      </w:r>
    </w:p>
  </w:endnote>
  <w:endnote w:type="continuationSeparator" w:id="0">
    <w:p w:rsidR="00363F01" w:rsidRDefault="00363F01" w:rsidP="00F5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2ED" w:rsidRDefault="00656CED" w:rsidP="00F542ED">
    <w:pPr>
      <w:pStyle w:val="Footer"/>
    </w:pPr>
    <w:r>
      <w:t>27 November 2017 – V0.3</w:t>
    </w:r>
    <w:r w:rsidR="00F542ED">
      <w:ptab w:relativeTo="margin" w:alignment="center" w:leader="none"/>
    </w:r>
    <w:r w:rsidR="00F542ED">
      <w:ptab w:relativeTo="margin" w:alignment="right" w:leader="none"/>
    </w:r>
    <w:r w:rsidR="00F542ED" w:rsidRPr="00463F66">
      <w:fldChar w:fldCharType="begin"/>
    </w:r>
    <w:r w:rsidR="00F542ED" w:rsidRPr="00463F66">
      <w:instrText xml:space="preserve"> PAGE   \* MERGEFORMAT </w:instrText>
    </w:r>
    <w:r w:rsidR="00F542ED" w:rsidRPr="00463F66">
      <w:fldChar w:fldCharType="separate"/>
    </w:r>
    <w:r w:rsidR="009C33FF">
      <w:rPr>
        <w:noProof/>
      </w:rPr>
      <w:t>1</w:t>
    </w:r>
    <w:r w:rsidR="00F542ED" w:rsidRPr="00463F66">
      <w:rPr>
        <w:noProof/>
      </w:rPr>
      <w:fldChar w:fldCharType="end"/>
    </w:r>
  </w:p>
  <w:p w:rsidR="00F542ED" w:rsidRDefault="00F542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F01" w:rsidRDefault="00363F01" w:rsidP="00F542ED">
      <w:r>
        <w:separator/>
      </w:r>
    </w:p>
  </w:footnote>
  <w:footnote w:type="continuationSeparator" w:id="0">
    <w:p w:rsidR="00363F01" w:rsidRDefault="00363F01" w:rsidP="00F54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2ED" w:rsidRDefault="00F542ED" w:rsidP="00F542ED">
    <w:pPr>
      <w:pStyle w:val="Header"/>
      <w:jc w:val="right"/>
    </w:pPr>
    <w:r>
      <w:rPr>
        <w:noProof/>
        <w:lang w:eastAsia="en-GB"/>
      </w:rPr>
      <w:drawing>
        <wp:inline distT="0" distB="0" distL="0" distR="0" wp14:anchorId="3E3DEDE3" wp14:editId="68DBF701">
          <wp:extent cx="2910178" cy="1137036"/>
          <wp:effectExtent l="0" t="0" r="5080" b="6350"/>
          <wp:docPr id="1" name="Picture 1" descr="\\Wpct.local\csu\Communications\01. Shared comms resources\08. Logos and images\CCG Logos and templates\Brent CCG\Brent CCG Blue.jpg"/>
          <wp:cNvGraphicFramePr/>
          <a:graphic xmlns:a="http://schemas.openxmlformats.org/drawingml/2006/main">
            <a:graphicData uri="http://schemas.openxmlformats.org/drawingml/2006/picture">
              <pic:pic xmlns:pic="http://schemas.openxmlformats.org/drawingml/2006/picture">
                <pic:nvPicPr>
                  <pic:cNvPr id="1" name="Picture 1" descr="\\Wpct.local\csu\Communications\01. Shared comms resources\08. Logos and images\CCG Logos and templates\Brent CCG\Brent CCG Blue.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12583" cy="113797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26AE2"/>
    <w:multiLevelType w:val="hybridMultilevel"/>
    <w:tmpl w:val="3D60EC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31C5EEF"/>
    <w:multiLevelType w:val="hybridMultilevel"/>
    <w:tmpl w:val="2E1A22AA"/>
    <w:lvl w:ilvl="0" w:tplc="39061FDA">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B5E4542"/>
    <w:multiLevelType w:val="hybridMultilevel"/>
    <w:tmpl w:val="5C0458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40512591"/>
    <w:multiLevelType w:val="hybridMultilevel"/>
    <w:tmpl w:val="A8E87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CFE729C"/>
    <w:multiLevelType w:val="hybridMultilevel"/>
    <w:tmpl w:val="17C2AE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5385F7F"/>
    <w:multiLevelType w:val="multilevel"/>
    <w:tmpl w:val="9C1455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6B9C01DB"/>
    <w:multiLevelType w:val="hybridMultilevel"/>
    <w:tmpl w:val="C324D3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7A2D5CE1"/>
    <w:multiLevelType w:val="hybridMultilevel"/>
    <w:tmpl w:val="34AAD8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7F5B0B35"/>
    <w:multiLevelType w:val="hybridMultilevel"/>
    <w:tmpl w:val="443617A4"/>
    <w:lvl w:ilvl="0" w:tplc="854E615E">
      <w:start w:val="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3"/>
  </w:num>
  <w:num w:numId="5">
    <w:abstractNumId w:val="2"/>
  </w:num>
  <w:num w:numId="6">
    <w:abstractNumId w:val="6"/>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2ED"/>
    <w:rsid w:val="00015ED2"/>
    <w:rsid w:val="0002796A"/>
    <w:rsid w:val="000B4F6D"/>
    <w:rsid w:val="000C6627"/>
    <w:rsid w:val="000E08EB"/>
    <w:rsid w:val="001045A4"/>
    <w:rsid w:val="0010742C"/>
    <w:rsid w:val="00145F68"/>
    <w:rsid w:val="001A57BF"/>
    <w:rsid w:val="001D54D0"/>
    <w:rsid w:val="002101FE"/>
    <w:rsid w:val="00271C0E"/>
    <w:rsid w:val="002966B9"/>
    <w:rsid w:val="00301A38"/>
    <w:rsid w:val="00314BA6"/>
    <w:rsid w:val="00363F01"/>
    <w:rsid w:val="00410B62"/>
    <w:rsid w:val="00412354"/>
    <w:rsid w:val="00436654"/>
    <w:rsid w:val="00436F34"/>
    <w:rsid w:val="00444D2F"/>
    <w:rsid w:val="004527B7"/>
    <w:rsid w:val="004B1965"/>
    <w:rsid w:val="00531F2D"/>
    <w:rsid w:val="005548EB"/>
    <w:rsid w:val="005901EC"/>
    <w:rsid w:val="0062236F"/>
    <w:rsid w:val="00656CED"/>
    <w:rsid w:val="006C50C6"/>
    <w:rsid w:val="006D49A3"/>
    <w:rsid w:val="007050A4"/>
    <w:rsid w:val="00766DEB"/>
    <w:rsid w:val="00795145"/>
    <w:rsid w:val="007A3508"/>
    <w:rsid w:val="007B009E"/>
    <w:rsid w:val="007E4C7F"/>
    <w:rsid w:val="007F015F"/>
    <w:rsid w:val="00830A0E"/>
    <w:rsid w:val="008A27BF"/>
    <w:rsid w:val="008F57E6"/>
    <w:rsid w:val="00982343"/>
    <w:rsid w:val="009A025E"/>
    <w:rsid w:val="009C33FF"/>
    <w:rsid w:val="009E4AF6"/>
    <w:rsid w:val="00A437AF"/>
    <w:rsid w:val="00A621CB"/>
    <w:rsid w:val="00AA3D4B"/>
    <w:rsid w:val="00AE7E89"/>
    <w:rsid w:val="00B452D5"/>
    <w:rsid w:val="00B6229D"/>
    <w:rsid w:val="00B8423F"/>
    <w:rsid w:val="00C011E6"/>
    <w:rsid w:val="00C02F6F"/>
    <w:rsid w:val="00C42116"/>
    <w:rsid w:val="00C474D4"/>
    <w:rsid w:val="00C50713"/>
    <w:rsid w:val="00CC40FE"/>
    <w:rsid w:val="00DF649F"/>
    <w:rsid w:val="00E85E50"/>
    <w:rsid w:val="00EB3F61"/>
    <w:rsid w:val="00ED729C"/>
    <w:rsid w:val="00F542ED"/>
    <w:rsid w:val="00FB72F3"/>
    <w:rsid w:val="00FC1B56"/>
    <w:rsid w:val="00FF7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2ED"/>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42ED"/>
    <w:pPr>
      <w:spacing w:after="0" w:line="240" w:lineRule="auto"/>
    </w:pPr>
  </w:style>
  <w:style w:type="paragraph" w:styleId="Header">
    <w:name w:val="header"/>
    <w:basedOn w:val="Normal"/>
    <w:link w:val="HeaderChar"/>
    <w:uiPriority w:val="99"/>
    <w:unhideWhenUsed/>
    <w:rsid w:val="00F542ED"/>
    <w:pPr>
      <w:tabs>
        <w:tab w:val="center" w:pos="4513"/>
        <w:tab w:val="right" w:pos="9026"/>
      </w:tabs>
    </w:pPr>
  </w:style>
  <w:style w:type="character" w:customStyle="1" w:styleId="HeaderChar">
    <w:name w:val="Header Char"/>
    <w:basedOn w:val="DefaultParagraphFont"/>
    <w:link w:val="Header"/>
    <w:uiPriority w:val="99"/>
    <w:rsid w:val="00F542ED"/>
  </w:style>
  <w:style w:type="paragraph" w:styleId="Footer">
    <w:name w:val="footer"/>
    <w:basedOn w:val="Normal"/>
    <w:link w:val="FooterChar"/>
    <w:uiPriority w:val="99"/>
    <w:unhideWhenUsed/>
    <w:rsid w:val="00F542ED"/>
    <w:pPr>
      <w:tabs>
        <w:tab w:val="center" w:pos="4513"/>
        <w:tab w:val="right" w:pos="9026"/>
      </w:tabs>
    </w:pPr>
  </w:style>
  <w:style w:type="character" w:customStyle="1" w:styleId="FooterChar">
    <w:name w:val="Footer Char"/>
    <w:basedOn w:val="DefaultParagraphFont"/>
    <w:link w:val="Footer"/>
    <w:uiPriority w:val="99"/>
    <w:rsid w:val="00F542ED"/>
  </w:style>
  <w:style w:type="paragraph" w:styleId="BalloonText">
    <w:name w:val="Balloon Text"/>
    <w:basedOn w:val="Normal"/>
    <w:link w:val="BalloonTextChar"/>
    <w:uiPriority w:val="99"/>
    <w:semiHidden/>
    <w:unhideWhenUsed/>
    <w:rsid w:val="00F542ED"/>
    <w:rPr>
      <w:rFonts w:ascii="Tahoma" w:hAnsi="Tahoma" w:cs="Tahoma"/>
      <w:sz w:val="16"/>
      <w:szCs w:val="16"/>
    </w:rPr>
  </w:style>
  <w:style w:type="character" w:customStyle="1" w:styleId="BalloonTextChar">
    <w:name w:val="Balloon Text Char"/>
    <w:basedOn w:val="DefaultParagraphFont"/>
    <w:link w:val="BalloonText"/>
    <w:uiPriority w:val="99"/>
    <w:semiHidden/>
    <w:rsid w:val="00F542ED"/>
    <w:rPr>
      <w:rFonts w:ascii="Tahoma" w:hAnsi="Tahoma" w:cs="Tahoma"/>
      <w:sz w:val="16"/>
      <w:szCs w:val="16"/>
    </w:rPr>
  </w:style>
  <w:style w:type="table" w:styleId="TableGrid">
    <w:name w:val="Table Grid"/>
    <w:basedOn w:val="TableNormal"/>
    <w:uiPriority w:val="59"/>
    <w:rsid w:val="00FB7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D729C"/>
    <w:pPr>
      <w:ind w:left="720"/>
      <w:contextualSpacing/>
    </w:pPr>
  </w:style>
  <w:style w:type="character" w:customStyle="1" w:styleId="ListParagraphChar">
    <w:name w:val="List Paragraph Char"/>
    <w:link w:val="ListParagraph"/>
    <w:uiPriority w:val="34"/>
    <w:locked/>
    <w:rsid w:val="00ED729C"/>
  </w:style>
  <w:style w:type="character" w:styleId="Hyperlink">
    <w:name w:val="Hyperlink"/>
    <w:basedOn w:val="DefaultParagraphFont"/>
    <w:uiPriority w:val="99"/>
    <w:unhideWhenUsed/>
    <w:rsid w:val="00B8423F"/>
    <w:rPr>
      <w:color w:val="0000FF" w:themeColor="hyperlink"/>
      <w:u w:val="single"/>
    </w:rPr>
  </w:style>
  <w:style w:type="paragraph" w:styleId="NormalWeb">
    <w:name w:val="Normal (Web)"/>
    <w:basedOn w:val="Normal"/>
    <w:uiPriority w:val="99"/>
    <w:semiHidden/>
    <w:unhideWhenUsed/>
    <w:rsid w:val="00AA3D4B"/>
    <w:pPr>
      <w:jc w:val="left"/>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474D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2ED"/>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42ED"/>
    <w:pPr>
      <w:spacing w:after="0" w:line="240" w:lineRule="auto"/>
    </w:pPr>
  </w:style>
  <w:style w:type="paragraph" w:styleId="Header">
    <w:name w:val="header"/>
    <w:basedOn w:val="Normal"/>
    <w:link w:val="HeaderChar"/>
    <w:uiPriority w:val="99"/>
    <w:unhideWhenUsed/>
    <w:rsid w:val="00F542ED"/>
    <w:pPr>
      <w:tabs>
        <w:tab w:val="center" w:pos="4513"/>
        <w:tab w:val="right" w:pos="9026"/>
      </w:tabs>
    </w:pPr>
  </w:style>
  <w:style w:type="character" w:customStyle="1" w:styleId="HeaderChar">
    <w:name w:val="Header Char"/>
    <w:basedOn w:val="DefaultParagraphFont"/>
    <w:link w:val="Header"/>
    <w:uiPriority w:val="99"/>
    <w:rsid w:val="00F542ED"/>
  </w:style>
  <w:style w:type="paragraph" w:styleId="Footer">
    <w:name w:val="footer"/>
    <w:basedOn w:val="Normal"/>
    <w:link w:val="FooterChar"/>
    <w:uiPriority w:val="99"/>
    <w:unhideWhenUsed/>
    <w:rsid w:val="00F542ED"/>
    <w:pPr>
      <w:tabs>
        <w:tab w:val="center" w:pos="4513"/>
        <w:tab w:val="right" w:pos="9026"/>
      </w:tabs>
    </w:pPr>
  </w:style>
  <w:style w:type="character" w:customStyle="1" w:styleId="FooterChar">
    <w:name w:val="Footer Char"/>
    <w:basedOn w:val="DefaultParagraphFont"/>
    <w:link w:val="Footer"/>
    <w:uiPriority w:val="99"/>
    <w:rsid w:val="00F542ED"/>
  </w:style>
  <w:style w:type="paragraph" w:styleId="BalloonText">
    <w:name w:val="Balloon Text"/>
    <w:basedOn w:val="Normal"/>
    <w:link w:val="BalloonTextChar"/>
    <w:uiPriority w:val="99"/>
    <w:semiHidden/>
    <w:unhideWhenUsed/>
    <w:rsid w:val="00F542ED"/>
    <w:rPr>
      <w:rFonts w:ascii="Tahoma" w:hAnsi="Tahoma" w:cs="Tahoma"/>
      <w:sz w:val="16"/>
      <w:szCs w:val="16"/>
    </w:rPr>
  </w:style>
  <w:style w:type="character" w:customStyle="1" w:styleId="BalloonTextChar">
    <w:name w:val="Balloon Text Char"/>
    <w:basedOn w:val="DefaultParagraphFont"/>
    <w:link w:val="BalloonText"/>
    <w:uiPriority w:val="99"/>
    <w:semiHidden/>
    <w:rsid w:val="00F542ED"/>
    <w:rPr>
      <w:rFonts w:ascii="Tahoma" w:hAnsi="Tahoma" w:cs="Tahoma"/>
      <w:sz w:val="16"/>
      <w:szCs w:val="16"/>
    </w:rPr>
  </w:style>
  <w:style w:type="table" w:styleId="TableGrid">
    <w:name w:val="Table Grid"/>
    <w:basedOn w:val="TableNormal"/>
    <w:uiPriority w:val="59"/>
    <w:rsid w:val="00FB7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D729C"/>
    <w:pPr>
      <w:ind w:left="720"/>
      <w:contextualSpacing/>
    </w:pPr>
  </w:style>
  <w:style w:type="character" w:customStyle="1" w:styleId="ListParagraphChar">
    <w:name w:val="List Paragraph Char"/>
    <w:link w:val="ListParagraph"/>
    <w:uiPriority w:val="34"/>
    <w:locked/>
    <w:rsid w:val="00ED729C"/>
  </w:style>
  <w:style w:type="character" w:styleId="Hyperlink">
    <w:name w:val="Hyperlink"/>
    <w:basedOn w:val="DefaultParagraphFont"/>
    <w:uiPriority w:val="99"/>
    <w:unhideWhenUsed/>
    <w:rsid w:val="00B8423F"/>
    <w:rPr>
      <w:color w:val="0000FF" w:themeColor="hyperlink"/>
      <w:u w:val="single"/>
    </w:rPr>
  </w:style>
  <w:style w:type="paragraph" w:styleId="NormalWeb">
    <w:name w:val="Normal (Web)"/>
    <w:basedOn w:val="Normal"/>
    <w:uiPriority w:val="99"/>
    <w:semiHidden/>
    <w:unhideWhenUsed/>
    <w:rsid w:val="00AA3D4B"/>
    <w:pPr>
      <w:jc w:val="left"/>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474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903499">
      <w:bodyDiv w:val="1"/>
      <w:marLeft w:val="0"/>
      <w:marRight w:val="0"/>
      <w:marTop w:val="0"/>
      <w:marBottom w:val="0"/>
      <w:divBdr>
        <w:top w:val="none" w:sz="0" w:space="0" w:color="auto"/>
        <w:left w:val="none" w:sz="0" w:space="0" w:color="auto"/>
        <w:bottom w:val="none" w:sz="0" w:space="0" w:color="auto"/>
        <w:right w:val="none" w:sz="0" w:space="0" w:color="auto"/>
      </w:divBdr>
    </w:div>
    <w:div w:id="98928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ynmatthews@nhs.net" TargetMode="External"/><Relationship Id="rId13" Type="http://schemas.openxmlformats.org/officeDocument/2006/relationships/package" Target="embeddings/Microsoft_Word_Document1.docx"/><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sk8kQeLwnI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nhs-standard-terms-and-conditions-of-contract-for-the-purchase-of-goods-and-supply-of-services" TargetMode="External"/><Relationship Id="rId4" Type="http://schemas.openxmlformats.org/officeDocument/2006/relationships/settings" Target="settings.xml"/><Relationship Id="rId9" Type="http://schemas.openxmlformats.org/officeDocument/2006/relationships/hyperlink" Target="mailto:ekkehard_kugler@nhs.ne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1895</Words>
  <Characters>10807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NWL Collaboration of CCG's</Company>
  <LinksUpToDate>false</LinksUpToDate>
  <CharactersWithSpaces>12677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Matthews</dc:creator>
  <cp:lastModifiedBy>Ekkehard Kugler</cp:lastModifiedBy>
  <cp:revision>2</cp:revision>
  <cp:lastPrinted>2017-11-27T10:56:00Z</cp:lastPrinted>
  <dcterms:created xsi:type="dcterms:W3CDTF">2017-11-28T09:45:00Z</dcterms:created>
  <dcterms:modified xsi:type="dcterms:W3CDTF">2017-11-28T09:45:00Z</dcterms:modified>
</cp:coreProperties>
</file>