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62B7B37"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15250C">
        <w:rPr>
          <w:b w:val="0"/>
          <w:sz w:val="22"/>
          <w:szCs w:val="22"/>
        </w:rPr>
        <w:t xml:space="preserve">Award Letter shall be deemed to be accepted by the Supplier on receipt by the Customer, within </w:t>
      </w:r>
      <w:r w:rsidR="0015250C" w:rsidRPr="0015250C">
        <w:rPr>
          <w:b w:val="0"/>
          <w:sz w:val="22"/>
          <w:szCs w:val="22"/>
        </w:rPr>
        <w:t>7</w:t>
      </w:r>
      <w:r w:rsidRPr="0015250C">
        <w:rPr>
          <w:b w:val="0"/>
          <w:sz w:val="22"/>
          <w:szCs w:val="22"/>
        </w:rPr>
        <w:t xml:space="preserve"> days of the date of the award letter, of a copy of the Award Letter countersigned by the Supplier</w:t>
      </w:r>
      <w:r>
        <w:rPr>
          <w:b w:val="0"/>
          <w:sz w:val="22"/>
          <w:szCs w:val="22"/>
        </w:rPr>
        <w:t>.</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60968A6A"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up to </w:t>
      </w:r>
      <w:r w:rsidR="002E4DB6">
        <w:rPr>
          <w:rFonts w:cs="Arial"/>
          <w:b w:val="0"/>
          <w:sz w:val="22"/>
          <w:szCs w:val="22"/>
        </w:rPr>
        <w:t>12</w:t>
      </w:r>
      <w:bookmarkStart w:id="5" w:name="_GoBack"/>
      <w:bookmarkEnd w:id="5"/>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 xml:space="preserve">premises which is caused by the Supplier or any Staff, other than </w:t>
      </w:r>
      <w:r w:rsidRPr="00F44471">
        <w:rPr>
          <w:rFonts w:cs="Arial"/>
          <w:b w:val="0"/>
          <w:sz w:val="22"/>
          <w:szCs w:val="22"/>
        </w:rPr>
        <w:lastRenderedPageBreak/>
        <w:t>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 xml:space="preserve">The Supplier shall indemnify, and keep indemnified, the Customer in full against all costs, expenses, damages and losses (whether direct or indirect), including any interest, penalties, </w:t>
      </w:r>
      <w:r w:rsidRPr="00F44471">
        <w:rPr>
          <w:rFonts w:cs="Arial"/>
          <w:b w:val="0"/>
          <w:sz w:val="22"/>
          <w:szCs w:val="22"/>
        </w:rPr>
        <w:lastRenderedPageBreak/>
        <w:t>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w:t>
      </w:r>
      <w:r w:rsidRPr="00F44471">
        <w:rPr>
          <w:rFonts w:cs="Arial"/>
          <w:b w:val="0"/>
          <w:sz w:val="22"/>
          <w:szCs w:val="22"/>
        </w:rPr>
        <w:lastRenderedPageBreak/>
        <w:t xml:space="preserve">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xml:space="preserve">) in consequence </w:t>
      </w:r>
      <w:r w:rsidRPr="00F44471">
        <w:rPr>
          <w:rFonts w:cs="Arial"/>
          <w:sz w:val="22"/>
          <w:szCs w:val="22"/>
        </w:rPr>
        <w:lastRenderedPageBreak/>
        <w:t>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w:t>
      </w:r>
      <w:r w:rsidRPr="00F44471">
        <w:rPr>
          <w:rFonts w:cs="Arial"/>
          <w:b w:val="0"/>
          <w:sz w:val="22"/>
          <w:szCs w:val="22"/>
        </w:rPr>
        <w:lastRenderedPageBreak/>
        <w:t xml:space="preserve">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4BD5A" w14:textId="77777777" w:rsidR="00707986" w:rsidRDefault="00707986">
      <w:r>
        <w:separator/>
      </w:r>
    </w:p>
  </w:endnote>
  <w:endnote w:type="continuationSeparator" w:id="0">
    <w:p w14:paraId="367C97EA" w14:textId="77777777" w:rsidR="00707986" w:rsidRDefault="00707986">
      <w:r>
        <w:continuationSeparator/>
      </w:r>
    </w:p>
  </w:endnote>
  <w:endnote w:type="continuationNotice" w:id="1">
    <w:p w14:paraId="05F2183F" w14:textId="77777777" w:rsidR="00707986" w:rsidRDefault="00707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71847"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21E81108" w14:textId="77777777" w:rsidR="00E67CC4" w:rsidRDefault="00E67CC4" w:rsidP="00E67CC4">
    <w:pPr>
      <w:pStyle w:val="Footer"/>
      <w:framePr w:wrap="around" w:vAnchor="text" w:hAnchor="page" w:x="1066" w:y="-959"/>
      <w:jc w:val="center"/>
      <w:rPr>
        <w:rStyle w:val="PageNumber"/>
        <w:rFonts w:ascii="Arial" w:hAnsi="Arial" w:cs="Arial"/>
        <w:sz w:val="20"/>
        <w:szCs w:val="20"/>
      </w:rPr>
    </w:pPr>
  </w:p>
  <w:p w14:paraId="5EE22A75" w14:textId="77777777" w:rsidR="00E67CC4" w:rsidRDefault="00E67CC4" w:rsidP="00E67CC4">
    <w:pPr>
      <w:pStyle w:val="Footer"/>
      <w:framePr w:wrap="around" w:vAnchor="text" w:hAnchor="page" w:x="1066" w:y="-959"/>
      <w:jc w:val="center"/>
      <w:rPr>
        <w:rStyle w:val="PageNumber"/>
        <w:rFonts w:ascii="Arial" w:hAnsi="Arial" w:cs="Arial"/>
        <w:sz w:val="20"/>
        <w:szCs w:val="20"/>
      </w:rPr>
    </w:pPr>
  </w:p>
  <w:p w14:paraId="2583C071" w14:textId="77777777" w:rsidR="00E67CC4" w:rsidRDefault="00E67CC4" w:rsidP="00E67CC4">
    <w:pPr>
      <w:pStyle w:val="Footer"/>
      <w:framePr w:wrap="around" w:vAnchor="text" w:hAnchor="page" w:x="1066" w:y="-959"/>
      <w:jc w:val="center"/>
      <w:rPr>
        <w:rStyle w:val="PageNumber"/>
        <w:rFonts w:ascii="Arial" w:hAnsi="Arial" w:cs="Arial"/>
        <w:sz w:val="20"/>
        <w:szCs w:val="20"/>
      </w:rPr>
    </w:pPr>
    <w:r>
      <w:rPr>
        <w:rStyle w:val="PageNumber"/>
        <w:rFonts w:ascii="Arial" w:hAnsi="Arial" w:cs="Arial"/>
        <w:sz w:val="20"/>
        <w:szCs w:val="20"/>
      </w:rPr>
      <w:t>OFFICIAL</w:t>
    </w:r>
  </w:p>
  <w:p w14:paraId="4A7A8525" w14:textId="77777777" w:rsidR="00E67CC4" w:rsidRPr="00AE06A4" w:rsidRDefault="00E67CC4" w:rsidP="00E67CC4">
    <w:pPr>
      <w:pStyle w:val="Footer"/>
      <w:framePr w:wrap="around" w:vAnchor="text" w:hAnchor="page" w:x="1066" w:y="-959"/>
      <w:rPr>
        <w:rStyle w:val="PageNumber"/>
        <w:rFonts w:ascii="Arial" w:hAnsi="Arial" w:cs="Arial"/>
        <w:sz w:val="20"/>
        <w:szCs w:val="20"/>
      </w:rPr>
    </w:pPr>
    <w:r w:rsidRPr="00AE06A4">
      <w:rPr>
        <w:rStyle w:val="PageNumber"/>
        <w:rFonts w:ascii="Arial" w:hAnsi="Arial" w:cs="Arial"/>
        <w:sz w:val="20"/>
        <w:szCs w:val="20"/>
      </w:rPr>
      <w:t>Appendix C – Terms and Conditions of Contract for Services</w:t>
    </w:r>
  </w:p>
  <w:p w14:paraId="5952AAF7" w14:textId="77777777" w:rsidR="00E67CC4" w:rsidRPr="00AE06A4" w:rsidRDefault="00E67CC4" w:rsidP="00E67CC4">
    <w:pPr>
      <w:pStyle w:val="Footer"/>
      <w:framePr w:wrap="around" w:vAnchor="text" w:hAnchor="page" w:x="1066" w:y="-959"/>
      <w:rPr>
        <w:rStyle w:val="PageNumber"/>
        <w:rFonts w:ascii="Arial" w:hAnsi="Arial" w:cs="Arial"/>
        <w:sz w:val="20"/>
        <w:szCs w:val="20"/>
      </w:rPr>
    </w:pPr>
    <w:r w:rsidRPr="00AE06A4">
      <w:rPr>
        <w:rStyle w:val="PageNumber"/>
        <w:rFonts w:ascii="Arial" w:hAnsi="Arial" w:cs="Arial"/>
        <w:sz w:val="20"/>
        <w:szCs w:val="20"/>
      </w:rPr>
      <w:t>Nick Williams</w:t>
    </w:r>
  </w:p>
  <w:p w14:paraId="5375AD5B" w14:textId="77777777" w:rsidR="00E67CC4" w:rsidRDefault="00E67CC4" w:rsidP="00E67CC4">
    <w:pPr>
      <w:pStyle w:val="Footer"/>
      <w:framePr w:wrap="around" w:vAnchor="text" w:hAnchor="page" w:x="1066" w:y="-959"/>
      <w:rPr>
        <w:rStyle w:val="PageNumber"/>
        <w:rFonts w:ascii="Arial" w:hAnsi="Arial" w:cs="Arial"/>
        <w:sz w:val="20"/>
        <w:szCs w:val="20"/>
      </w:rPr>
    </w:pPr>
    <w:r w:rsidRPr="00AE06A4">
      <w:rPr>
        <w:rFonts w:ascii="Arial" w:hAnsi="Arial" w:cs="Arial"/>
        <w:color w:val="222222"/>
        <w:sz w:val="19"/>
        <w:szCs w:val="19"/>
        <w:shd w:val="clear" w:color="auto" w:fill="FFFFFF"/>
      </w:rPr>
      <w:t>© Crown copyright</w:t>
    </w:r>
    <w:r>
      <w:rPr>
        <w:rFonts w:ascii="Arial" w:hAnsi="Arial" w:cs="Arial"/>
        <w:color w:val="222222"/>
        <w:sz w:val="19"/>
        <w:szCs w:val="19"/>
        <w:shd w:val="clear" w:color="auto" w:fill="FFFFFF"/>
      </w:rPr>
      <w:t xml:space="preserve"> 2016</w:t>
    </w:r>
  </w:p>
  <w:p w14:paraId="64885DEA" w14:textId="160CE671" w:rsidR="00E67CC4" w:rsidRDefault="00E67CC4" w:rsidP="00E67CC4">
    <w:pPr>
      <w:pStyle w:val="Footer"/>
      <w:framePr w:wrap="around" w:vAnchor="text" w:hAnchor="page" w:x="1066" w:y="-959"/>
      <w:jc w:val="right"/>
      <w:rPr>
        <w:rStyle w:val="PageNumber"/>
        <w:rFonts w:ascii="Arial" w:hAnsi="Arial" w:cs="Arial"/>
        <w:sz w:val="20"/>
        <w:szCs w:val="20"/>
      </w:rPr>
    </w:pPr>
    <w:r>
      <w:rPr>
        <w:rStyle w:val="PageNumber"/>
        <w:rFonts w:ascii="Arial" w:hAnsi="Arial" w:cs="Arial"/>
        <w:sz w:val="20"/>
        <w:szCs w:val="20"/>
      </w:rPr>
      <w:t>V1.0 3</w:t>
    </w:r>
    <w:r w:rsidRPr="00E67CC4">
      <w:rPr>
        <w:rStyle w:val="PageNumber"/>
        <w:rFonts w:ascii="Arial" w:hAnsi="Arial" w:cs="Arial"/>
        <w:sz w:val="20"/>
        <w:szCs w:val="20"/>
        <w:vertAlign w:val="superscript"/>
      </w:rPr>
      <w:t>rd</w:t>
    </w:r>
    <w:r>
      <w:rPr>
        <w:rStyle w:val="PageNumber"/>
        <w:rFonts w:ascii="Arial" w:hAnsi="Arial" w:cs="Arial"/>
        <w:sz w:val="20"/>
        <w:szCs w:val="20"/>
      </w:rPr>
      <w:t xml:space="preserve"> April 2018</w:t>
    </w:r>
  </w:p>
  <w:p w14:paraId="5E87BC63" w14:textId="77777777" w:rsidR="00E67CC4" w:rsidRPr="008C7C09" w:rsidRDefault="00E67CC4" w:rsidP="00E67CC4">
    <w:pPr>
      <w:pStyle w:val="Footer"/>
      <w:framePr w:wrap="around" w:vAnchor="text" w:hAnchor="page" w:x="1066" w:y="-95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2E4DB6">
      <w:rPr>
        <w:rStyle w:val="PageNumber"/>
        <w:rFonts w:ascii="Arial" w:hAnsi="Arial" w:cs="Arial"/>
        <w:noProof/>
        <w:sz w:val="20"/>
        <w:szCs w:val="20"/>
      </w:rPr>
      <w:t>3</w:t>
    </w:r>
    <w:r w:rsidRPr="008C7C09">
      <w:rPr>
        <w:rStyle w:val="PageNumber"/>
        <w:rFonts w:ascii="Arial" w:hAnsi="Arial" w:cs="Arial"/>
        <w:sz w:val="20"/>
        <w:szCs w:val="20"/>
      </w:rPr>
      <w:fldChar w:fldCharType="end"/>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7F93F" w14:textId="77777777" w:rsidR="00707986" w:rsidRDefault="00707986">
      <w:r>
        <w:separator/>
      </w:r>
    </w:p>
  </w:footnote>
  <w:footnote w:type="continuationSeparator" w:id="0">
    <w:p w14:paraId="193AC382" w14:textId="77777777" w:rsidR="00707986" w:rsidRDefault="00707986">
      <w:r>
        <w:continuationSeparator/>
      </w:r>
    </w:p>
  </w:footnote>
  <w:footnote w:type="continuationNotice" w:id="1">
    <w:p w14:paraId="6BF46E7B" w14:textId="77777777" w:rsidR="00707986" w:rsidRDefault="007079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AE06A4" w:rsidRDefault="005D6056" w:rsidP="008C7C09">
    <w:pPr>
      <w:pStyle w:val="Header"/>
      <w:jc w:val="center"/>
      <w:rPr>
        <w:rFonts w:ascii="Arial" w:hAnsi="Arial" w:cs="Arial"/>
        <w:sz w:val="20"/>
        <w:szCs w:val="20"/>
      </w:rPr>
    </w:pPr>
    <w:r>
      <w:rPr>
        <w:rFonts w:ascii="Arial" w:hAnsi="Arial" w:cs="Arial"/>
        <w:sz w:val="20"/>
        <w:szCs w:val="20"/>
      </w:rPr>
      <w:t xml:space="preserve">Appendix C – Terms and </w:t>
    </w:r>
    <w:r w:rsidRPr="00AE06A4">
      <w:rPr>
        <w:rFonts w:ascii="Arial" w:hAnsi="Arial" w:cs="Arial"/>
        <w:sz w:val="20"/>
        <w:szCs w:val="20"/>
      </w:rPr>
      <w:t>Conditions of Contract for Services</w:t>
    </w:r>
  </w:p>
  <w:p w14:paraId="145FB8AC" w14:textId="6A4AFBA7" w:rsidR="005D6056" w:rsidRPr="00AE06A4" w:rsidRDefault="00AE06A4" w:rsidP="00A55D61">
    <w:pPr>
      <w:pStyle w:val="Header"/>
      <w:jc w:val="center"/>
      <w:rPr>
        <w:rFonts w:ascii="Arial" w:hAnsi="Arial" w:cs="Arial"/>
        <w:sz w:val="20"/>
        <w:szCs w:val="20"/>
      </w:rPr>
    </w:pPr>
    <w:r w:rsidRPr="00AE06A4">
      <w:rPr>
        <w:rFonts w:ascii="Arial" w:hAnsi="Arial" w:cs="Arial"/>
        <w:sz w:val="20"/>
        <w:szCs w:val="20"/>
      </w:rPr>
      <w:t>Provision of Consultancy for</w:t>
    </w:r>
  </w:p>
  <w:p w14:paraId="53727DA5" w14:textId="59A53844" w:rsidR="00AE06A4" w:rsidRPr="00AE06A4" w:rsidRDefault="00AE06A4" w:rsidP="00A55D61">
    <w:pPr>
      <w:pStyle w:val="Header"/>
      <w:jc w:val="center"/>
      <w:rPr>
        <w:rFonts w:ascii="Arial" w:hAnsi="Arial" w:cs="Arial"/>
        <w:sz w:val="20"/>
        <w:szCs w:val="20"/>
      </w:rPr>
    </w:pPr>
    <w:r w:rsidRPr="00AE06A4">
      <w:rPr>
        <w:rFonts w:ascii="Arial" w:hAnsi="Arial" w:cs="Arial"/>
        <w:sz w:val="20"/>
        <w:szCs w:val="20"/>
      </w:rPr>
      <w:t>Safeguarding Expertise Audit Services</w:t>
    </w:r>
  </w:p>
  <w:p w14:paraId="373C60A6" w14:textId="6CD48771" w:rsidR="005D6056" w:rsidRDefault="00AE06A4" w:rsidP="00736C8C">
    <w:pPr>
      <w:pStyle w:val="Header"/>
      <w:jc w:val="center"/>
    </w:pPr>
    <w:r w:rsidRPr="00AE06A4">
      <w:rPr>
        <w:rFonts w:ascii="Arial" w:hAnsi="Arial" w:cs="Arial"/>
        <w:sz w:val="20"/>
        <w:szCs w:val="20"/>
      </w:rPr>
      <w:t>Contract Reference: CCCC18A17</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3695C"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5250C"/>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4DB6"/>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07986"/>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0109"/>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6A4"/>
    <w:rsid w:val="00AE0B11"/>
    <w:rsid w:val="00AE2C90"/>
    <w:rsid w:val="00AE34CF"/>
    <w:rsid w:val="00AF0380"/>
    <w:rsid w:val="00AF5435"/>
    <w:rsid w:val="00AF683D"/>
    <w:rsid w:val="00B00181"/>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0F4B"/>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67CC4"/>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9EC1F3F2-5A9D-4405-AF19-619FD8ED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7</cp:revision>
  <dcterms:created xsi:type="dcterms:W3CDTF">2018-03-16T14:02:00Z</dcterms:created>
  <dcterms:modified xsi:type="dcterms:W3CDTF">2018-04-05T09:04:00Z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