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3E1" w:rsidRDefault="001D2FA5" w:rsidP="001D2FA5">
      <w:pPr>
        <w:jc w:val="center"/>
        <w:rPr>
          <w:rFonts w:ascii="Verdana" w:hAnsi="Verdana"/>
          <w:sz w:val="28"/>
          <w:szCs w:val="28"/>
        </w:rPr>
      </w:pPr>
      <w:r>
        <w:rPr>
          <w:rFonts w:ascii="Verdana" w:hAnsi="Verdana"/>
          <w:sz w:val="28"/>
          <w:szCs w:val="28"/>
        </w:rPr>
        <w:t>Medical Technologies Innovation Facility – BEZ (Boots Enterprise Zone)</w:t>
      </w:r>
      <w:r w:rsidR="001D0F6F">
        <w:rPr>
          <w:rFonts w:ascii="Verdana" w:hAnsi="Verdana"/>
          <w:sz w:val="28"/>
          <w:szCs w:val="28"/>
        </w:rPr>
        <w:t>, Nottingham</w:t>
      </w:r>
    </w:p>
    <w:p w:rsidR="001D2FA5" w:rsidRDefault="001D2FA5" w:rsidP="001D2FA5">
      <w:pPr>
        <w:jc w:val="center"/>
        <w:rPr>
          <w:rFonts w:ascii="Verdana" w:hAnsi="Verdana"/>
          <w:sz w:val="28"/>
          <w:szCs w:val="28"/>
        </w:rPr>
      </w:pPr>
      <w:r>
        <w:rPr>
          <w:rFonts w:ascii="Verdana" w:hAnsi="Verdana"/>
          <w:noProof/>
          <w:sz w:val="28"/>
          <w:szCs w:val="28"/>
          <w:lang w:eastAsia="en-GB"/>
        </w:rPr>
        <w:drawing>
          <wp:inline distT="0" distB="0" distL="0" distR="0">
            <wp:extent cx="5731510" cy="21145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Z 1.png"/>
                    <pic:cNvPicPr/>
                  </pic:nvPicPr>
                  <pic:blipFill>
                    <a:blip r:embed="rId4">
                      <a:extLst>
                        <a:ext uri="{28A0092B-C50C-407E-A947-70E740481C1C}">
                          <a14:useLocalDpi xmlns:a14="http://schemas.microsoft.com/office/drawing/2010/main" val="0"/>
                        </a:ext>
                      </a:extLst>
                    </a:blip>
                    <a:stretch>
                      <a:fillRect/>
                    </a:stretch>
                  </pic:blipFill>
                  <pic:spPr>
                    <a:xfrm>
                      <a:off x="0" y="0"/>
                      <a:ext cx="5731510" cy="2114550"/>
                    </a:xfrm>
                    <a:prstGeom prst="rect">
                      <a:avLst/>
                    </a:prstGeom>
                  </pic:spPr>
                </pic:pic>
              </a:graphicData>
            </a:graphic>
          </wp:inline>
        </w:drawing>
      </w:r>
    </w:p>
    <w:p w:rsidR="001D2FA5" w:rsidRDefault="001D2FA5" w:rsidP="001D2FA5">
      <w:pPr>
        <w:tabs>
          <w:tab w:val="left" w:pos="3340"/>
        </w:tabs>
        <w:rPr>
          <w:rFonts w:ascii="Verdana" w:hAnsi="Verdana"/>
          <w:sz w:val="28"/>
          <w:szCs w:val="28"/>
        </w:rPr>
      </w:pPr>
      <w:r>
        <w:rPr>
          <w:rFonts w:ascii="Verdana" w:hAnsi="Verdana"/>
          <w:sz w:val="28"/>
          <w:szCs w:val="28"/>
        </w:rPr>
        <w:tab/>
        <w:t>BEZ – 1000M2</w:t>
      </w:r>
    </w:p>
    <w:p w:rsidR="001D2FA5" w:rsidRDefault="001D2FA5" w:rsidP="001D2FA5">
      <w:pPr>
        <w:tabs>
          <w:tab w:val="left" w:pos="3340"/>
        </w:tabs>
        <w:jc w:val="center"/>
        <w:rPr>
          <w:rFonts w:ascii="Verdana" w:hAnsi="Verdana"/>
          <w:sz w:val="28"/>
          <w:szCs w:val="28"/>
        </w:rPr>
      </w:pPr>
      <w:r>
        <w:rPr>
          <w:rFonts w:ascii="Verdana" w:hAnsi="Verdana"/>
          <w:noProof/>
          <w:sz w:val="28"/>
          <w:szCs w:val="28"/>
          <w:lang w:eastAsia="en-GB"/>
        </w:rPr>
        <w:drawing>
          <wp:inline distT="0" distB="0" distL="0" distR="0">
            <wp:extent cx="5731510" cy="37807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Z 2.png"/>
                    <pic:cNvPicPr/>
                  </pic:nvPicPr>
                  <pic:blipFill>
                    <a:blip r:embed="rId5">
                      <a:extLst>
                        <a:ext uri="{28A0092B-C50C-407E-A947-70E740481C1C}">
                          <a14:useLocalDpi xmlns:a14="http://schemas.microsoft.com/office/drawing/2010/main" val="0"/>
                        </a:ext>
                      </a:extLst>
                    </a:blip>
                    <a:stretch>
                      <a:fillRect/>
                    </a:stretch>
                  </pic:blipFill>
                  <pic:spPr>
                    <a:xfrm>
                      <a:off x="0" y="0"/>
                      <a:ext cx="5731510" cy="3780790"/>
                    </a:xfrm>
                    <a:prstGeom prst="rect">
                      <a:avLst/>
                    </a:prstGeom>
                  </pic:spPr>
                </pic:pic>
              </a:graphicData>
            </a:graphic>
          </wp:inline>
        </w:drawing>
      </w:r>
    </w:p>
    <w:p w:rsidR="00576CDB" w:rsidRDefault="00576CDB" w:rsidP="00D545FB">
      <w:pPr>
        <w:tabs>
          <w:tab w:val="left" w:pos="3340"/>
        </w:tabs>
        <w:spacing w:after="0"/>
        <w:rPr>
          <w:rFonts w:ascii="Verdana" w:hAnsi="Verdana"/>
          <w:sz w:val="28"/>
          <w:szCs w:val="28"/>
        </w:rPr>
      </w:pPr>
    </w:p>
    <w:p w:rsidR="00576CDB" w:rsidRDefault="00576CDB" w:rsidP="00D545FB">
      <w:pPr>
        <w:tabs>
          <w:tab w:val="left" w:pos="3340"/>
        </w:tabs>
        <w:spacing w:after="0"/>
        <w:rPr>
          <w:rFonts w:ascii="Verdana" w:hAnsi="Verdana"/>
          <w:sz w:val="28"/>
          <w:szCs w:val="28"/>
        </w:rPr>
      </w:pPr>
      <w:r>
        <w:rPr>
          <w:rFonts w:ascii="Verdana" w:hAnsi="Verdana" w:cstheme="minorHAnsi"/>
          <w:sz w:val="28"/>
          <w:szCs w:val="28"/>
        </w:rPr>
        <w:t>MTIF is a subsidiary company of NTU</w:t>
      </w:r>
      <w:bookmarkStart w:id="0" w:name="_GoBack"/>
      <w:bookmarkEnd w:id="0"/>
    </w:p>
    <w:p w:rsidR="001D2FA5" w:rsidRDefault="001D2FA5" w:rsidP="00D545FB">
      <w:pPr>
        <w:tabs>
          <w:tab w:val="left" w:pos="3340"/>
        </w:tabs>
        <w:spacing w:after="0"/>
        <w:rPr>
          <w:rFonts w:ascii="Verdana" w:hAnsi="Verdana"/>
          <w:sz w:val="28"/>
          <w:szCs w:val="28"/>
        </w:rPr>
      </w:pPr>
      <w:r>
        <w:rPr>
          <w:rFonts w:ascii="Verdana" w:hAnsi="Verdana"/>
          <w:sz w:val="28"/>
          <w:szCs w:val="28"/>
        </w:rPr>
        <w:t>3 ISO Class 6 Clean Rooms</w:t>
      </w:r>
    </w:p>
    <w:p w:rsidR="001D2FA5" w:rsidRDefault="001D2FA5" w:rsidP="00D545FB">
      <w:pPr>
        <w:tabs>
          <w:tab w:val="left" w:pos="3340"/>
        </w:tabs>
        <w:spacing w:after="0"/>
        <w:rPr>
          <w:rFonts w:ascii="Verdana" w:hAnsi="Verdana"/>
          <w:sz w:val="28"/>
          <w:szCs w:val="28"/>
        </w:rPr>
      </w:pPr>
      <w:r>
        <w:rPr>
          <w:rFonts w:ascii="Verdana" w:hAnsi="Verdana"/>
          <w:sz w:val="28"/>
          <w:szCs w:val="28"/>
        </w:rPr>
        <w:t>Multi user Devices Lab</w:t>
      </w:r>
    </w:p>
    <w:p w:rsidR="001D2FA5" w:rsidRDefault="001D2FA5" w:rsidP="00D545FB">
      <w:pPr>
        <w:tabs>
          <w:tab w:val="left" w:pos="3340"/>
        </w:tabs>
        <w:spacing w:after="0"/>
        <w:rPr>
          <w:rFonts w:ascii="Verdana" w:hAnsi="Verdana"/>
          <w:sz w:val="28"/>
          <w:szCs w:val="28"/>
        </w:rPr>
      </w:pPr>
      <w:r>
        <w:rPr>
          <w:rFonts w:ascii="Verdana" w:hAnsi="Verdana"/>
          <w:sz w:val="28"/>
          <w:szCs w:val="28"/>
        </w:rPr>
        <w:t>Metrology Lab</w:t>
      </w:r>
    </w:p>
    <w:p w:rsidR="001D2FA5" w:rsidRDefault="001D2FA5" w:rsidP="00D545FB">
      <w:pPr>
        <w:tabs>
          <w:tab w:val="left" w:pos="3340"/>
        </w:tabs>
        <w:spacing w:after="0"/>
        <w:rPr>
          <w:rFonts w:ascii="Verdana" w:hAnsi="Verdana"/>
          <w:sz w:val="28"/>
          <w:szCs w:val="28"/>
        </w:rPr>
      </w:pPr>
      <w:proofErr w:type="spellStart"/>
      <w:r>
        <w:rPr>
          <w:rFonts w:ascii="Verdana" w:hAnsi="Verdana"/>
          <w:sz w:val="28"/>
          <w:szCs w:val="28"/>
        </w:rPr>
        <w:t>Biocompatability</w:t>
      </w:r>
      <w:proofErr w:type="spellEnd"/>
      <w:r>
        <w:rPr>
          <w:rFonts w:ascii="Verdana" w:hAnsi="Verdana"/>
          <w:sz w:val="28"/>
          <w:szCs w:val="28"/>
        </w:rPr>
        <w:t xml:space="preserve"> Lab</w:t>
      </w:r>
    </w:p>
    <w:p w:rsidR="001D2FA5" w:rsidRDefault="001D2FA5" w:rsidP="00D545FB">
      <w:pPr>
        <w:tabs>
          <w:tab w:val="left" w:pos="3340"/>
        </w:tabs>
        <w:spacing w:after="0"/>
        <w:rPr>
          <w:rFonts w:ascii="Verdana" w:hAnsi="Verdana"/>
          <w:sz w:val="28"/>
          <w:szCs w:val="28"/>
        </w:rPr>
      </w:pPr>
      <w:r>
        <w:rPr>
          <w:rFonts w:ascii="Verdana" w:hAnsi="Verdana"/>
          <w:sz w:val="28"/>
          <w:szCs w:val="28"/>
        </w:rPr>
        <w:t>Autoclave Room</w:t>
      </w:r>
    </w:p>
    <w:p w:rsidR="00576CDB" w:rsidRDefault="00576CDB" w:rsidP="00D545FB">
      <w:pPr>
        <w:tabs>
          <w:tab w:val="left" w:pos="3340"/>
        </w:tabs>
        <w:spacing w:after="0"/>
        <w:rPr>
          <w:rFonts w:ascii="Verdana" w:hAnsi="Verdana"/>
          <w:sz w:val="28"/>
          <w:szCs w:val="28"/>
        </w:rPr>
      </w:pPr>
    </w:p>
    <w:p w:rsidR="00D545FB" w:rsidRDefault="00D545FB" w:rsidP="001D2FA5">
      <w:pPr>
        <w:tabs>
          <w:tab w:val="left" w:pos="3340"/>
        </w:tabs>
        <w:rPr>
          <w:rFonts w:ascii="Verdana" w:hAnsi="Verdana"/>
          <w:sz w:val="28"/>
          <w:szCs w:val="28"/>
        </w:rPr>
      </w:pPr>
    </w:p>
    <w:p w:rsidR="00D545FB" w:rsidRDefault="00D545FB" w:rsidP="001D2FA5">
      <w:pPr>
        <w:tabs>
          <w:tab w:val="left" w:pos="3340"/>
        </w:tabs>
        <w:rPr>
          <w:rFonts w:ascii="Verdana" w:hAnsi="Verdana"/>
          <w:sz w:val="28"/>
          <w:szCs w:val="28"/>
        </w:rPr>
      </w:pPr>
      <w:r>
        <w:rPr>
          <w:rFonts w:ascii="Verdana" w:hAnsi="Verdana"/>
          <w:sz w:val="28"/>
          <w:szCs w:val="28"/>
        </w:rPr>
        <w:t>Construction start date – July 2019, Co</w:t>
      </w:r>
      <w:r w:rsidR="00397BB9">
        <w:rPr>
          <w:rFonts w:ascii="Verdana" w:hAnsi="Verdana"/>
          <w:sz w:val="28"/>
          <w:szCs w:val="28"/>
        </w:rPr>
        <w:t>mpletion date July 2020</w:t>
      </w:r>
    </w:p>
    <w:p w:rsidR="001D2FA5" w:rsidRDefault="001D0F6F" w:rsidP="001D2FA5">
      <w:pPr>
        <w:tabs>
          <w:tab w:val="left" w:pos="3340"/>
        </w:tabs>
        <w:rPr>
          <w:rFonts w:ascii="Verdana" w:hAnsi="Verdana"/>
          <w:color w:val="FF0000"/>
          <w:sz w:val="28"/>
          <w:szCs w:val="28"/>
        </w:rPr>
      </w:pPr>
      <w:r w:rsidRPr="00576CDB">
        <w:rPr>
          <w:rFonts w:ascii="Verdana" w:hAnsi="Verdana"/>
          <w:sz w:val="28"/>
          <w:szCs w:val="28"/>
        </w:rPr>
        <w:lastRenderedPageBreak/>
        <w:t xml:space="preserve">Project value </w:t>
      </w:r>
      <w:proofErr w:type="spellStart"/>
      <w:r w:rsidRPr="00576CDB">
        <w:rPr>
          <w:rFonts w:ascii="Verdana" w:hAnsi="Verdana"/>
          <w:sz w:val="28"/>
          <w:szCs w:val="28"/>
        </w:rPr>
        <w:t>approx</w:t>
      </w:r>
      <w:proofErr w:type="spellEnd"/>
      <w:r w:rsidRPr="00576CDB">
        <w:rPr>
          <w:rFonts w:ascii="Verdana" w:hAnsi="Verdana"/>
          <w:sz w:val="28"/>
          <w:szCs w:val="28"/>
        </w:rPr>
        <w:t xml:space="preserve"> £8m Nett, (Construction </w:t>
      </w:r>
      <w:proofErr w:type="spellStart"/>
      <w:r w:rsidRPr="00576CDB">
        <w:rPr>
          <w:rFonts w:ascii="Verdana" w:hAnsi="Verdana"/>
          <w:sz w:val="28"/>
          <w:szCs w:val="28"/>
        </w:rPr>
        <w:t>approx</w:t>
      </w:r>
      <w:proofErr w:type="spellEnd"/>
      <w:r w:rsidRPr="00576CDB">
        <w:rPr>
          <w:rFonts w:ascii="Verdana" w:hAnsi="Verdana"/>
          <w:sz w:val="28"/>
          <w:szCs w:val="28"/>
        </w:rPr>
        <w:t xml:space="preserve"> 5.5m NETT)</w:t>
      </w:r>
    </w:p>
    <w:p w:rsidR="001D0F6F" w:rsidRDefault="001D0F6F" w:rsidP="001D2FA5">
      <w:pPr>
        <w:tabs>
          <w:tab w:val="left" w:pos="3340"/>
        </w:tabs>
        <w:rPr>
          <w:rFonts w:ascii="Verdana" w:hAnsi="Verdana" w:cstheme="minorHAnsi"/>
          <w:sz w:val="28"/>
          <w:szCs w:val="28"/>
        </w:rPr>
      </w:pPr>
      <w:r w:rsidRPr="001D0F6F">
        <w:rPr>
          <w:rFonts w:ascii="Verdana" w:hAnsi="Verdana" w:cstheme="minorHAnsi"/>
          <w:sz w:val="28"/>
          <w:szCs w:val="28"/>
        </w:rPr>
        <w:t>The project will also deliv</w:t>
      </w:r>
      <w:r w:rsidR="00576CDB">
        <w:rPr>
          <w:rFonts w:ascii="Verdana" w:hAnsi="Verdana" w:cstheme="minorHAnsi"/>
          <w:sz w:val="28"/>
          <w:szCs w:val="28"/>
        </w:rPr>
        <w:t>er a “Very Good</w:t>
      </w:r>
      <w:r>
        <w:rPr>
          <w:rFonts w:ascii="Verdana" w:hAnsi="Verdana" w:cstheme="minorHAnsi"/>
          <w:sz w:val="28"/>
          <w:szCs w:val="28"/>
        </w:rPr>
        <w:t>” BREEAM rating &amp; EPC A</w:t>
      </w:r>
    </w:p>
    <w:p w:rsidR="001D0F6F" w:rsidRDefault="001D0F6F" w:rsidP="001D2FA5">
      <w:pPr>
        <w:tabs>
          <w:tab w:val="left" w:pos="3340"/>
        </w:tabs>
        <w:rPr>
          <w:rFonts w:ascii="Verdana" w:hAnsi="Verdana" w:cstheme="minorHAnsi"/>
          <w:sz w:val="28"/>
          <w:szCs w:val="28"/>
        </w:rPr>
      </w:pPr>
    </w:p>
    <w:p w:rsidR="001D0F6F" w:rsidRPr="001D0F6F" w:rsidRDefault="001D0F6F" w:rsidP="001D0F6F">
      <w:pPr>
        <w:pStyle w:val="NoSpacing"/>
        <w:ind w:left="426" w:hanging="426"/>
        <w:jc w:val="both"/>
        <w:rPr>
          <w:rFonts w:ascii="Verdana" w:hAnsi="Verdana" w:cstheme="minorHAnsi"/>
          <w:sz w:val="28"/>
          <w:szCs w:val="28"/>
        </w:rPr>
      </w:pPr>
      <w:r w:rsidRPr="001D0F6F">
        <w:rPr>
          <w:rFonts w:ascii="Verdana" w:hAnsi="Verdana" w:cstheme="minorHAnsi"/>
          <w:sz w:val="28"/>
          <w:szCs w:val="28"/>
        </w:rPr>
        <w:t>PROCUREMENT</w:t>
      </w:r>
    </w:p>
    <w:p w:rsidR="001D0F6F" w:rsidRPr="001D0F6F" w:rsidRDefault="001D0F6F" w:rsidP="001D0F6F">
      <w:pPr>
        <w:pStyle w:val="NoSpacing"/>
        <w:ind w:left="426" w:hanging="426"/>
        <w:jc w:val="both"/>
        <w:rPr>
          <w:rFonts w:ascii="Verdana" w:hAnsi="Verdana" w:cstheme="minorHAnsi"/>
          <w:sz w:val="28"/>
          <w:szCs w:val="28"/>
        </w:rPr>
      </w:pPr>
    </w:p>
    <w:p w:rsidR="001D0F6F" w:rsidRPr="001D0F6F" w:rsidRDefault="001D0F6F" w:rsidP="001D0F6F">
      <w:pPr>
        <w:pStyle w:val="NoSpacing"/>
        <w:jc w:val="both"/>
        <w:rPr>
          <w:rFonts w:ascii="Verdana" w:hAnsi="Verdana" w:cstheme="minorHAnsi"/>
          <w:sz w:val="28"/>
          <w:szCs w:val="28"/>
        </w:rPr>
      </w:pPr>
      <w:r w:rsidRPr="001D0F6F">
        <w:rPr>
          <w:rFonts w:ascii="Verdana" w:hAnsi="Verdana" w:cstheme="minorHAnsi"/>
          <w:sz w:val="28"/>
          <w:szCs w:val="28"/>
        </w:rPr>
        <w:t xml:space="preserve">It is anticipated that the building contract will be let on a single stage fixed price Design and Build form of contract, e.g. JCT Design and Build or similar. Further information and confirmation of novation approach and contract type will be provided at the tender stage.  </w:t>
      </w:r>
    </w:p>
    <w:p w:rsidR="001D0F6F" w:rsidRPr="001D0F6F" w:rsidRDefault="001D0F6F" w:rsidP="001D0F6F">
      <w:pPr>
        <w:pStyle w:val="NoSpacing"/>
        <w:ind w:left="426" w:hanging="426"/>
        <w:jc w:val="both"/>
        <w:rPr>
          <w:rFonts w:ascii="Verdana" w:hAnsi="Verdana" w:cstheme="minorHAnsi"/>
          <w:sz w:val="28"/>
          <w:szCs w:val="28"/>
        </w:rPr>
      </w:pPr>
    </w:p>
    <w:p w:rsidR="001D0F6F" w:rsidRPr="001D0F6F" w:rsidRDefault="001D0F6F" w:rsidP="001D0F6F">
      <w:pPr>
        <w:pStyle w:val="NoSpacing"/>
        <w:jc w:val="both"/>
        <w:rPr>
          <w:rFonts w:ascii="Verdana" w:hAnsi="Verdana" w:cstheme="minorHAnsi"/>
          <w:sz w:val="28"/>
          <w:szCs w:val="28"/>
        </w:rPr>
      </w:pPr>
      <w:r w:rsidRPr="001D0F6F">
        <w:rPr>
          <w:rFonts w:ascii="Verdana" w:hAnsi="Verdana" w:cstheme="minorHAnsi"/>
          <w:sz w:val="28"/>
          <w:szCs w:val="28"/>
        </w:rPr>
        <w:t>The tendering process will follow the procedures laid down in The Public Contracts Regulations 2015.</w:t>
      </w:r>
    </w:p>
    <w:p w:rsidR="001D0F6F" w:rsidRPr="001D0F6F" w:rsidRDefault="001D0F6F" w:rsidP="001D0F6F">
      <w:pPr>
        <w:pStyle w:val="NoSpacing"/>
        <w:ind w:left="426" w:hanging="426"/>
        <w:jc w:val="both"/>
        <w:rPr>
          <w:rFonts w:ascii="Verdana" w:hAnsi="Verdana" w:cstheme="minorHAnsi"/>
          <w:sz w:val="28"/>
          <w:szCs w:val="28"/>
        </w:rPr>
      </w:pPr>
    </w:p>
    <w:p w:rsidR="001D0F6F" w:rsidRPr="001D0F6F" w:rsidRDefault="001D0F6F" w:rsidP="001D0F6F">
      <w:pPr>
        <w:tabs>
          <w:tab w:val="left" w:pos="0"/>
        </w:tabs>
        <w:rPr>
          <w:rFonts w:ascii="Verdana" w:hAnsi="Verdana"/>
          <w:color w:val="FF0000"/>
          <w:sz w:val="28"/>
          <w:szCs w:val="28"/>
        </w:rPr>
      </w:pPr>
      <w:r w:rsidRPr="001D0F6F">
        <w:rPr>
          <w:rFonts w:ascii="Verdana" w:hAnsi="Verdana" w:cstheme="minorHAnsi"/>
          <w:sz w:val="28"/>
          <w:szCs w:val="28"/>
        </w:rPr>
        <w:t>Nottingham Trent University is following the Competitive with Negotiation procedure in accordance with the legislation.</w:t>
      </w:r>
    </w:p>
    <w:sectPr w:rsidR="001D0F6F" w:rsidRPr="001D0F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FA5"/>
    <w:rsid w:val="001D0F6F"/>
    <w:rsid w:val="001D2FA5"/>
    <w:rsid w:val="00397BB9"/>
    <w:rsid w:val="004B381A"/>
    <w:rsid w:val="00576CDB"/>
    <w:rsid w:val="008926D0"/>
    <w:rsid w:val="00D54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780FE-38CF-4019-A0BF-14B1DE89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F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69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Nottingham Trent University</Company>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Martin</dc:creator>
  <cp:keywords/>
  <dc:description/>
  <cp:lastModifiedBy>Parr, Martin</cp:lastModifiedBy>
  <cp:revision>4</cp:revision>
  <dcterms:created xsi:type="dcterms:W3CDTF">2019-01-10T14:54:00Z</dcterms:created>
  <dcterms:modified xsi:type="dcterms:W3CDTF">2019-01-21T13:18:00Z</dcterms:modified>
</cp:coreProperties>
</file>