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4678"/>
      </w:tblGrid>
      <w:tr w:rsidR="00CD5949" w:rsidTr="00CD5949">
        <w:trPr>
          <w:trHeight w:val="416"/>
        </w:trPr>
        <w:tc>
          <w:tcPr>
            <w:tcW w:w="3397" w:type="dxa"/>
            <w:tcBorders>
              <w:top w:val="single" w:sz="4" w:space="0" w:color="auto"/>
              <w:left w:val="single" w:sz="4" w:space="0" w:color="auto"/>
              <w:bottom w:val="single" w:sz="4" w:space="0" w:color="auto"/>
              <w:right w:val="single" w:sz="4" w:space="0" w:color="auto"/>
            </w:tcBorders>
          </w:tcPr>
          <w:p w:rsidR="00CD5949" w:rsidRDefault="00CD5949">
            <w:pPr>
              <w:spacing w:before="60" w:after="60"/>
              <w:rPr>
                <w:rFonts w:ascii="Arial" w:hAnsi="Arial" w:cs="Arial"/>
                <w:b/>
              </w:rPr>
            </w:pPr>
            <w:r>
              <w:rPr>
                <w:rFonts w:ascii="Arial" w:hAnsi="Arial" w:cs="Arial"/>
                <w:b/>
              </w:rPr>
              <w:t>Name of Potential Provider:</w:t>
            </w:r>
          </w:p>
        </w:tc>
        <w:tc>
          <w:tcPr>
            <w:tcW w:w="4678" w:type="dxa"/>
            <w:tcBorders>
              <w:top w:val="single" w:sz="4" w:space="0" w:color="auto"/>
              <w:left w:val="single" w:sz="4" w:space="0" w:color="auto"/>
              <w:bottom w:val="single" w:sz="4" w:space="0" w:color="auto"/>
              <w:right w:val="single" w:sz="4" w:space="0" w:color="auto"/>
            </w:tcBorders>
          </w:tcPr>
          <w:p w:rsidR="00CD5949" w:rsidRDefault="00CD5949">
            <w:pPr>
              <w:spacing w:before="60" w:after="60"/>
              <w:rPr>
                <w:rFonts w:ascii="Arial" w:hAnsi="Arial" w:cs="Arial"/>
                <w:b/>
              </w:rPr>
            </w:pPr>
          </w:p>
        </w:tc>
      </w:tr>
    </w:tbl>
    <w:p w:rsidR="001C2269" w:rsidRDefault="001C2269" w:rsidP="001C2269">
      <w:pPr>
        <w:rPr>
          <w:rFonts w:ascii="Arial" w:hAnsi="Arial" w:cs="Arial"/>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29"/>
      </w:tblGrid>
      <w:tr w:rsidR="001C2269" w:rsidTr="00BF6795">
        <w:trPr>
          <w:trHeight w:val="270"/>
        </w:trPr>
        <w:tc>
          <w:tcPr>
            <w:tcW w:w="14029" w:type="dxa"/>
            <w:tcBorders>
              <w:top w:val="single" w:sz="4" w:space="0" w:color="auto"/>
              <w:left w:val="single" w:sz="4" w:space="0" w:color="auto"/>
              <w:bottom w:val="single" w:sz="4" w:space="0" w:color="auto"/>
              <w:right w:val="single" w:sz="4" w:space="0" w:color="auto"/>
            </w:tcBorders>
            <w:vAlign w:val="center"/>
            <w:hideMark/>
          </w:tcPr>
          <w:p w:rsidR="001C2269" w:rsidRDefault="001C2269">
            <w:pPr>
              <w:jc w:val="center"/>
              <w:rPr>
                <w:rFonts w:ascii="Arial" w:hAnsi="Arial" w:cs="Arial"/>
                <w:b/>
              </w:rPr>
            </w:pPr>
            <w:r>
              <w:rPr>
                <w:rFonts w:ascii="Arial" w:hAnsi="Arial" w:cs="Arial"/>
                <w:b/>
              </w:rPr>
              <w:t>PRICE SCHEDULE</w:t>
            </w:r>
          </w:p>
        </w:tc>
      </w:tr>
    </w:tbl>
    <w:p w:rsidR="001C2269" w:rsidRDefault="001C2269" w:rsidP="001C2269">
      <w:pPr>
        <w:rPr>
          <w:rFonts w:ascii="Arial" w:hAnsi="Arial" w:cs="Arial"/>
          <w:b/>
          <w:szCs w:val="22"/>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2606"/>
        <w:gridCol w:w="5245"/>
        <w:gridCol w:w="1275"/>
        <w:gridCol w:w="1371"/>
        <w:gridCol w:w="1606"/>
        <w:gridCol w:w="1418"/>
      </w:tblGrid>
      <w:tr w:rsidR="00CD5949" w:rsidTr="00FE3FD5">
        <w:tc>
          <w:tcPr>
            <w:tcW w:w="508" w:type="dxa"/>
            <w:tcBorders>
              <w:top w:val="single" w:sz="4" w:space="0" w:color="auto"/>
              <w:left w:val="single" w:sz="4" w:space="0" w:color="auto"/>
              <w:bottom w:val="single" w:sz="4" w:space="0" w:color="auto"/>
              <w:right w:val="single" w:sz="4" w:space="0" w:color="auto"/>
            </w:tcBorders>
            <w:vAlign w:val="center"/>
            <w:hideMark/>
          </w:tcPr>
          <w:p w:rsidR="00CD5949" w:rsidRDefault="00CD5949" w:rsidP="00FE3FD5">
            <w:pPr>
              <w:jc w:val="center"/>
              <w:rPr>
                <w:rFonts w:ascii="Arial" w:hAnsi="Arial" w:cs="Arial"/>
                <w:b/>
                <w:sz w:val="20"/>
                <w:szCs w:val="20"/>
              </w:rPr>
            </w:pPr>
            <w:r>
              <w:rPr>
                <w:rFonts w:ascii="Arial" w:hAnsi="Arial" w:cs="Arial"/>
                <w:b/>
                <w:sz w:val="20"/>
                <w:szCs w:val="20"/>
              </w:rPr>
              <w:t>#</w:t>
            </w:r>
          </w:p>
        </w:tc>
        <w:tc>
          <w:tcPr>
            <w:tcW w:w="2606" w:type="dxa"/>
            <w:tcBorders>
              <w:top w:val="single" w:sz="4" w:space="0" w:color="auto"/>
              <w:left w:val="single" w:sz="4" w:space="0" w:color="auto"/>
              <w:bottom w:val="single" w:sz="4" w:space="0" w:color="auto"/>
              <w:right w:val="single" w:sz="4" w:space="0" w:color="auto"/>
            </w:tcBorders>
            <w:vAlign w:val="center"/>
            <w:hideMark/>
          </w:tcPr>
          <w:p w:rsidR="00CD5949" w:rsidRDefault="00CD5949" w:rsidP="00FE3FD5">
            <w:pPr>
              <w:jc w:val="center"/>
              <w:rPr>
                <w:rFonts w:ascii="Arial" w:hAnsi="Arial" w:cs="Arial"/>
                <w:b/>
                <w:sz w:val="20"/>
                <w:szCs w:val="20"/>
              </w:rPr>
            </w:pPr>
            <w:r>
              <w:rPr>
                <w:rFonts w:ascii="Arial" w:hAnsi="Arial" w:cs="Arial"/>
                <w:b/>
                <w:sz w:val="20"/>
                <w:szCs w:val="20"/>
              </w:rPr>
              <w:t>Name of Consultant(s)</w:t>
            </w:r>
          </w:p>
        </w:tc>
        <w:tc>
          <w:tcPr>
            <w:tcW w:w="5245" w:type="dxa"/>
            <w:tcBorders>
              <w:top w:val="single" w:sz="4" w:space="0" w:color="auto"/>
              <w:left w:val="single" w:sz="4" w:space="0" w:color="auto"/>
              <w:bottom w:val="single" w:sz="4" w:space="0" w:color="auto"/>
              <w:right w:val="single" w:sz="4" w:space="0" w:color="auto"/>
            </w:tcBorders>
            <w:vAlign w:val="center"/>
          </w:tcPr>
          <w:p w:rsidR="00CD5949" w:rsidRDefault="00CD5949" w:rsidP="00FE3FD5">
            <w:pPr>
              <w:jc w:val="center"/>
              <w:rPr>
                <w:rFonts w:ascii="Arial" w:hAnsi="Arial" w:cs="Arial"/>
                <w:b/>
                <w:sz w:val="20"/>
                <w:szCs w:val="20"/>
              </w:rPr>
            </w:pPr>
            <w:r>
              <w:rPr>
                <w:rFonts w:ascii="Arial" w:hAnsi="Arial" w:cs="Arial"/>
                <w:b/>
                <w:sz w:val="20"/>
                <w:szCs w:val="20"/>
              </w:rPr>
              <w:t>The Provider Will Be Paid Upon Completion of the Following Milestones</w:t>
            </w:r>
          </w:p>
        </w:tc>
        <w:tc>
          <w:tcPr>
            <w:tcW w:w="1275" w:type="dxa"/>
            <w:tcBorders>
              <w:top w:val="single" w:sz="4" w:space="0" w:color="auto"/>
              <w:left w:val="single" w:sz="4" w:space="0" w:color="auto"/>
              <w:bottom w:val="single" w:sz="4" w:space="0" w:color="auto"/>
              <w:right w:val="single" w:sz="4" w:space="0" w:color="auto"/>
            </w:tcBorders>
            <w:hideMark/>
          </w:tcPr>
          <w:p w:rsidR="00CD5949" w:rsidRDefault="00CD5949" w:rsidP="00FE3FD5">
            <w:pPr>
              <w:jc w:val="center"/>
              <w:rPr>
                <w:rFonts w:ascii="Arial" w:hAnsi="Arial" w:cs="Arial"/>
                <w:b/>
                <w:sz w:val="20"/>
                <w:szCs w:val="20"/>
              </w:rPr>
            </w:pPr>
          </w:p>
          <w:p w:rsidR="00CD5949" w:rsidRDefault="00CD5949" w:rsidP="00FE3FD5">
            <w:pPr>
              <w:jc w:val="center"/>
              <w:rPr>
                <w:rFonts w:ascii="Arial" w:hAnsi="Arial" w:cs="Arial"/>
                <w:b/>
                <w:sz w:val="20"/>
                <w:szCs w:val="20"/>
              </w:rPr>
            </w:pPr>
            <w:r>
              <w:rPr>
                <w:rFonts w:ascii="Arial" w:hAnsi="Arial" w:cs="Arial"/>
                <w:b/>
                <w:sz w:val="20"/>
                <w:szCs w:val="20"/>
              </w:rPr>
              <w:t>Number of</w:t>
            </w:r>
          </w:p>
          <w:p w:rsidR="00CD5949" w:rsidRDefault="00CD5949" w:rsidP="00FE3FD5">
            <w:pPr>
              <w:jc w:val="center"/>
              <w:rPr>
                <w:rFonts w:ascii="Arial" w:hAnsi="Arial" w:cs="Arial"/>
                <w:b/>
                <w:sz w:val="20"/>
                <w:szCs w:val="20"/>
              </w:rPr>
            </w:pPr>
            <w:r>
              <w:rPr>
                <w:rFonts w:ascii="Arial" w:hAnsi="Arial" w:cs="Arial"/>
                <w:b/>
                <w:sz w:val="20"/>
                <w:szCs w:val="20"/>
              </w:rPr>
              <w:t>Days</w:t>
            </w:r>
          </w:p>
        </w:tc>
        <w:tc>
          <w:tcPr>
            <w:tcW w:w="1371" w:type="dxa"/>
            <w:tcBorders>
              <w:top w:val="single" w:sz="4" w:space="0" w:color="auto"/>
              <w:left w:val="single" w:sz="4" w:space="0" w:color="auto"/>
              <w:bottom w:val="single" w:sz="4" w:space="0" w:color="auto"/>
              <w:right w:val="single" w:sz="4" w:space="0" w:color="auto"/>
            </w:tcBorders>
          </w:tcPr>
          <w:p w:rsidR="00CD5949" w:rsidRDefault="00CD5949" w:rsidP="00FE3FD5">
            <w:pPr>
              <w:jc w:val="center"/>
              <w:rPr>
                <w:rFonts w:ascii="Arial" w:hAnsi="Arial" w:cs="Arial"/>
                <w:b/>
                <w:sz w:val="20"/>
                <w:szCs w:val="20"/>
              </w:rPr>
            </w:pPr>
          </w:p>
          <w:p w:rsidR="00CD5949" w:rsidRDefault="00CD5949" w:rsidP="00FE3FD5">
            <w:pPr>
              <w:jc w:val="center"/>
              <w:rPr>
                <w:rFonts w:ascii="Arial" w:hAnsi="Arial" w:cs="Arial"/>
                <w:b/>
                <w:sz w:val="20"/>
                <w:szCs w:val="20"/>
              </w:rPr>
            </w:pPr>
            <w:r>
              <w:rPr>
                <w:rFonts w:ascii="Arial" w:hAnsi="Arial" w:cs="Arial"/>
                <w:b/>
                <w:sz w:val="20"/>
                <w:szCs w:val="20"/>
              </w:rPr>
              <w:t>Day Rate(s)</w:t>
            </w:r>
          </w:p>
        </w:tc>
        <w:tc>
          <w:tcPr>
            <w:tcW w:w="1606" w:type="dxa"/>
            <w:tcBorders>
              <w:top w:val="single" w:sz="4" w:space="0" w:color="auto"/>
              <w:left w:val="single" w:sz="4" w:space="0" w:color="auto"/>
              <w:bottom w:val="single" w:sz="4" w:space="0" w:color="auto"/>
              <w:right w:val="single" w:sz="4" w:space="0" w:color="auto"/>
            </w:tcBorders>
          </w:tcPr>
          <w:p w:rsidR="00FE3FD5" w:rsidRDefault="00FE3FD5" w:rsidP="00FE3FD5">
            <w:pPr>
              <w:jc w:val="center"/>
              <w:rPr>
                <w:rFonts w:ascii="Arial" w:hAnsi="Arial" w:cs="Arial"/>
                <w:b/>
                <w:sz w:val="20"/>
                <w:szCs w:val="20"/>
              </w:rPr>
            </w:pPr>
          </w:p>
          <w:p w:rsidR="00CD5949" w:rsidRDefault="00FE3FD5" w:rsidP="00FE3FD5">
            <w:pPr>
              <w:jc w:val="center"/>
              <w:rPr>
                <w:rFonts w:ascii="Arial" w:hAnsi="Arial" w:cs="Arial"/>
                <w:b/>
                <w:sz w:val="20"/>
                <w:szCs w:val="20"/>
              </w:rPr>
            </w:pPr>
            <w:r>
              <w:rPr>
                <w:rFonts w:ascii="Arial" w:hAnsi="Arial" w:cs="Arial"/>
                <w:b/>
                <w:sz w:val="20"/>
                <w:szCs w:val="20"/>
              </w:rPr>
              <w:t>Non Travel</w:t>
            </w:r>
            <w:r w:rsidR="00CD5949">
              <w:rPr>
                <w:rFonts w:ascii="Arial" w:hAnsi="Arial" w:cs="Arial"/>
                <w:b/>
                <w:sz w:val="20"/>
                <w:szCs w:val="20"/>
              </w:rPr>
              <w:t xml:space="preserve"> Expenses</w:t>
            </w:r>
          </w:p>
        </w:tc>
        <w:tc>
          <w:tcPr>
            <w:tcW w:w="1418" w:type="dxa"/>
            <w:tcBorders>
              <w:top w:val="single" w:sz="4" w:space="0" w:color="auto"/>
              <w:left w:val="single" w:sz="4" w:space="0" w:color="auto"/>
              <w:bottom w:val="single" w:sz="4" w:space="0" w:color="auto"/>
              <w:right w:val="single" w:sz="4" w:space="0" w:color="auto"/>
            </w:tcBorders>
            <w:hideMark/>
          </w:tcPr>
          <w:p w:rsidR="00CD5949" w:rsidRDefault="00CD5949" w:rsidP="00FE3FD5">
            <w:pPr>
              <w:jc w:val="center"/>
              <w:rPr>
                <w:rFonts w:ascii="Arial" w:hAnsi="Arial" w:cs="Arial"/>
                <w:b/>
                <w:sz w:val="20"/>
                <w:szCs w:val="20"/>
              </w:rPr>
            </w:pPr>
          </w:p>
          <w:p w:rsidR="00CD5949" w:rsidRDefault="00CD5949" w:rsidP="00FE3FD5">
            <w:pPr>
              <w:jc w:val="center"/>
              <w:rPr>
                <w:rFonts w:ascii="Arial" w:hAnsi="Arial" w:cs="Arial"/>
                <w:b/>
                <w:sz w:val="20"/>
                <w:szCs w:val="20"/>
              </w:rPr>
            </w:pPr>
            <w:r>
              <w:rPr>
                <w:rFonts w:ascii="Arial" w:hAnsi="Arial" w:cs="Arial"/>
                <w:b/>
                <w:sz w:val="20"/>
                <w:szCs w:val="20"/>
              </w:rPr>
              <w:t>Total</w:t>
            </w:r>
          </w:p>
          <w:p w:rsidR="00CD5949" w:rsidRDefault="00CD5949" w:rsidP="00FE3FD5">
            <w:pPr>
              <w:jc w:val="center"/>
              <w:rPr>
                <w:rFonts w:ascii="Arial" w:hAnsi="Arial" w:cs="Arial"/>
                <w:b/>
                <w:sz w:val="20"/>
                <w:szCs w:val="20"/>
              </w:rPr>
            </w:pPr>
            <w:r>
              <w:rPr>
                <w:rFonts w:ascii="Arial" w:hAnsi="Arial" w:cs="Arial"/>
                <w:b/>
                <w:sz w:val="20"/>
                <w:szCs w:val="20"/>
              </w:rPr>
              <w:t>£</w:t>
            </w:r>
          </w:p>
        </w:tc>
      </w:tr>
      <w:tr w:rsidR="00CD5949" w:rsidTr="00CD3B83">
        <w:trPr>
          <w:trHeight w:val="1123"/>
        </w:trPr>
        <w:tc>
          <w:tcPr>
            <w:tcW w:w="508" w:type="dxa"/>
            <w:tcBorders>
              <w:top w:val="single" w:sz="4" w:space="0" w:color="auto"/>
              <w:left w:val="single" w:sz="4" w:space="0" w:color="auto"/>
              <w:bottom w:val="single" w:sz="4" w:space="0" w:color="auto"/>
              <w:right w:val="single" w:sz="4" w:space="0" w:color="auto"/>
            </w:tcBorders>
            <w:hideMark/>
          </w:tcPr>
          <w:p w:rsidR="00CD5949" w:rsidRDefault="00CD5949">
            <w:pPr>
              <w:rPr>
                <w:rFonts w:ascii="Arial" w:hAnsi="Arial" w:cs="Arial"/>
                <w:b/>
                <w:sz w:val="20"/>
                <w:szCs w:val="20"/>
              </w:rPr>
            </w:pPr>
            <w:r>
              <w:rPr>
                <w:rFonts w:ascii="Arial" w:hAnsi="Arial" w:cs="Arial"/>
                <w:b/>
                <w:sz w:val="20"/>
                <w:szCs w:val="20"/>
              </w:rPr>
              <w:t>1</w:t>
            </w:r>
          </w:p>
        </w:tc>
        <w:tc>
          <w:tcPr>
            <w:tcW w:w="2606" w:type="dxa"/>
            <w:tcBorders>
              <w:top w:val="single" w:sz="4" w:space="0" w:color="auto"/>
              <w:left w:val="single" w:sz="4" w:space="0" w:color="auto"/>
              <w:bottom w:val="single" w:sz="4" w:space="0" w:color="auto"/>
              <w:right w:val="single" w:sz="4" w:space="0" w:color="auto"/>
            </w:tcBorders>
          </w:tcPr>
          <w:p w:rsidR="00CD5949" w:rsidRDefault="00CD5949">
            <w:pPr>
              <w:rPr>
                <w:rFonts w:ascii="Arial" w:hAnsi="Arial" w:cs="Arial"/>
                <w:b/>
                <w:sz w:val="20"/>
                <w:szCs w:val="20"/>
              </w:rPr>
            </w:pPr>
          </w:p>
        </w:tc>
        <w:tc>
          <w:tcPr>
            <w:tcW w:w="5245" w:type="dxa"/>
            <w:tcBorders>
              <w:top w:val="single" w:sz="4" w:space="0" w:color="auto"/>
              <w:left w:val="single" w:sz="4" w:space="0" w:color="auto"/>
              <w:bottom w:val="single" w:sz="4" w:space="0" w:color="auto"/>
              <w:right w:val="single" w:sz="4" w:space="0" w:color="auto"/>
            </w:tcBorders>
          </w:tcPr>
          <w:p w:rsidR="00FE3FD5" w:rsidRPr="00C051C2" w:rsidRDefault="00FE3FD5" w:rsidP="00FE3FD5">
            <w:pPr>
              <w:spacing w:after="160" w:line="259" w:lineRule="auto"/>
              <w:contextualSpacing/>
              <w:jc w:val="center"/>
              <w:rPr>
                <w:rFonts w:ascii="Arial" w:eastAsiaTheme="minorHAnsi" w:hAnsi="Arial" w:cs="Arial"/>
                <w:sz w:val="22"/>
                <w:szCs w:val="22"/>
                <w:lang w:val="en-GB"/>
              </w:rPr>
            </w:pPr>
          </w:p>
          <w:p w:rsidR="00FE3FD5" w:rsidRPr="00C051C2" w:rsidRDefault="00CD5949" w:rsidP="00CD3B83">
            <w:pPr>
              <w:spacing w:after="160" w:line="259" w:lineRule="auto"/>
              <w:contextualSpacing/>
              <w:jc w:val="center"/>
              <w:rPr>
                <w:rFonts w:ascii="Arial" w:eastAsiaTheme="minorHAnsi" w:hAnsi="Arial" w:cs="Arial"/>
                <w:sz w:val="22"/>
                <w:szCs w:val="22"/>
                <w:lang w:val="en-GB"/>
              </w:rPr>
            </w:pPr>
            <w:r w:rsidRPr="00C051C2">
              <w:rPr>
                <w:rFonts w:ascii="Arial" w:eastAsiaTheme="minorHAnsi" w:hAnsi="Arial" w:cs="Arial"/>
                <w:sz w:val="22"/>
                <w:szCs w:val="22"/>
                <w:lang w:val="en-GB"/>
              </w:rPr>
              <w:t>Satisfactory completion of the customer discovery/requirement phase.</w:t>
            </w:r>
            <w:r w:rsidR="00C051C2" w:rsidRPr="00C051C2">
              <w:rPr>
                <w:rFonts w:ascii="Arial" w:eastAsiaTheme="minorHAnsi" w:hAnsi="Arial" w:cs="Arial"/>
                <w:sz w:val="22"/>
                <w:szCs w:val="22"/>
                <w:lang w:val="en-GB"/>
              </w:rPr>
              <w:t xml:space="preserve"> </w:t>
            </w:r>
            <w:r w:rsidR="00C051C2" w:rsidRPr="00C051C2">
              <w:rPr>
                <w:rFonts w:ascii="Arial" w:hAnsi="Arial" w:cs="Arial"/>
                <w:sz w:val="22"/>
                <w:szCs w:val="22"/>
              </w:rPr>
              <w:t>- includes IPA, departments, core functions and external bodies/organisations.</w:t>
            </w:r>
          </w:p>
        </w:tc>
        <w:tc>
          <w:tcPr>
            <w:tcW w:w="1275" w:type="dxa"/>
            <w:tcBorders>
              <w:top w:val="single" w:sz="4" w:space="0" w:color="auto"/>
              <w:left w:val="single" w:sz="4" w:space="0" w:color="auto"/>
              <w:bottom w:val="single" w:sz="4" w:space="0" w:color="auto"/>
              <w:right w:val="single" w:sz="4" w:space="0" w:color="auto"/>
            </w:tcBorders>
          </w:tcPr>
          <w:p w:rsidR="00CD5949" w:rsidRDefault="00CD5949">
            <w:pPr>
              <w:rPr>
                <w:rFonts w:ascii="Arial" w:hAnsi="Arial" w:cs="Arial"/>
                <w:b/>
                <w:sz w:val="20"/>
                <w:szCs w:val="20"/>
              </w:rPr>
            </w:pPr>
          </w:p>
        </w:tc>
        <w:tc>
          <w:tcPr>
            <w:tcW w:w="1371" w:type="dxa"/>
            <w:tcBorders>
              <w:top w:val="single" w:sz="4" w:space="0" w:color="auto"/>
              <w:left w:val="single" w:sz="4" w:space="0" w:color="auto"/>
              <w:bottom w:val="single" w:sz="4" w:space="0" w:color="auto"/>
              <w:right w:val="single" w:sz="4" w:space="0" w:color="auto"/>
            </w:tcBorders>
          </w:tcPr>
          <w:p w:rsidR="00CD5949" w:rsidRPr="002F6450" w:rsidRDefault="00CD5949" w:rsidP="002F6450">
            <w:pPr>
              <w:jc w:val="both"/>
              <w:rPr>
                <w:b/>
                <w:sz w:val="20"/>
                <w:szCs w:val="20"/>
              </w:rPr>
            </w:pPr>
          </w:p>
        </w:tc>
        <w:tc>
          <w:tcPr>
            <w:tcW w:w="1606" w:type="dxa"/>
            <w:tcBorders>
              <w:top w:val="single" w:sz="4" w:space="0" w:color="auto"/>
              <w:left w:val="single" w:sz="4" w:space="0" w:color="auto"/>
              <w:right w:val="single" w:sz="4" w:space="0" w:color="auto"/>
            </w:tcBorders>
          </w:tcPr>
          <w:p w:rsidR="00CD5949" w:rsidRDefault="00CD5949" w:rsidP="002F6450">
            <w:pPr>
              <w:spacing w:after="160" w:line="259" w:lineRule="auto"/>
              <w:contextualSpacing/>
              <w:jc w:val="both"/>
              <w:rPr>
                <w:rFonts w:ascii="Arial" w:eastAsiaTheme="minorHAnsi" w:hAnsi="Arial" w:cs="Arial"/>
                <w:sz w:val="22"/>
                <w:szCs w:val="22"/>
                <w:lang w:val="en-GB"/>
              </w:rPr>
            </w:pPr>
          </w:p>
        </w:tc>
        <w:tc>
          <w:tcPr>
            <w:tcW w:w="1418" w:type="dxa"/>
            <w:tcBorders>
              <w:top w:val="single" w:sz="4" w:space="0" w:color="auto"/>
              <w:left w:val="single" w:sz="4" w:space="0" w:color="auto"/>
              <w:bottom w:val="single" w:sz="4" w:space="0" w:color="auto"/>
              <w:right w:val="single" w:sz="4" w:space="0" w:color="auto"/>
            </w:tcBorders>
          </w:tcPr>
          <w:p w:rsidR="00CD5949" w:rsidRDefault="00CD5949">
            <w:pPr>
              <w:rPr>
                <w:rFonts w:ascii="Arial" w:hAnsi="Arial" w:cs="Arial"/>
                <w:b/>
                <w:sz w:val="20"/>
                <w:szCs w:val="20"/>
              </w:rPr>
            </w:pPr>
          </w:p>
        </w:tc>
      </w:tr>
      <w:tr w:rsidR="00CD5949" w:rsidTr="00CD3B83">
        <w:trPr>
          <w:trHeight w:val="888"/>
        </w:trPr>
        <w:tc>
          <w:tcPr>
            <w:tcW w:w="508" w:type="dxa"/>
            <w:tcBorders>
              <w:top w:val="single" w:sz="4" w:space="0" w:color="auto"/>
              <w:left w:val="single" w:sz="4" w:space="0" w:color="auto"/>
              <w:bottom w:val="single" w:sz="4" w:space="0" w:color="auto"/>
              <w:right w:val="single" w:sz="4" w:space="0" w:color="auto"/>
            </w:tcBorders>
            <w:hideMark/>
          </w:tcPr>
          <w:p w:rsidR="00CD5949" w:rsidRDefault="00CD5949">
            <w:pPr>
              <w:rPr>
                <w:rFonts w:ascii="Arial" w:hAnsi="Arial" w:cs="Arial"/>
                <w:b/>
                <w:sz w:val="20"/>
                <w:szCs w:val="20"/>
              </w:rPr>
            </w:pPr>
            <w:r>
              <w:rPr>
                <w:rFonts w:ascii="Arial" w:hAnsi="Arial" w:cs="Arial"/>
                <w:b/>
                <w:sz w:val="20"/>
                <w:szCs w:val="20"/>
              </w:rPr>
              <w:t>2</w:t>
            </w:r>
          </w:p>
        </w:tc>
        <w:tc>
          <w:tcPr>
            <w:tcW w:w="2606" w:type="dxa"/>
            <w:tcBorders>
              <w:top w:val="single" w:sz="4" w:space="0" w:color="auto"/>
              <w:left w:val="single" w:sz="4" w:space="0" w:color="auto"/>
              <w:bottom w:val="single" w:sz="4" w:space="0" w:color="auto"/>
              <w:right w:val="single" w:sz="4" w:space="0" w:color="auto"/>
            </w:tcBorders>
          </w:tcPr>
          <w:p w:rsidR="00CD5949" w:rsidRDefault="00CD5949">
            <w:pPr>
              <w:rPr>
                <w:rFonts w:ascii="Arial" w:hAnsi="Arial" w:cs="Arial"/>
                <w:b/>
                <w:sz w:val="20"/>
                <w:szCs w:val="20"/>
              </w:rPr>
            </w:pPr>
          </w:p>
          <w:p w:rsidR="00CD5949" w:rsidRDefault="00CD5949">
            <w:pPr>
              <w:rPr>
                <w:rFonts w:ascii="Arial" w:hAnsi="Arial" w:cs="Arial"/>
                <w:b/>
                <w:sz w:val="20"/>
                <w:szCs w:val="20"/>
              </w:rPr>
            </w:pPr>
          </w:p>
        </w:tc>
        <w:tc>
          <w:tcPr>
            <w:tcW w:w="5245" w:type="dxa"/>
            <w:tcBorders>
              <w:top w:val="single" w:sz="4" w:space="0" w:color="auto"/>
              <w:left w:val="single" w:sz="4" w:space="0" w:color="auto"/>
              <w:bottom w:val="single" w:sz="4" w:space="0" w:color="auto"/>
              <w:right w:val="single" w:sz="4" w:space="0" w:color="auto"/>
            </w:tcBorders>
          </w:tcPr>
          <w:p w:rsidR="00CD5949" w:rsidRPr="00C051C2" w:rsidRDefault="00CD5949" w:rsidP="00FE3FD5">
            <w:pPr>
              <w:jc w:val="center"/>
              <w:rPr>
                <w:rFonts w:ascii="Arial" w:eastAsiaTheme="minorHAnsi" w:hAnsi="Arial" w:cs="Arial"/>
                <w:sz w:val="22"/>
                <w:szCs w:val="22"/>
                <w:lang w:val="en-GB"/>
              </w:rPr>
            </w:pPr>
          </w:p>
          <w:p w:rsidR="00CD5949" w:rsidRPr="00C051C2" w:rsidRDefault="00CD5949" w:rsidP="00FE3FD5">
            <w:pPr>
              <w:jc w:val="center"/>
              <w:rPr>
                <w:rFonts w:ascii="Arial" w:eastAsiaTheme="minorHAnsi" w:hAnsi="Arial" w:cs="Arial"/>
                <w:sz w:val="22"/>
                <w:szCs w:val="22"/>
                <w:lang w:val="en-GB"/>
              </w:rPr>
            </w:pPr>
            <w:r w:rsidRPr="00C051C2">
              <w:rPr>
                <w:rFonts w:ascii="Arial" w:eastAsiaTheme="minorHAnsi" w:hAnsi="Arial" w:cs="Arial"/>
                <w:sz w:val="22"/>
                <w:szCs w:val="22"/>
                <w:lang w:val="en-GB"/>
              </w:rPr>
              <w:t>Production of agreed draft Standards – signed off by Director of Profession  - Nick Borwell.</w:t>
            </w:r>
          </w:p>
        </w:tc>
        <w:tc>
          <w:tcPr>
            <w:tcW w:w="1275" w:type="dxa"/>
            <w:tcBorders>
              <w:top w:val="single" w:sz="4" w:space="0" w:color="auto"/>
              <w:left w:val="single" w:sz="4" w:space="0" w:color="auto"/>
              <w:bottom w:val="single" w:sz="4" w:space="0" w:color="auto"/>
              <w:right w:val="single" w:sz="4" w:space="0" w:color="auto"/>
            </w:tcBorders>
          </w:tcPr>
          <w:p w:rsidR="00CD5949" w:rsidRDefault="00CD5949">
            <w:pPr>
              <w:rPr>
                <w:rFonts w:ascii="Arial" w:hAnsi="Arial" w:cs="Arial"/>
                <w:b/>
                <w:sz w:val="20"/>
                <w:szCs w:val="20"/>
              </w:rPr>
            </w:pPr>
          </w:p>
        </w:tc>
        <w:tc>
          <w:tcPr>
            <w:tcW w:w="1371" w:type="dxa"/>
            <w:tcBorders>
              <w:top w:val="single" w:sz="4" w:space="0" w:color="auto"/>
              <w:left w:val="single" w:sz="4" w:space="0" w:color="auto"/>
              <w:bottom w:val="single" w:sz="4" w:space="0" w:color="auto"/>
              <w:right w:val="single" w:sz="4" w:space="0" w:color="auto"/>
            </w:tcBorders>
          </w:tcPr>
          <w:p w:rsidR="00CD5949" w:rsidRDefault="00CD5949">
            <w:pPr>
              <w:rPr>
                <w:rFonts w:ascii="Arial" w:hAnsi="Arial" w:cs="Arial"/>
                <w:b/>
                <w:sz w:val="20"/>
                <w:szCs w:val="20"/>
              </w:rPr>
            </w:pPr>
          </w:p>
        </w:tc>
        <w:tc>
          <w:tcPr>
            <w:tcW w:w="1606" w:type="dxa"/>
            <w:tcBorders>
              <w:left w:val="single" w:sz="4" w:space="0" w:color="auto"/>
              <w:right w:val="single" w:sz="4" w:space="0" w:color="auto"/>
            </w:tcBorders>
          </w:tcPr>
          <w:p w:rsidR="00CD5949" w:rsidRDefault="00CD5949">
            <w:pPr>
              <w:rPr>
                <w:rFonts w:ascii="Arial" w:hAnsi="Arial" w:cs="Arial"/>
                <w:b/>
                <w:sz w:val="20"/>
                <w:szCs w:val="20"/>
              </w:rPr>
            </w:pPr>
          </w:p>
        </w:tc>
        <w:tc>
          <w:tcPr>
            <w:tcW w:w="1418" w:type="dxa"/>
            <w:tcBorders>
              <w:top w:val="single" w:sz="4" w:space="0" w:color="auto"/>
              <w:left w:val="single" w:sz="4" w:space="0" w:color="auto"/>
              <w:bottom w:val="single" w:sz="4" w:space="0" w:color="auto"/>
              <w:right w:val="single" w:sz="4" w:space="0" w:color="auto"/>
            </w:tcBorders>
          </w:tcPr>
          <w:p w:rsidR="00CD5949" w:rsidRDefault="00CD5949">
            <w:pPr>
              <w:rPr>
                <w:rFonts w:ascii="Arial" w:hAnsi="Arial" w:cs="Arial"/>
                <w:b/>
                <w:sz w:val="20"/>
                <w:szCs w:val="20"/>
              </w:rPr>
            </w:pPr>
          </w:p>
        </w:tc>
      </w:tr>
      <w:tr w:rsidR="00FE3FD5" w:rsidTr="00CD3B83">
        <w:trPr>
          <w:trHeight w:val="1396"/>
        </w:trPr>
        <w:tc>
          <w:tcPr>
            <w:tcW w:w="508" w:type="dxa"/>
            <w:tcBorders>
              <w:top w:val="single" w:sz="4" w:space="0" w:color="auto"/>
              <w:left w:val="single" w:sz="4" w:space="0" w:color="auto"/>
              <w:right w:val="single" w:sz="4" w:space="0" w:color="auto"/>
            </w:tcBorders>
            <w:hideMark/>
          </w:tcPr>
          <w:p w:rsidR="00CD5949" w:rsidRDefault="00CD5949">
            <w:pPr>
              <w:rPr>
                <w:rFonts w:ascii="Arial" w:hAnsi="Arial" w:cs="Arial"/>
                <w:b/>
                <w:sz w:val="20"/>
                <w:szCs w:val="20"/>
              </w:rPr>
            </w:pPr>
            <w:r>
              <w:rPr>
                <w:rFonts w:ascii="Arial" w:hAnsi="Arial" w:cs="Arial"/>
                <w:b/>
                <w:sz w:val="20"/>
                <w:szCs w:val="20"/>
              </w:rPr>
              <w:t>3</w:t>
            </w:r>
          </w:p>
          <w:p w:rsidR="00CD5949" w:rsidRDefault="00CD5949" w:rsidP="00015F38">
            <w:pPr>
              <w:rPr>
                <w:rFonts w:ascii="Arial" w:hAnsi="Arial" w:cs="Arial"/>
                <w:b/>
                <w:sz w:val="20"/>
                <w:szCs w:val="20"/>
              </w:rPr>
            </w:pPr>
          </w:p>
        </w:tc>
        <w:tc>
          <w:tcPr>
            <w:tcW w:w="2606" w:type="dxa"/>
            <w:tcBorders>
              <w:top w:val="single" w:sz="4" w:space="0" w:color="auto"/>
              <w:left w:val="single" w:sz="4" w:space="0" w:color="auto"/>
              <w:right w:val="single" w:sz="4" w:space="0" w:color="auto"/>
            </w:tcBorders>
          </w:tcPr>
          <w:p w:rsidR="00CD5949" w:rsidRDefault="00CD5949" w:rsidP="002A2198">
            <w:pPr>
              <w:rPr>
                <w:rFonts w:ascii="Arial" w:hAnsi="Arial" w:cs="Arial"/>
                <w:b/>
                <w:sz w:val="20"/>
                <w:szCs w:val="20"/>
              </w:rPr>
            </w:pPr>
          </w:p>
        </w:tc>
        <w:tc>
          <w:tcPr>
            <w:tcW w:w="5245" w:type="dxa"/>
            <w:tcBorders>
              <w:top w:val="single" w:sz="4" w:space="0" w:color="auto"/>
              <w:left w:val="single" w:sz="4" w:space="0" w:color="auto"/>
              <w:right w:val="single" w:sz="4" w:space="0" w:color="auto"/>
            </w:tcBorders>
          </w:tcPr>
          <w:p w:rsidR="00CD5949" w:rsidRPr="00C051C2" w:rsidRDefault="00CD5949" w:rsidP="00FE3FD5">
            <w:pPr>
              <w:spacing w:after="160" w:line="259" w:lineRule="auto"/>
              <w:contextualSpacing/>
              <w:jc w:val="center"/>
              <w:rPr>
                <w:rFonts w:ascii="Arial" w:eastAsiaTheme="minorHAnsi" w:hAnsi="Arial" w:cs="Arial"/>
                <w:sz w:val="22"/>
                <w:szCs w:val="22"/>
                <w:lang w:val="en-GB"/>
              </w:rPr>
            </w:pPr>
          </w:p>
          <w:p w:rsidR="00CD5949" w:rsidRPr="00C051C2" w:rsidRDefault="00CD5949" w:rsidP="00FE3FD5">
            <w:pPr>
              <w:spacing w:after="160" w:line="259" w:lineRule="auto"/>
              <w:contextualSpacing/>
              <w:jc w:val="center"/>
              <w:rPr>
                <w:rFonts w:ascii="Arial" w:eastAsiaTheme="minorHAnsi" w:hAnsi="Arial" w:cs="Arial"/>
                <w:sz w:val="22"/>
                <w:szCs w:val="22"/>
                <w:lang w:val="en-GB"/>
              </w:rPr>
            </w:pPr>
            <w:r w:rsidRPr="00C051C2">
              <w:rPr>
                <w:rFonts w:ascii="Arial" w:eastAsiaTheme="minorHAnsi" w:hAnsi="Arial" w:cs="Arial"/>
                <w:sz w:val="22"/>
                <w:szCs w:val="22"/>
                <w:lang w:val="en-GB"/>
              </w:rPr>
              <w:t xml:space="preserve">Production of final Standards to agreed as set out in the requirement - signed off by Nick Borwell and Tony Meggs </w:t>
            </w:r>
            <w:r w:rsidRPr="00C051C2">
              <w:rPr>
                <w:rFonts w:ascii="Arial" w:hAnsi="Arial" w:cs="Arial"/>
                <w:sz w:val="22"/>
                <w:szCs w:val="22"/>
              </w:rPr>
              <w:t>and published on gov.uk and wider communication methods.</w:t>
            </w:r>
          </w:p>
        </w:tc>
        <w:tc>
          <w:tcPr>
            <w:tcW w:w="1275" w:type="dxa"/>
            <w:tcBorders>
              <w:top w:val="single" w:sz="4" w:space="0" w:color="auto"/>
              <w:left w:val="single" w:sz="4" w:space="0" w:color="auto"/>
              <w:right w:val="single" w:sz="4" w:space="0" w:color="auto"/>
            </w:tcBorders>
          </w:tcPr>
          <w:p w:rsidR="00CD5949" w:rsidRDefault="00CD5949">
            <w:pPr>
              <w:rPr>
                <w:rFonts w:ascii="Arial" w:hAnsi="Arial" w:cs="Arial"/>
                <w:b/>
                <w:sz w:val="20"/>
                <w:szCs w:val="20"/>
              </w:rPr>
            </w:pPr>
          </w:p>
        </w:tc>
        <w:tc>
          <w:tcPr>
            <w:tcW w:w="1371" w:type="dxa"/>
            <w:tcBorders>
              <w:top w:val="single" w:sz="4" w:space="0" w:color="auto"/>
              <w:left w:val="single" w:sz="4" w:space="0" w:color="auto"/>
              <w:right w:val="single" w:sz="4" w:space="0" w:color="auto"/>
            </w:tcBorders>
          </w:tcPr>
          <w:p w:rsidR="00CD5949" w:rsidRDefault="00CD5949">
            <w:pPr>
              <w:rPr>
                <w:rFonts w:ascii="Arial" w:hAnsi="Arial" w:cs="Arial"/>
                <w:b/>
                <w:sz w:val="20"/>
                <w:szCs w:val="20"/>
              </w:rPr>
            </w:pPr>
          </w:p>
        </w:tc>
        <w:tc>
          <w:tcPr>
            <w:tcW w:w="1606" w:type="dxa"/>
            <w:tcBorders>
              <w:left w:val="single" w:sz="4" w:space="0" w:color="auto"/>
              <w:right w:val="single" w:sz="4" w:space="0" w:color="auto"/>
            </w:tcBorders>
          </w:tcPr>
          <w:p w:rsidR="00CD5949" w:rsidRDefault="00CD5949">
            <w:pPr>
              <w:rPr>
                <w:rFonts w:ascii="Arial" w:hAnsi="Arial" w:cs="Arial"/>
                <w:b/>
                <w:sz w:val="20"/>
                <w:szCs w:val="20"/>
              </w:rPr>
            </w:pPr>
          </w:p>
        </w:tc>
        <w:tc>
          <w:tcPr>
            <w:tcW w:w="1418" w:type="dxa"/>
            <w:tcBorders>
              <w:top w:val="single" w:sz="4" w:space="0" w:color="auto"/>
              <w:left w:val="single" w:sz="4" w:space="0" w:color="auto"/>
              <w:right w:val="single" w:sz="4" w:space="0" w:color="auto"/>
            </w:tcBorders>
          </w:tcPr>
          <w:p w:rsidR="00CD5949" w:rsidRDefault="00CD5949">
            <w:pPr>
              <w:rPr>
                <w:rFonts w:ascii="Arial" w:hAnsi="Arial" w:cs="Arial"/>
                <w:b/>
                <w:sz w:val="20"/>
                <w:szCs w:val="20"/>
              </w:rPr>
            </w:pPr>
          </w:p>
        </w:tc>
      </w:tr>
      <w:tr w:rsidR="00FE3FD5" w:rsidTr="000A34A1">
        <w:trPr>
          <w:trHeight w:val="1220"/>
        </w:trPr>
        <w:tc>
          <w:tcPr>
            <w:tcW w:w="12611" w:type="dxa"/>
            <w:gridSpan w:val="6"/>
            <w:tcBorders>
              <w:top w:val="single" w:sz="4" w:space="0" w:color="auto"/>
              <w:left w:val="single" w:sz="4" w:space="0" w:color="auto"/>
              <w:right w:val="single" w:sz="4" w:space="0" w:color="auto"/>
            </w:tcBorders>
          </w:tcPr>
          <w:p w:rsidR="00FE3FD5" w:rsidRDefault="00FE3FD5" w:rsidP="00CD5949">
            <w:pPr>
              <w:spacing w:before="60" w:after="60"/>
              <w:rPr>
                <w:rFonts w:ascii="Arial" w:hAnsi="Arial" w:cs="Arial"/>
                <w:b/>
                <w:sz w:val="20"/>
                <w:szCs w:val="20"/>
              </w:rPr>
            </w:pPr>
            <w:r>
              <w:rPr>
                <w:rFonts w:ascii="Arial" w:hAnsi="Arial" w:cs="Arial"/>
                <w:b/>
                <w:sz w:val="20"/>
                <w:szCs w:val="20"/>
              </w:rPr>
              <w:t>Travel Expenses</w:t>
            </w:r>
          </w:p>
          <w:p w:rsidR="00FE3FD5" w:rsidRPr="00FE3FD5" w:rsidRDefault="00FE3FD5" w:rsidP="00FE3FD5">
            <w:pPr>
              <w:spacing w:after="160" w:line="259" w:lineRule="auto"/>
              <w:contextualSpacing/>
              <w:jc w:val="both"/>
              <w:rPr>
                <w:rFonts w:ascii="Arial" w:eastAsiaTheme="minorHAnsi" w:hAnsi="Arial" w:cs="Arial"/>
                <w:sz w:val="20"/>
                <w:szCs w:val="20"/>
                <w:lang w:val="en-GB"/>
              </w:rPr>
            </w:pPr>
            <w:r>
              <w:rPr>
                <w:rFonts w:ascii="Arial" w:eastAsiaTheme="minorHAnsi" w:hAnsi="Arial" w:cs="Arial"/>
                <w:sz w:val="20"/>
                <w:szCs w:val="20"/>
                <w:lang w:val="en-GB"/>
              </w:rPr>
              <w:t xml:space="preserve">It is not necessary to stipulate travel expenses on this form. </w:t>
            </w:r>
            <w:r w:rsidRPr="00071752">
              <w:rPr>
                <w:rFonts w:ascii="Arial" w:eastAsiaTheme="minorHAnsi" w:hAnsi="Arial" w:cs="Arial"/>
                <w:sz w:val="20"/>
                <w:szCs w:val="20"/>
                <w:lang w:val="en-GB"/>
              </w:rPr>
              <w:t>The Provider is eligible for reimbursement of travel expenses when working away from IPA 1, Horse Guards Rd (office) for more than 5 hours on any given day. Only standard Second Class travel by train/air is permitted.  All proposed travel expenses will exclude the Provider’s normal home to office journey and be subject to prior approval and agreement. Payments will be made following production of receipts as an element of the overall payment process.</w:t>
            </w:r>
            <w:r>
              <w:rPr>
                <w:rFonts w:ascii="Arial" w:eastAsiaTheme="minorHAnsi" w:hAnsi="Arial" w:cs="Arial"/>
                <w:sz w:val="20"/>
                <w:szCs w:val="20"/>
                <w:lang w:val="en-GB"/>
              </w:rPr>
              <w:t xml:space="preserve"> </w:t>
            </w:r>
          </w:p>
        </w:tc>
        <w:tc>
          <w:tcPr>
            <w:tcW w:w="1418" w:type="dxa"/>
            <w:tcBorders>
              <w:top w:val="single" w:sz="4" w:space="0" w:color="auto"/>
              <w:left w:val="single" w:sz="4" w:space="0" w:color="auto"/>
              <w:right w:val="single" w:sz="4" w:space="0" w:color="auto"/>
            </w:tcBorders>
          </w:tcPr>
          <w:p w:rsidR="00FE3FD5" w:rsidRDefault="00FE3FD5">
            <w:pPr>
              <w:rPr>
                <w:rFonts w:ascii="Arial" w:hAnsi="Arial" w:cs="Arial"/>
                <w:sz w:val="20"/>
                <w:szCs w:val="20"/>
              </w:rPr>
            </w:pPr>
          </w:p>
        </w:tc>
      </w:tr>
      <w:tr w:rsidR="00FE3FD5" w:rsidTr="00B66B2A">
        <w:tc>
          <w:tcPr>
            <w:tcW w:w="12611" w:type="dxa"/>
            <w:gridSpan w:val="6"/>
            <w:tcBorders>
              <w:top w:val="single" w:sz="4" w:space="0" w:color="auto"/>
              <w:left w:val="single" w:sz="4" w:space="0" w:color="auto"/>
              <w:bottom w:val="single" w:sz="4" w:space="0" w:color="auto"/>
              <w:right w:val="single" w:sz="4" w:space="0" w:color="auto"/>
            </w:tcBorders>
            <w:shd w:val="pct10" w:color="auto" w:fill="auto"/>
          </w:tcPr>
          <w:p w:rsidR="00FE3FD5" w:rsidRDefault="00FE3FD5">
            <w:pPr>
              <w:spacing w:before="60" w:after="60"/>
              <w:jc w:val="right"/>
              <w:rPr>
                <w:rFonts w:ascii="Arial" w:hAnsi="Arial" w:cs="Arial"/>
                <w:b/>
                <w:sz w:val="20"/>
                <w:szCs w:val="20"/>
              </w:rPr>
            </w:pPr>
            <w:r>
              <w:rPr>
                <w:rFonts w:ascii="Arial" w:hAnsi="Arial" w:cs="Arial"/>
                <w:b/>
                <w:sz w:val="20"/>
                <w:szCs w:val="20"/>
              </w:rPr>
              <w:t>TOTAL CONTRACT PRICE (exc. VAT) £</w:t>
            </w:r>
          </w:p>
        </w:tc>
        <w:tc>
          <w:tcPr>
            <w:tcW w:w="1418" w:type="dxa"/>
            <w:tcBorders>
              <w:top w:val="single" w:sz="4" w:space="0" w:color="auto"/>
              <w:left w:val="single" w:sz="4" w:space="0" w:color="auto"/>
              <w:bottom w:val="single" w:sz="4" w:space="0" w:color="auto"/>
              <w:right w:val="single" w:sz="4" w:space="0" w:color="auto"/>
            </w:tcBorders>
            <w:shd w:val="pct10" w:color="auto" w:fill="auto"/>
          </w:tcPr>
          <w:p w:rsidR="00FE3FD5" w:rsidRDefault="00FE3FD5" w:rsidP="002F6450">
            <w:pPr>
              <w:rPr>
                <w:rFonts w:ascii="Arial" w:hAnsi="Arial" w:cs="Arial"/>
                <w:sz w:val="20"/>
                <w:szCs w:val="20"/>
              </w:rPr>
            </w:pPr>
            <w:bookmarkStart w:id="0" w:name="_GoBack"/>
            <w:bookmarkEnd w:id="0"/>
          </w:p>
          <w:p w:rsidR="00FE3FD5" w:rsidRDefault="00FE3FD5" w:rsidP="002F6450">
            <w:pPr>
              <w:rPr>
                <w:rFonts w:ascii="Arial" w:hAnsi="Arial" w:cs="Arial"/>
                <w:sz w:val="20"/>
                <w:szCs w:val="20"/>
              </w:rPr>
            </w:pPr>
          </w:p>
        </w:tc>
      </w:tr>
    </w:tbl>
    <w:p w:rsidR="00CD3B83" w:rsidRDefault="00CD3B83" w:rsidP="00BF6795">
      <w:pPr>
        <w:jc w:val="both"/>
        <w:rPr>
          <w:rFonts w:ascii="Arial" w:hAnsi="Arial" w:cs="Arial"/>
          <w:b/>
          <w:sz w:val="20"/>
          <w:szCs w:val="20"/>
        </w:rPr>
      </w:pPr>
    </w:p>
    <w:p w:rsidR="008B22B8" w:rsidRPr="00CD3B83" w:rsidRDefault="001C2269" w:rsidP="00BF6795">
      <w:pPr>
        <w:jc w:val="both"/>
        <w:rPr>
          <w:rFonts w:ascii="Arial" w:hAnsi="Arial" w:cs="Arial"/>
          <w:b/>
          <w:sz w:val="22"/>
          <w:szCs w:val="22"/>
        </w:rPr>
      </w:pPr>
      <w:r w:rsidRPr="00CD3B83">
        <w:rPr>
          <w:rFonts w:ascii="Arial" w:hAnsi="Arial" w:cs="Arial"/>
          <w:b/>
          <w:sz w:val="22"/>
          <w:szCs w:val="22"/>
        </w:rPr>
        <w:t>The Contract price shall be on a fixed price basis in accordance with the Total Co</w:t>
      </w:r>
      <w:r w:rsidR="00BF6795" w:rsidRPr="00CD3B83">
        <w:rPr>
          <w:rFonts w:ascii="Arial" w:hAnsi="Arial" w:cs="Arial"/>
          <w:b/>
          <w:sz w:val="22"/>
          <w:szCs w:val="22"/>
        </w:rPr>
        <w:t>ntract Price in the table above</w:t>
      </w:r>
      <w:r w:rsidR="00CD3B83">
        <w:rPr>
          <w:rFonts w:ascii="Arial" w:hAnsi="Arial" w:cs="Arial"/>
          <w:b/>
          <w:sz w:val="22"/>
          <w:szCs w:val="22"/>
        </w:rPr>
        <w:t>.</w:t>
      </w:r>
    </w:p>
    <w:p w:rsidR="00CD3B83" w:rsidRPr="00CD3B83" w:rsidRDefault="00CD3B83" w:rsidP="00BF6795">
      <w:pPr>
        <w:jc w:val="both"/>
        <w:rPr>
          <w:rFonts w:ascii="Arial" w:hAnsi="Arial" w:cs="Arial"/>
          <w:b/>
          <w:sz w:val="22"/>
          <w:szCs w:val="22"/>
        </w:rPr>
      </w:pPr>
    </w:p>
    <w:p w:rsidR="00CD3B83" w:rsidRPr="00CD3B83" w:rsidRDefault="00CD3B83" w:rsidP="00CD3B83">
      <w:pPr>
        <w:rPr>
          <w:rFonts w:ascii="Arial" w:hAnsi="Arial" w:cs="Arial"/>
          <w:b/>
          <w:sz w:val="22"/>
          <w:szCs w:val="22"/>
        </w:rPr>
      </w:pPr>
      <w:r w:rsidRPr="00CD3B83">
        <w:rPr>
          <w:rFonts w:ascii="Arial" w:hAnsi="Arial" w:cs="Arial"/>
          <w:b/>
          <w:sz w:val="22"/>
          <w:szCs w:val="22"/>
        </w:rPr>
        <w:t>Pursuant to clause 16.2 of the Statement of Requirement</w:t>
      </w:r>
      <w:r>
        <w:rPr>
          <w:rFonts w:ascii="Arial" w:hAnsi="Arial" w:cs="Arial"/>
          <w:b/>
          <w:sz w:val="22"/>
          <w:szCs w:val="22"/>
        </w:rPr>
        <w:t xml:space="preserve"> (Appendix B),</w:t>
      </w:r>
      <w:r w:rsidRPr="00CD3B83">
        <w:rPr>
          <w:rFonts w:ascii="Arial" w:hAnsi="Arial" w:cs="Arial"/>
          <w:b/>
          <w:sz w:val="22"/>
          <w:szCs w:val="22"/>
        </w:rPr>
        <w:t xml:space="preserve"> if the Authority decide to terminate the contract early due to non-performance of KPIs, only the total sums stipulated in milestones 1 and 2 above would be payable to the Supplier.</w:t>
      </w:r>
    </w:p>
    <w:sectPr w:rsidR="00CD3B83" w:rsidRPr="00CD3B83" w:rsidSect="00071752">
      <w:type w:val="evenPage"/>
      <w:pgSz w:w="16838" w:h="11906" w:orient="landscape"/>
      <w:pgMar w:top="1440" w:right="1440" w:bottom="15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B60B5"/>
    <w:multiLevelType w:val="hybridMultilevel"/>
    <w:tmpl w:val="96B66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1D3B5C"/>
    <w:multiLevelType w:val="hybridMultilevel"/>
    <w:tmpl w:val="E2D213F2"/>
    <w:lvl w:ilvl="0" w:tplc="CF8247B2">
      <w:numFmt w:val="bullet"/>
      <w:lvlText w:val="-"/>
      <w:lvlJc w:val="left"/>
      <w:pPr>
        <w:ind w:left="1140" w:hanging="360"/>
      </w:pPr>
      <w:rPr>
        <w:rFonts w:ascii="Arial" w:eastAsiaTheme="minorHAnsi" w:hAnsi="Arial" w:cs="Aria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B40"/>
    <w:rsid w:val="000151B2"/>
    <w:rsid w:val="00071752"/>
    <w:rsid w:val="001C2269"/>
    <w:rsid w:val="001F2FBE"/>
    <w:rsid w:val="002556F6"/>
    <w:rsid w:val="002F6450"/>
    <w:rsid w:val="004A7EA2"/>
    <w:rsid w:val="00682B71"/>
    <w:rsid w:val="007462BE"/>
    <w:rsid w:val="00757455"/>
    <w:rsid w:val="008B22B8"/>
    <w:rsid w:val="009B4B40"/>
    <w:rsid w:val="00A169D8"/>
    <w:rsid w:val="00BF6795"/>
    <w:rsid w:val="00C051C2"/>
    <w:rsid w:val="00C46A0F"/>
    <w:rsid w:val="00CC2343"/>
    <w:rsid w:val="00CD3B83"/>
    <w:rsid w:val="00CD5949"/>
    <w:rsid w:val="00FE3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FD813A-5AC0-4CBE-9442-016C38C37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269"/>
    <w:pPr>
      <w:spacing w:after="0" w:line="240" w:lineRule="auto"/>
    </w:pPr>
    <w:rPr>
      <w:rFonts w:ascii="Cambria" w:eastAsia="MS Mincho"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22B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62BE"/>
    <w:pPr>
      <w:spacing w:after="160" w:line="259" w:lineRule="auto"/>
      <w:ind w:left="720"/>
      <w:contextualSpacing/>
    </w:pPr>
    <w:rPr>
      <w:rFonts w:ascii="Arial" w:eastAsiaTheme="minorHAnsi" w:hAnsi="Arial" w:cs="Arial"/>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63594">
      <w:bodyDiv w:val="1"/>
      <w:marLeft w:val="0"/>
      <w:marRight w:val="0"/>
      <w:marTop w:val="0"/>
      <w:marBottom w:val="0"/>
      <w:divBdr>
        <w:top w:val="none" w:sz="0" w:space="0" w:color="auto"/>
        <w:left w:val="none" w:sz="0" w:space="0" w:color="auto"/>
        <w:bottom w:val="none" w:sz="0" w:space="0" w:color="auto"/>
        <w:right w:val="none" w:sz="0" w:space="0" w:color="auto"/>
      </w:divBdr>
    </w:div>
    <w:div w:id="34362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4F29F-5077-4EBB-A83D-B3994519E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Gardner</dc:creator>
  <cp:keywords/>
  <dc:description/>
  <cp:lastModifiedBy>Charlie Gardner</cp:lastModifiedBy>
  <cp:revision>10</cp:revision>
  <dcterms:created xsi:type="dcterms:W3CDTF">2016-11-30T14:00:00Z</dcterms:created>
  <dcterms:modified xsi:type="dcterms:W3CDTF">2016-12-02T10:59:00Z</dcterms:modified>
</cp:coreProperties>
</file>