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84C85" w:rsidRDefault="00284C85"/>
    <w:p w:rsidR="00284C85" w:rsidRDefault="00284C85"/>
    <w:p w:rsidR="00284C85" w:rsidRDefault="00284C85">
      <w:pPr>
        <w:spacing w:line="240" w:lineRule="auto"/>
        <w:jc w:val="center"/>
        <w:rPr>
          <w:rFonts w:eastAsia="Times New Roman"/>
          <w:b/>
          <w:color w:val="000000"/>
          <w:sz w:val="32"/>
          <w:lang w:eastAsia="en-GB"/>
        </w:rPr>
      </w:pPr>
      <w:r>
        <w:rPr>
          <w:rFonts w:eastAsia="Times New Roman"/>
          <w:b/>
          <w:color w:val="000000"/>
          <w:sz w:val="32"/>
          <w:lang w:eastAsia="en-GB"/>
        </w:rPr>
        <w:t>Invitation to tender</w:t>
      </w:r>
    </w:p>
    <w:p w:rsidR="00284C85" w:rsidRDefault="00284C85">
      <w:pPr>
        <w:spacing w:line="240" w:lineRule="auto"/>
        <w:rPr>
          <w:rFonts w:eastAsia="Times New Roman"/>
          <w:b/>
          <w:color w:val="000000"/>
          <w:sz w:val="32"/>
          <w:lang w:eastAsia="en-GB"/>
        </w:rPr>
      </w:pPr>
    </w:p>
    <w:tbl>
      <w:tblPr>
        <w:tblW w:w="10080" w:type="dxa"/>
        <w:tblInd w:w="108" w:type="dxa"/>
        <w:tblLayout w:type="fixed"/>
        <w:tblLook w:val="0000" w:firstRow="0" w:lastRow="0" w:firstColumn="0" w:lastColumn="0" w:noHBand="0" w:noVBand="0"/>
      </w:tblPr>
      <w:tblGrid>
        <w:gridCol w:w="2088"/>
        <w:gridCol w:w="7992"/>
      </w:tblGrid>
      <w:tr w:rsidR="00284C85" w:rsidTr="00CB1D46">
        <w:tc>
          <w:tcPr>
            <w:tcW w:w="2088" w:type="dxa"/>
            <w:shd w:val="clear" w:color="auto" w:fill="BFBFBF"/>
          </w:tcPr>
          <w:p w:rsidR="00284C85" w:rsidRDefault="00284C85">
            <w:pPr>
              <w:spacing w:line="240" w:lineRule="auto"/>
            </w:pPr>
            <w:r>
              <w:rPr>
                <w:rFonts w:eastAsia="Times New Roman"/>
                <w:b/>
                <w:color w:val="000000"/>
                <w:sz w:val="22"/>
                <w:szCs w:val="22"/>
                <w:lang w:eastAsia="en-GB"/>
              </w:rPr>
              <w:t xml:space="preserve">Title </w:t>
            </w:r>
          </w:p>
          <w:p w:rsidR="00284C85" w:rsidRDefault="00284C85">
            <w:pPr>
              <w:spacing w:line="240" w:lineRule="auto"/>
            </w:pPr>
          </w:p>
        </w:tc>
        <w:tc>
          <w:tcPr>
            <w:tcW w:w="7992" w:type="dxa"/>
            <w:shd w:val="clear" w:color="auto" w:fill="auto"/>
            <w:vAlign w:val="center"/>
          </w:tcPr>
          <w:p w:rsidR="00284C85" w:rsidRPr="00EA55D6" w:rsidRDefault="00CB1D46" w:rsidP="00CB1D46">
            <w:pPr>
              <w:snapToGrid w:val="0"/>
              <w:spacing w:line="240" w:lineRule="auto"/>
              <w:jc w:val="center"/>
              <w:rPr>
                <w:b/>
                <w:sz w:val="22"/>
                <w:szCs w:val="22"/>
              </w:rPr>
            </w:pPr>
            <w:r w:rsidRPr="00CB1D46">
              <w:rPr>
                <w:b/>
                <w:sz w:val="22"/>
                <w:szCs w:val="22"/>
              </w:rPr>
              <w:t>Pilot collection of the London Measure of Unplanned Pregnancy</w:t>
            </w:r>
          </w:p>
        </w:tc>
      </w:tr>
      <w:tr w:rsidR="00284C85" w:rsidTr="009315A7">
        <w:tc>
          <w:tcPr>
            <w:tcW w:w="2088" w:type="dxa"/>
            <w:shd w:val="clear" w:color="auto" w:fill="BFBFBF"/>
          </w:tcPr>
          <w:p w:rsidR="00284C85" w:rsidRDefault="00284C85">
            <w:pPr>
              <w:spacing w:line="240" w:lineRule="auto"/>
            </w:pPr>
            <w:r>
              <w:rPr>
                <w:rFonts w:eastAsia="Times New Roman"/>
                <w:b/>
                <w:color w:val="000000"/>
                <w:sz w:val="22"/>
                <w:szCs w:val="22"/>
                <w:lang w:eastAsia="en-GB"/>
              </w:rPr>
              <w:t>Type of product</w:t>
            </w:r>
            <w:r>
              <w:rPr>
                <w:rFonts w:eastAsia="Times New Roman"/>
                <w:color w:val="000000"/>
                <w:sz w:val="22"/>
                <w:szCs w:val="22"/>
                <w:lang w:eastAsia="en-GB"/>
              </w:rPr>
              <w:t xml:space="preserve"> (Taxonomy TOI)</w:t>
            </w:r>
          </w:p>
          <w:p w:rsidR="00284C85" w:rsidRDefault="00284C85">
            <w:pPr>
              <w:spacing w:line="240" w:lineRule="auto"/>
            </w:pPr>
          </w:p>
        </w:tc>
        <w:tc>
          <w:tcPr>
            <w:tcW w:w="7992" w:type="dxa"/>
            <w:shd w:val="clear" w:color="auto" w:fill="auto"/>
          </w:tcPr>
          <w:p w:rsidR="00006D61" w:rsidRPr="00EA55D6" w:rsidRDefault="00006D61">
            <w:pPr>
              <w:spacing w:line="240" w:lineRule="auto"/>
              <w:rPr>
                <w:sz w:val="22"/>
                <w:szCs w:val="22"/>
              </w:rPr>
            </w:pPr>
            <w:r w:rsidRPr="00EA55D6">
              <w:rPr>
                <w:sz w:val="22"/>
                <w:szCs w:val="22"/>
              </w:rPr>
              <w:t>Datasets and Statistical Information,</w:t>
            </w:r>
          </w:p>
          <w:p w:rsidR="00006D61" w:rsidRPr="00EA55D6" w:rsidRDefault="00DC24DD">
            <w:pPr>
              <w:spacing w:line="240" w:lineRule="auto"/>
              <w:rPr>
                <w:sz w:val="22"/>
                <w:szCs w:val="22"/>
              </w:rPr>
            </w:pPr>
            <w:r>
              <w:rPr>
                <w:sz w:val="22"/>
                <w:szCs w:val="22"/>
              </w:rPr>
              <w:t>Intelligence</w:t>
            </w:r>
          </w:p>
        </w:tc>
      </w:tr>
      <w:tr w:rsidR="00284C85" w:rsidTr="009315A7">
        <w:tc>
          <w:tcPr>
            <w:tcW w:w="2088" w:type="dxa"/>
            <w:shd w:val="clear" w:color="auto" w:fill="BFBFBF"/>
          </w:tcPr>
          <w:p w:rsidR="00284C85" w:rsidRDefault="00284C85">
            <w:pPr>
              <w:spacing w:line="240" w:lineRule="auto"/>
            </w:pPr>
            <w:r>
              <w:rPr>
                <w:rFonts w:eastAsia="Times New Roman"/>
                <w:b/>
                <w:color w:val="000000"/>
                <w:sz w:val="22"/>
                <w:szCs w:val="22"/>
                <w:lang w:eastAsia="en-GB"/>
              </w:rPr>
              <w:t>Introduction</w:t>
            </w:r>
            <w:r>
              <w:rPr>
                <w:rFonts w:eastAsia="Times New Roman"/>
                <w:color w:val="000000"/>
                <w:sz w:val="22"/>
                <w:szCs w:val="22"/>
                <w:lang w:eastAsia="en-GB"/>
              </w:rPr>
              <w:t>, overview and context for the work</w:t>
            </w:r>
          </w:p>
        </w:tc>
        <w:tc>
          <w:tcPr>
            <w:tcW w:w="7992" w:type="dxa"/>
            <w:shd w:val="clear" w:color="auto" w:fill="auto"/>
          </w:tcPr>
          <w:p w:rsidR="00D50807" w:rsidRPr="00A67370" w:rsidRDefault="00D50807" w:rsidP="00D50807">
            <w:pPr>
              <w:pStyle w:val="Default"/>
              <w:rPr>
                <w:sz w:val="22"/>
                <w:szCs w:val="22"/>
              </w:rPr>
            </w:pPr>
            <w:r w:rsidRPr="00A67370">
              <w:rPr>
                <w:sz w:val="22"/>
                <w:szCs w:val="22"/>
              </w:rPr>
              <w:t xml:space="preserve">The Department of Health’s </w:t>
            </w:r>
            <w:hyperlink r:id="rId9" w:history="1">
              <w:r w:rsidRPr="00A67370">
                <w:rPr>
                  <w:rStyle w:val="Hyperlink"/>
                  <w:sz w:val="22"/>
                  <w:szCs w:val="22"/>
                </w:rPr>
                <w:t>Framework for Sexual Health Improvement in England</w:t>
              </w:r>
            </w:hyperlink>
            <w:r w:rsidRPr="00A67370">
              <w:rPr>
                <w:sz w:val="22"/>
                <w:szCs w:val="22"/>
              </w:rPr>
              <w:t xml:space="preserve"> (2013) includes the ambition to reduce unwanted pregnancies among all women of fertile age through: increased knowledge and awareness of all methods of contraception among all groups in the local population; and increased access to all methods of contraception, including long-acting reversible contraception (LARC) methods and emergency contraception, for women of all ages and their partners.</w:t>
            </w:r>
          </w:p>
          <w:p w:rsidR="00D50807" w:rsidRPr="00A67370" w:rsidRDefault="00D50807" w:rsidP="00D50807">
            <w:pPr>
              <w:pStyle w:val="Default"/>
              <w:rPr>
                <w:sz w:val="22"/>
                <w:szCs w:val="22"/>
              </w:rPr>
            </w:pPr>
          </w:p>
          <w:p w:rsidR="00284C85" w:rsidRDefault="00D50807" w:rsidP="00D50807">
            <w:pPr>
              <w:spacing w:line="240" w:lineRule="auto"/>
              <w:rPr>
                <w:sz w:val="22"/>
                <w:szCs w:val="22"/>
              </w:rPr>
            </w:pPr>
            <w:r w:rsidRPr="00A67370">
              <w:rPr>
                <w:sz w:val="22"/>
                <w:szCs w:val="22"/>
              </w:rPr>
              <w:t xml:space="preserve">The </w:t>
            </w:r>
            <w:hyperlink r:id="rId10" w:history="1">
              <w:r w:rsidRPr="00A67370">
                <w:rPr>
                  <w:rStyle w:val="Hyperlink"/>
                  <w:sz w:val="22"/>
                  <w:szCs w:val="22"/>
                </w:rPr>
                <w:t>Annual Report of the Chief Medical Officer, 2014</w:t>
              </w:r>
            </w:hyperlink>
            <w:r w:rsidRPr="00A67370">
              <w:rPr>
                <w:sz w:val="22"/>
                <w:szCs w:val="22"/>
              </w:rPr>
              <w:t xml:space="preserve"> also highlighted the need for improved intelligence on unplanned pregnancies and referenced </w:t>
            </w:r>
            <w:r w:rsidRPr="00A67370">
              <w:rPr>
                <w:iCs/>
                <w:sz w:val="22"/>
                <w:szCs w:val="22"/>
              </w:rPr>
              <w:t xml:space="preserve">the London Measure of Unplanned Pregnancy (LMUP) </w:t>
            </w:r>
            <w:r w:rsidRPr="00A67370">
              <w:rPr>
                <w:sz w:val="22"/>
                <w:szCs w:val="22"/>
              </w:rPr>
              <w:t>(page 59)</w:t>
            </w:r>
            <w:r>
              <w:rPr>
                <w:sz w:val="22"/>
                <w:szCs w:val="22"/>
              </w:rPr>
              <w:t>.</w:t>
            </w:r>
          </w:p>
          <w:p w:rsidR="00D50807" w:rsidRDefault="00D50807" w:rsidP="00D50807">
            <w:pPr>
              <w:spacing w:line="240" w:lineRule="auto"/>
              <w:rPr>
                <w:sz w:val="22"/>
                <w:szCs w:val="22"/>
              </w:rPr>
            </w:pPr>
          </w:p>
          <w:p w:rsidR="00D50807" w:rsidRPr="00A67370" w:rsidRDefault="00D50807" w:rsidP="00D50807">
            <w:pPr>
              <w:pStyle w:val="Default"/>
              <w:rPr>
                <w:sz w:val="22"/>
                <w:szCs w:val="22"/>
              </w:rPr>
            </w:pPr>
            <w:r w:rsidRPr="00A67370">
              <w:rPr>
                <w:sz w:val="22"/>
                <w:szCs w:val="22"/>
              </w:rPr>
              <w:t xml:space="preserve">PHE needs to improve the quality of </w:t>
            </w:r>
            <w:r w:rsidR="003F6254">
              <w:rPr>
                <w:sz w:val="22"/>
                <w:szCs w:val="22"/>
              </w:rPr>
              <w:t xml:space="preserve">reproductive data, intelligence </w:t>
            </w:r>
            <w:r w:rsidRPr="00A67370">
              <w:rPr>
                <w:sz w:val="22"/>
                <w:szCs w:val="22"/>
              </w:rPr>
              <w:t>and the evidence base to improve reproductive health.</w:t>
            </w:r>
          </w:p>
          <w:p w:rsidR="00D50807" w:rsidRPr="00A67370" w:rsidRDefault="00D50807" w:rsidP="00D50807">
            <w:pPr>
              <w:pStyle w:val="NormalWeb"/>
              <w:spacing w:before="0" w:after="0"/>
              <w:rPr>
                <w:rFonts w:ascii="Arial" w:hAnsi="Arial" w:cs="Arial"/>
                <w:iCs/>
                <w:color w:val="000000"/>
                <w:sz w:val="22"/>
                <w:szCs w:val="22"/>
                <w:highlight w:val="yellow"/>
              </w:rPr>
            </w:pPr>
          </w:p>
          <w:p w:rsidR="00D50807" w:rsidRPr="00A67370" w:rsidRDefault="00D50807" w:rsidP="00D50807">
            <w:pPr>
              <w:pStyle w:val="NormalWeb"/>
              <w:spacing w:before="0" w:after="0"/>
              <w:rPr>
                <w:rFonts w:ascii="Arial" w:hAnsi="Arial" w:cs="Arial"/>
                <w:color w:val="000000"/>
                <w:sz w:val="22"/>
                <w:szCs w:val="22"/>
              </w:rPr>
            </w:pPr>
            <w:r w:rsidRPr="00A67370">
              <w:rPr>
                <w:rFonts w:ascii="Arial" w:hAnsi="Arial" w:cs="Arial"/>
                <w:iCs/>
                <w:color w:val="000000"/>
                <w:sz w:val="22"/>
                <w:szCs w:val="22"/>
              </w:rPr>
              <w:t xml:space="preserve">Monitoring change in the rate of unintended / unplanned pregnancy is </w:t>
            </w:r>
            <w:proofErr w:type="gramStart"/>
            <w:r w:rsidRPr="00A67370">
              <w:rPr>
                <w:rFonts w:ascii="Arial" w:hAnsi="Arial" w:cs="Arial"/>
                <w:iCs/>
                <w:color w:val="000000"/>
                <w:sz w:val="22"/>
                <w:szCs w:val="22"/>
              </w:rPr>
              <w:t>key</w:t>
            </w:r>
            <w:proofErr w:type="gramEnd"/>
            <w:r w:rsidRPr="00A67370">
              <w:rPr>
                <w:rFonts w:ascii="Arial" w:hAnsi="Arial" w:cs="Arial"/>
                <w:iCs/>
                <w:color w:val="000000"/>
                <w:sz w:val="22"/>
                <w:szCs w:val="22"/>
              </w:rPr>
              <w:t xml:space="preserve"> to evaluating sexual and reproductive health</w:t>
            </w:r>
            <w:r>
              <w:rPr>
                <w:rFonts w:ascii="Arial" w:hAnsi="Arial" w:cs="Arial"/>
                <w:iCs/>
                <w:color w:val="000000"/>
                <w:sz w:val="22"/>
                <w:szCs w:val="22"/>
              </w:rPr>
              <w:t xml:space="preserve"> outcomes.  Now this </w:t>
            </w:r>
            <w:r w:rsidRPr="00A67370">
              <w:rPr>
                <w:rFonts w:ascii="Arial" w:hAnsi="Arial" w:cs="Arial"/>
                <w:iCs/>
                <w:color w:val="000000"/>
                <w:sz w:val="22"/>
                <w:szCs w:val="22"/>
              </w:rPr>
              <w:t>can be achieved by using a validated</w:t>
            </w:r>
            <w:r w:rsidRPr="00A67370">
              <w:rPr>
                <w:rFonts w:ascii="Arial" w:hAnsi="Arial" w:cs="Arial"/>
                <w:color w:val="000000"/>
                <w:sz w:val="22"/>
                <w:szCs w:val="22"/>
              </w:rPr>
              <w:t xml:space="preserve"> </w:t>
            </w:r>
            <w:r w:rsidRPr="00A67370">
              <w:rPr>
                <w:rFonts w:ascii="Arial" w:hAnsi="Arial" w:cs="Arial"/>
                <w:iCs/>
                <w:color w:val="000000"/>
                <w:sz w:val="22"/>
                <w:szCs w:val="22"/>
              </w:rPr>
              <w:t>robust measure that s</w:t>
            </w:r>
            <w:r>
              <w:rPr>
                <w:rFonts w:ascii="Arial" w:hAnsi="Arial" w:cs="Arial"/>
                <w:iCs/>
                <w:color w:val="000000"/>
                <w:sz w:val="22"/>
                <w:szCs w:val="22"/>
              </w:rPr>
              <w:t xml:space="preserve">cores (from 0 to 12) the extent </w:t>
            </w:r>
            <w:r w:rsidRPr="00A67370">
              <w:rPr>
                <w:rFonts w:ascii="Arial" w:hAnsi="Arial" w:cs="Arial"/>
                <w:iCs/>
                <w:color w:val="000000"/>
                <w:sz w:val="22"/>
                <w:szCs w:val="22"/>
              </w:rPr>
              <w:t xml:space="preserve">to which a current or recent pregnancy was planned. The </w:t>
            </w:r>
            <w:hyperlink r:id="rId11" w:history="1">
              <w:r w:rsidRPr="00A67370">
                <w:rPr>
                  <w:rStyle w:val="Hyperlink"/>
                  <w:rFonts w:ascii="Arial" w:hAnsi="Arial" w:cs="Arial"/>
                  <w:iCs/>
                  <w:sz w:val="22"/>
                  <w:szCs w:val="22"/>
                </w:rPr>
                <w:t>London Measure of Unplanned Pregnancy (LMUP)</w:t>
              </w:r>
            </w:hyperlink>
            <w:r w:rsidRPr="00A67370">
              <w:rPr>
                <w:rFonts w:ascii="Arial" w:hAnsi="Arial" w:cs="Arial"/>
                <w:iCs/>
                <w:color w:val="000000"/>
                <w:sz w:val="22"/>
                <w:szCs w:val="22"/>
              </w:rPr>
              <w:t xml:space="preserve"> is a six item questionnaire that has been extensively researched across five continents and is easily completed by women.</w:t>
            </w:r>
          </w:p>
          <w:p w:rsidR="00D50807" w:rsidRPr="00A67370" w:rsidRDefault="00D50807" w:rsidP="00D50807">
            <w:pPr>
              <w:pStyle w:val="NormalWeb"/>
              <w:spacing w:before="0" w:after="0"/>
              <w:rPr>
                <w:rFonts w:ascii="Arial" w:hAnsi="Arial" w:cs="Arial"/>
                <w:color w:val="000000"/>
                <w:sz w:val="22"/>
                <w:szCs w:val="22"/>
              </w:rPr>
            </w:pPr>
          </w:p>
          <w:p w:rsidR="00D50807" w:rsidRPr="00A67370" w:rsidRDefault="00D50807" w:rsidP="00D50807">
            <w:pPr>
              <w:pStyle w:val="NormalWeb"/>
              <w:spacing w:before="0" w:after="0"/>
              <w:rPr>
                <w:rFonts w:ascii="Arial" w:hAnsi="Arial" w:cs="Arial"/>
                <w:iCs/>
                <w:color w:val="000000"/>
                <w:sz w:val="22"/>
                <w:szCs w:val="22"/>
              </w:rPr>
            </w:pPr>
            <w:r w:rsidRPr="00A67370">
              <w:rPr>
                <w:rFonts w:ascii="Arial" w:hAnsi="Arial" w:cs="Arial"/>
                <w:iCs/>
                <w:color w:val="000000"/>
                <w:sz w:val="22"/>
                <w:szCs w:val="22"/>
              </w:rPr>
              <w:t>The LMU</w:t>
            </w:r>
            <w:r>
              <w:rPr>
                <w:rFonts w:ascii="Arial" w:hAnsi="Arial" w:cs="Arial"/>
                <w:iCs/>
                <w:color w:val="000000"/>
                <w:sz w:val="22"/>
                <w:szCs w:val="22"/>
              </w:rPr>
              <w:t xml:space="preserve">P is sensitive enough to detect </w:t>
            </w:r>
            <w:r w:rsidRPr="00A67370">
              <w:rPr>
                <w:rFonts w:ascii="Arial" w:hAnsi="Arial" w:cs="Arial"/>
                <w:iCs/>
                <w:color w:val="000000"/>
                <w:sz w:val="22"/>
                <w:szCs w:val="22"/>
              </w:rPr>
              <w:t>change</w:t>
            </w:r>
            <w:r>
              <w:rPr>
                <w:rFonts w:ascii="Arial" w:hAnsi="Arial" w:cs="Arial"/>
                <w:iCs/>
                <w:color w:val="000000"/>
                <w:sz w:val="22"/>
                <w:szCs w:val="22"/>
              </w:rPr>
              <w:t xml:space="preserve">s in pregnancy planning and the </w:t>
            </w:r>
            <w:r w:rsidRPr="00A67370">
              <w:rPr>
                <w:rFonts w:ascii="Arial" w:hAnsi="Arial" w:cs="Arial"/>
                <w:iCs/>
                <w:color w:val="000000"/>
                <w:sz w:val="22"/>
                <w:szCs w:val="22"/>
              </w:rPr>
              <w:t>incidence of unplan</w:t>
            </w:r>
            <w:r>
              <w:rPr>
                <w:rFonts w:ascii="Arial" w:hAnsi="Arial" w:cs="Arial"/>
                <w:iCs/>
                <w:color w:val="000000"/>
                <w:sz w:val="22"/>
                <w:szCs w:val="22"/>
              </w:rPr>
              <w:t xml:space="preserve">ned pregnancy over time, across </w:t>
            </w:r>
            <w:r w:rsidRPr="00A67370">
              <w:rPr>
                <w:rFonts w:ascii="Arial" w:hAnsi="Arial" w:cs="Arial"/>
                <w:iCs/>
                <w:color w:val="000000"/>
                <w:sz w:val="22"/>
                <w:szCs w:val="22"/>
              </w:rPr>
              <w:t>diverse populations and in response to intervention (e.g. improving pre-conception</w:t>
            </w:r>
            <w:r>
              <w:rPr>
                <w:rFonts w:ascii="Arial" w:hAnsi="Arial" w:cs="Arial"/>
                <w:iCs/>
                <w:color w:val="000000"/>
                <w:sz w:val="22"/>
                <w:szCs w:val="22"/>
              </w:rPr>
              <w:t xml:space="preserve"> care in women with diabetes).  </w:t>
            </w:r>
            <w:r w:rsidRPr="00A67370">
              <w:rPr>
                <w:rFonts w:ascii="Arial" w:hAnsi="Arial" w:cs="Arial"/>
                <w:iCs/>
                <w:color w:val="000000"/>
                <w:sz w:val="22"/>
                <w:szCs w:val="22"/>
              </w:rPr>
              <w:t>It can provide a key outcome measure for monitoring inequalities in sexual and reproductive health.</w:t>
            </w:r>
          </w:p>
          <w:p w:rsidR="00D50807" w:rsidRPr="00A67370" w:rsidRDefault="00D50807" w:rsidP="00D50807">
            <w:pPr>
              <w:pStyle w:val="NormalWeb"/>
              <w:spacing w:before="0" w:after="0"/>
              <w:rPr>
                <w:rFonts w:ascii="Arial" w:hAnsi="Arial" w:cs="Arial"/>
                <w:iCs/>
                <w:color w:val="000000"/>
                <w:sz w:val="22"/>
                <w:szCs w:val="22"/>
              </w:rPr>
            </w:pPr>
          </w:p>
          <w:p w:rsidR="00D50807" w:rsidRPr="00D547C3" w:rsidRDefault="00D50807" w:rsidP="00D50807">
            <w:pPr>
              <w:pStyle w:val="NormalWeb"/>
              <w:spacing w:before="0" w:after="0"/>
              <w:rPr>
                <w:rFonts w:ascii="Arial" w:hAnsi="Arial" w:cs="Arial"/>
                <w:iCs/>
                <w:color w:val="000000"/>
                <w:sz w:val="22"/>
                <w:szCs w:val="22"/>
              </w:rPr>
            </w:pPr>
            <w:r w:rsidRPr="00D547C3">
              <w:rPr>
                <w:rFonts w:ascii="Arial" w:hAnsi="Arial" w:cs="Arial"/>
                <w:iCs/>
                <w:color w:val="000000"/>
                <w:sz w:val="22"/>
                <w:szCs w:val="22"/>
              </w:rPr>
              <w:t xml:space="preserve">If viable, it would be ideal if this measure could eventually be included in the </w:t>
            </w:r>
            <w:hyperlink r:id="rId12" w:history="1">
              <w:r w:rsidRPr="00D547C3">
                <w:rPr>
                  <w:rStyle w:val="Hyperlink"/>
                  <w:rFonts w:ascii="Arial" w:hAnsi="Arial" w:cs="Arial"/>
                  <w:sz w:val="22"/>
                  <w:szCs w:val="22"/>
                </w:rPr>
                <w:t>Maternity Services Data Set</w:t>
              </w:r>
            </w:hyperlink>
            <w:r w:rsidRPr="00D547C3">
              <w:rPr>
                <w:rStyle w:val="Hyperlink"/>
                <w:rFonts w:cs="Arial"/>
              </w:rPr>
              <w:t xml:space="preserve"> </w:t>
            </w:r>
            <w:r w:rsidRPr="00D547C3">
              <w:rPr>
                <w:rFonts w:ascii="Arial" w:hAnsi="Arial" w:cs="Arial"/>
                <w:iCs/>
                <w:color w:val="000000"/>
                <w:sz w:val="22"/>
                <w:szCs w:val="22"/>
              </w:rPr>
              <w:t>which has been a mandated national collection since 1 November 2014.</w:t>
            </w:r>
          </w:p>
          <w:p w:rsidR="00D50807" w:rsidRPr="00A67370" w:rsidRDefault="00D50807" w:rsidP="00D50807">
            <w:pPr>
              <w:pStyle w:val="NormalWeb"/>
              <w:spacing w:before="0" w:after="0"/>
              <w:rPr>
                <w:rFonts w:ascii="Arial" w:hAnsi="Arial" w:cs="Arial"/>
                <w:color w:val="000000"/>
                <w:sz w:val="22"/>
                <w:szCs w:val="22"/>
              </w:rPr>
            </w:pPr>
          </w:p>
          <w:p w:rsidR="00D50807" w:rsidRPr="00D50807" w:rsidRDefault="00D50807" w:rsidP="00D50807">
            <w:pPr>
              <w:rPr>
                <w:iCs/>
                <w:color w:val="000000"/>
                <w:sz w:val="22"/>
                <w:szCs w:val="22"/>
              </w:rPr>
            </w:pPr>
            <w:r w:rsidRPr="00D50807">
              <w:rPr>
                <w:sz w:val="22"/>
                <w:szCs w:val="22"/>
                <w:lang w:eastAsia="en-US"/>
              </w:rPr>
              <w:t xml:space="preserve">PHE would like to fund a pilot collection of the LMUP </w:t>
            </w:r>
            <w:r w:rsidRPr="00D50807">
              <w:rPr>
                <w:iCs/>
                <w:color w:val="000000"/>
                <w:sz w:val="22"/>
                <w:szCs w:val="22"/>
              </w:rPr>
              <w:t>in order to:</w:t>
            </w:r>
          </w:p>
          <w:p w:rsidR="00D50807" w:rsidRPr="00D50807" w:rsidRDefault="00D50807" w:rsidP="00D50807">
            <w:pPr>
              <w:pStyle w:val="ListParagraph"/>
              <w:numPr>
                <w:ilvl w:val="0"/>
                <w:numId w:val="11"/>
              </w:numPr>
              <w:suppressAutoHyphens w:val="0"/>
              <w:spacing w:after="200" w:line="276" w:lineRule="auto"/>
              <w:ind w:left="543" w:hanging="284"/>
              <w:rPr>
                <w:sz w:val="22"/>
                <w:szCs w:val="22"/>
                <w:lang w:eastAsia="en-US"/>
              </w:rPr>
            </w:pPr>
            <w:r w:rsidRPr="00D50807">
              <w:rPr>
                <w:sz w:val="22"/>
                <w:szCs w:val="22"/>
                <w:lang w:eastAsia="en-US"/>
              </w:rPr>
              <w:t>test the viability of routine collection of the LMUP;</w:t>
            </w:r>
          </w:p>
          <w:p w:rsidR="00D50807" w:rsidRPr="00D50807" w:rsidRDefault="00D50807" w:rsidP="00D50807">
            <w:pPr>
              <w:pStyle w:val="ListParagraph"/>
              <w:numPr>
                <w:ilvl w:val="0"/>
                <w:numId w:val="11"/>
              </w:numPr>
              <w:suppressAutoHyphens w:val="0"/>
              <w:spacing w:after="200" w:line="276" w:lineRule="auto"/>
              <w:ind w:left="543" w:hanging="284"/>
              <w:rPr>
                <w:sz w:val="22"/>
                <w:szCs w:val="22"/>
                <w:lang w:eastAsia="en-US"/>
              </w:rPr>
            </w:pPr>
            <w:r w:rsidRPr="00D50807">
              <w:rPr>
                <w:sz w:val="22"/>
                <w:szCs w:val="22"/>
                <w:lang w:eastAsia="en-US"/>
              </w:rPr>
              <w:t xml:space="preserve">to inform inclusion of the LMUP in the </w:t>
            </w:r>
            <w:r w:rsidRPr="00D50807">
              <w:rPr>
                <w:iCs/>
                <w:color w:val="000000"/>
                <w:sz w:val="22"/>
                <w:szCs w:val="22"/>
              </w:rPr>
              <w:t>Maternity Services Data Set; and</w:t>
            </w:r>
          </w:p>
          <w:p w:rsidR="00D50807" w:rsidRPr="00D50807" w:rsidRDefault="00D50807" w:rsidP="00D50807">
            <w:pPr>
              <w:pStyle w:val="ListParagraph"/>
              <w:numPr>
                <w:ilvl w:val="0"/>
                <w:numId w:val="11"/>
              </w:numPr>
              <w:suppressAutoHyphens w:val="0"/>
              <w:spacing w:after="200" w:line="276" w:lineRule="auto"/>
              <w:ind w:left="543" w:hanging="284"/>
              <w:rPr>
                <w:sz w:val="22"/>
                <w:szCs w:val="22"/>
                <w:lang w:eastAsia="en-US"/>
              </w:rPr>
            </w:pPr>
            <w:proofErr w:type="gramStart"/>
            <w:r w:rsidRPr="00D50807">
              <w:rPr>
                <w:iCs/>
                <w:color w:val="000000"/>
                <w:sz w:val="22"/>
                <w:szCs w:val="22"/>
              </w:rPr>
              <w:t>to</w:t>
            </w:r>
            <w:proofErr w:type="gramEnd"/>
            <w:r w:rsidRPr="00D50807">
              <w:rPr>
                <w:iCs/>
                <w:color w:val="000000"/>
                <w:sz w:val="22"/>
                <w:szCs w:val="22"/>
              </w:rPr>
              <w:t xml:space="preserve"> ultimately enable evaluations of sexual and reproductive health inequalities and outcomes from sexual and reproductive health interventions.</w:t>
            </w:r>
          </w:p>
          <w:p w:rsidR="00D50807" w:rsidRPr="00EA55D6" w:rsidRDefault="00D50807" w:rsidP="00D50807">
            <w:pPr>
              <w:spacing w:line="240" w:lineRule="auto"/>
              <w:rPr>
                <w:sz w:val="22"/>
                <w:szCs w:val="22"/>
              </w:rPr>
            </w:pPr>
          </w:p>
        </w:tc>
      </w:tr>
      <w:tr w:rsidR="00284C85" w:rsidTr="009315A7">
        <w:tc>
          <w:tcPr>
            <w:tcW w:w="2088" w:type="dxa"/>
            <w:shd w:val="clear" w:color="auto" w:fill="BFBFBF"/>
          </w:tcPr>
          <w:p w:rsidR="00284C85" w:rsidRDefault="00284C85">
            <w:pPr>
              <w:spacing w:line="240" w:lineRule="auto"/>
            </w:pPr>
            <w:r>
              <w:rPr>
                <w:rFonts w:eastAsia="Times New Roman"/>
                <w:b/>
                <w:color w:val="000000"/>
                <w:sz w:val="22"/>
                <w:szCs w:val="22"/>
                <w:lang w:eastAsia="en-GB"/>
              </w:rPr>
              <w:lastRenderedPageBreak/>
              <w:t>Specification of work</w:t>
            </w:r>
            <w:r>
              <w:rPr>
                <w:rFonts w:eastAsia="Times New Roman"/>
                <w:color w:val="000000"/>
                <w:sz w:val="22"/>
                <w:szCs w:val="22"/>
                <w:lang w:eastAsia="en-GB"/>
              </w:rPr>
              <w:t>, including aims objectives, deliverables and outputs.</w:t>
            </w:r>
          </w:p>
        </w:tc>
        <w:tc>
          <w:tcPr>
            <w:tcW w:w="7992" w:type="dxa"/>
            <w:shd w:val="clear" w:color="auto" w:fill="auto"/>
          </w:tcPr>
          <w:p w:rsidR="00D50807" w:rsidRPr="00A67370" w:rsidRDefault="00D50807" w:rsidP="00D50807">
            <w:pPr>
              <w:pStyle w:val="Default"/>
              <w:rPr>
                <w:sz w:val="22"/>
                <w:szCs w:val="22"/>
                <w:lang w:eastAsia="en-US"/>
              </w:rPr>
            </w:pPr>
            <w:r w:rsidRPr="00A67370">
              <w:rPr>
                <w:sz w:val="22"/>
                <w:szCs w:val="22"/>
                <w:lang w:eastAsia="en-US"/>
              </w:rPr>
              <w:t xml:space="preserve">The deliverables required for this commissioned work are as follows: </w:t>
            </w:r>
          </w:p>
          <w:p w:rsidR="00D50807" w:rsidRPr="00A67370" w:rsidRDefault="00D50807" w:rsidP="00D50807">
            <w:pPr>
              <w:pStyle w:val="Default"/>
              <w:rPr>
                <w:sz w:val="22"/>
                <w:szCs w:val="22"/>
                <w:highlight w:val="yellow"/>
                <w:u w:val="single"/>
                <w:lang w:eastAsia="en-US"/>
              </w:rPr>
            </w:pPr>
          </w:p>
          <w:p w:rsidR="001A478A" w:rsidRPr="00DB38E9" w:rsidRDefault="001A478A" w:rsidP="001A478A">
            <w:pPr>
              <w:pStyle w:val="Default"/>
              <w:numPr>
                <w:ilvl w:val="0"/>
                <w:numId w:val="12"/>
              </w:numPr>
              <w:suppressAutoHyphens w:val="0"/>
              <w:autoSpaceDN w:val="0"/>
              <w:adjustRightInd w:val="0"/>
              <w:rPr>
                <w:iCs/>
                <w:sz w:val="22"/>
                <w:szCs w:val="22"/>
              </w:rPr>
            </w:pPr>
            <w:r w:rsidRPr="00DB38E9">
              <w:rPr>
                <w:iCs/>
                <w:sz w:val="22"/>
                <w:szCs w:val="22"/>
              </w:rPr>
              <w:t xml:space="preserve">Undertake a pilot project to test the viability of routine collection of the LMUP as part of </w:t>
            </w:r>
            <w:r w:rsidRPr="00E554D9">
              <w:rPr>
                <w:iCs/>
                <w:sz w:val="22"/>
                <w:szCs w:val="22"/>
              </w:rPr>
              <w:t xml:space="preserve">routine maternity data collection in two large NHS Trusts </w:t>
            </w:r>
            <w:r w:rsidRPr="00DB38E9">
              <w:rPr>
                <w:iCs/>
                <w:sz w:val="22"/>
                <w:szCs w:val="22"/>
              </w:rPr>
              <w:t xml:space="preserve">who use different maternity IT systems. </w:t>
            </w:r>
          </w:p>
          <w:p w:rsidR="001A478A" w:rsidRPr="00E554D9" w:rsidRDefault="001A478A" w:rsidP="001A478A">
            <w:pPr>
              <w:pStyle w:val="Default"/>
              <w:ind w:left="720"/>
              <w:rPr>
                <w:iCs/>
                <w:sz w:val="22"/>
                <w:szCs w:val="22"/>
                <w:highlight w:val="yellow"/>
              </w:rPr>
            </w:pPr>
          </w:p>
          <w:p w:rsidR="001A478A" w:rsidRPr="00DB38E9" w:rsidRDefault="001A478A" w:rsidP="00DB38E9">
            <w:pPr>
              <w:pStyle w:val="Default"/>
              <w:suppressAutoHyphens w:val="0"/>
              <w:autoSpaceDN w:val="0"/>
              <w:adjustRightInd w:val="0"/>
              <w:ind w:left="781"/>
              <w:rPr>
                <w:sz w:val="22"/>
                <w:szCs w:val="22"/>
              </w:rPr>
            </w:pPr>
            <w:r w:rsidRPr="00DB38E9">
              <w:rPr>
                <w:sz w:val="22"/>
                <w:szCs w:val="22"/>
              </w:rPr>
              <w:t>The data must be entered in the main maternity system and the best method found to integrate the collection with the existing data collection, avoiding or reducing duplication/overlap with existing data items where possible</w:t>
            </w:r>
          </w:p>
          <w:p w:rsidR="001A478A" w:rsidRPr="00DB38E9" w:rsidRDefault="001A478A" w:rsidP="00DB38E9">
            <w:pPr>
              <w:pStyle w:val="Default"/>
              <w:suppressAutoHyphens w:val="0"/>
              <w:autoSpaceDN w:val="0"/>
              <w:adjustRightInd w:val="0"/>
              <w:ind w:left="781"/>
              <w:rPr>
                <w:sz w:val="22"/>
                <w:szCs w:val="22"/>
              </w:rPr>
            </w:pPr>
          </w:p>
          <w:p w:rsidR="00284C85" w:rsidRDefault="00D50807" w:rsidP="00D50807">
            <w:pPr>
              <w:pStyle w:val="Default"/>
              <w:numPr>
                <w:ilvl w:val="0"/>
                <w:numId w:val="12"/>
              </w:numPr>
              <w:suppressAutoHyphens w:val="0"/>
              <w:autoSpaceDN w:val="0"/>
              <w:adjustRightInd w:val="0"/>
              <w:rPr>
                <w:iCs/>
                <w:sz w:val="22"/>
                <w:szCs w:val="22"/>
              </w:rPr>
            </w:pPr>
            <w:r w:rsidRPr="00D50807">
              <w:rPr>
                <w:iCs/>
                <w:sz w:val="22"/>
                <w:szCs w:val="22"/>
              </w:rPr>
              <w:t>Provide a report on the pilot, including example analyses of the LMUP measures and outlining issues that would need to be taken into account when extending the collection nationally.</w:t>
            </w:r>
          </w:p>
          <w:p w:rsidR="00D50807" w:rsidRDefault="00D50807" w:rsidP="00DB38E9">
            <w:pPr>
              <w:pStyle w:val="Default"/>
              <w:suppressAutoHyphens w:val="0"/>
              <w:autoSpaceDN w:val="0"/>
              <w:adjustRightInd w:val="0"/>
              <w:rPr>
                <w:sz w:val="22"/>
                <w:szCs w:val="22"/>
              </w:rPr>
            </w:pPr>
          </w:p>
          <w:p w:rsidR="001A478A" w:rsidRPr="00DB38E9" w:rsidRDefault="001A478A" w:rsidP="00DB38E9">
            <w:pPr>
              <w:pStyle w:val="Default"/>
              <w:suppressAutoHyphens w:val="0"/>
              <w:autoSpaceDN w:val="0"/>
              <w:adjustRightInd w:val="0"/>
              <w:rPr>
                <w:sz w:val="22"/>
                <w:szCs w:val="22"/>
              </w:rPr>
            </w:pPr>
            <w:r w:rsidRPr="00DB38E9">
              <w:rPr>
                <w:sz w:val="22"/>
                <w:szCs w:val="22"/>
              </w:rPr>
              <w:t xml:space="preserve">The </w:t>
            </w:r>
            <w:r w:rsidR="00C31845" w:rsidRPr="00DB38E9">
              <w:rPr>
                <w:sz w:val="22"/>
                <w:szCs w:val="22"/>
              </w:rPr>
              <w:t>supplier</w:t>
            </w:r>
            <w:r w:rsidRPr="00DB38E9">
              <w:rPr>
                <w:sz w:val="22"/>
                <w:szCs w:val="22"/>
              </w:rPr>
              <w:t xml:space="preserve"> staff must have the ability to engage with </w:t>
            </w:r>
            <w:r w:rsidR="0035351B" w:rsidRPr="00DB38E9">
              <w:rPr>
                <w:sz w:val="22"/>
                <w:szCs w:val="22"/>
              </w:rPr>
              <w:t xml:space="preserve">relevant </w:t>
            </w:r>
            <w:r w:rsidRPr="00DB38E9">
              <w:rPr>
                <w:sz w:val="22"/>
                <w:szCs w:val="22"/>
              </w:rPr>
              <w:t xml:space="preserve">NHS Trust and PHE staff </w:t>
            </w:r>
            <w:r w:rsidR="0035351B" w:rsidRPr="00DB38E9">
              <w:rPr>
                <w:sz w:val="22"/>
                <w:szCs w:val="22"/>
              </w:rPr>
              <w:t xml:space="preserve">and </w:t>
            </w:r>
            <w:r w:rsidRPr="00DB38E9">
              <w:rPr>
                <w:sz w:val="22"/>
                <w:szCs w:val="22"/>
              </w:rPr>
              <w:t xml:space="preserve">possess expertise in database processing, data analysis and report writing. </w:t>
            </w:r>
          </w:p>
          <w:p w:rsidR="00D50807" w:rsidRPr="00A67370" w:rsidRDefault="00D50807" w:rsidP="00D50807">
            <w:pPr>
              <w:pStyle w:val="Default"/>
              <w:rPr>
                <w:sz w:val="22"/>
                <w:szCs w:val="22"/>
              </w:rPr>
            </w:pPr>
          </w:p>
          <w:p w:rsidR="00D50807" w:rsidRDefault="00D50807" w:rsidP="00D50807">
            <w:pPr>
              <w:pStyle w:val="Default"/>
              <w:suppressAutoHyphens w:val="0"/>
              <w:autoSpaceDN w:val="0"/>
              <w:adjustRightInd w:val="0"/>
              <w:rPr>
                <w:iCs/>
                <w:sz w:val="22"/>
                <w:szCs w:val="22"/>
              </w:rPr>
            </w:pPr>
            <w:r w:rsidRPr="00A67370">
              <w:rPr>
                <w:sz w:val="22"/>
                <w:szCs w:val="22"/>
              </w:rPr>
              <w:t>Prior knowledge of maternity services and maternity data collection systems would be an advantage.</w:t>
            </w:r>
          </w:p>
          <w:p w:rsidR="00D50807" w:rsidRPr="00D50807" w:rsidRDefault="00D50807" w:rsidP="00D50807">
            <w:pPr>
              <w:pStyle w:val="Default"/>
              <w:suppressAutoHyphens w:val="0"/>
              <w:autoSpaceDN w:val="0"/>
              <w:adjustRightInd w:val="0"/>
              <w:ind w:left="720"/>
              <w:rPr>
                <w:iCs/>
                <w:sz w:val="22"/>
                <w:szCs w:val="22"/>
              </w:rPr>
            </w:pPr>
          </w:p>
        </w:tc>
      </w:tr>
      <w:tr w:rsidR="00284C85" w:rsidTr="009315A7">
        <w:tc>
          <w:tcPr>
            <w:tcW w:w="2088" w:type="dxa"/>
            <w:shd w:val="clear" w:color="auto" w:fill="BFBFBF"/>
          </w:tcPr>
          <w:p w:rsidR="00284C85" w:rsidRDefault="00284C85">
            <w:pPr>
              <w:spacing w:line="240" w:lineRule="auto"/>
            </w:pPr>
            <w:r>
              <w:rPr>
                <w:rFonts w:eastAsia="Times New Roman"/>
                <w:b/>
                <w:color w:val="000000"/>
                <w:sz w:val="22"/>
                <w:szCs w:val="22"/>
                <w:lang w:eastAsia="en-GB"/>
              </w:rPr>
              <w:t>Project management</w:t>
            </w:r>
            <w:r>
              <w:rPr>
                <w:rFonts w:eastAsia="Times New Roman"/>
                <w:color w:val="000000"/>
                <w:sz w:val="22"/>
                <w:szCs w:val="22"/>
                <w:lang w:eastAsia="en-GB"/>
              </w:rPr>
              <w:t xml:space="preserve"> and reporting</w:t>
            </w:r>
          </w:p>
        </w:tc>
        <w:tc>
          <w:tcPr>
            <w:tcW w:w="7992" w:type="dxa"/>
            <w:shd w:val="clear" w:color="auto" w:fill="auto"/>
          </w:tcPr>
          <w:p w:rsidR="00DB7DEE" w:rsidRDefault="00284C85">
            <w:pPr>
              <w:spacing w:line="240" w:lineRule="auto"/>
              <w:rPr>
                <w:rFonts w:eastAsia="Times New Roman"/>
                <w:color w:val="000000"/>
                <w:sz w:val="22"/>
                <w:szCs w:val="22"/>
                <w:lang w:eastAsia="en-GB"/>
              </w:rPr>
            </w:pPr>
            <w:r w:rsidRPr="00EA55D6">
              <w:rPr>
                <w:rFonts w:eastAsia="Times New Roman"/>
                <w:color w:val="000000"/>
                <w:sz w:val="22"/>
                <w:szCs w:val="22"/>
                <w:lang w:eastAsia="en-GB"/>
              </w:rPr>
              <w:t xml:space="preserve">It is expected that the supplier will appoint a named, suitably qualified individual who will be the main point of contact. PHE will act in an advisory capacity to the </w:t>
            </w:r>
            <w:r w:rsidR="00942A85">
              <w:rPr>
                <w:rFonts w:eastAsia="Times New Roman"/>
                <w:color w:val="000000"/>
                <w:sz w:val="22"/>
                <w:szCs w:val="22"/>
                <w:lang w:eastAsia="en-GB"/>
              </w:rPr>
              <w:t xml:space="preserve">appointed person </w:t>
            </w:r>
            <w:r w:rsidRPr="00EA55D6">
              <w:rPr>
                <w:rFonts w:eastAsia="Times New Roman"/>
                <w:color w:val="000000"/>
                <w:sz w:val="22"/>
                <w:szCs w:val="22"/>
                <w:lang w:eastAsia="en-GB"/>
              </w:rPr>
              <w:t xml:space="preserve">and there is an expectation </w:t>
            </w:r>
            <w:r w:rsidR="00CF48D9">
              <w:rPr>
                <w:rFonts w:eastAsia="Times New Roman"/>
                <w:color w:val="000000"/>
                <w:sz w:val="22"/>
                <w:szCs w:val="22"/>
                <w:lang w:eastAsia="en-GB"/>
              </w:rPr>
              <w:t xml:space="preserve">that </w:t>
            </w:r>
            <w:r w:rsidRPr="00EA55D6">
              <w:rPr>
                <w:rFonts w:eastAsia="Times New Roman"/>
                <w:color w:val="000000"/>
                <w:sz w:val="22"/>
                <w:szCs w:val="22"/>
                <w:lang w:eastAsia="en-GB"/>
              </w:rPr>
              <w:t xml:space="preserve">PHE </w:t>
            </w:r>
            <w:r w:rsidR="00CF48D9">
              <w:rPr>
                <w:rFonts w:eastAsia="Times New Roman"/>
                <w:color w:val="000000"/>
                <w:sz w:val="22"/>
                <w:szCs w:val="22"/>
                <w:lang w:eastAsia="en-GB"/>
              </w:rPr>
              <w:t xml:space="preserve">will be </w:t>
            </w:r>
            <w:r w:rsidRPr="00EA55D6">
              <w:rPr>
                <w:rFonts w:eastAsia="Times New Roman"/>
                <w:color w:val="000000"/>
                <w:sz w:val="22"/>
                <w:szCs w:val="22"/>
                <w:lang w:eastAsia="en-GB"/>
              </w:rPr>
              <w:t xml:space="preserve">fully briefed and </w:t>
            </w:r>
            <w:r w:rsidR="00CF48D9">
              <w:rPr>
                <w:rFonts w:eastAsia="Times New Roman"/>
                <w:color w:val="000000"/>
                <w:sz w:val="22"/>
                <w:szCs w:val="22"/>
                <w:lang w:eastAsia="en-GB"/>
              </w:rPr>
              <w:t xml:space="preserve">also </w:t>
            </w:r>
            <w:r w:rsidRPr="00EA55D6">
              <w:rPr>
                <w:rFonts w:eastAsia="Times New Roman"/>
                <w:color w:val="000000"/>
                <w:sz w:val="22"/>
                <w:szCs w:val="22"/>
                <w:lang w:eastAsia="en-GB"/>
              </w:rPr>
              <w:t xml:space="preserve">involved in agreeing </w:t>
            </w:r>
            <w:r w:rsidRPr="00D21B6F">
              <w:rPr>
                <w:rFonts w:eastAsia="Times New Roman"/>
                <w:color w:val="000000"/>
                <w:sz w:val="22"/>
                <w:szCs w:val="22"/>
                <w:lang w:eastAsia="en-GB"/>
              </w:rPr>
              <w:t xml:space="preserve">the </w:t>
            </w:r>
            <w:r w:rsidR="00942A85">
              <w:rPr>
                <w:rFonts w:eastAsia="Times New Roman"/>
                <w:color w:val="000000"/>
                <w:sz w:val="22"/>
                <w:szCs w:val="22"/>
                <w:lang w:eastAsia="en-GB"/>
              </w:rPr>
              <w:t>working methods.</w:t>
            </w:r>
          </w:p>
          <w:p w:rsidR="00284C85" w:rsidRPr="00EA55D6" w:rsidRDefault="00284C85">
            <w:pPr>
              <w:spacing w:line="240" w:lineRule="auto"/>
              <w:rPr>
                <w:rFonts w:eastAsia="Times New Roman"/>
                <w:bCs/>
                <w:color w:val="000000"/>
                <w:sz w:val="22"/>
                <w:szCs w:val="22"/>
                <w:lang w:val="en-US" w:eastAsia="en-GB"/>
              </w:rPr>
            </w:pPr>
          </w:p>
          <w:p w:rsidR="00284C85" w:rsidRPr="00EA55D6" w:rsidRDefault="00284C85">
            <w:pPr>
              <w:spacing w:line="240" w:lineRule="auto"/>
              <w:rPr>
                <w:rFonts w:eastAsia="Times New Roman"/>
                <w:bCs/>
                <w:color w:val="000000"/>
                <w:sz w:val="22"/>
                <w:szCs w:val="22"/>
                <w:lang w:val="en-US" w:eastAsia="en-GB"/>
              </w:rPr>
            </w:pPr>
            <w:r w:rsidRPr="00EA55D6">
              <w:rPr>
                <w:rFonts w:eastAsia="Times New Roman"/>
                <w:bCs/>
                <w:color w:val="000000"/>
                <w:sz w:val="22"/>
                <w:szCs w:val="22"/>
                <w:lang w:val="en-US" w:eastAsia="en-GB"/>
              </w:rPr>
              <w:t xml:space="preserve">The PHE lead for this work is </w:t>
            </w:r>
            <w:r w:rsidR="00DB7DEE" w:rsidRPr="00D21B6F">
              <w:rPr>
                <w:rFonts w:eastAsia="Times New Roman"/>
                <w:bCs/>
                <w:color w:val="000000"/>
                <w:sz w:val="22"/>
                <w:szCs w:val="22"/>
                <w:lang w:val="en-US" w:eastAsia="en-GB"/>
              </w:rPr>
              <w:t>Clare Perkins, Head of Risk Factors Intelligence</w:t>
            </w:r>
            <w:r w:rsidRPr="00D563D3">
              <w:rPr>
                <w:rFonts w:eastAsia="Times New Roman"/>
                <w:bCs/>
                <w:color w:val="000000"/>
                <w:sz w:val="22"/>
                <w:szCs w:val="22"/>
                <w:lang w:val="en-US" w:eastAsia="en-GB"/>
              </w:rPr>
              <w:t xml:space="preserve"> who will li</w:t>
            </w:r>
            <w:r w:rsidRPr="001B41CF">
              <w:rPr>
                <w:rFonts w:eastAsia="Times New Roman"/>
                <w:bCs/>
                <w:color w:val="000000"/>
                <w:sz w:val="22"/>
                <w:szCs w:val="22"/>
                <w:lang w:val="en-US" w:eastAsia="en-GB"/>
              </w:rPr>
              <w:t>aise with the s</w:t>
            </w:r>
            <w:r w:rsidRPr="00EA55D6">
              <w:rPr>
                <w:rFonts w:eastAsia="Times New Roman"/>
                <w:bCs/>
                <w:color w:val="000000"/>
                <w:sz w:val="22"/>
                <w:szCs w:val="22"/>
                <w:lang w:val="en-US" w:eastAsia="en-GB"/>
              </w:rPr>
              <w:t>upplier and provi</w:t>
            </w:r>
            <w:r w:rsidR="007E2008">
              <w:rPr>
                <w:rFonts w:eastAsia="Times New Roman"/>
                <w:bCs/>
                <w:color w:val="000000"/>
                <w:sz w:val="22"/>
                <w:szCs w:val="22"/>
                <w:lang w:val="en-US" w:eastAsia="en-GB"/>
              </w:rPr>
              <w:t>de day-to-day support from PHE</w:t>
            </w:r>
            <w:r w:rsidR="00CF48D9">
              <w:rPr>
                <w:rFonts w:eastAsia="Times New Roman"/>
                <w:bCs/>
                <w:color w:val="000000"/>
                <w:sz w:val="22"/>
                <w:szCs w:val="22"/>
                <w:lang w:val="en-US" w:eastAsia="en-GB"/>
              </w:rPr>
              <w:t>, along with Wendi Slater</w:t>
            </w:r>
            <w:r w:rsidR="007E2008">
              <w:rPr>
                <w:rFonts w:eastAsia="Times New Roman"/>
                <w:bCs/>
                <w:color w:val="000000"/>
                <w:sz w:val="22"/>
                <w:szCs w:val="22"/>
                <w:lang w:val="en-US" w:eastAsia="en-GB"/>
              </w:rPr>
              <w:t>.</w:t>
            </w:r>
          </w:p>
          <w:p w:rsidR="00284C85" w:rsidRPr="00EA55D6" w:rsidRDefault="00284C85">
            <w:pPr>
              <w:spacing w:line="240" w:lineRule="auto"/>
              <w:rPr>
                <w:rFonts w:eastAsia="Times New Roman"/>
                <w:bCs/>
                <w:color w:val="000000"/>
                <w:sz w:val="22"/>
                <w:szCs w:val="22"/>
                <w:lang w:val="en-US" w:eastAsia="en-GB"/>
              </w:rPr>
            </w:pPr>
          </w:p>
          <w:p w:rsidR="00284C85" w:rsidRPr="00EA55D6" w:rsidRDefault="00CF77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40" w:lineRule="auto"/>
              <w:rPr>
                <w:bCs/>
                <w:color w:val="000000"/>
                <w:sz w:val="22"/>
                <w:szCs w:val="22"/>
              </w:rPr>
            </w:pPr>
            <w:r w:rsidRPr="00B17ECE">
              <w:rPr>
                <w:bCs/>
                <w:color w:val="000000"/>
                <w:sz w:val="22"/>
                <w:szCs w:val="22"/>
              </w:rPr>
              <w:t>The successful supplier is</w:t>
            </w:r>
            <w:r w:rsidRPr="00EA55D6">
              <w:rPr>
                <w:bCs/>
                <w:color w:val="000000"/>
                <w:sz w:val="22"/>
                <w:szCs w:val="22"/>
              </w:rPr>
              <w:t xml:space="preserve"> expected to meet with the PHE lead at </w:t>
            </w:r>
            <w:r w:rsidRPr="000C40B1">
              <w:rPr>
                <w:bCs/>
                <w:sz w:val="22"/>
                <w:szCs w:val="22"/>
              </w:rPr>
              <w:t xml:space="preserve">the initiation, </w:t>
            </w:r>
            <w:r w:rsidR="00D21B6F" w:rsidRPr="000C40B1">
              <w:rPr>
                <w:bCs/>
                <w:sz w:val="22"/>
                <w:szCs w:val="22"/>
              </w:rPr>
              <w:t xml:space="preserve">and </w:t>
            </w:r>
            <w:r w:rsidR="00D21B6F" w:rsidRPr="00D21B6F">
              <w:rPr>
                <w:bCs/>
                <w:color w:val="000000"/>
                <w:sz w:val="22"/>
                <w:szCs w:val="22"/>
              </w:rPr>
              <w:t>monthly thereafter</w:t>
            </w:r>
            <w:r w:rsidR="000C40B1">
              <w:rPr>
                <w:bCs/>
                <w:color w:val="000000"/>
                <w:sz w:val="22"/>
                <w:szCs w:val="22"/>
              </w:rPr>
              <w:t xml:space="preserve">; and also </w:t>
            </w:r>
            <w:r w:rsidR="00284C85" w:rsidRPr="00EA55D6">
              <w:rPr>
                <w:bCs/>
                <w:color w:val="000000"/>
                <w:sz w:val="22"/>
                <w:szCs w:val="22"/>
              </w:rPr>
              <w:t>to highlight any risks or issues as soon as possible in writing to the PHE lead.</w:t>
            </w:r>
          </w:p>
          <w:p w:rsidR="00284C85" w:rsidRPr="00EA55D6" w:rsidRDefault="00284C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40" w:lineRule="auto"/>
              <w:rPr>
                <w:bCs/>
                <w:color w:val="000000"/>
                <w:sz w:val="22"/>
                <w:szCs w:val="22"/>
              </w:rPr>
            </w:pPr>
          </w:p>
          <w:p w:rsidR="00284C85" w:rsidRPr="00EA55D6" w:rsidRDefault="00284C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40" w:lineRule="auto"/>
              <w:rPr>
                <w:sz w:val="22"/>
                <w:szCs w:val="22"/>
              </w:rPr>
            </w:pPr>
          </w:p>
        </w:tc>
      </w:tr>
      <w:tr w:rsidR="00284C85" w:rsidTr="009315A7">
        <w:tc>
          <w:tcPr>
            <w:tcW w:w="2088" w:type="dxa"/>
            <w:shd w:val="clear" w:color="auto" w:fill="BFBFBF"/>
          </w:tcPr>
          <w:p w:rsidR="00284C85" w:rsidRDefault="00284C85">
            <w:pPr>
              <w:spacing w:line="240" w:lineRule="auto"/>
            </w:pPr>
            <w:r>
              <w:rPr>
                <w:rFonts w:eastAsia="Times New Roman"/>
                <w:b/>
                <w:color w:val="000000"/>
                <w:sz w:val="22"/>
                <w:szCs w:val="22"/>
                <w:lang w:eastAsia="en-GB"/>
              </w:rPr>
              <w:t>Risk management</w:t>
            </w:r>
          </w:p>
        </w:tc>
        <w:tc>
          <w:tcPr>
            <w:tcW w:w="7992" w:type="dxa"/>
            <w:shd w:val="clear" w:color="auto" w:fill="auto"/>
          </w:tcPr>
          <w:p w:rsidR="00284C85" w:rsidRDefault="00284C85">
            <w:pPr>
              <w:spacing w:line="240" w:lineRule="auto"/>
              <w:rPr>
                <w:rFonts w:eastAsia="Times New Roman"/>
                <w:color w:val="000000"/>
                <w:sz w:val="22"/>
                <w:szCs w:val="22"/>
                <w:lang w:eastAsia="en-GB"/>
              </w:rPr>
            </w:pPr>
            <w:r>
              <w:rPr>
                <w:rFonts w:eastAsia="Times New Roman"/>
                <w:color w:val="000000"/>
                <w:sz w:val="22"/>
                <w:szCs w:val="22"/>
                <w:lang w:eastAsia="en-GB"/>
              </w:rPr>
              <w:t>Suppliers should submit, as part of their application, a summary explaining what they foresee the main risks to delivering this project are, and how they will mitigate against them.</w:t>
            </w:r>
          </w:p>
          <w:p w:rsidR="00284C85" w:rsidRDefault="00284C85">
            <w:pPr>
              <w:spacing w:line="240" w:lineRule="auto"/>
              <w:rPr>
                <w:rFonts w:eastAsia="Times New Roman"/>
                <w:color w:val="000000"/>
                <w:sz w:val="22"/>
                <w:szCs w:val="22"/>
                <w:lang w:eastAsia="en-GB"/>
              </w:rPr>
            </w:pPr>
          </w:p>
          <w:p w:rsidR="00284C85" w:rsidRDefault="00284C85">
            <w:pPr>
              <w:spacing w:line="240" w:lineRule="auto"/>
            </w:pPr>
            <w:r>
              <w:rPr>
                <w:rFonts w:eastAsia="Times New Roman"/>
                <w:i/>
                <w:color w:val="000000"/>
                <w:sz w:val="22"/>
                <w:szCs w:val="22"/>
                <w:lang w:eastAsia="en-GB"/>
              </w:rPr>
              <w:t>NB: A risk is defined as any factor which may delay, disrupt or prevent the full achievement of a project objective. All risks should be identified. The summary should include an assessment of each risk, together with a rating of the risks likelihood and its impact on a project objective (using a high, medium or low classification for both). The risk assessment should also identify appropriate actions that would reduce or eliminate each risk, or its impact.</w:t>
            </w:r>
          </w:p>
          <w:p w:rsidR="00284C85" w:rsidRDefault="00284C85">
            <w:pPr>
              <w:spacing w:line="240" w:lineRule="auto"/>
            </w:pPr>
          </w:p>
        </w:tc>
      </w:tr>
      <w:tr w:rsidR="00284C85" w:rsidTr="009315A7">
        <w:tc>
          <w:tcPr>
            <w:tcW w:w="2088" w:type="dxa"/>
            <w:shd w:val="clear" w:color="auto" w:fill="BFBFBF"/>
          </w:tcPr>
          <w:p w:rsidR="00284C85" w:rsidRDefault="00284C85">
            <w:pPr>
              <w:spacing w:line="240" w:lineRule="auto"/>
            </w:pPr>
            <w:r>
              <w:rPr>
                <w:rFonts w:eastAsia="Times New Roman"/>
                <w:b/>
                <w:color w:val="000000"/>
                <w:sz w:val="22"/>
                <w:szCs w:val="22"/>
                <w:lang w:eastAsia="en-GB"/>
              </w:rPr>
              <w:t>Stakeholder engagement</w:t>
            </w:r>
          </w:p>
        </w:tc>
        <w:tc>
          <w:tcPr>
            <w:tcW w:w="7992" w:type="dxa"/>
            <w:shd w:val="clear" w:color="auto" w:fill="auto"/>
          </w:tcPr>
          <w:p w:rsidR="00284C85" w:rsidRDefault="00284C85">
            <w:pPr>
              <w:spacing w:line="240" w:lineRule="auto"/>
            </w:pPr>
            <w:r>
              <w:rPr>
                <w:rFonts w:eastAsia="Times New Roman"/>
                <w:color w:val="000000"/>
                <w:sz w:val="22"/>
                <w:szCs w:val="22"/>
                <w:lang w:eastAsia="en-GB"/>
              </w:rPr>
              <w:t>It is essential that there are plans in place for collaboration and consultation with partners and stakeholders to ensure that the product me</w:t>
            </w:r>
            <w:r w:rsidR="007E2008">
              <w:rPr>
                <w:rFonts w:eastAsia="Times New Roman"/>
                <w:color w:val="000000"/>
                <w:sz w:val="22"/>
                <w:szCs w:val="22"/>
                <w:lang w:eastAsia="en-GB"/>
              </w:rPr>
              <w:t>ets the required deliverables.</w:t>
            </w:r>
          </w:p>
          <w:p w:rsidR="00284C85" w:rsidRDefault="00284C85">
            <w:pPr>
              <w:spacing w:line="240" w:lineRule="auto"/>
            </w:pPr>
          </w:p>
        </w:tc>
      </w:tr>
      <w:tr w:rsidR="00284C85" w:rsidTr="009315A7">
        <w:tc>
          <w:tcPr>
            <w:tcW w:w="2088" w:type="dxa"/>
            <w:shd w:val="clear" w:color="auto" w:fill="BFBFBF"/>
          </w:tcPr>
          <w:p w:rsidR="00284C85" w:rsidRDefault="00284C85">
            <w:pPr>
              <w:spacing w:line="240" w:lineRule="auto"/>
            </w:pPr>
            <w:r>
              <w:rPr>
                <w:rFonts w:eastAsia="Times New Roman"/>
                <w:b/>
                <w:color w:val="000000"/>
                <w:sz w:val="22"/>
                <w:szCs w:val="22"/>
                <w:lang w:eastAsia="en-GB"/>
              </w:rPr>
              <w:t>Information governance</w:t>
            </w:r>
          </w:p>
        </w:tc>
        <w:tc>
          <w:tcPr>
            <w:tcW w:w="7992" w:type="dxa"/>
            <w:shd w:val="clear" w:color="auto" w:fill="auto"/>
          </w:tcPr>
          <w:p w:rsidR="00284C85" w:rsidRDefault="00284C85">
            <w:pPr>
              <w:spacing w:line="240" w:lineRule="auto"/>
            </w:pPr>
            <w:r>
              <w:rPr>
                <w:rFonts w:eastAsia="Times New Roman"/>
                <w:color w:val="000000"/>
                <w:sz w:val="22"/>
                <w:szCs w:val="22"/>
                <w:lang w:eastAsia="en-GB"/>
              </w:rPr>
              <w:t xml:space="preserve">All data collected, stored or shared is in complete compliance with the </w:t>
            </w:r>
            <w:hyperlink r:id="rId13" w:history="1">
              <w:r>
                <w:rPr>
                  <w:rStyle w:val="Hyperlink"/>
                  <w:rFonts w:eastAsia="Times New Roman" w:cs="Arial"/>
                  <w:sz w:val="22"/>
                  <w:szCs w:val="22"/>
                  <w:lang w:eastAsia="en-GB"/>
                </w:rPr>
                <w:t>Data Protection Act 2003</w:t>
              </w:r>
            </w:hyperlink>
            <w:r>
              <w:rPr>
                <w:rFonts w:eastAsia="Times New Roman"/>
                <w:color w:val="000000"/>
                <w:sz w:val="22"/>
                <w:szCs w:val="22"/>
                <w:lang w:eastAsia="en-GB"/>
              </w:rPr>
              <w:t xml:space="preserve"> and conforms to the </w:t>
            </w:r>
            <w:hyperlink r:id="rId14" w:history="1">
              <w:r>
                <w:rPr>
                  <w:rStyle w:val="Hyperlink"/>
                  <w:rFonts w:eastAsia="Times New Roman" w:cs="Arial"/>
                  <w:sz w:val="22"/>
                  <w:szCs w:val="22"/>
                  <w:lang w:eastAsia="en-GB"/>
                </w:rPr>
                <w:t xml:space="preserve">PHE policy on information </w:t>
              </w:r>
              <w:r>
                <w:rPr>
                  <w:rStyle w:val="Hyperlink"/>
                  <w:rFonts w:eastAsia="Times New Roman" w:cs="Arial"/>
                  <w:sz w:val="22"/>
                  <w:szCs w:val="22"/>
                  <w:lang w:eastAsia="en-GB"/>
                </w:rPr>
                <w:lastRenderedPageBreak/>
                <w:t>governance</w:t>
              </w:r>
            </w:hyperlink>
            <w:r>
              <w:rPr>
                <w:rFonts w:eastAsia="Times New Roman"/>
                <w:color w:val="000000"/>
                <w:sz w:val="22"/>
                <w:szCs w:val="22"/>
                <w:lang w:eastAsia="en-GB"/>
              </w:rPr>
              <w:t xml:space="preserve">. </w:t>
            </w:r>
          </w:p>
          <w:p w:rsidR="00284C85" w:rsidRDefault="00284C85">
            <w:pPr>
              <w:spacing w:line="240" w:lineRule="auto"/>
            </w:pPr>
          </w:p>
        </w:tc>
      </w:tr>
      <w:tr w:rsidR="00284C85" w:rsidTr="009315A7">
        <w:tc>
          <w:tcPr>
            <w:tcW w:w="2088" w:type="dxa"/>
            <w:shd w:val="clear" w:color="auto" w:fill="BFBFBF"/>
          </w:tcPr>
          <w:p w:rsidR="00284C85" w:rsidRDefault="00284C85">
            <w:pPr>
              <w:spacing w:line="240" w:lineRule="auto"/>
            </w:pPr>
            <w:r>
              <w:rPr>
                <w:rFonts w:eastAsia="Times New Roman"/>
                <w:b/>
                <w:color w:val="000000"/>
                <w:sz w:val="22"/>
                <w:szCs w:val="22"/>
                <w:lang w:eastAsia="en-GB"/>
              </w:rPr>
              <w:lastRenderedPageBreak/>
              <w:t xml:space="preserve">Dissemination and branding </w:t>
            </w:r>
          </w:p>
        </w:tc>
        <w:tc>
          <w:tcPr>
            <w:tcW w:w="7992" w:type="dxa"/>
            <w:shd w:val="clear" w:color="auto" w:fill="auto"/>
          </w:tcPr>
          <w:p w:rsidR="00284C85" w:rsidRDefault="00284C85">
            <w:pPr>
              <w:spacing w:line="240" w:lineRule="auto"/>
              <w:rPr>
                <w:rFonts w:eastAsia="Times New Roman"/>
                <w:sz w:val="22"/>
                <w:szCs w:val="22"/>
                <w:lang w:eastAsia="en-GB"/>
              </w:rPr>
            </w:pPr>
            <w:r>
              <w:rPr>
                <w:rFonts w:eastAsia="Times New Roman"/>
                <w:sz w:val="22"/>
                <w:szCs w:val="22"/>
                <w:lang w:eastAsia="en-GB"/>
              </w:rPr>
              <w:t>The lead organisation for disseminating work and communications activity is</w:t>
            </w:r>
            <w:r w:rsidR="00F24880">
              <w:rPr>
                <w:rFonts w:eastAsia="Times New Roman"/>
                <w:sz w:val="22"/>
                <w:szCs w:val="22"/>
                <w:lang w:eastAsia="en-GB"/>
              </w:rPr>
              <w:t xml:space="preserve"> PHE</w:t>
            </w:r>
            <w:r>
              <w:rPr>
                <w:rFonts w:eastAsia="Times New Roman"/>
                <w:sz w:val="22"/>
                <w:szCs w:val="22"/>
                <w:lang w:eastAsia="en-GB"/>
              </w:rPr>
              <w:t>.</w:t>
            </w:r>
          </w:p>
          <w:p w:rsidR="00284C85" w:rsidRDefault="00284C85">
            <w:pPr>
              <w:spacing w:line="240" w:lineRule="auto"/>
              <w:rPr>
                <w:rFonts w:eastAsia="Times New Roman"/>
                <w:sz w:val="22"/>
                <w:szCs w:val="22"/>
                <w:lang w:eastAsia="en-GB"/>
              </w:rPr>
            </w:pPr>
          </w:p>
          <w:p w:rsidR="00284C85" w:rsidRDefault="00284C85">
            <w:pPr>
              <w:spacing w:line="240" w:lineRule="auto"/>
              <w:rPr>
                <w:rFonts w:eastAsia="Times New Roman"/>
                <w:color w:val="000000"/>
                <w:sz w:val="22"/>
                <w:szCs w:val="22"/>
                <w:lang w:eastAsia="en-GB"/>
              </w:rPr>
            </w:pPr>
            <w:r>
              <w:rPr>
                <w:rFonts w:eastAsia="Times New Roman"/>
                <w:sz w:val="22"/>
                <w:szCs w:val="22"/>
                <w:lang w:eastAsia="en-GB"/>
              </w:rPr>
              <w:t xml:space="preserve">The work will be </w:t>
            </w:r>
            <w:r w:rsidRPr="00500D91">
              <w:rPr>
                <w:rFonts w:eastAsia="Times New Roman"/>
                <w:sz w:val="22"/>
                <w:szCs w:val="22"/>
                <w:lang w:eastAsia="en-GB"/>
              </w:rPr>
              <w:t>PHE branded</w:t>
            </w:r>
            <w:r w:rsidR="00570835">
              <w:rPr>
                <w:rFonts w:eastAsia="Times New Roman"/>
                <w:sz w:val="22"/>
                <w:szCs w:val="22"/>
                <w:lang w:eastAsia="en-GB"/>
              </w:rPr>
              <w:t>.</w:t>
            </w:r>
          </w:p>
          <w:p w:rsidR="00284C85" w:rsidRDefault="00284C85">
            <w:pPr>
              <w:spacing w:line="240" w:lineRule="auto"/>
            </w:pPr>
          </w:p>
        </w:tc>
      </w:tr>
      <w:tr w:rsidR="00284C85" w:rsidTr="009315A7">
        <w:tc>
          <w:tcPr>
            <w:tcW w:w="2088" w:type="dxa"/>
            <w:shd w:val="clear" w:color="auto" w:fill="BFBFBF"/>
          </w:tcPr>
          <w:p w:rsidR="00284C85" w:rsidRDefault="00284C85">
            <w:pPr>
              <w:spacing w:line="240" w:lineRule="auto"/>
            </w:pPr>
            <w:r>
              <w:rPr>
                <w:rFonts w:eastAsia="Times New Roman"/>
                <w:b/>
                <w:color w:val="000000"/>
                <w:sz w:val="22"/>
                <w:szCs w:val="22"/>
                <w:lang w:eastAsia="en-GB"/>
              </w:rPr>
              <w:t>Copyright and intellectual property</w:t>
            </w:r>
          </w:p>
        </w:tc>
        <w:tc>
          <w:tcPr>
            <w:tcW w:w="7992" w:type="dxa"/>
            <w:shd w:val="clear" w:color="auto" w:fill="auto"/>
          </w:tcPr>
          <w:p w:rsidR="00284C85" w:rsidRDefault="00284C85">
            <w:pPr>
              <w:spacing w:line="240" w:lineRule="auto"/>
              <w:rPr>
                <w:rFonts w:eastAsia="Times New Roman"/>
                <w:b/>
                <w:bCs/>
                <w:color w:val="000000"/>
                <w:sz w:val="22"/>
                <w:szCs w:val="22"/>
                <w:lang w:eastAsia="en-GB"/>
              </w:rPr>
            </w:pPr>
            <w:r>
              <w:rPr>
                <w:rFonts w:eastAsia="Times New Roman"/>
                <w:color w:val="000000"/>
                <w:sz w:val="22"/>
                <w:szCs w:val="22"/>
                <w:lang w:eastAsia="en-GB"/>
              </w:rPr>
              <w:t>All items published</w:t>
            </w:r>
            <w:r w:rsidR="00570835">
              <w:rPr>
                <w:rFonts w:eastAsia="Times New Roman"/>
                <w:color w:val="000000"/>
                <w:sz w:val="22"/>
                <w:szCs w:val="22"/>
                <w:lang w:eastAsia="en-GB"/>
              </w:rPr>
              <w:t xml:space="preserve"> on gov.uk are crown copyright.</w:t>
            </w:r>
          </w:p>
          <w:p w:rsidR="00284C85" w:rsidRDefault="00284C85">
            <w:pPr>
              <w:pStyle w:val="Default"/>
              <w:rPr>
                <w:rFonts w:eastAsia="Times New Roman"/>
                <w:b/>
                <w:bCs/>
                <w:sz w:val="22"/>
                <w:szCs w:val="22"/>
                <w:lang w:eastAsia="en-GB"/>
              </w:rPr>
            </w:pPr>
          </w:p>
          <w:p w:rsidR="00284C85" w:rsidRDefault="00570835">
            <w:pPr>
              <w:pStyle w:val="Default"/>
              <w:rPr>
                <w:rFonts w:eastAsia="Times New Roman"/>
                <w:b/>
                <w:sz w:val="22"/>
                <w:szCs w:val="22"/>
                <w:lang w:eastAsia="en-GB"/>
              </w:rPr>
            </w:pPr>
            <w:r>
              <w:rPr>
                <w:b/>
                <w:bCs/>
                <w:sz w:val="22"/>
                <w:szCs w:val="22"/>
              </w:rPr>
              <w:t>Intellectual Property</w:t>
            </w:r>
          </w:p>
          <w:p w:rsidR="00284C85" w:rsidRDefault="00284C85">
            <w:pPr>
              <w:spacing w:line="240" w:lineRule="auto"/>
              <w:rPr>
                <w:rFonts w:eastAsia="Times New Roman"/>
                <w:b/>
                <w:color w:val="000000"/>
                <w:sz w:val="22"/>
                <w:szCs w:val="22"/>
                <w:lang w:eastAsia="en-GB"/>
              </w:rPr>
            </w:pPr>
          </w:p>
          <w:p w:rsidR="00284C85" w:rsidRDefault="00284C85">
            <w:pPr>
              <w:pStyle w:val="Default"/>
              <w:rPr>
                <w:rFonts w:eastAsia="Arial"/>
                <w:b/>
                <w:sz w:val="22"/>
                <w:szCs w:val="22"/>
              </w:rPr>
            </w:pPr>
            <w:r>
              <w:rPr>
                <w:rFonts w:eastAsia="Arial"/>
                <w:b/>
                <w:sz w:val="22"/>
                <w:szCs w:val="22"/>
              </w:rPr>
              <w:t>“</w:t>
            </w:r>
            <w:r>
              <w:rPr>
                <w:b/>
                <w:sz w:val="22"/>
                <w:szCs w:val="22"/>
              </w:rPr>
              <w:t xml:space="preserve">Background Intellectual Property” </w:t>
            </w:r>
            <w:r>
              <w:rPr>
                <w:sz w:val="22"/>
                <w:szCs w:val="22"/>
              </w:rPr>
              <w:t>means</w:t>
            </w:r>
            <w:r>
              <w:rPr>
                <w:b/>
                <w:sz w:val="22"/>
                <w:szCs w:val="22"/>
              </w:rPr>
              <w:t xml:space="preserve"> </w:t>
            </w:r>
            <w:r>
              <w:rPr>
                <w:sz w:val="22"/>
                <w:szCs w:val="22"/>
              </w:rPr>
              <w:t xml:space="preserve">any Intellectual Property and Intellectual Property Rights, other than Foreground Intellectual Property, that is used in connection with any part of the Services. </w:t>
            </w:r>
          </w:p>
          <w:p w:rsidR="00284C85" w:rsidRDefault="00284C85">
            <w:pPr>
              <w:pStyle w:val="Default"/>
              <w:rPr>
                <w:sz w:val="22"/>
                <w:szCs w:val="22"/>
              </w:rPr>
            </w:pPr>
            <w:r>
              <w:rPr>
                <w:rFonts w:eastAsia="Arial"/>
                <w:b/>
                <w:sz w:val="22"/>
                <w:szCs w:val="22"/>
              </w:rPr>
              <w:t>“</w:t>
            </w:r>
            <w:r>
              <w:rPr>
                <w:b/>
                <w:sz w:val="22"/>
                <w:szCs w:val="22"/>
              </w:rPr>
              <w:t xml:space="preserve">Foreground Intellectual Property” </w:t>
            </w:r>
            <w:r>
              <w:rPr>
                <w:sz w:val="22"/>
                <w:szCs w:val="22"/>
              </w:rPr>
              <w:t>means</w:t>
            </w:r>
            <w:r>
              <w:rPr>
                <w:b/>
                <w:sz w:val="22"/>
                <w:szCs w:val="22"/>
              </w:rPr>
              <w:t xml:space="preserve"> </w:t>
            </w:r>
            <w:r>
              <w:rPr>
                <w:sz w:val="22"/>
                <w:szCs w:val="22"/>
              </w:rPr>
              <w:t xml:space="preserve">any Intellectual Property and Intellectual Property Rights that arises or is obtained or developed by, or by the Contractor on behalf of, either party in the course of or in connection with the performance of the Services. </w:t>
            </w:r>
          </w:p>
          <w:p w:rsidR="00284C85" w:rsidRDefault="00284C85">
            <w:pPr>
              <w:pStyle w:val="Default"/>
              <w:rPr>
                <w:sz w:val="22"/>
                <w:szCs w:val="22"/>
              </w:rPr>
            </w:pPr>
          </w:p>
          <w:p w:rsidR="00284C85" w:rsidRDefault="00284C85">
            <w:pPr>
              <w:pStyle w:val="Default"/>
              <w:rPr>
                <w:sz w:val="22"/>
                <w:szCs w:val="22"/>
              </w:rPr>
            </w:pPr>
            <w:r>
              <w:rPr>
                <w:sz w:val="22"/>
                <w:szCs w:val="22"/>
              </w:rPr>
              <w:t>All Foreground</w:t>
            </w:r>
            <w:r>
              <w:rPr>
                <w:b/>
                <w:sz w:val="22"/>
                <w:szCs w:val="22"/>
              </w:rPr>
              <w:t xml:space="preserve"> </w:t>
            </w:r>
            <w:r>
              <w:rPr>
                <w:sz w:val="22"/>
                <w:szCs w:val="22"/>
              </w:rPr>
              <w:t>Intellectual Property shall vest in and be owned absolutely by the Authority and the Contractor agrees to execute all documents and assignments and do all such things as may be necessary to perfect the Authority's title to the Intellectual Property or to register the Authority as owner of registrable rights.</w:t>
            </w:r>
          </w:p>
          <w:p w:rsidR="00284C85" w:rsidRDefault="00284C85">
            <w:pPr>
              <w:pStyle w:val="Default"/>
              <w:rPr>
                <w:sz w:val="22"/>
                <w:szCs w:val="22"/>
              </w:rPr>
            </w:pPr>
          </w:p>
          <w:p w:rsidR="00284C85" w:rsidRDefault="00284C85">
            <w:pPr>
              <w:pStyle w:val="Default"/>
              <w:rPr>
                <w:sz w:val="22"/>
                <w:szCs w:val="22"/>
              </w:rPr>
            </w:pPr>
            <w:r>
              <w:rPr>
                <w:sz w:val="22"/>
                <w:szCs w:val="22"/>
              </w:rPr>
              <w:t>All Background</w:t>
            </w:r>
            <w:r>
              <w:rPr>
                <w:b/>
                <w:sz w:val="22"/>
                <w:szCs w:val="22"/>
              </w:rPr>
              <w:t xml:space="preserve"> </w:t>
            </w:r>
            <w:r>
              <w:rPr>
                <w:sz w:val="22"/>
                <w:szCs w:val="22"/>
              </w:rPr>
              <w:t>Intellectual Property owned by either Party shall remain the property of that Party but the Contractor shall, where it has the right to do so, grant the Authority and any Beneficiary a non-exclusive, perpetual, royalty free, global license to use any Background Intellectual Property to the extent necessary for the purpose of the Services and for the use or exploitation of any Foreground Intellectual Property.</w:t>
            </w:r>
          </w:p>
          <w:p w:rsidR="00284C85" w:rsidRDefault="00284C85">
            <w:pPr>
              <w:pStyle w:val="Default"/>
              <w:rPr>
                <w:sz w:val="22"/>
                <w:szCs w:val="22"/>
              </w:rPr>
            </w:pPr>
          </w:p>
          <w:p w:rsidR="00284C85" w:rsidRDefault="00284C85">
            <w:pPr>
              <w:pStyle w:val="Default"/>
              <w:rPr>
                <w:sz w:val="22"/>
                <w:szCs w:val="22"/>
              </w:rPr>
            </w:pPr>
            <w:r>
              <w:rPr>
                <w:sz w:val="22"/>
                <w:szCs w:val="22"/>
              </w:rPr>
              <w:t>The Authority shall be entitled to negotiate and agree provisions for the ownership of Intellectual Property Rights which deviate from the above to the extent that such other provisions, in the authority’s opinion, are more suitable for the services under that Order.</w:t>
            </w:r>
          </w:p>
          <w:p w:rsidR="00284C85" w:rsidRDefault="00284C85">
            <w:pPr>
              <w:spacing w:line="240" w:lineRule="auto"/>
            </w:pPr>
          </w:p>
        </w:tc>
      </w:tr>
      <w:tr w:rsidR="00284C85" w:rsidTr="009315A7">
        <w:tc>
          <w:tcPr>
            <w:tcW w:w="2088" w:type="dxa"/>
            <w:shd w:val="clear" w:color="auto" w:fill="BFBFBF"/>
          </w:tcPr>
          <w:p w:rsidR="00284C85" w:rsidRDefault="00284C85">
            <w:pPr>
              <w:spacing w:line="240" w:lineRule="auto"/>
              <w:rPr>
                <w:rFonts w:eastAsia="Times New Roman"/>
                <w:color w:val="000000"/>
                <w:sz w:val="22"/>
                <w:szCs w:val="22"/>
                <w:lang w:eastAsia="en-GB"/>
              </w:rPr>
            </w:pPr>
            <w:r>
              <w:rPr>
                <w:rFonts w:eastAsia="Times New Roman"/>
                <w:b/>
                <w:color w:val="000000"/>
                <w:sz w:val="22"/>
                <w:szCs w:val="22"/>
                <w:lang w:eastAsia="en-GB"/>
              </w:rPr>
              <w:t>Standards;</w:t>
            </w:r>
          </w:p>
          <w:p w:rsidR="00284C85" w:rsidRDefault="00284C85">
            <w:pPr>
              <w:numPr>
                <w:ilvl w:val="0"/>
                <w:numId w:val="5"/>
              </w:numPr>
              <w:spacing w:line="240" w:lineRule="auto"/>
              <w:ind w:left="284" w:hanging="284"/>
              <w:rPr>
                <w:rFonts w:eastAsia="Times New Roman"/>
                <w:color w:val="000000"/>
                <w:sz w:val="22"/>
                <w:szCs w:val="22"/>
                <w:lang w:eastAsia="en-GB"/>
              </w:rPr>
            </w:pPr>
            <w:r>
              <w:rPr>
                <w:rFonts w:eastAsia="Times New Roman"/>
                <w:color w:val="000000"/>
                <w:sz w:val="22"/>
                <w:szCs w:val="22"/>
                <w:lang w:eastAsia="en-GB"/>
              </w:rPr>
              <w:t>Publication standard</w:t>
            </w:r>
          </w:p>
          <w:p w:rsidR="00284C85" w:rsidRDefault="00284C85">
            <w:pPr>
              <w:numPr>
                <w:ilvl w:val="0"/>
                <w:numId w:val="5"/>
              </w:numPr>
              <w:spacing w:line="240" w:lineRule="auto"/>
              <w:ind w:left="284" w:hanging="284"/>
              <w:rPr>
                <w:rFonts w:eastAsia="Times New Roman"/>
                <w:color w:val="000000"/>
                <w:sz w:val="22"/>
                <w:szCs w:val="22"/>
                <w:lang w:eastAsia="en-GB"/>
              </w:rPr>
            </w:pPr>
            <w:r>
              <w:rPr>
                <w:rFonts w:eastAsia="Times New Roman"/>
                <w:color w:val="000000"/>
                <w:sz w:val="22"/>
                <w:szCs w:val="22"/>
                <w:lang w:eastAsia="en-GB"/>
              </w:rPr>
              <w:t>GDS</w:t>
            </w:r>
          </w:p>
          <w:p w:rsidR="00284C85" w:rsidRDefault="00284C85">
            <w:pPr>
              <w:numPr>
                <w:ilvl w:val="0"/>
                <w:numId w:val="5"/>
              </w:numPr>
              <w:spacing w:line="240" w:lineRule="auto"/>
              <w:ind w:left="284" w:hanging="284"/>
              <w:rPr>
                <w:rFonts w:eastAsia="Times New Roman"/>
                <w:color w:val="000000"/>
                <w:sz w:val="22"/>
                <w:szCs w:val="22"/>
                <w:lang w:eastAsia="en-GB"/>
              </w:rPr>
            </w:pPr>
            <w:r>
              <w:rPr>
                <w:rFonts w:eastAsia="Times New Roman"/>
                <w:color w:val="000000"/>
                <w:sz w:val="22"/>
                <w:szCs w:val="22"/>
                <w:lang w:eastAsia="en-GB"/>
              </w:rPr>
              <w:t>Ethics</w:t>
            </w:r>
          </w:p>
          <w:p w:rsidR="00C90BA0" w:rsidRDefault="00C90BA0">
            <w:pPr>
              <w:numPr>
                <w:ilvl w:val="0"/>
                <w:numId w:val="5"/>
              </w:numPr>
              <w:spacing w:line="240" w:lineRule="auto"/>
              <w:ind w:left="284" w:hanging="284"/>
              <w:rPr>
                <w:rFonts w:eastAsia="Times New Roman"/>
                <w:color w:val="000000"/>
                <w:sz w:val="22"/>
                <w:szCs w:val="22"/>
                <w:lang w:eastAsia="en-GB"/>
              </w:rPr>
            </w:pPr>
            <w:r>
              <w:rPr>
                <w:rFonts w:eastAsia="Times New Roman"/>
                <w:color w:val="000000"/>
                <w:sz w:val="22"/>
                <w:szCs w:val="22"/>
                <w:lang w:eastAsia="en-GB"/>
              </w:rPr>
              <w:t>Official statistics</w:t>
            </w:r>
          </w:p>
          <w:p w:rsidR="00284C85" w:rsidRDefault="00284C85" w:rsidP="00570835">
            <w:pPr>
              <w:spacing w:line="240" w:lineRule="auto"/>
            </w:pPr>
          </w:p>
        </w:tc>
        <w:tc>
          <w:tcPr>
            <w:tcW w:w="7992" w:type="dxa"/>
            <w:shd w:val="clear" w:color="auto" w:fill="auto"/>
          </w:tcPr>
          <w:p w:rsidR="00284C85" w:rsidRPr="00D563D3" w:rsidRDefault="00284C85">
            <w:pPr>
              <w:spacing w:line="240" w:lineRule="auto"/>
              <w:rPr>
                <w:rFonts w:eastAsia="Times New Roman"/>
                <w:color w:val="000000"/>
                <w:sz w:val="22"/>
                <w:szCs w:val="22"/>
                <w:lang w:eastAsia="en-GB"/>
              </w:rPr>
            </w:pPr>
            <w:r w:rsidRPr="00D563D3">
              <w:rPr>
                <w:rFonts w:eastAsia="Times New Roman"/>
                <w:color w:val="000000"/>
                <w:sz w:val="22"/>
                <w:szCs w:val="22"/>
                <w:lang w:eastAsia="en-GB"/>
              </w:rPr>
              <w:t xml:space="preserve">The work must align with the </w:t>
            </w:r>
            <w:r w:rsidRPr="001B41CF">
              <w:rPr>
                <w:rFonts w:eastAsia="Times New Roman"/>
                <w:color w:val="000000"/>
                <w:sz w:val="22"/>
                <w:szCs w:val="22"/>
                <w:lang w:eastAsia="en-GB"/>
              </w:rPr>
              <w:t xml:space="preserve">principles of the </w:t>
            </w:r>
            <w:hyperlink r:id="rId15" w:history="1">
              <w:r w:rsidRPr="00EA55D6">
                <w:rPr>
                  <w:rStyle w:val="Hyperlink"/>
                  <w:rFonts w:eastAsia="Times New Roman" w:cs="Arial"/>
                  <w:sz w:val="22"/>
                  <w:szCs w:val="22"/>
                  <w:lang w:eastAsia="en-GB"/>
                </w:rPr>
                <w:t>PHE Publication Standard</w:t>
              </w:r>
            </w:hyperlink>
          </w:p>
          <w:p w:rsidR="00284C85" w:rsidRPr="001B41CF" w:rsidRDefault="00284C85">
            <w:pPr>
              <w:spacing w:line="240" w:lineRule="auto"/>
              <w:rPr>
                <w:rFonts w:eastAsia="Times New Roman"/>
                <w:color w:val="000000"/>
                <w:sz w:val="22"/>
                <w:szCs w:val="22"/>
                <w:lang w:eastAsia="en-GB"/>
              </w:rPr>
            </w:pPr>
          </w:p>
          <w:p w:rsidR="00284C85" w:rsidRPr="00D563D3" w:rsidRDefault="00284C85">
            <w:pPr>
              <w:spacing w:line="240" w:lineRule="auto"/>
              <w:rPr>
                <w:rFonts w:eastAsia="Times New Roman"/>
                <w:color w:val="000000"/>
                <w:sz w:val="22"/>
                <w:szCs w:val="22"/>
                <w:lang w:eastAsia="en-GB"/>
              </w:rPr>
            </w:pPr>
            <w:r w:rsidRPr="00EA55D6">
              <w:rPr>
                <w:rFonts w:eastAsia="Times New Roman"/>
                <w:color w:val="000000"/>
                <w:sz w:val="22"/>
                <w:szCs w:val="22"/>
                <w:lang w:eastAsia="en-GB"/>
              </w:rPr>
              <w:t xml:space="preserve">The work should be written in the </w:t>
            </w:r>
            <w:hyperlink r:id="rId16" w:history="1">
              <w:r w:rsidRPr="00EA55D6">
                <w:rPr>
                  <w:rStyle w:val="Hyperlink"/>
                  <w:rFonts w:eastAsia="Times New Roman" w:cs="Arial"/>
                  <w:sz w:val="22"/>
                  <w:szCs w:val="22"/>
                  <w:lang w:eastAsia="en-GB"/>
                </w:rPr>
                <w:t>GDS style</w:t>
              </w:r>
            </w:hyperlink>
            <w:r w:rsidRPr="00D563D3">
              <w:rPr>
                <w:rFonts w:eastAsia="Times New Roman"/>
                <w:color w:val="000000"/>
                <w:sz w:val="22"/>
                <w:szCs w:val="22"/>
                <w:lang w:eastAsia="en-GB"/>
              </w:rPr>
              <w:t xml:space="preserve"> if it is intended for publication on gov.uk and be in </w:t>
            </w:r>
            <w:hyperlink r:id="rId17" w:history="1">
              <w:r w:rsidRPr="00EA55D6">
                <w:rPr>
                  <w:rStyle w:val="Hyperlink"/>
                  <w:rFonts w:eastAsia="Times New Roman" w:cs="Arial"/>
                  <w:sz w:val="22"/>
                  <w:szCs w:val="22"/>
                  <w:lang w:eastAsia="en-GB"/>
                </w:rPr>
                <w:t>PHE house style</w:t>
              </w:r>
            </w:hyperlink>
            <w:r w:rsidRPr="00D563D3">
              <w:rPr>
                <w:rFonts w:eastAsia="Times New Roman"/>
                <w:color w:val="000000"/>
                <w:sz w:val="22"/>
                <w:szCs w:val="22"/>
                <w:lang w:eastAsia="en-GB"/>
              </w:rPr>
              <w:t>.</w:t>
            </w:r>
          </w:p>
          <w:p w:rsidR="00284C85" w:rsidRPr="001B41CF" w:rsidRDefault="00284C85">
            <w:pPr>
              <w:spacing w:line="240" w:lineRule="auto"/>
              <w:rPr>
                <w:rFonts w:eastAsia="Times New Roman"/>
                <w:color w:val="000000"/>
                <w:sz w:val="22"/>
                <w:szCs w:val="22"/>
                <w:lang w:eastAsia="en-GB"/>
              </w:rPr>
            </w:pPr>
          </w:p>
          <w:p w:rsidR="00284C85" w:rsidRDefault="00284C85">
            <w:pPr>
              <w:spacing w:line="240" w:lineRule="auto"/>
              <w:rPr>
                <w:rFonts w:eastAsia="Times New Roman"/>
                <w:sz w:val="22"/>
                <w:szCs w:val="22"/>
                <w:lang w:eastAsia="en-GB"/>
              </w:rPr>
            </w:pPr>
            <w:r w:rsidRPr="00500D91">
              <w:rPr>
                <w:rFonts w:eastAsia="Times New Roman"/>
                <w:sz w:val="22"/>
                <w:szCs w:val="22"/>
                <w:lang w:eastAsia="en-GB"/>
              </w:rPr>
              <w:t xml:space="preserve">The works must comply with any appropriate </w:t>
            </w:r>
            <w:hyperlink r:id="rId18" w:history="1">
              <w:r w:rsidRPr="00500D91">
                <w:rPr>
                  <w:rStyle w:val="Hyperlink"/>
                  <w:rFonts w:eastAsia="Times New Roman" w:cs="Arial"/>
                  <w:color w:val="auto"/>
                  <w:sz w:val="22"/>
                  <w:szCs w:val="22"/>
                  <w:lang w:eastAsia="en-GB"/>
                </w:rPr>
                <w:t>ethics</w:t>
              </w:r>
            </w:hyperlink>
            <w:r w:rsidRPr="00500D91">
              <w:rPr>
                <w:rFonts w:eastAsia="Times New Roman"/>
                <w:sz w:val="22"/>
                <w:szCs w:val="22"/>
                <w:lang w:eastAsia="en-GB"/>
              </w:rPr>
              <w:t xml:space="preserve"> requirement/approval</w:t>
            </w:r>
          </w:p>
          <w:p w:rsidR="00C90BA0" w:rsidRDefault="00C90BA0">
            <w:pPr>
              <w:spacing w:line="240" w:lineRule="auto"/>
              <w:rPr>
                <w:rFonts w:eastAsia="Times New Roman"/>
                <w:sz w:val="22"/>
                <w:szCs w:val="22"/>
                <w:lang w:eastAsia="en-GB"/>
              </w:rPr>
            </w:pPr>
          </w:p>
          <w:p w:rsidR="00C90BA0" w:rsidRDefault="00C90BA0">
            <w:pPr>
              <w:spacing w:line="240" w:lineRule="auto"/>
              <w:rPr>
                <w:rFonts w:eastAsia="Times New Roman"/>
                <w:sz w:val="22"/>
                <w:szCs w:val="22"/>
                <w:lang w:eastAsia="en-GB"/>
              </w:rPr>
            </w:pPr>
            <w:r>
              <w:rPr>
                <w:rFonts w:eastAsia="Times New Roman"/>
                <w:sz w:val="22"/>
                <w:szCs w:val="22"/>
                <w:lang w:eastAsia="en-GB"/>
              </w:rPr>
              <w:t xml:space="preserve">The data will be considered as </w:t>
            </w:r>
            <w:r w:rsidRPr="00C90BA0">
              <w:rPr>
                <w:rFonts w:eastAsia="Times New Roman"/>
                <w:sz w:val="22"/>
                <w:szCs w:val="22"/>
                <w:lang w:eastAsia="en-GB"/>
              </w:rPr>
              <w:t>Official Statistics</w:t>
            </w:r>
            <w:r>
              <w:rPr>
                <w:rFonts w:eastAsia="Times New Roman"/>
                <w:sz w:val="22"/>
                <w:szCs w:val="22"/>
                <w:lang w:eastAsia="en-GB"/>
              </w:rPr>
              <w:t xml:space="preserve">, which is </w:t>
            </w:r>
            <w:r w:rsidRPr="00C90BA0">
              <w:rPr>
                <w:rFonts w:eastAsia="Times New Roman"/>
                <w:sz w:val="22"/>
                <w:szCs w:val="22"/>
                <w:lang w:eastAsia="en-GB"/>
              </w:rPr>
              <w:t>produced impartially and free from political influence</w:t>
            </w:r>
            <w:r>
              <w:rPr>
                <w:rFonts w:eastAsia="Times New Roman"/>
                <w:sz w:val="22"/>
                <w:szCs w:val="22"/>
                <w:lang w:eastAsia="en-GB"/>
              </w:rPr>
              <w:t>.</w:t>
            </w:r>
          </w:p>
          <w:p w:rsidR="00C90BA0" w:rsidRDefault="00C90BA0">
            <w:pPr>
              <w:spacing w:line="240" w:lineRule="auto"/>
              <w:rPr>
                <w:rFonts w:eastAsia="Times New Roman"/>
                <w:sz w:val="22"/>
                <w:szCs w:val="22"/>
                <w:lang w:eastAsia="en-GB"/>
              </w:rPr>
            </w:pPr>
          </w:p>
          <w:p w:rsidR="00C90BA0" w:rsidRDefault="00333B0F">
            <w:pPr>
              <w:spacing w:line="240" w:lineRule="auto"/>
              <w:rPr>
                <w:rFonts w:eastAsia="Times New Roman"/>
                <w:sz w:val="22"/>
                <w:szCs w:val="22"/>
                <w:lang w:eastAsia="en-GB"/>
              </w:rPr>
            </w:pPr>
            <w:r>
              <w:rPr>
                <w:rFonts w:eastAsia="Times New Roman"/>
                <w:sz w:val="22"/>
                <w:szCs w:val="22"/>
                <w:lang w:eastAsia="en-GB"/>
              </w:rPr>
              <w:t xml:space="preserve">We expect the </w:t>
            </w:r>
            <w:r w:rsidR="00C90BA0">
              <w:rPr>
                <w:rFonts w:eastAsia="Times New Roman"/>
                <w:sz w:val="22"/>
                <w:szCs w:val="22"/>
                <w:lang w:eastAsia="en-GB"/>
              </w:rPr>
              <w:t xml:space="preserve">supplier </w:t>
            </w:r>
            <w:r>
              <w:rPr>
                <w:rFonts w:eastAsia="Times New Roman"/>
                <w:sz w:val="22"/>
                <w:szCs w:val="22"/>
                <w:lang w:eastAsia="en-GB"/>
              </w:rPr>
              <w:t>to deposit the data with the UK Data Service Archive. Further information can be found here:</w:t>
            </w:r>
            <w:r w:rsidR="00C90BA0">
              <w:rPr>
                <w:rFonts w:eastAsia="Times New Roman"/>
                <w:sz w:val="22"/>
                <w:szCs w:val="22"/>
                <w:lang w:eastAsia="en-GB"/>
              </w:rPr>
              <w:t xml:space="preserve"> </w:t>
            </w:r>
            <w:hyperlink r:id="rId19" w:history="1">
              <w:r w:rsidRPr="00454DFD">
                <w:rPr>
                  <w:rStyle w:val="Hyperlink"/>
                  <w:rFonts w:eastAsia="Times New Roman" w:cs="Arial"/>
                  <w:sz w:val="22"/>
                  <w:szCs w:val="22"/>
                  <w:lang w:eastAsia="en-GB"/>
                </w:rPr>
                <w:t>https://www.ukdataservice.ac.uk/</w:t>
              </w:r>
            </w:hyperlink>
          </w:p>
          <w:p w:rsidR="00333B0F" w:rsidRPr="00500D91" w:rsidRDefault="00333B0F">
            <w:pPr>
              <w:spacing w:line="240" w:lineRule="auto"/>
              <w:rPr>
                <w:rFonts w:eastAsia="Times New Roman"/>
                <w:sz w:val="22"/>
                <w:szCs w:val="22"/>
                <w:lang w:eastAsia="en-GB"/>
              </w:rPr>
            </w:pPr>
          </w:p>
          <w:p w:rsidR="00284C85" w:rsidRPr="00EA55D6" w:rsidRDefault="00284C85" w:rsidP="00500D91">
            <w:pPr>
              <w:spacing w:line="240" w:lineRule="auto"/>
              <w:rPr>
                <w:sz w:val="22"/>
                <w:szCs w:val="22"/>
              </w:rPr>
            </w:pPr>
          </w:p>
        </w:tc>
      </w:tr>
      <w:tr w:rsidR="00284C85" w:rsidTr="009315A7">
        <w:tc>
          <w:tcPr>
            <w:tcW w:w="2088" w:type="dxa"/>
            <w:shd w:val="clear" w:color="auto" w:fill="BFBFBF"/>
          </w:tcPr>
          <w:p w:rsidR="00284C85" w:rsidRDefault="00284C85">
            <w:pPr>
              <w:spacing w:line="240" w:lineRule="auto"/>
            </w:pPr>
            <w:r>
              <w:rPr>
                <w:rFonts w:eastAsia="Times New Roman"/>
                <w:b/>
                <w:color w:val="000000"/>
                <w:sz w:val="22"/>
                <w:szCs w:val="22"/>
                <w:lang w:eastAsia="en-GB"/>
              </w:rPr>
              <w:t>Equity &amp; Equality</w:t>
            </w:r>
          </w:p>
        </w:tc>
        <w:tc>
          <w:tcPr>
            <w:tcW w:w="7992" w:type="dxa"/>
            <w:shd w:val="clear" w:color="auto" w:fill="auto"/>
          </w:tcPr>
          <w:p w:rsidR="00284C85" w:rsidRDefault="00284C85">
            <w:pPr>
              <w:spacing w:line="240" w:lineRule="auto"/>
              <w:rPr>
                <w:rFonts w:eastAsia="Times New Roman"/>
                <w:color w:val="000000"/>
                <w:sz w:val="22"/>
                <w:szCs w:val="22"/>
                <w:lang w:eastAsia="en-GB"/>
              </w:rPr>
            </w:pPr>
            <w:r w:rsidRPr="00D563D3">
              <w:rPr>
                <w:rFonts w:eastAsia="Times New Roman"/>
                <w:color w:val="000000"/>
                <w:sz w:val="22"/>
                <w:szCs w:val="22"/>
                <w:lang w:eastAsia="en-GB"/>
              </w:rPr>
              <w:t>PHE is vigi</w:t>
            </w:r>
            <w:r w:rsidRPr="001B41CF">
              <w:rPr>
                <w:rFonts w:eastAsia="Times New Roman"/>
                <w:color w:val="000000"/>
                <w:sz w:val="22"/>
                <w:szCs w:val="22"/>
                <w:lang w:eastAsia="en-GB"/>
              </w:rPr>
              <w:t xml:space="preserve">lant in its duty to reduce inequalities and to promote equity and </w:t>
            </w:r>
            <w:r w:rsidRPr="001B41CF">
              <w:rPr>
                <w:rFonts w:eastAsia="Times New Roman"/>
                <w:color w:val="000000"/>
                <w:sz w:val="22"/>
                <w:szCs w:val="22"/>
                <w:lang w:eastAsia="en-GB"/>
              </w:rPr>
              <w:lastRenderedPageBreak/>
              <w:t>equality.  It is therefore vital that all work undertaken on behalf of PHE can demonstrate how it supports this agenda and where appropriate/required an Equality Impact Assessment (EIA</w:t>
            </w:r>
            <w:r w:rsidR="00570835">
              <w:rPr>
                <w:rFonts w:eastAsia="Times New Roman"/>
                <w:color w:val="000000"/>
                <w:sz w:val="22"/>
                <w:szCs w:val="22"/>
                <w:lang w:eastAsia="en-GB"/>
              </w:rPr>
              <w:t>) is carried out.</w:t>
            </w:r>
          </w:p>
          <w:p w:rsidR="00570835" w:rsidRPr="00D563D3" w:rsidRDefault="00570835">
            <w:pPr>
              <w:spacing w:line="240" w:lineRule="auto"/>
              <w:rPr>
                <w:rFonts w:eastAsia="Times New Roman"/>
                <w:color w:val="000000"/>
                <w:sz w:val="22"/>
                <w:szCs w:val="22"/>
                <w:lang w:eastAsia="en-GB"/>
              </w:rPr>
            </w:pPr>
          </w:p>
          <w:p w:rsidR="00284C85" w:rsidRPr="00EA55D6" w:rsidRDefault="00284C85">
            <w:pPr>
              <w:spacing w:line="240" w:lineRule="auto"/>
              <w:rPr>
                <w:sz w:val="22"/>
                <w:szCs w:val="22"/>
              </w:rPr>
            </w:pPr>
            <w:r w:rsidRPr="001B41CF">
              <w:rPr>
                <w:rFonts w:eastAsia="Times New Roman"/>
                <w:color w:val="000000"/>
                <w:sz w:val="22"/>
                <w:szCs w:val="22"/>
                <w:lang w:eastAsia="en-GB"/>
              </w:rPr>
              <w:t xml:space="preserve">It is also important to consider the </w:t>
            </w:r>
            <w:hyperlink r:id="rId20" w:history="1">
              <w:r w:rsidRPr="00EA55D6">
                <w:rPr>
                  <w:rStyle w:val="Hyperlink"/>
                  <w:rFonts w:eastAsia="Times New Roman" w:cs="Arial"/>
                  <w:sz w:val="22"/>
                  <w:szCs w:val="22"/>
                  <w:lang w:eastAsia="en-GB"/>
                </w:rPr>
                <w:t>Equalities Act 2010</w:t>
              </w:r>
            </w:hyperlink>
            <w:r w:rsidRPr="00D563D3">
              <w:rPr>
                <w:rFonts w:eastAsia="Times New Roman"/>
                <w:color w:val="000000"/>
                <w:sz w:val="22"/>
                <w:szCs w:val="22"/>
                <w:lang w:eastAsia="en-GB"/>
              </w:rPr>
              <w:t xml:space="preserve"> and ensure compliance with this and the protected characteristics within are considered</w:t>
            </w:r>
          </w:p>
          <w:p w:rsidR="00284C85" w:rsidRPr="00EA55D6" w:rsidRDefault="00284C85">
            <w:pPr>
              <w:spacing w:line="240" w:lineRule="auto"/>
              <w:rPr>
                <w:sz w:val="22"/>
                <w:szCs w:val="22"/>
              </w:rPr>
            </w:pPr>
          </w:p>
        </w:tc>
      </w:tr>
      <w:tr w:rsidR="00284C85" w:rsidTr="009315A7">
        <w:tc>
          <w:tcPr>
            <w:tcW w:w="2088" w:type="dxa"/>
            <w:shd w:val="clear" w:color="auto" w:fill="BFBFBF"/>
          </w:tcPr>
          <w:p w:rsidR="00284C85" w:rsidRDefault="00284C85">
            <w:pPr>
              <w:spacing w:line="240" w:lineRule="auto"/>
              <w:rPr>
                <w:rFonts w:eastAsia="Times New Roman"/>
                <w:b/>
                <w:color w:val="000000"/>
                <w:sz w:val="22"/>
                <w:szCs w:val="22"/>
                <w:lang w:eastAsia="en-GB"/>
              </w:rPr>
            </w:pPr>
            <w:r>
              <w:rPr>
                <w:rFonts w:eastAsia="Times New Roman"/>
                <w:b/>
                <w:color w:val="000000"/>
                <w:sz w:val="22"/>
                <w:szCs w:val="22"/>
                <w:lang w:eastAsia="en-GB"/>
              </w:rPr>
              <w:lastRenderedPageBreak/>
              <w:t>Timeframe</w:t>
            </w:r>
          </w:p>
          <w:p w:rsidR="00284C85" w:rsidRDefault="00284C85">
            <w:pPr>
              <w:spacing w:line="240" w:lineRule="auto"/>
              <w:rPr>
                <w:rFonts w:eastAsia="Times New Roman"/>
                <w:b/>
                <w:color w:val="000000"/>
                <w:sz w:val="22"/>
                <w:szCs w:val="22"/>
                <w:lang w:eastAsia="en-GB"/>
              </w:rPr>
            </w:pPr>
          </w:p>
          <w:p w:rsidR="00284C85" w:rsidRDefault="00284C85">
            <w:pPr>
              <w:spacing w:line="240" w:lineRule="auto"/>
              <w:rPr>
                <w:rFonts w:eastAsia="Times New Roman"/>
                <w:color w:val="000000"/>
                <w:sz w:val="22"/>
                <w:szCs w:val="22"/>
                <w:lang w:eastAsia="en-GB"/>
              </w:rPr>
            </w:pPr>
          </w:p>
          <w:p w:rsidR="00284C85" w:rsidRDefault="00284C85">
            <w:pPr>
              <w:spacing w:line="240" w:lineRule="auto"/>
            </w:pPr>
          </w:p>
        </w:tc>
        <w:tc>
          <w:tcPr>
            <w:tcW w:w="7992" w:type="dxa"/>
            <w:shd w:val="clear" w:color="auto" w:fill="auto"/>
          </w:tcPr>
          <w:p w:rsidR="00284C85" w:rsidRPr="001B41CF" w:rsidRDefault="00EC4251">
            <w:pPr>
              <w:spacing w:line="240" w:lineRule="auto"/>
              <w:rPr>
                <w:rFonts w:eastAsia="Times New Roman"/>
                <w:color w:val="000000"/>
                <w:sz w:val="22"/>
                <w:szCs w:val="22"/>
                <w:lang w:eastAsia="en-GB"/>
              </w:rPr>
            </w:pPr>
            <w:r>
              <w:rPr>
                <w:rFonts w:eastAsia="Times New Roman"/>
                <w:color w:val="000000"/>
                <w:sz w:val="22"/>
                <w:szCs w:val="22"/>
                <w:lang w:eastAsia="en-GB"/>
              </w:rPr>
              <w:t>All the deliverables must be in place by 31</w:t>
            </w:r>
            <w:r w:rsidRPr="00EC4251">
              <w:rPr>
                <w:rFonts w:eastAsia="Times New Roman"/>
                <w:color w:val="000000"/>
                <w:sz w:val="22"/>
                <w:szCs w:val="22"/>
                <w:vertAlign w:val="superscript"/>
                <w:lang w:eastAsia="en-GB"/>
              </w:rPr>
              <w:t>st</w:t>
            </w:r>
            <w:r>
              <w:rPr>
                <w:rFonts w:eastAsia="Times New Roman"/>
                <w:color w:val="000000"/>
                <w:sz w:val="22"/>
                <w:szCs w:val="22"/>
                <w:lang w:eastAsia="en-GB"/>
              </w:rPr>
              <w:t xml:space="preserve"> March 2017.</w:t>
            </w:r>
          </w:p>
          <w:p w:rsidR="004F61C3" w:rsidRPr="004F61C3" w:rsidRDefault="004F61C3" w:rsidP="004F61C3">
            <w:pPr>
              <w:spacing w:line="240" w:lineRule="auto"/>
              <w:rPr>
                <w:rFonts w:eastAsia="Times New Roman"/>
                <w:color w:val="000000"/>
                <w:sz w:val="22"/>
                <w:szCs w:val="22"/>
                <w:lang w:eastAsia="en-GB"/>
              </w:rPr>
            </w:pPr>
          </w:p>
          <w:p w:rsidR="00FA4705" w:rsidRPr="004F61C3" w:rsidRDefault="004F61C3" w:rsidP="004F61C3">
            <w:pPr>
              <w:spacing w:line="240" w:lineRule="auto"/>
              <w:rPr>
                <w:rFonts w:eastAsia="Times New Roman"/>
                <w:color w:val="000000"/>
                <w:sz w:val="22"/>
                <w:szCs w:val="22"/>
                <w:lang w:eastAsia="en-GB"/>
              </w:rPr>
            </w:pPr>
            <w:r w:rsidRPr="004F61C3">
              <w:rPr>
                <w:rFonts w:eastAsia="Times New Roman"/>
                <w:color w:val="000000"/>
                <w:sz w:val="22"/>
                <w:szCs w:val="22"/>
                <w:lang w:eastAsia="en-GB"/>
              </w:rPr>
              <w:t xml:space="preserve">The Service Provider will provide the Authority </w:t>
            </w:r>
            <w:r w:rsidR="00EC4251">
              <w:rPr>
                <w:rFonts w:eastAsia="Times New Roman"/>
                <w:color w:val="000000"/>
                <w:sz w:val="22"/>
                <w:szCs w:val="22"/>
                <w:lang w:eastAsia="en-GB"/>
              </w:rPr>
              <w:t xml:space="preserve">with regular progress updates regarding </w:t>
            </w:r>
            <w:r w:rsidR="00FB02D6">
              <w:rPr>
                <w:rFonts w:eastAsia="Times New Roman"/>
                <w:color w:val="000000"/>
                <w:sz w:val="22"/>
                <w:szCs w:val="22"/>
                <w:lang w:eastAsia="en-GB"/>
              </w:rPr>
              <w:t xml:space="preserve">delivery of </w:t>
            </w:r>
            <w:r w:rsidR="00EC4251">
              <w:rPr>
                <w:rFonts w:eastAsia="Times New Roman"/>
                <w:color w:val="000000"/>
                <w:sz w:val="22"/>
                <w:szCs w:val="22"/>
                <w:lang w:eastAsia="en-GB"/>
              </w:rPr>
              <w:t xml:space="preserve">the agreed </w:t>
            </w:r>
            <w:r w:rsidR="00D50807">
              <w:rPr>
                <w:rFonts w:eastAsia="Times New Roman"/>
                <w:color w:val="000000"/>
                <w:sz w:val="22"/>
                <w:szCs w:val="22"/>
                <w:lang w:eastAsia="en-GB"/>
              </w:rPr>
              <w:t>deliverables by the end of the financial year.</w:t>
            </w:r>
          </w:p>
          <w:p w:rsidR="00284C85" w:rsidRPr="00EA55D6" w:rsidRDefault="00284C85">
            <w:pPr>
              <w:spacing w:line="240" w:lineRule="auto"/>
              <w:rPr>
                <w:sz w:val="22"/>
                <w:szCs w:val="22"/>
              </w:rPr>
            </w:pPr>
          </w:p>
        </w:tc>
      </w:tr>
      <w:tr w:rsidR="00284C85" w:rsidTr="009315A7">
        <w:tc>
          <w:tcPr>
            <w:tcW w:w="2088" w:type="dxa"/>
            <w:shd w:val="clear" w:color="auto" w:fill="BFBFBF"/>
          </w:tcPr>
          <w:p w:rsidR="00284C85" w:rsidRDefault="00284C85">
            <w:pPr>
              <w:spacing w:line="240" w:lineRule="auto"/>
            </w:pPr>
            <w:r>
              <w:rPr>
                <w:rFonts w:eastAsia="Times New Roman"/>
                <w:b/>
                <w:color w:val="000000"/>
                <w:sz w:val="22"/>
                <w:szCs w:val="22"/>
                <w:lang w:eastAsia="en-GB"/>
              </w:rPr>
              <w:t>Enquiries</w:t>
            </w:r>
            <w:r>
              <w:rPr>
                <w:rFonts w:eastAsia="Times New Roman"/>
                <w:color w:val="000000"/>
                <w:sz w:val="22"/>
                <w:szCs w:val="22"/>
                <w:lang w:eastAsia="en-GB"/>
              </w:rPr>
              <w:t xml:space="preserve"> and returned bids to</w:t>
            </w:r>
          </w:p>
        </w:tc>
        <w:tc>
          <w:tcPr>
            <w:tcW w:w="7992" w:type="dxa"/>
            <w:shd w:val="clear" w:color="auto" w:fill="auto"/>
          </w:tcPr>
          <w:p w:rsidR="00DC5AE4" w:rsidRDefault="00DC5AE4" w:rsidP="00DC5AE4">
            <w:r>
              <w:t xml:space="preserve">The tendering process is being carried out using </w:t>
            </w:r>
            <w:proofErr w:type="spellStart"/>
            <w:r>
              <w:t>BravoSolution</w:t>
            </w:r>
            <w:proofErr w:type="spellEnd"/>
            <w:r>
              <w:t xml:space="preserve"> e-tendering portal</w:t>
            </w:r>
            <w:r w:rsidR="0002034A">
              <w:t>:</w:t>
            </w:r>
            <w:r>
              <w:t xml:space="preserve"> </w:t>
            </w:r>
            <w:hyperlink r:id="rId21" w:history="1">
              <w:r w:rsidR="0002034A" w:rsidRPr="004C6053">
                <w:rPr>
                  <w:rStyle w:val="Hyperlink"/>
                  <w:rFonts w:cs="Arial"/>
                </w:rPr>
                <w:t>https://phe.bravosolution.co.uk</w:t>
              </w:r>
            </w:hyperlink>
          </w:p>
          <w:p w:rsidR="00DC5AE4" w:rsidRDefault="00DC5AE4" w:rsidP="00DC5AE4">
            <w:pPr>
              <w:spacing w:line="240" w:lineRule="exact"/>
              <w:jc w:val="both"/>
              <w:rPr>
                <w:sz w:val="20"/>
                <w:szCs w:val="20"/>
              </w:rPr>
            </w:pPr>
          </w:p>
          <w:p w:rsidR="00DC5AE4" w:rsidRDefault="00DC5AE4" w:rsidP="00DC5AE4">
            <w:pPr>
              <w:rPr>
                <w:sz w:val="22"/>
                <w:szCs w:val="22"/>
              </w:rPr>
            </w:pPr>
            <w:r>
              <w:t>Potential providers must register on the portal to be able to access the Invitation to Tender. All questions and responses must be made via the portal. Questions or responses sent directly to employees of PHE will not be answered or accepted.</w:t>
            </w:r>
          </w:p>
          <w:p w:rsidR="00DC5AE4" w:rsidRDefault="00DC5AE4" w:rsidP="00DC5AE4">
            <w:pPr>
              <w:spacing w:line="240" w:lineRule="exact"/>
              <w:jc w:val="both"/>
              <w:rPr>
                <w:sz w:val="20"/>
                <w:szCs w:val="20"/>
              </w:rPr>
            </w:pPr>
          </w:p>
          <w:tbl>
            <w:tblPr>
              <w:tblW w:w="0" w:type="auto"/>
              <w:tblInd w:w="62" w:type="dxa"/>
              <w:tblLayout w:type="fixed"/>
              <w:tblCellMar>
                <w:left w:w="0" w:type="dxa"/>
                <w:right w:w="0" w:type="dxa"/>
              </w:tblCellMar>
              <w:tblLook w:val="04A0" w:firstRow="1" w:lastRow="0" w:firstColumn="1" w:lastColumn="0" w:noHBand="0" w:noVBand="1"/>
            </w:tblPr>
            <w:tblGrid>
              <w:gridCol w:w="1242"/>
              <w:gridCol w:w="4145"/>
            </w:tblGrid>
            <w:tr w:rsidR="00570835" w:rsidTr="00570835">
              <w:tc>
                <w:tcPr>
                  <w:tcW w:w="12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70835" w:rsidRPr="00DC5AE4" w:rsidRDefault="00570835">
                  <w:pPr>
                    <w:rPr>
                      <w:sz w:val="22"/>
                      <w:szCs w:val="22"/>
                      <w:lang w:eastAsia="en-US"/>
                    </w:rPr>
                  </w:pPr>
                  <w:r>
                    <w:rPr>
                      <w:b/>
                      <w:bCs/>
                    </w:rPr>
                    <w:t>Stage 1</w:t>
                  </w:r>
                  <w:r>
                    <w:t xml:space="preserve"> </w:t>
                  </w:r>
                </w:p>
              </w:tc>
              <w:tc>
                <w:tcPr>
                  <w:tcW w:w="41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70835" w:rsidRPr="00DC5AE4" w:rsidRDefault="00570835">
                  <w:pPr>
                    <w:rPr>
                      <w:b/>
                      <w:bCs/>
                      <w:sz w:val="22"/>
                      <w:szCs w:val="22"/>
                      <w:lang w:eastAsia="en-US"/>
                    </w:rPr>
                  </w:pPr>
                  <w:r>
                    <w:t>Formal Invitation to Tender</w:t>
                  </w:r>
                </w:p>
              </w:tc>
            </w:tr>
            <w:tr w:rsidR="00570835" w:rsidTr="00570835">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0835" w:rsidRPr="00DC5AE4" w:rsidRDefault="00570835">
                  <w:pPr>
                    <w:rPr>
                      <w:sz w:val="22"/>
                      <w:szCs w:val="22"/>
                      <w:lang w:eastAsia="en-US"/>
                    </w:rPr>
                  </w:pPr>
                  <w:r>
                    <w:rPr>
                      <w:b/>
                      <w:bCs/>
                    </w:rPr>
                    <w:t>Stage 2</w:t>
                  </w:r>
                  <w:r>
                    <w:t xml:space="preserve"> </w:t>
                  </w:r>
                </w:p>
              </w:tc>
              <w:tc>
                <w:tcPr>
                  <w:tcW w:w="4145" w:type="dxa"/>
                  <w:tcBorders>
                    <w:top w:val="nil"/>
                    <w:left w:val="nil"/>
                    <w:bottom w:val="single" w:sz="8" w:space="0" w:color="auto"/>
                    <w:right w:val="single" w:sz="8" w:space="0" w:color="auto"/>
                  </w:tcBorders>
                  <w:tcMar>
                    <w:top w:w="0" w:type="dxa"/>
                    <w:left w:w="108" w:type="dxa"/>
                    <w:bottom w:w="0" w:type="dxa"/>
                    <w:right w:w="108" w:type="dxa"/>
                  </w:tcMar>
                  <w:hideMark/>
                </w:tcPr>
                <w:p w:rsidR="00570835" w:rsidRPr="00DC5AE4" w:rsidRDefault="00570835">
                  <w:pPr>
                    <w:rPr>
                      <w:b/>
                      <w:bCs/>
                      <w:sz w:val="22"/>
                      <w:szCs w:val="22"/>
                      <w:lang w:eastAsia="en-US"/>
                    </w:rPr>
                  </w:pPr>
                  <w:r>
                    <w:t>Evaluation and Clarification*</w:t>
                  </w:r>
                </w:p>
              </w:tc>
            </w:tr>
            <w:tr w:rsidR="00570835" w:rsidTr="00570835">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0835" w:rsidRPr="00DC5AE4" w:rsidRDefault="00570835">
                  <w:pPr>
                    <w:rPr>
                      <w:sz w:val="22"/>
                      <w:szCs w:val="22"/>
                      <w:lang w:eastAsia="en-US"/>
                    </w:rPr>
                  </w:pPr>
                  <w:r>
                    <w:rPr>
                      <w:b/>
                      <w:bCs/>
                    </w:rPr>
                    <w:t>Stage 3</w:t>
                  </w:r>
                  <w:r>
                    <w:t xml:space="preserve"> </w:t>
                  </w:r>
                </w:p>
              </w:tc>
              <w:tc>
                <w:tcPr>
                  <w:tcW w:w="4145" w:type="dxa"/>
                  <w:tcBorders>
                    <w:top w:val="nil"/>
                    <w:left w:val="nil"/>
                    <w:bottom w:val="single" w:sz="8" w:space="0" w:color="auto"/>
                    <w:right w:val="single" w:sz="8" w:space="0" w:color="auto"/>
                  </w:tcBorders>
                  <w:tcMar>
                    <w:top w:w="0" w:type="dxa"/>
                    <w:left w:w="108" w:type="dxa"/>
                    <w:bottom w:w="0" w:type="dxa"/>
                    <w:right w:w="108" w:type="dxa"/>
                  </w:tcMar>
                  <w:hideMark/>
                </w:tcPr>
                <w:p w:rsidR="00570835" w:rsidRPr="00DC5AE4" w:rsidRDefault="00570835">
                  <w:pPr>
                    <w:rPr>
                      <w:b/>
                      <w:bCs/>
                      <w:sz w:val="22"/>
                      <w:szCs w:val="22"/>
                      <w:lang w:eastAsia="en-US"/>
                    </w:rPr>
                  </w:pPr>
                  <w:r>
                    <w:t xml:space="preserve">Award </w:t>
                  </w:r>
                </w:p>
              </w:tc>
            </w:tr>
          </w:tbl>
          <w:p w:rsidR="00DC5AE4" w:rsidRPr="00DC5AE4" w:rsidRDefault="00DC5AE4" w:rsidP="00DC5AE4">
            <w:pPr>
              <w:rPr>
                <w:rFonts w:ascii="Calibri" w:hAnsi="Calibri"/>
                <w:sz w:val="22"/>
                <w:szCs w:val="22"/>
                <w:lang w:eastAsia="en-US"/>
              </w:rPr>
            </w:pPr>
          </w:p>
          <w:p w:rsidR="00DC5AE4" w:rsidRDefault="00DC5AE4" w:rsidP="00DC5AE4">
            <w:r>
              <w:t>*We reserve the right to interview applicants or to make decision via e-correspondence and applications only</w:t>
            </w:r>
          </w:p>
          <w:p w:rsidR="00DC5AE4" w:rsidRDefault="00DC5AE4" w:rsidP="00DC5AE4">
            <w:pPr>
              <w:rPr>
                <w:rFonts w:ascii="Calibri" w:hAnsi="Calibri" w:cs="Times New Roman"/>
              </w:rPr>
            </w:pPr>
            <w:r>
              <w:t xml:space="preserve">Suppliers must complete Stage 1 by the date and time specified on BravoSolution, offers submitted by any other means </w:t>
            </w:r>
            <w:r>
              <w:rPr>
                <w:u w:val="single"/>
              </w:rPr>
              <w:t>will not</w:t>
            </w:r>
            <w:r>
              <w:t xml:space="preserve"> be valid for acceptance.</w:t>
            </w:r>
          </w:p>
          <w:p w:rsidR="00284C85" w:rsidRPr="00EA55D6" w:rsidRDefault="00284C85" w:rsidP="00EA55D6">
            <w:pPr>
              <w:spacing w:line="240" w:lineRule="auto"/>
              <w:rPr>
                <w:sz w:val="22"/>
                <w:szCs w:val="22"/>
              </w:rPr>
            </w:pPr>
          </w:p>
        </w:tc>
      </w:tr>
    </w:tbl>
    <w:p w:rsidR="00284C85" w:rsidRDefault="00284C85">
      <w:pPr>
        <w:spacing w:line="240" w:lineRule="auto"/>
        <w:rPr>
          <w:rFonts w:eastAsia="Times New Roman"/>
          <w:color w:val="000000"/>
          <w:lang w:eastAsia="en-GB"/>
        </w:rPr>
      </w:pPr>
    </w:p>
    <w:p w:rsidR="0002034A" w:rsidRDefault="0002034A">
      <w:pPr>
        <w:pStyle w:val="NormalWeb"/>
        <w:ind w:left="640" w:hanging="640"/>
        <w:rPr>
          <w:rFonts w:ascii="Arial" w:hAnsi="Arial" w:cs="Arial"/>
          <w:lang w:eastAsia="en-GB"/>
        </w:rPr>
      </w:pPr>
      <w:r>
        <w:rPr>
          <w:rFonts w:ascii="Arial" w:hAnsi="Arial" w:cs="Arial"/>
          <w:lang w:eastAsia="en-GB"/>
        </w:rPr>
        <w:fldChar w:fldCharType="begin"/>
      </w:r>
      <w:r>
        <w:rPr>
          <w:rFonts w:ascii="Arial" w:hAnsi="Arial" w:cs="Arial"/>
          <w:lang w:eastAsia="en-GB"/>
        </w:rPr>
        <w:instrText xml:space="preserve"> HYPERLINK "1. </w:instrText>
      </w:r>
      <w:r>
        <w:rPr>
          <w:rFonts w:ascii="Arial" w:hAnsi="Arial" w:cs="Arial"/>
          <w:lang w:eastAsia="en-GB"/>
        </w:rPr>
        <w:tab/>
        <w:instrText>Grading of Recommendations Assessment, Development and Evaluation Working Group [Internet]. [cited 2016 Jul 27]. Available from: http://www.gradeworkinggroup.org/index.html</w:instrText>
      </w:r>
    </w:p>
    <w:p w:rsidR="0002034A" w:rsidRDefault="0002034A">
      <w:pPr>
        <w:pStyle w:val="NormalWeb"/>
        <w:ind w:left="640" w:hanging="640"/>
        <w:rPr>
          <w:rFonts w:ascii="Arial" w:hAnsi="Arial" w:cs="Arial"/>
          <w:lang w:eastAsia="en-GB"/>
        </w:rPr>
      </w:pPr>
      <w:r>
        <w:rPr>
          <w:rFonts w:ascii="Arial" w:hAnsi="Arial" w:cs="Arial"/>
          <w:lang w:eastAsia="en-GB"/>
        </w:rPr>
        <w:instrText xml:space="preserve">2. </w:instrText>
      </w:r>
      <w:r>
        <w:rPr>
          <w:rFonts w:ascii="Arial" w:hAnsi="Arial" w:cs="Arial"/>
          <w:lang w:eastAsia="en-GB"/>
        </w:rPr>
        <w:tab/>
        <w:instrText>Critical Appraisal Skills Programme; tools and checklists [Internet]. [cited 2016 Apr 15]. Available from: http://www.casp-uk.net/#!casp-tools-checklists/c18f8</w:instrText>
      </w:r>
    </w:p>
    <w:p w:rsidR="0002034A" w:rsidRDefault="0002034A">
      <w:pPr>
        <w:pStyle w:val="NormalWeb"/>
        <w:ind w:left="640" w:hanging="640"/>
      </w:pPr>
      <w:r>
        <w:rPr>
          <w:rFonts w:ascii="Arial" w:hAnsi="Arial" w:cs="Arial"/>
          <w:lang w:eastAsia="en-GB"/>
        </w:rPr>
        <w:instrText xml:space="preserve">3. </w:instrText>
      </w:r>
      <w:r>
        <w:rPr>
          <w:rFonts w:ascii="Arial" w:hAnsi="Arial" w:cs="Arial"/>
          <w:lang w:eastAsia="en-GB"/>
        </w:rPr>
        <w:tab/>
        <w:instrText xml:space="preserve">Joanna Briggs Institute, SUMARI, Reviwers manuals [Internet]. [cited 2016 Jul 27]. Available from: http://joannabriggs.org/sumari.html </w:instrText>
      </w:r>
    </w:p>
    <w:p w:rsidR="0002034A" w:rsidRPr="004C6053" w:rsidRDefault="0002034A">
      <w:pPr>
        <w:pStyle w:val="NormalWeb"/>
        <w:ind w:left="640" w:hanging="640"/>
        <w:rPr>
          <w:rStyle w:val="Hyperlink"/>
          <w:rFonts w:ascii="Arial" w:hAnsi="Arial" w:cs="Arial"/>
          <w:lang w:eastAsia="en-GB"/>
        </w:rPr>
      </w:pPr>
      <w:r>
        <w:rPr>
          <w:rFonts w:ascii="Arial" w:hAnsi="Arial" w:cs="Arial"/>
          <w:lang w:eastAsia="en-GB"/>
        </w:rPr>
        <w:instrText xml:space="preserve">" </w:instrText>
      </w:r>
      <w:r>
        <w:rPr>
          <w:rFonts w:ascii="Arial" w:hAnsi="Arial" w:cs="Arial"/>
          <w:lang w:eastAsia="en-GB"/>
        </w:rPr>
        <w:fldChar w:fldCharType="separate"/>
      </w:r>
      <w:r w:rsidRPr="004C6053">
        <w:rPr>
          <w:rStyle w:val="Hyperlink"/>
          <w:rFonts w:ascii="Arial" w:hAnsi="Arial" w:cs="Arial"/>
          <w:lang w:eastAsia="en-GB"/>
        </w:rPr>
        <w:t xml:space="preserve">1. </w:t>
      </w:r>
      <w:r w:rsidRPr="004C6053">
        <w:rPr>
          <w:rStyle w:val="Hyperlink"/>
          <w:rFonts w:ascii="Arial" w:hAnsi="Arial" w:cs="Arial"/>
          <w:lang w:eastAsia="en-GB"/>
        </w:rPr>
        <w:tab/>
        <w:t>Grading of Recommendations Assessment, Development and Evaluation Working Group [Internet]. [</w:t>
      </w:r>
      <w:proofErr w:type="gramStart"/>
      <w:r w:rsidRPr="004C6053">
        <w:rPr>
          <w:rStyle w:val="Hyperlink"/>
          <w:rFonts w:ascii="Arial" w:hAnsi="Arial" w:cs="Arial"/>
          <w:lang w:eastAsia="en-GB"/>
        </w:rPr>
        <w:t>cited</w:t>
      </w:r>
      <w:proofErr w:type="gramEnd"/>
      <w:r w:rsidRPr="004C6053">
        <w:rPr>
          <w:rStyle w:val="Hyperlink"/>
          <w:rFonts w:ascii="Arial" w:hAnsi="Arial" w:cs="Arial"/>
          <w:lang w:eastAsia="en-GB"/>
        </w:rPr>
        <w:t xml:space="preserve"> 2016 Jul 27]. Available from: http://www.gradeworkinggroup.org/index.html</w:t>
      </w:r>
    </w:p>
    <w:p w:rsidR="0002034A" w:rsidRPr="004C6053" w:rsidRDefault="0002034A">
      <w:pPr>
        <w:pStyle w:val="NormalWeb"/>
        <w:ind w:left="640" w:hanging="640"/>
        <w:rPr>
          <w:rStyle w:val="Hyperlink"/>
          <w:rFonts w:ascii="Arial" w:hAnsi="Arial" w:cs="Arial"/>
          <w:lang w:eastAsia="en-GB"/>
        </w:rPr>
      </w:pPr>
      <w:r w:rsidRPr="004C6053">
        <w:rPr>
          <w:rStyle w:val="Hyperlink"/>
          <w:rFonts w:ascii="Arial" w:hAnsi="Arial" w:cs="Arial"/>
          <w:lang w:eastAsia="en-GB"/>
        </w:rPr>
        <w:t xml:space="preserve">2. </w:t>
      </w:r>
      <w:r w:rsidRPr="004C6053">
        <w:rPr>
          <w:rStyle w:val="Hyperlink"/>
          <w:rFonts w:ascii="Arial" w:hAnsi="Arial" w:cs="Arial"/>
          <w:lang w:eastAsia="en-GB"/>
        </w:rPr>
        <w:tab/>
        <w:t>Critical Appraisal Skills Programme; tools and checklists [Internet]. [</w:t>
      </w:r>
      <w:proofErr w:type="gramStart"/>
      <w:r w:rsidRPr="004C6053">
        <w:rPr>
          <w:rStyle w:val="Hyperlink"/>
          <w:rFonts w:ascii="Arial" w:hAnsi="Arial" w:cs="Arial"/>
          <w:lang w:eastAsia="en-GB"/>
        </w:rPr>
        <w:t>cite</w:t>
      </w:r>
      <w:proofErr w:type="gramEnd"/>
      <w:r w:rsidRPr="004C6053">
        <w:rPr>
          <w:rStyle w:val="Hyperlink"/>
          <w:rFonts w:ascii="Arial" w:hAnsi="Arial" w:cs="Arial"/>
          <w:lang w:eastAsia="en-GB"/>
        </w:rPr>
        <w:t>d 2016 Apr 15]. Available from: http://www.casp-uk.net/#!casp-tools-checklists/c18f8</w:t>
      </w:r>
    </w:p>
    <w:p w:rsidR="0002034A" w:rsidRPr="004C6053" w:rsidRDefault="0002034A">
      <w:pPr>
        <w:pStyle w:val="NormalWeb"/>
        <w:ind w:left="640" w:hanging="640"/>
        <w:rPr>
          <w:rStyle w:val="Hyperlink"/>
        </w:rPr>
      </w:pPr>
      <w:r w:rsidRPr="004C6053">
        <w:rPr>
          <w:rStyle w:val="Hyperlink"/>
          <w:rFonts w:ascii="Arial" w:hAnsi="Arial" w:cs="Arial"/>
          <w:lang w:eastAsia="en-GB"/>
        </w:rPr>
        <w:t xml:space="preserve">3. </w:t>
      </w:r>
      <w:r w:rsidRPr="004C6053">
        <w:rPr>
          <w:rStyle w:val="Hyperlink"/>
          <w:rFonts w:ascii="Arial" w:hAnsi="Arial" w:cs="Arial"/>
          <w:lang w:eastAsia="en-GB"/>
        </w:rPr>
        <w:tab/>
        <w:t>Joanna Briggs Institute, SUMARI, Reviwers manuals [Internet]. [</w:t>
      </w:r>
      <w:proofErr w:type="gramStart"/>
      <w:r w:rsidRPr="004C6053">
        <w:rPr>
          <w:rStyle w:val="Hyperlink"/>
          <w:rFonts w:ascii="Arial" w:hAnsi="Arial" w:cs="Arial"/>
          <w:lang w:eastAsia="en-GB"/>
        </w:rPr>
        <w:t>cite</w:t>
      </w:r>
      <w:proofErr w:type="gramEnd"/>
      <w:r w:rsidRPr="004C6053">
        <w:rPr>
          <w:rStyle w:val="Hyperlink"/>
          <w:rFonts w:ascii="Arial" w:hAnsi="Arial" w:cs="Arial"/>
          <w:lang w:eastAsia="en-GB"/>
        </w:rPr>
        <w:t xml:space="preserve">d 2016 Jul 27]. Available from: http://joannabriggs.org/sumari.html </w:t>
      </w:r>
    </w:p>
    <w:p w:rsidR="00284C85" w:rsidRPr="00EA55D6" w:rsidRDefault="0002034A" w:rsidP="00D563D3">
      <w:pPr>
        <w:spacing w:line="240" w:lineRule="auto"/>
        <w:rPr>
          <w:lang w:eastAsia="en-GB"/>
        </w:rPr>
      </w:pPr>
      <w:r>
        <w:rPr>
          <w:lang w:eastAsia="en-GB"/>
        </w:rPr>
        <w:fldChar w:fldCharType="end"/>
      </w:r>
      <w:bookmarkStart w:id="0" w:name="_GoBack"/>
      <w:bookmarkEnd w:id="0"/>
    </w:p>
    <w:p w:rsidR="00284C85" w:rsidRDefault="00284C85" w:rsidP="00EA55D6">
      <w:pPr>
        <w:pageBreakBefore/>
        <w:spacing w:line="240" w:lineRule="auto"/>
        <w:rPr>
          <w:rFonts w:eastAsia="Times New Roman"/>
          <w:color w:val="000000"/>
          <w:lang w:eastAsia="en-GB"/>
        </w:rPr>
      </w:pPr>
    </w:p>
    <w:tbl>
      <w:tblPr>
        <w:tblW w:w="0" w:type="auto"/>
        <w:tblInd w:w="108" w:type="dxa"/>
        <w:tblLayout w:type="fixed"/>
        <w:tblLook w:val="0000" w:firstRow="0" w:lastRow="0" w:firstColumn="0" w:lastColumn="0" w:noHBand="0" w:noVBand="0"/>
      </w:tblPr>
      <w:tblGrid>
        <w:gridCol w:w="2088"/>
        <w:gridCol w:w="7992"/>
      </w:tblGrid>
      <w:tr w:rsidR="00284C85">
        <w:tc>
          <w:tcPr>
            <w:tcW w:w="2088" w:type="dxa"/>
            <w:shd w:val="clear" w:color="auto" w:fill="BFBFBF"/>
          </w:tcPr>
          <w:p w:rsidR="00284C85" w:rsidRDefault="00284C85">
            <w:pPr>
              <w:spacing w:line="240" w:lineRule="auto"/>
            </w:pPr>
            <w:r>
              <w:rPr>
                <w:rFonts w:eastAsia="Times New Roman"/>
                <w:b/>
                <w:color w:val="000000"/>
                <w:lang w:eastAsia="en-GB"/>
              </w:rPr>
              <w:t xml:space="preserve">Application process </w:t>
            </w:r>
          </w:p>
          <w:p w:rsidR="00284C85" w:rsidRDefault="00284C85">
            <w:pPr>
              <w:spacing w:line="240" w:lineRule="auto"/>
            </w:pPr>
          </w:p>
        </w:tc>
        <w:tc>
          <w:tcPr>
            <w:tcW w:w="7992" w:type="dxa"/>
            <w:shd w:val="clear" w:color="auto" w:fill="auto"/>
          </w:tcPr>
          <w:p w:rsidR="00284C85" w:rsidRDefault="00284C85">
            <w:pPr>
              <w:spacing w:before="240" w:after="240" w:line="240" w:lineRule="auto"/>
              <w:rPr>
                <w:rFonts w:eastAsia="Times New Roman"/>
                <w:b/>
                <w:sz w:val="22"/>
                <w:szCs w:val="22"/>
              </w:rPr>
            </w:pPr>
            <w:r>
              <w:rPr>
                <w:rFonts w:eastAsia="Times New Roman"/>
                <w:sz w:val="22"/>
                <w:szCs w:val="22"/>
                <w:lang w:eastAsia="en-GB"/>
              </w:rPr>
              <w:t xml:space="preserve">You should provide information on each of the key elements outlined below There is a </w:t>
            </w:r>
            <w:r w:rsidRPr="00500D91">
              <w:rPr>
                <w:rFonts w:eastAsia="Times New Roman"/>
                <w:sz w:val="22"/>
                <w:szCs w:val="22"/>
                <w:lang w:eastAsia="en-GB"/>
              </w:rPr>
              <w:t>maximum 1,500 word limit f</w:t>
            </w:r>
            <w:r w:rsidR="00570835">
              <w:rPr>
                <w:rFonts w:eastAsia="Times New Roman"/>
                <w:sz w:val="22"/>
                <w:szCs w:val="22"/>
                <w:lang w:eastAsia="en-GB"/>
              </w:rPr>
              <w:t>or applications.</w:t>
            </w:r>
          </w:p>
          <w:p w:rsidR="00284C85" w:rsidRDefault="00284C85">
            <w:pPr>
              <w:numPr>
                <w:ilvl w:val="0"/>
                <w:numId w:val="2"/>
              </w:numPr>
              <w:tabs>
                <w:tab w:val="left" w:pos="-1440"/>
              </w:tabs>
              <w:spacing w:line="276" w:lineRule="auto"/>
              <w:ind w:left="567" w:hanging="425"/>
              <w:rPr>
                <w:rFonts w:eastAsia="Times New Roman"/>
                <w:sz w:val="22"/>
                <w:szCs w:val="22"/>
              </w:rPr>
            </w:pPr>
            <w:r>
              <w:rPr>
                <w:rFonts w:eastAsia="Times New Roman"/>
                <w:b/>
                <w:sz w:val="22"/>
                <w:szCs w:val="22"/>
              </w:rPr>
              <w:t>Background</w:t>
            </w:r>
            <w:r>
              <w:rPr>
                <w:rFonts w:eastAsia="Times New Roman"/>
                <w:sz w:val="22"/>
                <w:szCs w:val="22"/>
              </w:rPr>
              <w:t>: full contact details for your organisation together with a statement of the approach that you would take in relation to the above outline, and a summary of why you wish to undertake this work.</w:t>
            </w:r>
          </w:p>
          <w:p w:rsidR="00284C85" w:rsidRDefault="00284C85">
            <w:pPr>
              <w:spacing w:line="276" w:lineRule="auto"/>
              <w:rPr>
                <w:rFonts w:eastAsia="Times New Roman"/>
                <w:sz w:val="22"/>
                <w:szCs w:val="22"/>
              </w:rPr>
            </w:pPr>
          </w:p>
          <w:p w:rsidR="00284C85" w:rsidRDefault="00284C85">
            <w:pPr>
              <w:numPr>
                <w:ilvl w:val="0"/>
                <w:numId w:val="2"/>
              </w:numPr>
              <w:tabs>
                <w:tab w:val="left" w:pos="-1440"/>
              </w:tabs>
              <w:spacing w:line="276" w:lineRule="auto"/>
              <w:ind w:left="567" w:hanging="425"/>
              <w:rPr>
                <w:rFonts w:eastAsia="Times New Roman"/>
                <w:sz w:val="22"/>
                <w:szCs w:val="22"/>
              </w:rPr>
            </w:pPr>
            <w:r>
              <w:rPr>
                <w:rFonts w:eastAsia="Times New Roman"/>
                <w:b/>
                <w:sz w:val="22"/>
                <w:szCs w:val="22"/>
              </w:rPr>
              <w:t>Previous experience in the field/area</w:t>
            </w:r>
            <w:r>
              <w:rPr>
                <w:rFonts w:eastAsia="Times New Roman"/>
                <w:sz w:val="22"/>
                <w:szCs w:val="22"/>
              </w:rPr>
              <w:t>: a description of your organisation/individuals expertise as it pertains to carrying out this project, in particular expertise in systematic reviewing of evidence work that demonstrate your experience and ability to provide this work to a high standard. Particular attention should be paid to demonstrating your experience of how research outputs have been used for health/public health and/or employment/labour market related policy.</w:t>
            </w:r>
          </w:p>
          <w:p w:rsidR="00284C85" w:rsidRDefault="00284C85">
            <w:pPr>
              <w:spacing w:line="276" w:lineRule="auto"/>
              <w:ind w:left="567" w:hanging="425"/>
              <w:rPr>
                <w:rFonts w:eastAsia="Times New Roman"/>
                <w:sz w:val="22"/>
                <w:szCs w:val="22"/>
              </w:rPr>
            </w:pPr>
          </w:p>
          <w:p w:rsidR="00284C85" w:rsidRDefault="00284C85">
            <w:pPr>
              <w:numPr>
                <w:ilvl w:val="0"/>
                <w:numId w:val="2"/>
              </w:numPr>
              <w:tabs>
                <w:tab w:val="left" w:pos="-1440"/>
              </w:tabs>
              <w:spacing w:line="276" w:lineRule="auto"/>
              <w:ind w:left="567" w:hanging="425"/>
              <w:rPr>
                <w:rFonts w:eastAsia="Times New Roman"/>
                <w:sz w:val="22"/>
                <w:szCs w:val="22"/>
              </w:rPr>
            </w:pPr>
            <w:r>
              <w:rPr>
                <w:rFonts w:eastAsia="Times New Roman"/>
                <w:b/>
                <w:sz w:val="22"/>
                <w:szCs w:val="22"/>
              </w:rPr>
              <w:t>Brief project plan and methodology</w:t>
            </w:r>
            <w:r>
              <w:rPr>
                <w:rFonts w:eastAsia="Times New Roman"/>
                <w:sz w:val="22"/>
                <w:szCs w:val="22"/>
              </w:rPr>
              <w:t xml:space="preserve">:  detailed description of the activities that would be undertaken for the production of each of the research questions and how this will be achieved within the set timeline. This should include a description of and rationale for the proposed methods/approach for each stage of development. </w:t>
            </w:r>
          </w:p>
          <w:p w:rsidR="00284C85" w:rsidRDefault="00284C85">
            <w:pPr>
              <w:tabs>
                <w:tab w:val="left" w:pos="-1440"/>
              </w:tabs>
              <w:spacing w:line="276" w:lineRule="auto"/>
              <w:ind w:left="567"/>
              <w:rPr>
                <w:rFonts w:eastAsia="Times New Roman"/>
                <w:sz w:val="22"/>
                <w:szCs w:val="22"/>
              </w:rPr>
            </w:pPr>
          </w:p>
          <w:p w:rsidR="00284C85" w:rsidRDefault="00284C85">
            <w:pPr>
              <w:numPr>
                <w:ilvl w:val="0"/>
                <w:numId w:val="2"/>
              </w:numPr>
              <w:tabs>
                <w:tab w:val="left" w:pos="-1440"/>
              </w:tabs>
              <w:spacing w:line="276" w:lineRule="auto"/>
              <w:ind w:left="567" w:hanging="425"/>
              <w:rPr>
                <w:rFonts w:eastAsia="Times New Roman"/>
                <w:sz w:val="22"/>
                <w:szCs w:val="22"/>
              </w:rPr>
            </w:pPr>
            <w:r>
              <w:rPr>
                <w:rFonts w:eastAsia="Times New Roman"/>
                <w:b/>
                <w:sz w:val="22"/>
                <w:szCs w:val="22"/>
              </w:rPr>
              <w:t>Risk statement:</w:t>
            </w:r>
            <w:r>
              <w:rPr>
                <w:rFonts w:eastAsia="Times New Roman"/>
                <w:sz w:val="22"/>
                <w:szCs w:val="22"/>
              </w:rPr>
              <w:t xml:space="preserve"> on the management and ownership of the rapid evidence assessment(s)</w:t>
            </w:r>
          </w:p>
          <w:p w:rsidR="00284C85" w:rsidRDefault="00284C85" w:rsidP="00570835">
            <w:pPr>
              <w:spacing w:line="276" w:lineRule="auto"/>
              <w:ind w:left="720"/>
              <w:contextualSpacing/>
              <w:rPr>
                <w:rFonts w:eastAsia="Times New Roman"/>
                <w:sz w:val="22"/>
                <w:szCs w:val="22"/>
              </w:rPr>
            </w:pPr>
          </w:p>
          <w:p w:rsidR="00284C85" w:rsidRDefault="00284C85">
            <w:pPr>
              <w:numPr>
                <w:ilvl w:val="0"/>
                <w:numId w:val="2"/>
              </w:numPr>
              <w:spacing w:line="276" w:lineRule="auto"/>
              <w:ind w:left="567" w:hanging="425"/>
              <w:rPr>
                <w:rFonts w:eastAsia="Times New Roman"/>
                <w:sz w:val="22"/>
                <w:szCs w:val="22"/>
                <w:lang w:eastAsia="en-GB"/>
              </w:rPr>
            </w:pPr>
            <w:r>
              <w:rPr>
                <w:rFonts w:eastAsia="Times New Roman"/>
                <w:b/>
                <w:sz w:val="22"/>
                <w:szCs w:val="22"/>
              </w:rPr>
              <w:t>Project costs:</w:t>
            </w:r>
            <w:r>
              <w:rPr>
                <w:rFonts w:eastAsia="Times New Roman"/>
                <w:sz w:val="22"/>
                <w:szCs w:val="22"/>
              </w:rPr>
              <w:t xml:space="preserve"> </w:t>
            </w:r>
            <w:r>
              <w:rPr>
                <w:rFonts w:eastAsia="Times New Roman"/>
                <w:sz w:val="22"/>
              </w:rPr>
              <w:t xml:space="preserve">Please provide a breakdown of the estimated budget necessary to deliver the service. This should also show the estimated time commitment of core team members. </w:t>
            </w:r>
          </w:p>
          <w:p w:rsidR="00284C85" w:rsidRDefault="00284C85">
            <w:pPr>
              <w:spacing w:line="276" w:lineRule="auto"/>
              <w:ind w:left="360"/>
              <w:rPr>
                <w:rFonts w:eastAsia="Times New Roman"/>
                <w:sz w:val="22"/>
                <w:szCs w:val="22"/>
                <w:lang w:eastAsia="en-GB"/>
              </w:rPr>
            </w:pPr>
          </w:p>
          <w:p w:rsidR="00284C85" w:rsidRDefault="00284C85">
            <w:pPr>
              <w:numPr>
                <w:ilvl w:val="0"/>
                <w:numId w:val="2"/>
              </w:numPr>
              <w:spacing w:after="200" w:line="276" w:lineRule="auto"/>
              <w:ind w:left="567" w:hanging="425"/>
              <w:contextualSpacing/>
            </w:pPr>
            <w:r>
              <w:rPr>
                <w:b/>
                <w:sz w:val="22"/>
                <w:szCs w:val="22"/>
              </w:rPr>
              <w:t>Team CVs</w:t>
            </w:r>
            <w:r>
              <w:rPr>
                <w:sz w:val="22"/>
                <w:szCs w:val="22"/>
              </w:rPr>
              <w:t>: these will not be included in the word count.</w:t>
            </w:r>
          </w:p>
          <w:p w:rsidR="00284C85" w:rsidRDefault="00284C85">
            <w:pPr>
              <w:spacing w:line="240" w:lineRule="auto"/>
            </w:pPr>
          </w:p>
        </w:tc>
      </w:tr>
      <w:tr w:rsidR="00284C85">
        <w:tc>
          <w:tcPr>
            <w:tcW w:w="2088" w:type="dxa"/>
            <w:shd w:val="clear" w:color="auto" w:fill="BFBFBF"/>
          </w:tcPr>
          <w:p w:rsidR="00284C85" w:rsidRDefault="00284C85" w:rsidP="00140D2E">
            <w:pPr>
              <w:spacing w:line="240" w:lineRule="auto"/>
            </w:pPr>
            <w:r>
              <w:rPr>
                <w:rFonts w:eastAsia="Times New Roman"/>
                <w:b/>
                <w:color w:val="000000"/>
                <w:lang w:eastAsia="en-GB"/>
              </w:rPr>
              <w:t>Submissions d deadline</w:t>
            </w:r>
          </w:p>
        </w:tc>
        <w:tc>
          <w:tcPr>
            <w:tcW w:w="7992" w:type="dxa"/>
            <w:shd w:val="clear" w:color="auto" w:fill="auto"/>
          </w:tcPr>
          <w:p w:rsidR="00284C85" w:rsidRDefault="00284C85">
            <w:pPr>
              <w:spacing w:before="240" w:after="240" w:line="240" w:lineRule="auto"/>
              <w:rPr>
                <w:rFonts w:eastAsia="Times New Roman"/>
                <w:sz w:val="22"/>
                <w:szCs w:val="22"/>
                <w:lang w:eastAsia="en-GB"/>
              </w:rPr>
            </w:pPr>
            <w:r>
              <w:rPr>
                <w:rFonts w:eastAsia="Times New Roman"/>
                <w:sz w:val="22"/>
                <w:szCs w:val="22"/>
                <w:lang w:eastAsia="en-GB"/>
              </w:rPr>
              <w:t xml:space="preserve">Completed bids should be </w:t>
            </w:r>
            <w:r w:rsidR="00DC5AE4">
              <w:rPr>
                <w:rFonts w:eastAsia="Times New Roman"/>
                <w:sz w:val="22"/>
                <w:szCs w:val="22"/>
                <w:lang w:eastAsia="en-GB"/>
              </w:rPr>
              <w:t xml:space="preserve">submitted via the </w:t>
            </w:r>
            <w:r w:rsidR="00DC5AE4" w:rsidRPr="00DC5AE4">
              <w:rPr>
                <w:rFonts w:eastAsia="Times New Roman"/>
                <w:sz w:val="22"/>
                <w:szCs w:val="22"/>
                <w:lang w:eastAsia="en-GB"/>
              </w:rPr>
              <w:t xml:space="preserve">BravoSolution e-tendering portal </w:t>
            </w:r>
            <w:r w:rsidR="00DC5AE4">
              <w:rPr>
                <w:rFonts w:eastAsia="Times New Roman"/>
                <w:sz w:val="22"/>
                <w:szCs w:val="22"/>
                <w:lang w:eastAsia="en-GB"/>
              </w:rPr>
              <w:t>as detailed above.</w:t>
            </w:r>
          </w:p>
          <w:p w:rsidR="00284C85" w:rsidRDefault="00284C85">
            <w:pPr>
              <w:spacing w:before="240" w:after="240" w:line="240" w:lineRule="auto"/>
              <w:rPr>
                <w:rFonts w:eastAsia="Times New Roman"/>
                <w:sz w:val="22"/>
                <w:szCs w:val="22"/>
                <w:lang w:eastAsia="en-GB"/>
              </w:rPr>
            </w:pPr>
            <w:r>
              <w:rPr>
                <w:rFonts w:eastAsia="Times New Roman"/>
                <w:sz w:val="22"/>
                <w:szCs w:val="22"/>
                <w:lang w:eastAsia="en-GB"/>
              </w:rPr>
              <w:t xml:space="preserve">Deadline for submissions is </w:t>
            </w:r>
            <w:r w:rsidR="00B439A7">
              <w:rPr>
                <w:rFonts w:eastAsia="Times New Roman"/>
                <w:sz w:val="22"/>
                <w:szCs w:val="22"/>
                <w:lang w:eastAsia="en-GB"/>
              </w:rPr>
              <w:t>Noon on Friday 13</w:t>
            </w:r>
            <w:r w:rsidR="00F23CC7" w:rsidRPr="00F23CC7">
              <w:rPr>
                <w:rFonts w:eastAsia="Times New Roman"/>
                <w:sz w:val="22"/>
                <w:szCs w:val="22"/>
                <w:vertAlign w:val="superscript"/>
                <w:lang w:eastAsia="en-GB"/>
              </w:rPr>
              <w:t>th</w:t>
            </w:r>
            <w:r w:rsidR="00F23CC7">
              <w:rPr>
                <w:rFonts w:eastAsia="Times New Roman"/>
                <w:sz w:val="22"/>
                <w:szCs w:val="22"/>
                <w:lang w:eastAsia="en-GB"/>
              </w:rPr>
              <w:t xml:space="preserve"> January 2017.</w:t>
            </w:r>
          </w:p>
          <w:p w:rsidR="00284C85" w:rsidRDefault="00284C85">
            <w:pPr>
              <w:spacing w:before="240" w:after="240" w:line="240" w:lineRule="auto"/>
              <w:rPr>
                <w:rFonts w:eastAsia="Times New Roman"/>
                <w:sz w:val="22"/>
                <w:szCs w:val="22"/>
                <w:lang w:eastAsia="en-GB"/>
              </w:rPr>
            </w:pPr>
            <w:r>
              <w:rPr>
                <w:rFonts w:eastAsia="Times New Roman"/>
                <w:sz w:val="22"/>
                <w:szCs w:val="22"/>
                <w:lang w:eastAsia="en-GB"/>
              </w:rPr>
              <w:t xml:space="preserve">The successful supplier will be appointed on </w:t>
            </w:r>
            <w:r w:rsidR="00B439A7">
              <w:rPr>
                <w:rFonts w:eastAsia="Times New Roman"/>
                <w:sz w:val="22"/>
                <w:szCs w:val="22"/>
                <w:lang w:eastAsia="en-GB"/>
              </w:rPr>
              <w:t>20</w:t>
            </w:r>
            <w:r w:rsidR="00B439A7" w:rsidRPr="00B439A7">
              <w:rPr>
                <w:rFonts w:eastAsia="Times New Roman"/>
                <w:sz w:val="22"/>
                <w:szCs w:val="22"/>
                <w:vertAlign w:val="superscript"/>
                <w:lang w:eastAsia="en-GB"/>
              </w:rPr>
              <w:t>th</w:t>
            </w:r>
            <w:r w:rsidR="00F23CC7">
              <w:rPr>
                <w:rFonts w:eastAsia="Times New Roman"/>
                <w:sz w:val="22"/>
                <w:szCs w:val="22"/>
                <w:lang w:eastAsia="en-GB"/>
              </w:rPr>
              <w:t xml:space="preserve"> January 2017</w:t>
            </w:r>
            <w:r w:rsidR="00B439A7">
              <w:rPr>
                <w:rFonts w:eastAsia="Times New Roman"/>
                <w:sz w:val="22"/>
                <w:szCs w:val="22"/>
                <w:lang w:eastAsia="en-GB"/>
              </w:rPr>
              <w:t>.</w:t>
            </w:r>
          </w:p>
          <w:p w:rsidR="00A27C81" w:rsidRDefault="00A27C81">
            <w:pPr>
              <w:spacing w:before="240" w:after="240" w:line="240" w:lineRule="auto"/>
              <w:rPr>
                <w:rFonts w:eastAsia="Times New Roman"/>
                <w:sz w:val="22"/>
                <w:szCs w:val="22"/>
                <w:lang w:eastAsia="en-GB"/>
              </w:rPr>
            </w:pPr>
          </w:p>
          <w:p w:rsidR="00A27C81" w:rsidRDefault="00A27C81">
            <w:pPr>
              <w:spacing w:before="240" w:after="240" w:line="240" w:lineRule="auto"/>
            </w:pPr>
          </w:p>
        </w:tc>
      </w:tr>
      <w:tr w:rsidR="00284C85" w:rsidTr="00A27C81">
        <w:trPr>
          <w:cantSplit/>
        </w:trPr>
        <w:tc>
          <w:tcPr>
            <w:tcW w:w="2088" w:type="dxa"/>
            <w:shd w:val="clear" w:color="auto" w:fill="BFBFBF"/>
          </w:tcPr>
          <w:p w:rsidR="00284C85" w:rsidRDefault="00284C85">
            <w:pPr>
              <w:spacing w:line="240" w:lineRule="auto"/>
            </w:pPr>
            <w:r>
              <w:lastRenderedPageBreak/>
              <w:t>Assessment &amp; scoring criteria for bids</w:t>
            </w:r>
          </w:p>
        </w:tc>
        <w:tc>
          <w:tcPr>
            <w:tcW w:w="7992" w:type="dxa"/>
            <w:shd w:val="clear" w:color="auto" w:fill="auto"/>
          </w:tcPr>
          <w:p w:rsidR="000A40E0" w:rsidRPr="000A40E0" w:rsidRDefault="000A40E0" w:rsidP="000A40E0">
            <w:pPr>
              <w:autoSpaceDE w:val="0"/>
              <w:autoSpaceDN w:val="0"/>
              <w:adjustRightInd w:val="0"/>
              <w:spacing w:line="240" w:lineRule="auto"/>
              <w:rPr>
                <w:sz w:val="22"/>
                <w:szCs w:val="22"/>
              </w:rPr>
            </w:pPr>
            <w:r w:rsidRPr="000A40E0">
              <w:rPr>
                <w:sz w:val="22"/>
                <w:szCs w:val="22"/>
              </w:rPr>
              <w:t>Public Health England (PHE) is looking to engage with a professional body to produce the outputs as described in the attached "Specification Document.</w:t>
            </w:r>
          </w:p>
          <w:p w:rsidR="000A40E0" w:rsidRPr="000A40E0" w:rsidRDefault="000A40E0" w:rsidP="000A40E0">
            <w:pPr>
              <w:autoSpaceDE w:val="0"/>
              <w:autoSpaceDN w:val="0"/>
              <w:adjustRightInd w:val="0"/>
              <w:spacing w:line="240" w:lineRule="auto"/>
              <w:rPr>
                <w:sz w:val="22"/>
                <w:szCs w:val="22"/>
              </w:rPr>
            </w:pPr>
          </w:p>
          <w:p w:rsidR="000A40E0" w:rsidRPr="000A40E0" w:rsidRDefault="000A40E0" w:rsidP="000A40E0">
            <w:pPr>
              <w:autoSpaceDE w:val="0"/>
              <w:autoSpaceDN w:val="0"/>
              <w:adjustRightInd w:val="0"/>
              <w:spacing w:line="240" w:lineRule="auto"/>
              <w:rPr>
                <w:sz w:val="22"/>
                <w:szCs w:val="22"/>
              </w:rPr>
            </w:pPr>
            <w:r w:rsidRPr="000A40E0">
              <w:rPr>
                <w:sz w:val="22"/>
                <w:szCs w:val="22"/>
              </w:rPr>
              <w:t>Please note:  There is a total word limit (excluding CV's) of 1,500 words per application.</w:t>
            </w:r>
          </w:p>
          <w:p w:rsidR="000A40E0" w:rsidRPr="000A40E0" w:rsidRDefault="000A40E0" w:rsidP="000A40E0">
            <w:pPr>
              <w:autoSpaceDE w:val="0"/>
              <w:autoSpaceDN w:val="0"/>
              <w:adjustRightInd w:val="0"/>
              <w:spacing w:line="240" w:lineRule="auto"/>
              <w:rPr>
                <w:sz w:val="22"/>
                <w:szCs w:val="22"/>
              </w:rPr>
            </w:pPr>
          </w:p>
          <w:tbl>
            <w:tblPr>
              <w:tblStyle w:val="TableGrid"/>
              <w:tblW w:w="7905" w:type="dxa"/>
              <w:tblLayout w:type="fixed"/>
              <w:tblLook w:val="04A0" w:firstRow="1" w:lastRow="0" w:firstColumn="1" w:lastColumn="0" w:noHBand="0" w:noVBand="1"/>
            </w:tblPr>
            <w:tblGrid>
              <w:gridCol w:w="1343"/>
              <w:gridCol w:w="4253"/>
              <w:gridCol w:w="1275"/>
              <w:gridCol w:w="1034"/>
            </w:tblGrid>
            <w:tr w:rsidR="000A40E0" w:rsidRPr="000A40E0" w:rsidTr="000A40E0">
              <w:trPr>
                <w:tblHeader/>
              </w:trPr>
              <w:tc>
                <w:tcPr>
                  <w:tcW w:w="1343" w:type="dxa"/>
                  <w:shd w:val="clear" w:color="auto" w:fill="F2F2F2" w:themeFill="background1" w:themeFillShade="F2"/>
                </w:tcPr>
                <w:p w:rsidR="000A40E0" w:rsidRPr="000A40E0" w:rsidRDefault="000A40E0" w:rsidP="00CB384E">
                  <w:pPr>
                    <w:autoSpaceDE w:val="0"/>
                    <w:autoSpaceDN w:val="0"/>
                    <w:adjustRightInd w:val="0"/>
                    <w:rPr>
                      <w:sz w:val="20"/>
                      <w:szCs w:val="20"/>
                    </w:rPr>
                  </w:pPr>
                  <w:r w:rsidRPr="000A40E0">
                    <w:rPr>
                      <w:sz w:val="20"/>
                      <w:szCs w:val="20"/>
                    </w:rPr>
                    <w:t>Question</w:t>
                  </w:r>
                </w:p>
              </w:tc>
              <w:tc>
                <w:tcPr>
                  <w:tcW w:w="4253" w:type="dxa"/>
                  <w:shd w:val="clear" w:color="auto" w:fill="F2F2F2" w:themeFill="background1" w:themeFillShade="F2"/>
                </w:tcPr>
                <w:p w:rsidR="000A40E0" w:rsidRPr="000A40E0" w:rsidRDefault="000A40E0" w:rsidP="00CB384E">
                  <w:pPr>
                    <w:autoSpaceDE w:val="0"/>
                    <w:autoSpaceDN w:val="0"/>
                    <w:adjustRightInd w:val="0"/>
                    <w:rPr>
                      <w:sz w:val="20"/>
                      <w:szCs w:val="20"/>
                    </w:rPr>
                  </w:pPr>
                  <w:r w:rsidRPr="000A40E0">
                    <w:rPr>
                      <w:sz w:val="20"/>
                      <w:szCs w:val="20"/>
                    </w:rPr>
                    <w:t>Description</w:t>
                  </w:r>
                </w:p>
              </w:tc>
              <w:tc>
                <w:tcPr>
                  <w:tcW w:w="1275" w:type="dxa"/>
                  <w:shd w:val="clear" w:color="auto" w:fill="F2F2F2" w:themeFill="background1" w:themeFillShade="F2"/>
                </w:tcPr>
                <w:p w:rsidR="000A40E0" w:rsidRPr="000A40E0" w:rsidRDefault="000A40E0" w:rsidP="00CB384E">
                  <w:pPr>
                    <w:autoSpaceDE w:val="0"/>
                    <w:autoSpaceDN w:val="0"/>
                    <w:adjustRightInd w:val="0"/>
                    <w:spacing w:line="240" w:lineRule="auto"/>
                    <w:rPr>
                      <w:sz w:val="20"/>
                      <w:szCs w:val="20"/>
                    </w:rPr>
                  </w:pPr>
                  <w:r w:rsidRPr="000A40E0">
                    <w:rPr>
                      <w:sz w:val="20"/>
                      <w:szCs w:val="20"/>
                    </w:rPr>
                    <w:t>Question Type</w:t>
                  </w:r>
                </w:p>
              </w:tc>
              <w:tc>
                <w:tcPr>
                  <w:tcW w:w="1034" w:type="dxa"/>
                  <w:shd w:val="clear" w:color="auto" w:fill="F2F2F2" w:themeFill="background1" w:themeFillShade="F2"/>
                </w:tcPr>
                <w:p w:rsidR="000A40E0" w:rsidRPr="000A40E0" w:rsidRDefault="000A40E0" w:rsidP="00CB384E">
                  <w:pPr>
                    <w:autoSpaceDE w:val="0"/>
                    <w:autoSpaceDN w:val="0"/>
                    <w:adjustRightInd w:val="0"/>
                    <w:spacing w:line="240" w:lineRule="auto"/>
                    <w:rPr>
                      <w:sz w:val="20"/>
                      <w:szCs w:val="20"/>
                    </w:rPr>
                  </w:pPr>
                  <w:r w:rsidRPr="000A40E0">
                    <w:rPr>
                      <w:sz w:val="20"/>
                      <w:szCs w:val="20"/>
                    </w:rPr>
                    <w:t>Min. / Max. Score</w:t>
                  </w:r>
                </w:p>
              </w:tc>
            </w:tr>
            <w:tr w:rsidR="000A40E0" w:rsidRPr="000A40E0" w:rsidTr="000A40E0">
              <w:tc>
                <w:tcPr>
                  <w:tcW w:w="1343" w:type="dxa"/>
                </w:tcPr>
                <w:p w:rsidR="000A40E0" w:rsidRPr="000A40E0" w:rsidRDefault="000A40E0" w:rsidP="00CB384E">
                  <w:pPr>
                    <w:autoSpaceDE w:val="0"/>
                    <w:autoSpaceDN w:val="0"/>
                    <w:adjustRightInd w:val="0"/>
                    <w:rPr>
                      <w:sz w:val="20"/>
                      <w:szCs w:val="20"/>
                    </w:rPr>
                  </w:pPr>
                  <w:r w:rsidRPr="000A40E0">
                    <w:rPr>
                      <w:sz w:val="20"/>
                      <w:szCs w:val="20"/>
                    </w:rPr>
                    <w:t>Completion Date</w:t>
                  </w:r>
                </w:p>
              </w:tc>
              <w:tc>
                <w:tcPr>
                  <w:tcW w:w="4253" w:type="dxa"/>
                </w:tcPr>
                <w:p w:rsidR="000A40E0" w:rsidRPr="000A40E0" w:rsidRDefault="000A40E0" w:rsidP="000A40E0">
                  <w:pPr>
                    <w:autoSpaceDE w:val="0"/>
                    <w:autoSpaceDN w:val="0"/>
                    <w:adjustRightInd w:val="0"/>
                    <w:spacing w:line="240" w:lineRule="auto"/>
                    <w:rPr>
                      <w:sz w:val="20"/>
                      <w:szCs w:val="20"/>
                    </w:rPr>
                  </w:pPr>
                  <w:r w:rsidRPr="000A40E0">
                    <w:rPr>
                      <w:sz w:val="20"/>
                      <w:szCs w:val="20"/>
                    </w:rPr>
                    <w:t>Please confirm that you will be able to compete this piece of work in accordance with the timetable included in the Specification Document (31</w:t>
                  </w:r>
                  <w:r w:rsidRPr="000A40E0">
                    <w:rPr>
                      <w:sz w:val="20"/>
                      <w:szCs w:val="20"/>
                      <w:vertAlign w:val="superscript"/>
                    </w:rPr>
                    <w:t>st</w:t>
                  </w:r>
                  <w:r w:rsidRPr="000A40E0">
                    <w:rPr>
                      <w:sz w:val="20"/>
                      <w:szCs w:val="20"/>
                    </w:rPr>
                    <w:t xml:space="preserve"> March 2017)</w:t>
                  </w:r>
                </w:p>
              </w:tc>
              <w:tc>
                <w:tcPr>
                  <w:tcW w:w="1275" w:type="dxa"/>
                </w:tcPr>
                <w:p w:rsidR="000A40E0" w:rsidRPr="000A40E0" w:rsidRDefault="000A40E0" w:rsidP="00CB384E">
                  <w:pPr>
                    <w:autoSpaceDE w:val="0"/>
                    <w:autoSpaceDN w:val="0"/>
                    <w:adjustRightInd w:val="0"/>
                    <w:rPr>
                      <w:sz w:val="20"/>
                      <w:szCs w:val="20"/>
                    </w:rPr>
                  </w:pPr>
                  <w:r w:rsidRPr="000A40E0">
                    <w:rPr>
                      <w:sz w:val="20"/>
                      <w:szCs w:val="20"/>
                    </w:rPr>
                    <w:t>Yes/No</w:t>
                  </w:r>
                </w:p>
              </w:tc>
              <w:tc>
                <w:tcPr>
                  <w:tcW w:w="1034" w:type="dxa"/>
                </w:tcPr>
                <w:p w:rsidR="000A40E0" w:rsidRPr="000A40E0" w:rsidRDefault="000A40E0" w:rsidP="00CB384E">
                  <w:pPr>
                    <w:autoSpaceDE w:val="0"/>
                    <w:autoSpaceDN w:val="0"/>
                    <w:adjustRightInd w:val="0"/>
                    <w:spacing w:line="240" w:lineRule="auto"/>
                    <w:rPr>
                      <w:sz w:val="20"/>
                      <w:szCs w:val="20"/>
                    </w:rPr>
                  </w:pPr>
                  <w:r w:rsidRPr="000A40E0">
                    <w:rPr>
                      <w:sz w:val="20"/>
                      <w:szCs w:val="20"/>
                    </w:rPr>
                    <w:t>0/0</w:t>
                  </w:r>
                </w:p>
              </w:tc>
            </w:tr>
            <w:tr w:rsidR="000A40E0" w:rsidRPr="000A40E0" w:rsidTr="000A40E0">
              <w:tc>
                <w:tcPr>
                  <w:tcW w:w="1343" w:type="dxa"/>
                </w:tcPr>
                <w:p w:rsidR="000A40E0" w:rsidRPr="000A40E0" w:rsidRDefault="000A40E0" w:rsidP="00CB384E">
                  <w:pPr>
                    <w:autoSpaceDE w:val="0"/>
                    <w:autoSpaceDN w:val="0"/>
                    <w:adjustRightInd w:val="0"/>
                    <w:rPr>
                      <w:sz w:val="20"/>
                      <w:szCs w:val="20"/>
                    </w:rPr>
                  </w:pPr>
                  <w:r w:rsidRPr="000A40E0">
                    <w:rPr>
                      <w:sz w:val="20"/>
                      <w:szCs w:val="20"/>
                    </w:rPr>
                    <w:t>Mandatory</w:t>
                  </w:r>
                </w:p>
              </w:tc>
              <w:tc>
                <w:tcPr>
                  <w:tcW w:w="4253" w:type="dxa"/>
                </w:tcPr>
                <w:p w:rsidR="000A40E0" w:rsidRPr="000A40E0" w:rsidRDefault="000A40E0" w:rsidP="000A40E0">
                  <w:pPr>
                    <w:autoSpaceDE w:val="0"/>
                    <w:autoSpaceDN w:val="0"/>
                    <w:adjustRightInd w:val="0"/>
                    <w:spacing w:line="240" w:lineRule="auto"/>
                    <w:rPr>
                      <w:sz w:val="20"/>
                      <w:szCs w:val="20"/>
                    </w:rPr>
                  </w:pPr>
                  <w:r w:rsidRPr="000A40E0">
                    <w:rPr>
                      <w:sz w:val="20"/>
                      <w:szCs w:val="20"/>
                    </w:rPr>
                    <w:t>Please detail the background of your organisation together with a statement of the approach that you would take in relation to the above outline, and a summary of why you wish to undertake this work.</w:t>
                  </w:r>
                </w:p>
              </w:tc>
              <w:tc>
                <w:tcPr>
                  <w:tcW w:w="1275" w:type="dxa"/>
                </w:tcPr>
                <w:p w:rsidR="000A40E0" w:rsidRPr="000A40E0" w:rsidRDefault="000A40E0" w:rsidP="00CB384E">
                  <w:pPr>
                    <w:autoSpaceDE w:val="0"/>
                    <w:autoSpaceDN w:val="0"/>
                    <w:adjustRightInd w:val="0"/>
                    <w:rPr>
                      <w:sz w:val="20"/>
                      <w:szCs w:val="20"/>
                    </w:rPr>
                  </w:pPr>
                  <w:r w:rsidRPr="000A40E0">
                    <w:rPr>
                      <w:sz w:val="20"/>
                      <w:szCs w:val="20"/>
                    </w:rPr>
                    <w:t>Attachment</w:t>
                  </w:r>
                </w:p>
                <w:p w:rsidR="000A40E0" w:rsidRPr="000A40E0" w:rsidRDefault="000A40E0" w:rsidP="00CB384E">
                  <w:pPr>
                    <w:autoSpaceDE w:val="0"/>
                    <w:autoSpaceDN w:val="0"/>
                    <w:adjustRightInd w:val="0"/>
                    <w:spacing w:line="240" w:lineRule="auto"/>
                    <w:rPr>
                      <w:sz w:val="20"/>
                      <w:szCs w:val="20"/>
                    </w:rPr>
                  </w:pPr>
                </w:p>
              </w:tc>
              <w:tc>
                <w:tcPr>
                  <w:tcW w:w="1034" w:type="dxa"/>
                </w:tcPr>
                <w:p w:rsidR="000A40E0" w:rsidRPr="000A40E0" w:rsidRDefault="000A40E0" w:rsidP="00CB384E">
                  <w:pPr>
                    <w:autoSpaceDE w:val="0"/>
                    <w:autoSpaceDN w:val="0"/>
                    <w:adjustRightInd w:val="0"/>
                    <w:spacing w:line="240" w:lineRule="auto"/>
                    <w:rPr>
                      <w:sz w:val="20"/>
                      <w:szCs w:val="20"/>
                    </w:rPr>
                  </w:pPr>
                  <w:r w:rsidRPr="000A40E0">
                    <w:rPr>
                      <w:sz w:val="20"/>
                      <w:szCs w:val="20"/>
                    </w:rPr>
                    <w:t>0/20</w:t>
                  </w:r>
                </w:p>
                <w:p w:rsidR="000A40E0" w:rsidRPr="000A40E0" w:rsidRDefault="000A40E0" w:rsidP="00CB384E">
                  <w:pPr>
                    <w:autoSpaceDE w:val="0"/>
                    <w:autoSpaceDN w:val="0"/>
                    <w:adjustRightInd w:val="0"/>
                    <w:spacing w:line="240" w:lineRule="auto"/>
                    <w:rPr>
                      <w:sz w:val="20"/>
                      <w:szCs w:val="20"/>
                    </w:rPr>
                  </w:pPr>
                </w:p>
              </w:tc>
            </w:tr>
            <w:tr w:rsidR="000A40E0" w:rsidRPr="000A40E0" w:rsidTr="000A40E0">
              <w:tc>
                <w:tcPr>
                  <w:tcW w:w="1343" w:type="dxa"/>
                </w:tcPr>
                <w:p w:rsidR="000A40E0" w:rsidRPr="000A40E0" w:rsidRDefault="000A40E0" w:rsidP="00CB384E">
                  <w:pPr>
                    <w:autoSpaceDE w:val="0"/>
                    <w:autoSpaceDN w:val="0"/>
                    <w:adjustRightInd w:val="0"/>
                    <w:spacing w:line="240" w:lineRule="auto"/>
                    <w:rPr>
                      <w:sz w:val="20"/>
                      <w:szCs w:val="20"/>
                    </w:rPr>
                  </w:pPr>
                  <w:r w:rsidRPr="000A40E0">
                    <w:rPr>
                      <w:sz w:val="20"/>
                      <w:szCs w:val="20"/>
                    </w:rPr>
                    <w:t>Mandatory</w:t>
                  </w:r>
                </w:p>
              </w:tc>
              <w:tc>
                <w:tcPr>
                  <w:tcW w:w="4253" w:type="dxa"/>
                </w:tcPr>
                <w:p w:rsidR="000A40E0" w:rsidRPr="000A40E0" w:rsidRDefault="000A40E0" w:rsidP="000A40E0">
                  <w:pPr>
                    <w:autoSpaceDE w:val="0"/>
                    <w:autoSpaceDN w:val="0"/>
                    <w:adjustRightInd w:val="0"/>
                    <w:spacing w:line="240" w:lineRule="auto"/>
                    <w:rPr>
                      <w:sz w:val="20"/>
                      <w:szCs w:val="20"/>
                    </w:rPr>
                  </w:pPr>
                  <w:r w:rsidRPr="000A40E0">
                    <w:rPr>
                      <w:sz w:val="20"/>
                      <w:szCs w:val="20"/>
                    </w:rPr>
                    <w:t>Please detail your previous experience in the field/area: a description of your organisation/individuals expertise as it pertains to carrying out this project, in particular expertise in systematic reviewing of evidence work that demonstrate your experience and ability to provide this work to a high standard. Particular attention should be paid to demonstrating your experience of how research outputs have been used for health/public health and/or employment/labour market related policy.</w:t>
                  </w:r>
                </w:p>
              </w:tc>
              <w:tc>
                <w:tcPr>
                  <w:tcW w:w="1275" w:type="dxa"/>
                </w:tcPr>
                <w:p w:rsidR="000A40E0" w:rsidRPr="000A40E0" w:rsidRDefault="000A40E0" w:rsidP="00CB384E">
                  <w:pPr>
                    <w:autoSpaceDE w:val="0"/>
                    <w:autoSpaceDN w:val="0"/>
                    <w:adjustRightInd w:val="0"/>
                    <w:rPr>
                      <w:sz w:val="20"/>
                      <w:szCs w:val="20"/>
                    </w:rPr>
                  </w:pPr>
                  <w:r w:rsidRPr="000A40E0">
                    <w:rPr>
                      <w:sz w:val="20"/>
                      <w:szCs w:val="20"/>
                    </w:rPr>
                    <w:t>Attachment</w:t>
                  </w:r>
                </w:p>
                <w:p w:rsidR="000A40E0" w:rsidRPr="000A40E0" w:rsidRDefault="000A40E0" w:rsidP="00CB384E">
                  <w:pPr>
                    <w:autoSpaceDE w:val="0"/>
                    <w:autoSpaceDN w:val="0"/>
                    <w:adjustRightInd w:val="0"/>
                    <w:spacing w:line="240" w:lineRule="auto"/>
                    <w:rPr>
                      <w:sz w:val="20"/>
                      <w:szCs w:val="20"/>
                    </w:rPr>
                  </w:pPr>
                </w:p>
              </w:tc>
              <w:tc>
                <w:tcPr>
                  <w:tcW w:w="1034" w:type="dxa"/>
                </w:tcPr>
                <w:p w:rsidR="000A40E0" w:rsidRPr="000A40E0" w:rsidRDefault="000A40E0" w:rsidP="00CB384E">
                  <w:pPr>
                    <w:autoSpaceDE w:val="0"/>
                    <w:autoSpaceDN w:val="0"/>
                    <w:adjustRightInd w:val="0"/>
                    <w:spacing w:line="240" w:lineRule="auto"/>
                    <w:rPr>
                      <w:sz w:val="20"/>
                      <w:szCs w:val="20"/>
                    </w:rPr>
                  </w:pPr>
                  <w:r w:rsidRPr="000A40E0">
                    <w:rPr>
                      <w:sz w:val="20"/>
                      <w:szCs w:val="20"/>
                    </w:rPr>
                    <w:t>0/20</w:t>
                  </w:r>
                </w:p>
                <w:p w:rsidR="000A40E0" w:rsidRPr="000A40E0" w:rsidRDefault="000A40E0" w:rsidP="00CB384E">
                  <w:pPr>
                    <w:autoSpaceDE w:val="0"/>
                    <w:autoSpaceDN w:val="0"/>
                    <w:adjustRightInd w:val="0"/>
                    <w:spacing w:line="240" w:lineRule="auto"/>
                    <w:rPr>
                      <w:sz w:val="20"/>
                      <w:szCs w:val="20"/>
                    </w:rPr>
                  </w:pPr>
                </w:p>
              </w:tc>
            </w:tr>
            <w:tr w:rsidR="000A40E0" w:rsidRPr="000A40E0" w:rsidTr="000A40E0">
              <w:tc>
                <w:tcPr>
                  <w:tcW w:w="1343" w:type="dxa"/>
                </w:tcPr>
                <w:p w:rsidR="000A40E0" w:rsidRPr="000A40E0" w:rsidRDefault="000A40E0" w:rsidP="00CB384E">
                  <w:pPr>
                    <w:autoSpaceDE w:val="0"/>
                    <w:autoSpaceDN w:val="0"/>
                    <w:adjustRightInd w:val="0"/>
                    <w:spacing w:line="240" w:lineRule="auto"/>
                    <w:rPr>
                      <w:sz w:val="20"/>
                      <w:szCs w:val="20"/>
                    </w:rPr>
                  </w:pPr>
                  <w:r w:rsidRPr="000A40E0">
                    <w:rPr>
                      <w:sz w:val="20"/>
                      <w:szCs w:val="20"/>
                    </w:rPr>
                    <w:t>Mandatory</w:t>
                  </w:r>
                </w:p>
              </w:tc>
              <w:tc>
                <w:tcPr>
                  <w:tcW w:w="4253" w:type="dxa"/>
                </w:tcPr>
                <w:p w:rsidR="000A40E0" w:rsidRPr="000A40E0" w:rsidRDefault="000A40E0" w:rsidP="000A40E0">
                  <w:pPr>
                    <w:autoSpaceDE w:val="0"/>
                    <w:autoSpaceDN w:val="0"/>
                    <w:adjustRightInd w:val="0"/>
                    <w:spacing w:line="240" w:lineRule="auto"/>
                    <w:rPr>
                      <w:sz w:val="20"/>
                      <w:szCs w:val="20"/>
                    </w:rPr>
                  </w:pPr>
                  <w:r w:rsidRPr="000A40E0">
                    <w:rPr>
                      <w:sz w:val="20"/>
                      <w:szCs w:val="20"/>
                    </w:rPr>
                    <w:t>Please attach your brief project plan and methodology: detailed description of the activities that would be undertaken for the production of each of the research questions and how this will be achieved within the set timeline. This should include a description of and rationale for the proposed methods/approach for each stage of development.</w:t>
                  </w:r>
                </w:p>
              </w:tc>
              <w:tc>
                <w:tcPr>
                  <w:tcW w:w="1275" w:type="dxa"/>
                </w:tcPr>
                <w:p w:rsidR="000A40E0" w:rsidRPr="000A40E0" w:rsidRDefault="000A40E0" w:rsidP="00CB384E">
                  <w:pPr>
                    <w:autoSpaceDE w:val="0"/>
                    <w:autoSpaceDN w:val="0"/>
                    <w:adjustRightInd w:val="0"/>
                    <w:rPr>
                      <w:sz w:val="20"/>
                      <w:szCs w:val="20"/>
                    </w:rPr>
                  </w:pPr>
                  <w:r w:rsidRPr="000A40E0">
                    <w:rPr>
                      <w:sz w:val="20"/>
                      <w:szCs w:val="20"/>
                    </w:rPr>
                    <w:t>Attachment</w:t>
                  </w:r>
                </w:p>
                <w:p w:rsidR="000A40E0" w:rsidRPr="000A40E0" w:rsidRDefault="000A40E0" w:rsidP="00CB384E">
                  <w:pPr>
                    <w:autoSpaceDE w:val="0"/>
                    <w:autoSpaceDN w:val="0"/>
                    <w:adjustRightInd w:val="0"/>
                    <w:spacing w:line="240" w:lineRule="auto"/>
                    <w:rPr>
                      <w:sz w:val="20"/>
                      <w:szCs w:val="20"/>
                    </w:rPr>
                  </w:pPr>
                </w:p>
              </w:tc>
              <w:tc>
                <w:tcPr>
                  <w:tcW w:w="1034" w:type="dxa"/>
                </w:tcPr>
                <w:p w:rsidR="000A40E0" w:rsidRPr="000A40E0" w:rsidRDefault="000A40E0" w:rsidP="00CB384E">
                  <w:pPr>
                    <w:autoSpaceDE w:val="0"/>
                    <w:autoSpaceDN w:val="0"/>
                    <w:adjustRightInd w:val="0"/>
                    <w:spacing w:line="240" w:lineRule="auto"/>
                    <w:rPr>
                      <w:sz w:val="20"/>
                      <w:szCs w:val="20"/>
                    </w:rPr>
                  </w:pPr>
                  <w:r w:rsidRPr="000A40E0">
                    <w:rPr>
                      <w:sz w:val="20"/>
                      <w:szCs w:val="20"/>
                    </w:rPr>
                    <w:t>0/60</w:t>
                  </w:r>
                </w:p>
              </w:tc>
            </w:tr>
            <w:tr w:rsidR="000A40E0" w:rsidRPr="000A40E0" w:rsidTr="000A40E0">
              <w:trPr>
                <w:cantSplit/>
              </w:trPr>
              <w:tc>
                <w:tcPr>
                  <w:tcW w:w="1343" w:type="dxa"/>
                </w:tcPr>
                <w:p w:rsidR="000A40E0" w:rsidRPr="000A40E0" w:rsidRDefault="000A40E0" w:rsidP="00CB384E">
                  <w:pPr>
                    <w:autoSpaceDE w:val="0"/>
                    <w:autoSpaceDN w:val="0"/>
                    <w:adjustRightInd w:val="0"/>
                    <w:rPr>
                      <w:sz w:val="20"/>
                      <w:szCs w:val="20"/>
                    </w:rPr>
                  </w:pPr>
                  <w:r w:rsidRPr="000A40E0">
                    <w:rPr>
                      <w:sz w:val="20"/>
                      <w:szCs w:val="20"/>
                    </w:rPr>
                    <w:t>Mandatory</w:t>
                  </w:r>
                </w:p>
              </w:tc>
              <w:tc>
                <w:tcPr>
                  <w:tcW w:w="4253" w:type="dxa"/>
                </w:tcPr>
                <w:p w:rsidR="000A40E0" w:rsidRPr="000A40E0" w:rsidRDefault="000A40E0" w:rsidP="00E96D2E">
                  <w:pPr>
                    <w:autoSpaceDE w:val="0"/>
                    <w:autoSpaceDN w:val="0"/>
                    <w:adjustRightInd w:val="0"/>
                    <w:spacing w:line="240" w:lineRule="auto"/>
                    <w:rPr>
                      <w:sz w:val="20"/>
                      <w:szCs w:val="20"/>
                    </w:rPr>
                  </w:pPr>
                  <w:r w:rsidRPr="000A40E0">
                    <w:rPr>
                      <w:sz w:val="20"/>
                      <w:szCs w:val="20"/>
                    </w:rPr>
                    <w:t>Please attach a risk statement: on the management and ownership of the rapid evidence assessment(s), using the template provided.</w:t>
                  </w:r>
                </w:p>
              </w:tc>
              <w:tc>
                <w:tcPr>
                  <w:tcW w:w="1275" w:type="dxa"/>
                </w:tcPr>
                <w:p w:rsidR="000A40E0" w:rsidRPr="000A40E0" w:rsidRDefault="000A40E0" w:rsidP="00CB384E">
                  <w:pPr>
                    <w:autoSpaceDE w:val="0"/>
                    <w:autoSpaceDN w:val="0"/>
                    <w:adjustRightInd w:val="0"/>
                    <w:rPr>
                      <w:sz w:val="20"/>
                      <w:szCs w:val="20"/>
                    </w:rPr>
                  </w:pPr>
                  <w:r w:rsidRPr="000A40E0">
                    <w:rPr>
                      <w:sz w:val="20"/>
                      <w:szCs w:val="20"/>
                    </w:rPr>
                    <w:t>Attachment</w:t>
                  </w:r>
                </w:p>
                <w:p w:rsidR="000A40E0" w:rsidRPr="000A40E0" w:rsidRDefault="000A40E0" w:rsidP="00CB384E">
                  <w:pPr>
                    <w:autoSpaceDE w:val="0"/>
                    <w:autoSpaceDN w:val="0"/>
                    <w:adjustRightInd w:val="0"/>
                    <w:spacing w:line="240" w:lineRule="auto"/>
                    <w:rPr>
                      <w:sz w:val="20"/>
                      <w:szCs w:val="20"/>
                    </w:rPr>
                  </w:pPr>
                </w:p>
              </w:tc>
              <w:tc>
                <w:tcPr>
                  <w:tcW w:w="1034" w:type="dxa"/>
                </w:tcPr>
                <w:p w:rsidR="000A40E0" w:rsidRPr="000A40E0" w:rsidRDefault="000A40E0" w:rsidP="00CB384E">
                  <w:pPr>
                    <w:autoSpaceDE w:val="0"/>
                    <w:autoSpaceDN w:val="0"/>
                    <w:adjustRightInd w:val="0"/>
                    <w:spacing w:line="240" w:lineRule="auto"/>
                    <w:rPr>
                      <w:sz w:val="20"/>
                      <w:szCs w:val="20"/>
                    </w:rPr>
                  </w:pPr>
                  <w:r w:rsidRPr="000A40E0">
                    <w:rPr>
                      <w:sz w:val="20"/>
                      <w:szCs w:val="20"/>
                    </w:rPr>
                    <w:t>0/0</w:t>
                  </w:r>
                </w:p>
                <w:p w:rsidR="000A40E0" w:rsidRPr="000A40E0" w:rsidRDefault="000A40E0" w:rsidP="00CB384E">
                  <w:pPr>
                    <w:autoSpaceDE w:val="0"/>
                    <w:autoSpaceDN w:val="0"/>
                    <w:adjustRightInd w:val="0"/>
                    <w:spacing w:line="240" w:lineRule="auto"/>
                    <w:rPr>
                      <w:sz w:val="20"/>
                      <w:szCs w:val="20"/>
                    </w:rPr>
                  </w:pPr>
                </w:p>
              </w:tc>
            </w:tr>
            <w:tr w:rsidR="000A40E0" w:rsidRPr="000A40E0" w:rsidTr="000A40E0">
              <w:trPr>
                <w:cantSplit/>
              </w:trPr>
              <w:tc>
                <w:tcPr>
                  <w:tcW w:w="1343" w:type="dxa"/>
                </w:tcPr>
                <w:p w:rsidR="000A40E0" w:rsidRPr="000A40E0" w:rsidRDefault="000A40E0" w:rsidP="00CB384E">
                  <w:pPr>
                    <w:autoSpaceDE w:val="0"/>
                    <w:autoSpaceDN w:val="0"/>
                    <w:adjustRightInd w:val="0"/>
                    <w:rPr>
                      <w:sz w:val="20"/>
                      <w:szCs w:val="20"/>
                    </w:rPr>
                  </w:pPr>
                  <w:r w:rsidRPr="000A40E0">
                    <w:rPr>
                      <w:sz w:val="20"/>
                      <w:szCs w:val="20"/>
                    </w:rPr>
                    <w:t>Mandatory</w:t>
                  </w:r>
                </w:p>
              </w:tc>
              <w:tc>
                <w:tcPr>
                  <w:tcW w:w="4253" w:type="dxa"/>
                </w:tcPr>
                <w:p w:rsidR="000A40E0" w:rsidRPr="000A40E0" w:rsidRDefault="000A40E0" w:rsidP="00E96D2E">
                  <w:pPr>
                    <w:autoSpaceDE w:val="0"/>
                    <w:autoSpaceDN w:val="0"/>
                    <w:adjustRightInd w:val="0"/>
                    <w:spacing w:line="240" w:lineRule="auto"/>
                    <w:rPr>
                      <w:sz w:val="20"/>
                      <w:szCs w:val="20"/>
                    </w:rPr>
                  </w:pPr>
                  <w:r w:rsidRPr="000A40E0">
                    <w:rPr>
                      <w:sz w:val="20"/>
                      <w:szCs w:val="20"/>
                    </w:rPr>
                    <w:t>Please provide a breakdown of the estimated budget necessary to deliver the service.  This should also show the estimated time commitment of core team members.</w:t>
                  </w:r>
                </w:p>
              </w:tc>
              <w:tc>
                <w:tcPr>
                  <w:tcW w:w="1275" w:type="dxa"/>
                </w:tcPr>
                <w:p w:rsidR="000A40E0" w:rsidRPr="00E96D2E" w:rsidRDefault="000A40E0" w:rsidP="00CB384E">
                  <w:pPr>
                    <w:autoSpaceDE w:val="0"/>
                    <w:autoSpaceDN w:val="0"/>
                    <w:adjustRightInd w:val="0"/>
                    <w:rPr>
                      <w:sz w:val="20"/>
                      <w:szCs w:val="20"/>
                    </w:rPr>
                  </w:pPr>
                  <w:r w:rsidRPr="00E96D2E">
                    <w:rPr>
                      <w:sz w:val="20"/>
                      <w:szCs w:val="20"/>
                    </w:rPr>
                    <w:t>Attachment</w:t>
                  </w:r>
                </w:p>
                <w:p w:rsidR="000A40E0" w:rsidRPr="00E96D2E" w:rsidRDefault="000A40E0" w:rsidP="00CB384E">
                  <w:pPr>
                    <w:autoSpaceDE w:val="0"/>
                    <w:autoSpaceDN w:val="0"/>
                    <w:adjustRightInd w:val="0"/>
                    <w:spacing w:line="240" w:lineRule="auto"/>
                    <w:rPr>
                      <w:sz w:val="20"/>
                      <w:szCs w:val="20"/>
                    </w:rPr>
                  </w:pPr>
                </w:p>
              </w:tc>
              <w:tc>
                <w:tcPr>
                  <w:tcW w:w="1034" w:type="dxa"/>
                </w:tcPr>
                <w:p w:rsidR="000A40E0" w:rsidRPr="00E96D2E" w:rsidRDefault="000A40E0" w:rsidP="00CB384E">
                  <w:pPr>
                    <w:autoSpaceDE w:val="0"/>
                    <w:autoSpaceDN w:val="0"/>
                    <w:adjustRightInd w:val="0"/>
                    <w:spacing w:line="240" w:lineRule="auto"/>
                    <w:rPr>
                      <w:sz w:val="20"/>
                      <w:szCs w:val="20"/>
                    </w:rPr>
                  </w:pPr>
                  <w:r w:rsidRPr="00E96D2E">
                    <w:rPr>
                      <w:sz w:val="20"/>
                      <w:szCs w:val="20"/>
                    </w:rPr>
                    <w:t>0/20</w:t>
                  </w:r>
                </w:p>
                <w:p w:rsidR="000A40E0" w:rsidRPr="00E96D2E" w:rsidRDefault="000A40E0" w:rsidP="00CB384E">
                  <w:pPr>
                    <w:autoSpaceDE w:val="0"/>
                    <w:autoSpaceDN w:val="0"/>
                    <w:adjustRightInd w:val="0"/>
                    <w:spacing w:line="240" w:lineRule="auto"/>
                    <w:rPr>
                      <w:sz w:val="20"/>
                      <w:szCs w:val="20"/>
                    </w:rPr>
                  </w:pPr>
                </w:p>
              </w:tc>
            </w:tr>
            <w:tr w:rsidR="000A40E0" w:rsidRPr="000A40E0" w:rsidTr="000A40E0">
              <w:trPr>
                <w:cantSplit/>
              </w:trPr>
              <w:tc>
                <w:tcPr>
                  <w:tcW w:w="1343" w:type="dxa"/>
                </w:tcPr>
                <w:p w:rsidR="000A40E0" w:rsidRPr="000A40E0" w:rsidRDefault="000A40E0" w:rsidP="00CB384E">
                  <w:pPr>
                    <w:autoSpaceDE w:val="0"/>
                    <w:autoSpaceDN w:val="0"/>
                    <w:adjustRightInd w:val="0"/>
                    <w:rPr>
                      <w:sz w:val="22"/>
                      <w:szCs w:val="22"/>
                    </w:rPr>
                  </w:pPr>
                  <w:r w:rsidRPr="000A40E0">
                    <w:rPr>
                      <w:sz w:val="22"/>
                      <w:szCs w:val="22"/>
                    </w:rPr>
                    <w:t>Mandatory</w:t>
                  </w:r>
                </w:p>
              </w:tc>
              <w:tc>
                <w:tcPr>
                  <w:tcW w:w="4253" w:type="dxa"/>
                </w:tcPr>
                <w:p w:rsidR="000A40E0" w:rsidRPr="00E96D2E" w:rsidRDefault="000A40E0" w:rsidP="00E96D2E">
                  <w:pPr>
                    <w:autoSpaceDE w:val="0"/>
                    <w:autoSpaceDN w:val="0"/>
                    <w:adjustRightInd w:val="0"/>
                    <w:spacing w:line="240" w:lineRule="auto"/>
                    <w:rPr>
                      <w:sz w:val="20"/>
                      <w:szCs w:val="20"/>
                    </w:rPr>
                  </w:pPr>
                  <w:r w:rsidRPr="00E96D2E">
                    <w:rPr>
                      <w:sz w:val="20"/>
                      <w:szCs w:val="20"/>
                    </w:rPr>
                    <w:t>Please attach copies of your team CVs.</w:t>
                  </w:r>
                </w:p>
                <w:p w:rsidR="000A40E0" w:rsidRPr="00E96D2E" w:rsidRDefault="000A40E0" w:rsidP="00E96D2E">
                  <w:pPr>
                    <w:autoSpaceDE w:val="0"/>
                    <w:autoSpaceDN w:val="0"/>
                    <w:adjustRightInd w:val="0"/>
                    <w:spacing w:line="240" w:lineRule="auto"/>
                    <w:rPr>
                      <w:sz w:val="20"/>
                      <w:szCs w:val="20"/>
                    </w:rPr>
                  </w:pPr>
                </w:p>
                <w:p w:rsidR="000A40E0" w:rsidRPr="000A40E0" w:rsidRDefault="000A40E0" w:rsidP="00E96D2E">
                  <w:pPr>
                    <w:autoSpaceDE w:val="0"/>
                    <w:autoSpaceDN w:val="0"/>
                    <w:adjustRightInd w:val="0"/>
                    <w:spacing w:line="240" w:lineRule="auto"/>
                    <w:rPr>
                      <w:sz w:val="22"/>
                      <w:szCs w:val="22"/>
                    </w:rPr>
                  </w:pPr>
                  <w:r w:rsidRPr="00E96D2E">
                    <w:rPr>
                      <w:sz w:val="20"/>
                      <w:szCs w:val="20"/>
                    </w:rPr>
                    <w:t>N.B. These will not be included in the word count.</w:t>
                  </w:r>
                  <w:r w:rsidRPr="000A40E0">
                    <w:rPr>
                      <w:sz w:val="22"/>
                      <w:szCs w:val="22"/>
                    </w:rPr>
                    <w:t xml:space="preserve"> </w:t>
                  </w:r>
                </w:p>
              </w:tc>
              <w:tc>
                <w:tcPr>
                  <w:tcW w:w="1275" w:type="dxa"/>
                </w:tcPr>
                <w:p w:rsidR="000A40E0" w:rsidRPr="00E96D2E" w:rsidRDefault="000A40E0" w:rsidP="00CB384E">
                  <w:pPr>
                    <w:autoSpaceDE w:val="0"/>
                    <w:autoSpaceDN w:val="0"/>
                    <w:adjustRightInd w:val="0"/>
                    <w:rPr>
                      <w:sz w:val="20"/>
                      <w:szCs w:val="20"/>
                    </w:rPr>
                  </w:pPr>
                  <w:r w:rsidRPr="00E96D2E">
                    <w:rPr>
                      <w:sz w:val="20"/>
                      <w:szCs w:val="20"/>
                    </w:rPr>
                    <w:t>Attachment</w:t>
                  </w:r>
                </w:p>
                <w:p w:rsidR="000A40E0" w:rsidRPr="00E96D2E" w:rsidRDefault="000A40E0" w:rsidP="00CB384E">
                  <w:pPr>
                    <w:autoSpaceDE w:val="0"/>
                    <w:autoSpaceDN w:val="0"/>
                    <w:adjustRightInd w:val="0"/>
                    <w:rPr>
                      <w:sz w:val="20"/>
                      <w:szCs w:val="20"/>
                    </w:rPr>
                  </w:pPr>
                </w:p>
              </w:tc>
              <w:tc>
                <w:tcPr>
                  <w:tcW w:w="1034" w:type="dxa"/>
                </w:tcPr>
                <w:p w:rsidR="000A40E0" w:rsidRPr="00E96D2E" w:rsidRDefault="000A40E0" w:rsidP="00E96D2E">
                  <w:pPr>
                    <w:autoSpaceDE w:val="0"/>
                    <w:autoSpaceDN w:val="0"/>
                    <w:adjustRightInd w:val="0"/>
                    <w:spacing w:line="240" w:lineRule="auto"/>
                    <w:rPr>
                      <w:sz w:val="20"/>
                      <w:szCs w:val="20"/>
                    </w:rPr>
                  </w:pPr>
                  <w:r w:rsidRPr="00E96D2E">
                    <w:rPr>
                      <w:sz w:val="20"/>
                      <w:szCs w:val="20"/>
                    </w:rPr>
                    <w:t>0/60</w:t>
                  </w:r>
                </w:p>
              </w:tc>
            </w:tr>
          </w:tbl>
          <w:p w:rsidR="000A40E0" w:rsidRPr="00F87C3B" w:rsidRDefault="000A40E0" w:rsidP="000A40E0">
            <w:pPr>
              <w:autoSpaceDE w:val="0"/>
              <w:autoSpaceDN w:val="0"/>
              <w:adjustRightInd w:val="0"/>
              <w:spacing w:line="240" w:lineRule="auto"/>
              <w:rPr>
                <w:b/>
              </w:rPr>
            </w:pPr>
            <w:r>
              <w:rPr>
                <w:b/>
              </w:rPr>
              <w:t>Total maximum score = 180</w:t>
            </w:r>
          </w:p>
          <w:p w:rsidR="00A27C81" w:rsidRDefault="00A27C81" w:rsidP="00D23EE8">
            <w:pPr>
              <w:pStyle w:val="Paragraph"/>
              <w:numPr>
                <w:ilvl w:val="0"/>
                <w:numId w:val="0"/>
              </w:numPr>
              <w:spacing w:before="0" w:after="0"/>
            </w:pPr>
          </w:p>
        </w:tc>
      </w:tr>
      <w:tr w:rsidR="00284C85" w:rsidTr="00E96D2E">
        <w:trPr>
          <w:trHeight w:val="386"/>
        </w:trPr>
        <w:tc>
          <w:tcPr>
            <w:tcW w:w="2088" w:type="dxa"/>
            <w:shd w:val="clear" w:color="auto" w:fill="BFBFBF"/>
          </w:tcPr>
          <w:p w:rsidR="00284C85" w:rsidRDefault="00284C85">
            <w:pPr>
              <w:snapToGrid w:val="0"/>
              <w:spacing w:line="240" w:lineRule="auto"/>
            </w:pPr>
          </w:p>
        </w:tc>
        <w:tc>
          <w:tcPr>
            <w:tcW w:w="7992" w:type="dxa"/>
            <w:shd w:val="clear" w:color="auto" w:fill="auto"/>
          </w:tcPr>
          <w:p w:rsidR="00284C85" w:rsidRDefault="00284C85">
            <w:pPr>
              <w:pStyle w:val="Paragraph"/>
              <w:numPr>
                <w:ilvl w:val="0"/>
                <w:numId w:val="0"/>
              </w:numPr>
              <w:snapToGrid w:val="0"/>
            </w:pPr>
          </w:p>
        </w:tc>
      </w:tr>
    </w:tbl>
    <w:p w:rsidR="00C401DA" w:rsidRDefault="00C401DA" w:rsidP="00140D2E"/>
    <w:sectPr w:rsidR="00C401DA">
      <w:footerReference w:type="default" r:id="rId22"/>
      <w:headerReference w:type="first" r:id="rId23"/>
      <w:footerReference w:type="first" r:id="rId24"/>
      <w:pgSz w:w="11906" w:h="16838"/>
      <w:pgMar w:top="2381" w:right="1021" w:bottom="993" w:left="1021" w:header="1644"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BD2" w:rsidRDefault="001F1BD2">
      <w:pPr>
        <w:spacing w:line="240" w:lineRule="auto"/>
      </w:pPr>
      <w:r>
        <w:separator/>
      </w:r>
    </w:p>
  </w:endnote>
  <w:endnote w:type="continuationSeparator" w:id="0">
    <w:p w:rsidR="001F1BD2" w:rsidRDefault="001F1B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C85" w:rsidRDefault="00284C85">
    <w:pPr>
      <w:pStyle w:val="Footer"/>
      <w:jc w:val="center"/>
    </w:pPr>
    <w:r>
      <w:rPr>
        <w:sz w:val="20"/>
        <w:szCs w:val="20"/>
      </w:rPr>
      <w:fldChar w:fldCharType="begin"/>
    </w:r>
    <w:r>
      <w:rPr>
        <w:sz w:val="20"/>
        <w:szCs w:val="20"/>
      </w:rPr>
      <w:instrText xml:space="preserve"> PAGE </w:instrText>
    </w:r>
    <w:r>
      <w:rPr>
        <w:sz w:val="20"/>
        <w:szCs w:val="20"/>
      </w:rPr>
      <w:fldChar w:fldCharType="separate"/>
    </w:r>
    <w:r w:rsidR="0002034A">
      <w:rPr>
        <w:noProof/>
        <w:sz w:val="20"/>
        <w:szCs w:val="20"/>
      </w:rPr>
      <w:t>6</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C85" w:rsidRDefault="00284C85">
    <w:pPr>
      <w:pStyle w:val="Footer"/>
      <w:jc w:val="center"/>
    </w:pPr>
    <w:r>
      <w:rPr>
        <w:sz w:val="20"/>
        <w:szCs w:val="20"/>
      </w:rPr>
      <w:fldChar w:fldCharType="begin"/>
    </w:r>
    <w:r>
      <w:rPr>
        <w:sz w:val="20"/>
        <w:szCs w:val="20"/>
      </w:rPr>
      <w:instrText xml:space="preserve"> PAGE </w:instrText>
    </w:r>
    <w:r>
      <w:rPr>
        <w:sz w:val="20"/>
        <w:szCs w:val="20"/>
      </w:rPr>
      <w:fldChar w:fldCharType="separate"/>
    </w:r>
    <w:r w:rsidR="0002034A">
      <w:rPr>
        <w:noProof/>
        <w:sz w:val="20"/>
        <w:szCs w:val="20"/>
      </w:rPr>
      <w:t>1</w:t>
    </w:r>
    <w:r>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BD2" w:rsidRDefault="001F1BD2">
      <w:pPr>
        <w:spacing w:line="240" w:lineRule="auto"/>
      </w:pPr>
      <w:r>
        <w:separator/>
      </w:r>
    </w:p>
  </w:footnote>
  <w:footnote w:type="continuationSeparator" w:id="0">
    <w:p w:rsidR="001F1BD2" w:rsidRDefault="001F1BD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C85" w:rsidRDefault="00937C18">
    <w:pPr>
      <w:pStyle w:val="Header"/>
      <w:rPr>
        <w:lang w:eastAsia="en-GB"/>
      </w:rPr>
    </w:pPr>
    <w:r>
      <w:rPr>
        <w:noProof/>
        <w:lang w:eastAsia="en-GB"/>
      </w:rPr>
      <w:drawing>
        <wp:anchor distT="0" distB="0" distL="114935" distR="114935" simplePos="0" relativeHeight="251657728" behindDoc="0" locked="0" layoutInCell="1" allowOverlap="1">
          <wp:simplePos x="0" y="0"/>
          <wp:positionH relativeFrom="column">
            <wp:posOffset>-647065</wp:posOffset>
          </wp:positionH>
          <wp:positionV relativeFrom="paragraph">
            <wp:posOffset>-1061720</wp:posOffset>
          </wp:positionV>
          <wp:extent cx="4064635" cy="17449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4635" cy="174498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4"/>
    <w:lvl w:ilvl="0">
      <w:start w:val="1"/>
      <w:numFmt w:val="lowerLetter"/>
      <w:lvlText w:val="%1)"/>
      <w:lvlJc w:val="left"/>
      <w:pPr>
        <w:tabs>
          <w:tab w:val="num" w:pos="0"/>
        </w:tabs>
        <w:ind w:left="720" w:hanging="360"/>
      </w:pPr>
      <w:rPr>
        <w:rFonts w:eastAsia="Times New Roman" w:cs="Arial"/>
        <w:sz w:val="22"/>
        <w:szCs w:val="22"/>
      </w:rPr>
    </w:lvl>
  </w:abstractNum>
  <w:abstractNum w:abstractNumId="2">
    <w:nsid w:val="00000003"/>
    <w:multiLevelType w:val="singleLevel"/>
    <w:tmpl w:val="00000003"/>
    <w:name w:val="WW8Num5"/>
    <w:lvl w:ilvl="0">
      <w:start w:val="1"/>
      <w:numFmt w:val="bullet"/>
      <w:lvlText w:val=""/>
      <w:lvlJc w:val="left"/>
      <w:pPr>
        <w:tabs>
          <w:tab w:val="num" w:pos="0"/>
        </w:tabs>
        <w:ind w:left="720" w:hanging="360"/>
      </w:pPr>
      <w:rPr>
        <w:rFonts w:ascii="Symbol" w:hAnsi="Symbol" w:cs="Symbol" w:hint="default"/>
        <w:color w:val="000000"/>
        <w:sz w:val="22"/>
        <w:szCs w:val="22"/>
        <w:lang w:eastAsia="en-GB"/>
      </w:rPr>
    </w:lvl>
  </w:abstractNum>
  <w:abstractNum w:abstractNumId="3">
    <w:nsid w:val="00000004"/>
    <w:multiLevelType w:val="singleLevel"/>
    <w:tmpl w:val="00000004"/>
    <w:name w:val="WW8Num7"/>
    <w:lvl w:ilvl="0">
      <w:start w:val="1"/>
      <w:numFmt w:val="bullet"/>
      <w:lvlText w:val=""/>
      <w:lvlJc w:val="left"/>
      <w:pPr>
        <w:tabs>
          <w:tab w:val="num" w:pos="0"/>
        </w:tabs>
        <w:ind w:left="720" w:hanging="360"/>
      </w:pPr>
      <w:rPr>
        <w:rFonts w:ascii="Symbol" w:hAnsi="Symbol" w:cs="Symbol" w:hint="default"/>
      </w:rPr>
    </w:lvl>
  </w:abstractNum>
  <w:abstractNum w:abstractNumId="4">
    <w:nsid w:val="00000005"/>
    <w:multiLevelType w:val="singleLevel"/>
    <w:tmpl w:val="00000005"/>
    <w:name w:val="WW8Num8"/>
    <w:lvl w:ilvl="0">
      <w:start w:val="1"/>
      <w:numFmt w:val="bullet"/>
      <w:lvlText w:val=""/>
      <w:lvlJc w:val="left"/>
      <w:pPr>
        <w:tabs>
          <w:tab w:val="num" w:pos="0"/>
        </w:tabs>
        <w:ind w:left="720" w:hanging="360"/>
      </w:pPr>
      <w:rPr>
        <w:rFonts w:ascii="Symbol" w:hAnsi="Symbol" w:cs="Symbol" w:hint="default"/>
        <w:color w:val="000000"/>
        <w:sz w:val="22"/>
        <w:szCs w:val="22"/>
        <w:lang w:eastAsia="en-GB"/>
      </w:rPr>
    </w:lvl>
  </w:abstractNum>
  <w:abstractNum w:abstractNumId="5">
    <w:nsid w:val="00000006"/>
    <w:multiLevelType w:val="singleLevel"/>
    <w:tmpl w:val="00000006"/>
    <w:name w:val="WW8Num9"/>
    <w:lvl w:ilvl="0">
      <w:start w:val="1"/>
      <w:numFmt w:val="decimal"/>
      <w:pStyle w:val="Paragraph"/>
      <w:lvlText w:val="%1."/>
      <w:lvlJc w:val="left"/>
      <w:pPr>
        <w:tabs>
          <w:tab w:val="num" w:pos="0"/>
        </w:tabs>
        <w:ind w:left="851" w:hanging="851"/>
      </w:pPr>
      <w:rPr>
        <w:rFonts w:hint="default"/>
      </w:rPr>
    </w:lvl>
  </w:abstractNum>
  <w:abstractNum w:abstractNumId="6">
    <w:nsid w:val="00000007"/>
    <w:multiLevelType w:val="singleLevel"/>
    <w:tmpl w:val="00000007"/>
    <w:name w:val="WW8Num11"/>
    <w:lvl w:ilvl="0">
      <w:start w:val="1"/>
      <w:numFmt w:val="bullet"/>
      <w:lvlText w:val=""/>
      <w:lvlJc w:val="left"/>
      <w:pPr>
        <w:tabs>
          <w:tab w:val="num" w:pos="0"/>
        </w:tabs>
        <w:ind w:left="720" w:hanging="360"/>
      </w:pPr>
      <w:rPr>
        <w:rFonts w:ascii="Symbol" w:hAnsi="Symbol" w:cs="Symbol" w:hint="default"/>
        <w:color w:val="000000"/>
        <w:sz w:val="22"/>
        <w:szCs w:val="22"/>
        <w:lang w:eastAsia="en-GB"/>
      </w:rPr>
    </w:lvl>
  </w:abstractNum>
  <w:abstractNum w:abstractNumId="7">
    <w:nsid w:val="2A4F53D8"/>
    <w:multiLevelType w:val="hybridMultilevel"/>
    <w:tmpl w:val="781E71DA"/>
    <w:lvl w:ilvl="0" w:tplc="5E4295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3E220FF"/>
    <w:multiLevelType w:val="hybridMultilevel"/>
    <w:tmpl w:val="25E645C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nsid w:val="44F662AB"/>
    <w:multiLevelType w:val="hybridMultilevel"/>
    <w:tmpl w:val="7ADE3572"/>
    <w:lvl w:ilvl="0" w:tplc="473A0E4A">
      <w:start w:val="1"/>
      <w:numFmt w:val="decimal"/>
      <w:lvlText w:val="%1."/>
      <w:lvlJc w:val="left"/>
      <w:pPr>
        <w:ind w:left="720"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08D6889"/>
    <w:multiLevelType w:val="hybridMultilevel"/>
    <w:tmpl w:val="0DAE495C"/>
    <w:lvl w:ilvl="0" w:tplc="D53CF7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2456298"/>
    <w:multiLevelType w:val="hybridMultilevel"/>
    <w:tmpl w:val="575E1FA2"/>
    <w:lvl w:ilvl="0" w:tplc="732820A2">
      <w:start w:val="2"/>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792566F"/>
    <w:multiLevelType w:val="hybridMultilevel"/>
    <w:tmpl w:val="37529B20"/>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0"/>
  </w:num>
  <w:num w:numId="9">
    <w:abstractNumId w:val="7"/>
  </w:num>
  <w:num w:numId="10">
    <w:abstractNumId w:val="11"/>
  </w:num>
  <w:num w:numId="11">
    <w:abstractNumId w:val="8"/>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158"/>
    <w:rsid w:val="00006D61"/>
    <w:rsid w:val="0002034A"/>
    <w:rsid w:val="00067C17"/>
    <w:rsid w:val="000A40E0"/>
    <w:rsid w:val="000C40B1"/>
    <w:rsid w:val="00120AAB"/>
    <w:rsid w:val="00140D2E"/>
    <w:rsid w:val="00177531"/>
    <w:rsid w:val="001965B2"/>
    <w:rsid w:val="001A478A"/>
    <w:rsid w:val="001B237F"/>
    <w:rsid w:val="001B41CF"/>
    <w:rsid w:val="001F1BD2"/>
    <w:rsid w:val="00284C85"/>
    <w:rsid w:val="002B55F4"/>
    <w:rsid w:val="002B707D"/>
    <w:rsid w:val="002F52FB"/>
    <w:rsid w:val="00333B0F"/>
    <w:rsid w:val="0035351B"/>
    <w:rsid w:val="003A3994"/>
    <w:rsid w:val="003C0403"/>
    <w:rsid w:val="003E6472"/>
    <w:rsid w:val="003E6829"/>
    <w:rsid w:val="003E770F"/>
    <w:rsid w:val="003F6254"/>
    <w:rsid w:val="00425158"/>
    <w:rsid w:val="004523B7"/>
    <w:rsid w:val="004B43CE"/>
    <w:rsid w:val="004D1C90"/>
    <w:rsid w:val="004D20A5"/>
    <w:rsid w:val="004F61C3"/>
    <w:rsid w:val="00500D91"/>
    <w:rsid w:val="00570835"/>
    <w:rsid w:val="005E6A2E"/>
    <w:rsid w:val="00624D04"/>
    <w:rsid w:val="00681974"/>
    <w:rsid w:val="006E6FFD"/>
    <w:rsid w:val="00723DB1"/>
    <w:rsid w:val="007446F4"/>
    <w:rsid w:val="00780533"/>
    <w:rsid w:val="007E2008"/>
    <w:rsid w:val="00815AEF"/>
    <w:rsid w:val="008B6B22"/>
    <w:rsid w:val="008D6E73"/>
    <w:rsid w:val="00907C1E"/>
    <w:rsid w:val="009105D7"/>
    <w:rsid w:val="009315A7"/>
    <w:rsid w:val="00937C18"/>
    <w:rsid w:val="00942A85"/>
    <w:rsid w:val="009D3321"/>
    <w:rsid w:val="00A01F4A"/>
    <w:rsid w:val="00A06CA0"/>
    <w:rsid w:val="00A27C81"/>
    <w:rsid w:val="00B439A7"/>
    <w:rsid w:val="00B940E1"/>
    <w:rsid w:val="00BE4A77"/>
    <w:rsid w:val="00C15685"/>
    <w:rsid w:val="00C274E9"/>
    <w:rsid w:val="00C31845"/>
    <w:rsid w:val="00C401DA"/>
    <w:rsid w:val="00C90BA0"/>
    <w:rsid w:val="00CB1D46"/>
    <w:rsid w:val="00CF12E5"/>
    <w:rsid w:val="00CF48D9"/>
    <w:rsid w:val="00CF77B2"/>
    <w:rsid w:val="00D21B6F"/>
    <w:rsid w:val="00D23EE8"/>
    <w:rsid w:val="00D50807"/>
    <w:rsid w:val="00D547C3"/>
    <w:rsid w:val="00D563D3"/>
    <w:rsid w:val="00D56590"/>
    <w:rsid w:val="00D603AE"/>
    <w:rsid w:val="00D611B2"/>
    <w:rsid w:val="00D77613"/>
    <w:rsid w:val="00DB38E9"/>
    <w:rsid w:val="00DB7DEE"/>
    <w:rsid w:val="00DC24DD"/>
    <w:rsid w:val="00DC5AE4"/>
    <w:rsid w:val="00DC7961"/>
    <w:rsid w:val="00DE32F0"/>
    <w:rsid w:val="00E14BF1"/>
    <w:rsid w:val="00E554D9"/>
    <w:rsid w:val="00E96D2E"/>
    <w:rsid w:val="00EA0438"/>
    <w:rsid w:val="00EA55D6"/>
    <w:rsid w:val="00EB65F1"/>
    <w:rsid w:val="00EC4251"/>
    <w:rsid w:val="00ED474F"/>
    <w:rsid w:val="00F23CC7"/>
    <w:rsid w:val="00F24880"/>
    <w:rsid w:val="00F46633"/>
    <w:rsid w:val="00FA2440"/>
    <w:rsid w:val="00FA4705"/>
    <w:rsid w:val="00FB02D6"/>
    <w:rsid w:val="00FF6C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320" w:lineRule="exact"/>
    </w:pPr>
    <w:rPr>
      <w:rFonts w:ascii="Arial" w:eastAsia="Calibri" w:hAnsi="Arial" w:cs="Arial"/>
      <w:sz w:val="24"/>
      <w:szCs w:val="24"/>
      <w:lang w:eastAsia="zh-CN"/>
    </w:rPr>
  </w:style>
  <w:style w:type="paragraph" w:styleId="Heading1">
    <w:name w:val="heading 1"/>
    <w:basedOn w:val="Normal"/>
    <w:next w:val="Normal"/>
    <w:qFormat/>
    <w:pPr>
      <w:numPr>
        <w:numId w:val="1"/>
      </w:numPr>
      <w:outlineLvl w:val="0"/>
    </w:pPr>
    <w:rPr>
      <w:b/>
    </w:rPr>
  </w:style>
  <w:style w:type="paragraph" w:styleId="Heading2">
    <w:name w:val="heading 2"/>
    <w:basedOn w:val="Normal"/>
    <w:next w:val="Normal"/>
    <w:qFormat/>
    <w:pPr>
      <w:keepNext/>
      <w:keepLines/>
      <w:numPr>
        <w:ilvl w:val="1"/>
        <w:numId w:val="1"/>
      </w:numPr>
      <w:spacing w:before="200"/>
      <w:outlineLvl w:val="1"/>
    </w:pPr>
    <w:rPr>
      <w:rFonts w:eastAsia="Times New Roman"/>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rPr>
      <w:rFonts w:ascii="Arial" w:eastAsia="Times New Roman" w:hAnsi="Arial" w:cs="Arial" w:hint="default"/>
    </w:rPr>
  </w:style>
  <w:style w:type="character" w:customStyle="1" w:styleId="WW8Num1z2">
    <w:name w:val="WW8Num1z2"/>
    <w:rPr>
      <w:rFonts w:ascii="Wingdings" w:hAnsi="Wingdings" w:cs="Wingdings" w:hint="default"/>
    </w:rPr>
  </w:style>
  <w:style w:type="character" w:customStyle="1" w:styleId="WW8Num1z4">
    <w:name w:val="WW8Num1z4"/>
    <w:rPr>
      <w:rFonts w:ascii="Courier New" w:hAnsi="Courier New" w:cs="Courier New" w:hint="default"/>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eastAsia="Times New Roman" w:cs="Arial"/>
      <w:sz w:val="22"/>
      <w:szCs w:val="22"/>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eastAsia="Times New Roman" w:hAnsi="Symbol" w:cs="Symbol" w:hint="default"/>
      <w:color w:val="000000"/>
      <w:sz w:val="22"/>
      <w:szCs w:val="22"/>
      <w:lang w:eastAsia="en-GB"/>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rPr>
      <w:rFonts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Symbol" w:eastAsia="Times New Roman" w:hAnsi="Symbol" w:cs="Symbol" w:hint="default"/>
      <w:color w:val="000000"/>
      <w:sz w:val="22"/>
      <w:szCs w:val="22"/>
      <w:lang w:eastAsia="en-GB"/>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Symbol"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eastAsia="Times New Roman" w:hAnsi="Symbol" w:cs="Symbol" w:hint="default"/>
      <w:color w:val="000000"/>
      <w:sz w:val="22"/>
      <w:szCs w:val="22"/>
      <w:lang w:eastAsia="en-GB"/>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rPr>
      <w:rFonts w:ascii="Symbol" w:hAnsi="Symbol" w:cs="Symbol"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Heading1Char">
    <w:name w:val="Heading 1 Char"/>
    <w:rPr>
      <w:rFonts w:ascii="Arial" w:hAnsi="Arial" w:cs="Times New Roman"/>
      <w:b/>
      <w:sz w:val="24"/>
    </w:rPr>
  </w:style>
  <w:style w:type="character" w:customStyle="1" w:styleId="Heading2Char">
    <w:name w:val="Heading 2 Char"/>
    <w:rPr>
      <w:rFonts w:ascii="Arial" w:hAnsi="Arial" w:cs="Times New Roman"/>
      <w:b/>
      <w:bCs/>
      <w:sz w:val="26"/>
    </w:rPr>
  </w:style>
  <w:style w:type="character" w:customStyle="1" w:styleId="HeaderChar">
    <w:name w:val="Header Char"/>
    <w:rPr>
      <w:rFonts w:ascii="Arial" w:hAnsi="Arial" w:cs="Times New Roman"/>
      <w:sz w:val="16"/>
    </w:rPr>
  </w:style>
  <w:style w:type="character" w:customStyle="1" w:styleId="FooterChar">
    <w:name w:val="Footer Char"/>
    <w:rPr>
      <w:rFonts w:ascii="Arial" w:hAnsi="Arial" w:cs="Times New Roman"/>
      <w:sz w:val="20"/>
      <w:lang w:val="en-US"/>
    </w:rPr>
  </w:style>
  <w:style w:type="character" w:customStyle="1" w:styleId="BalloonTextChar">
    <w:name w:val="Balloon Text Char"/>
    <w:rPr>
      <w:rFonts w:ascii="Tahoma" w:hAnsi="Tahoma" w:cs="Tahoma"/>
      <w:sz w:val="16"/>
      <w:lang w:val="en-US"/>
    </w:rPr>
  </w:style>
  <w:style w:type="character" w:styleId="Emphasis">
    <w:name w:val="Emphasis"/>
    <w:qFormat/>
    <w:rPr>
      <w:rFonts w:ascii="Arial" w:hAnsi="Arial" w:cs="Times New Roman"/>
      <w:i/>
      <w:iCs/>
    </w:rPr>
  </w:style>
  <w:style w:type="character" w:customStyle="1" w:styleId="SubtitleChar">
    <w:name w:val="Subtitle Char"/>
    <w:rPr>
      <w:rFonts w:ascii="Arial" w:hAnsi="Arial" w:cs="Times New Roman"/>
      <w:i/>
      <w:iCs/>
      <w:spacing w:val="15"/>
      <w:sz w:val="24"/>
    </w:rPr>
  </w:style>
  <w:style w:type="character" w:styleId="SubtleEmphasis">
    <w:name w:val="Subtle Emphasis"/>
    <w:qFormat/>
    <w:rPr>
      <w:rFonts w:ascii="Arial" w:hAnsi="Arial" w:cs="Times New Roman"/>
      <w:i/>
      <w:iCs/>
      <w:color w:val="808080"/>
    </w:rPr>
  </w:style>
  <w:style w:type="character" w:customStyle="1" w:styleId="IntenseQuoteChar">
    <w:name w:val="Intense Quote Char"/>
    <w:rPr>
      <w:rFonts w:ascii="Arial" w:hAnsi="Arial" w:cs="Times New Roman"/>
      <w:b/>
      <w:bCs/>
      <w:i/>
      <w:iCs/>
      <w:sz w:val="24"/>
    </w:rPr>
  </w:style>
  <w:style w:type="character" w:styleId="SubtleReference">
    <w:name w:val="Subtle Reference"/>
    <w:qFormat/>
    <w:rPr>
      <w:rFonts w:ascii="Arial" w:hAnsi="Arial" w:cs="Times New Roman"/>
      <w:smallCaps/>
      <w:color w:val="auto"/>
      <w:u w:val="single"/>
    </w:rPr>
  </w:style>
  <w:style w:type="character" w:styleId="IntenseReference">
    <w:name w:val="Intense Reference"/>
    <w:qFormat/>
    <w:rPr>
      <w:rFonts w:ascii="Arial" w:hAnsi="Arial" w:cs="Times New Roman"/>
      <w:b/>
      <w:bCs/>
      <w:smallCaps/>
      <w:color w:val="auto"/>
      <w:spacing w:val="5"/>
      <w:u w:val="single"/>
    </w:rPr>
  </w:style>
  <w:style w:type="character" w:styleId="BookTitle">
    <w:name w:val="Book Title"/>
    <w:qFormat/>
    <w:rPr>
      <w:rFonts w:ascii="Arial" w:hAnsi="Arial" w:cs="Times New Roman"/>
      <w:b/>
      <w:bCs/>
      <w:smallCaps/>
      <w:spacing w:val="5"/>
    </w:rPr>
  </w:style>
  <w:style w:type="character" w:styleId="Hyperlink">
    <w:name w:val="Hyperlink"/>
    <w:uiPriority w:val="99"/>
    <w:rPr>
      <w:rFonts w:cs="Times New Roman"/>
      <w:color w:val="0000FF"/>
      <w:u w:val="single"/>
    </w:rPr>
  </w:style>
  <w:style w:type="character" w:styleId="FollowedHyperlink">
    <w:name w:val="FollowedHyperlink"/>
    <w:rPr>
      <w:color w:val="800080"/>
      <w:u w:val="single"/>
    </w:rPr>
  </w:style>
  <w:style w:type="character" w:styleId="CommentReference">
    <w:name w:val="annotation reference"/>
    <w:uiPriority w:val="99"/>
    <w:rPr>
      <w:sz w:val="16"/>
      <w:szCs w:val="16"/>
    </w:rPr>
  </w:style>
  <w:style w:type="character" w:customStyle="1" w:styleId="CommentTextChar">
    <w:name w:val="Comment Text Char"/>
    <w:uiPriority w:val="99"/>
    <w:rPr>
      <w:rFonts w:ascii="Arial" w:hAnsi="Arial" w:cs="Arial"/>
    </w:rPr>
  </w:style>
  <w:style w:type="character" w:customStyle="1" w:styleId="CommentSubjectChar">
    <w:name w:val="Comment Subject Char"/>
    <w:rPr>
      <w:rFonts w:ascii="Arial" w:hAnsi="Arial" w:cs="Arial"/>
      <w:b/>
      <w:bCs/>
    </w:rPr>
  </w:style>
  <w:style w:type="character" w:customStyle="1" w:styleId="FootnoteTextChar">
    <w:name w:val="Footnote Text Char"/>
  </w:style>
  <w:style w:type="character" w:customStyle="1" w:styleId="FootnoteCharacters">
    <w:name w:val="Footnote Characters"/>
    <w:rPr>
      <w:vertAlign w:val="superscript"/>
    </w:rPr>
  </w:style>
  <w:style w:type="character" w:customStyle="1" w:styleId="EndnoteTextChar">
    <w:name w:val="Endnote Text Char"/>
    <w:rPr>
      <w:rFonts w:ascii="Arial" w:hAnsi="Arial" w:cs="Arial"/>
    </w:rPr>
  </w:style>
  <w:style w:type="character" w:customStyle="1" w:styleId="EndnoteCharacters">
    <w:name w:val="Endnote Characters"/>
    <w:rPr>
      <w:vertAlign w:val="superscript"/>
    </w:rPr>
  </w:style>
  <w:style w:type="paragraph" w:customStyle="1" w:styleId="Heading">
    <w:name w:val="Heading"/>
    <w:basedOn w:val="Normal"/>
    <w:next w:val="BodyText"/>
    <w:pPr>
      <w:keepNext/>
      <w:spacing w:before="240" w:after="120"/>
    </w:pPr>
    <w:rPr>
      <w:rFonts w:ascii="Liberation Sans" w:eastAsia="Droid Sans Fallback"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Header">
    <w:name w:val="header"/>
    <w:basedOn w:val="Normal"/>
    <w:pPr>
      <w:spacing w:line="200" w:lineRule="exact"/>
    </w:pPr>
    <w:rPr>
      <w:sz w:val="16"/>
      <w:szCs w:val="16"/>
    </w:rPr>
  </w:style>
  <w:style w:type="paragraph" w:styleId="Footer">
    <w:name w:val="footer"/>
    <w:basedOn w:val="Normal"/>
    <w:pPr>
      <w:spacing w:line="240" w:lineRule="auto"/>
    </w:pPr>
  </w:style>
  <w:style w:type="paragraph" w:styleId="BalloonText">
    <w:name w:val="Balloon Text"/>
    <w:basedOn w:val="Normal"/>
    <w:pPr>
      <w:spacing w:line="240" w:lineRule="auto"/>
    </w:pPr>
    <w:rPr>
      <w:rFonts w:ascii="Tahoma" w:hAnsi="Tahoma" w:cs="Tahoma"/>
      <w:sz w:val="16"/>
      <w:szCs w:val="16"/>
    </w:rPr>
  </w:style>
  <w:style w:type="paragraph" w:styleId="Subtitle">
    <w:name w:val="Subtitle"/>
    <w:basedOn w:val="Normal"/>
    <w:next w:val="Normal"/>
    <w:qFormat/>
    <w:rPr>
      <w:rFonts w:eastAsia="Times New Roman"/>
      <w:i/>
      <w:iCs/>
      <w:spacing w:val="15"/>
    </w:rPr>
  </w:style>
  <w:style w:type="paragraph" w:styleId="IntenseQuote">
    <w:name w:val="Intense Quote"/>
    <w:basedOn w:val="Normal"/>
    <w:next w:val="Normal"/>
    <w:qFormat/>
    <w:pPr>
      <w:pBdr>
        <w:top w:val="none" w:sz="0" w:space="0" w:color="000000"/>
        <w:left w:val="none" w:sz="0" w:space="0" w:color="000000"/>
        <w:bottom w:val="single" w:sz="4" w:space="4" w:color="4F81BD"/>
        <w:right w:val="none" w:sz="0" w:space="0" w:color="000000"/>
      </w:pBdr>
      <w:spacing w:before="200" w:after="280"/>
      <w:ind w:left="936" w:right="936"/>
    </w:pPr>
    <w:rPr>
      <w:b/>
      <w:bCs/>
      <w:i/>
      <w:iCs/>
    </w:rPr>
  </w:style>
  <w:style w:type="paragraph" w:styleId="ListParagraph">
    <w:name w:val="List Paragraph"/>
    <w:basedOn w:val="Normal"/>
    <w:uiPriority w:val="34"/>
    <w:qFormat/>
    <w:pPr>
      <w:ind w:left="720"/>
      <w:contextualSpacing/>
    </w:pPr>
  </w:style>
  <w:style w:type="paragraph" w:customStyle="1" w:styleId="Pa12">
    <w:name w:val="Pa12"/>
    <w:basedOn w:val="Normal"/>
    <w:next w:val="Normal"/>
    <w:pPr>
      <w:autoSpaceDE w:val="0"/>
      <w:spacing w:line="201" w:lineRule="atLeast"/>
    </w:pPr>
  </w:style>
  <w:style w:type="paragraph" w:customStyle="1" w:styleId="Default">
    <w:name w:val="Default"/>
    <w:pPr>
      <w:suppressAutoHyphens/>
      <w:autoSpaceDE w:val="0"/>
    </w:pPr>
    <w:rPr>
      <w:rFonts w:ascii="Arial" w:eastAsia="Calibri" w:hAnsi="Arial" w:cs="Arial"/>
      <w:color w:val="000000"/>
      <w:sz w:val="24"/>
      <w:szCs w:val="24"/>
      <w:lang w:eastAsia="zh-CN"/>
    </w:rPr>
  </w:style>
  <w:style w:type="paragraph" w:styleId="CommentText">
    <w:name w:val="annotation text"/>
    <w:basedOn w:val="Normal"/>
    <w:uiPriority w:val="99"/>
    <w:rPr>
      <w:sz w:val="20"/>
      <w:szCs w:val="20"/>
    </w:rPr>
  </w:style>
  <w:style w:type="paragraph" w:styleId="CommentSubject">
    <w:name w:val="annotation subject"/>
    <w:basedOn w:val="CommentText"/>
    <w:next w:val="CommentText"/>
    <w:rPr>
      <w:b/>
      <w:bCs/>
    </w:rPr>
  </w:style>
  <w:style w:type="paragraph" w:styleId="Revision">
    <w:name w:val="Revision"/>
    <w:pPr>
      <w:suppressAutoHyphens/>
    </w:pPr>
    <w:rPr>
      <w:rFonts w:ascii="Arial" w:eastAsia="Calibri" w:hAnsi="Arial" w:cs="Arial"/>
      <w:sz w:val="24"/>
      <w:szCs w:val="24"/>
      <w:lang w:eastAsia="zh-CN"/>
    </w:rPr>
  </w:style>
  <w:style w:type="paragraph" w:styleId="FootnoteText">
    <w:name w:val="footnote text"/>
    <w:basedOn w:val="Normal"/>
    <w:pPr>
      <w:spacing w:line="240" w:lineRule="auto"/>
    </w:pPr>
    <w:rPr>
      <w:rFonts w:ascii="Calibri" w:hAnsi="Calibri" w:cs="Times New Roman"/>
      <w:sz w:val="20"/>
      <w:szCs w:val="20"/>
    </w:rPr>
  </w:style>
  <w:style w:type="paragraph" w:styleId="EndnoteText">
    <w:name w:val="endnote text"/>
    <w:basedOn w:val="Normal"/>
    <w:rPr>
      <w:sz w:val="20"/>
      <w:szCs w:val="20"/>
    </w:rPr>
  </w:style>
  <w:style w:type="paragraph" w:styleId="NormalWeb">
    <w:name w:val="Normal (Web)"/>
    <w:basedOn w:val="Normal"/>
    <w:uiPriority w:val="99"/>
    <w:pPr>
      <w:spacing w:before="280" w:after="280" w:line="240" w:lineRule="auto"/>
    </w:pPr>
    <w:rPr>
      <w:rFonts w:ascii="Times New Roman" w:eastAsia="Times New Roman" w:hAnsi="Times New Roman" w:cs="Times New Roman"/>
    </w:rPr>
  </w:style>
  <w:style w:type="paragraph" w:customStyle="1" w:styleId="Paragraph">
    <w:name w:val="Paragraph"/>
    <w:basedOn w:val="Normal"/>
    <w:pPr>
      <w:numPr>
        <w:numId w:val="6"/>
      </w:numPr>
      <w:spacing w:before="240" w:after="240" w:line="276" w:lineRule="auto"/>
    </w:pPr>
    <w:rPr>
      <w:rFonts w:eastAsia="Times New Roman"/>
      <w:sz w:val="22"/>
      <w:szCs w:val="22"/>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table" w:styleId="TableGrid">
    <w:name w:val="Table Grid"/>
    <w:basedOn w:val="TableNormal"/>
    <w:uiPriority w:val="59"/>
    <w:rsid w:val="00B940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320" w:lineRule="exact"/>
    </w:pPr>
    <w:rPr>
      <w:rFonts w:ascii="Arial" w:eastAsia="Calibri" w:hAnsi="Arial" w:cs="Arial"/>
      <w:sz w:val="24"/>
      <w:szCs w:val="24"/>
      <w:lang w:eastAsia="zh-CN"/>
    </w:rPr>
  </w:style>
  <w:style w:type="paragraph" w:styleId="Heading1">
    <w:name w:val="heading 1"/>
    <w:basedOn w:val="Normal"/>
    <w:next w:val="Normal"/>
    <w:qFormat/>
    <w:pPr>
      <w:numPr>
        <w:numId w:val="1"/>
      </w:numPr>
      <w:outlineLvl w:val="0"/>
    </w:pPr>
    <w:rPr>
      <w:b/>
    </w:rPr>
  </w:style>
  <w:style w:type="paragraph" w:styleId="Heading2">
    <w:name w:val="heading 2"/>
    <w:basedOn w:val="Normal"/>
    <w:next w:val="Normal"/>
    <w:qFormat/>
    <w:pPr>
      <w:keepNext/>
      <w:keepLines/>
      <w:numPr>
        <w:ilvl w:val="1"/>
        <w:numId w:val="1"/>
      </w:numPr>
      <w:spacing w:before="200"/>
      <w:outlineLvl w:val="1"/>
    </w:pPr>
    <w:rPr>
      <w:rFonts w:eastAsia="Times New Roman"/>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rPr>
      <w:rFonts w:ascii="Arial" w:eastAsia="Times New Roman" w:hAnsi="Arial" w:cs="Arial" w:hint="default"/>
    </w:rPr>
  </w:style>
  <w:style w:type="character" w:customStyle="1" w:styleId="WW8Num1z2">
    <w:name w:val="WW8Num1z2"/>
    <w:rPr>
      <w:rFonts w:ascii="Wingdings" w:hAnsi="Wingdings" w:cs="Wingdings" w:hint="default"/>
    </w:rPr>
  </w:style>
  <w:style w:type="character" w:customStyle="1" w:styleId="WW8Num1z4">
    <w:name w:val="WW8Num1z4"/>
    <w:rPr>
      <w:rFonts w:ascii="Courier New" w:hAnsi="Courier New" w:cs="Courier New" w:hint="default"/>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eastAsia="Times New Roman" w:cs="Arial"/>
      <w:sz w:val="22"/>
      <w:szCs w:val="22"/>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eastAsia="Times New Roman" w:hAnsi="Symbol" w:cs="Symbol" w:hint="default"/>
      <w:color w:val="000000"/>
      <w:sz w:val="22"/>
      <w:szCs w:val="22"/>
      <w:lang w:eastAsia="en-GB"/>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rPr>
      <w:rFonts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Symbol" w:eastAsia="Times New Roman" w:hAnsi="Symbol" w:cs="Symbol" w:hint="default"/>
      <w:color w:val="000000"/>
      <w:sz w:val="22"/>
      <w:szCs w:val="22"/>
      <w:lang w:eastAsia="en-GB"/>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Symbol"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eastAsia="Times New Roman" w:hAnsi="Symbol" w:cs="Symbol" w:hint="default"/>
      <w:color w:val="000000"/>
      <w:sz w:val="22"/>
      <w:szCs w:val="22"/>
      <w:lang w:eastAsia="en-GB"/>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rPr>
      <w:rFonts w:ascii="Symbol" w:hAnsi="Symbol" w:cs="Symbol"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Heading1Char">
    <w:name w:val="Heading 1 Char"/>
    <w:rPr>
      <w:rFonts w:ascii="Arial" w:hAnsi="Arial" w:cs="Times New Roman"/>
      <w:b/>
      <w:sz w:val="24"/>
    </w:rPr>
  </w:style>
  <w:style w:type="character" w:customStyle="1" w:styleId="Heading2Char">
    <w:name w:val="Heading 2 Char"/>
    <w:rPr>
      <w:rFonts w:ascii="Arial" w:hAnsi="Arial" w:cs="Times New Roman"/>
      <w:b/>
      <w:bCs/>
      <w:sz w:val="26"/>
    </w:rPr>
  </w:style>
  <w:style w:type="character" w:customStyle="1" w:styleId="HeaderChar">
    <w:name w:val="Header Char"/>
    <w:rPr>
      <w:rFonts w:ascii="Arial" w:hAnsi="Arial" w:cs="Times New Roman"/>
      <w:sz w:val="16"/>
    </w:rPr>
  </w:style>
  <w:style w:type="character" w:customStyle="1" w:styleId="FooterChar">
    <w:name w:val="Footer Char"/>
    <w:rPr>
      <w:rFonts w:ascii="Arial" w:hAnsi="Arial" w:cs="Times New Roman"/>
      <w:sz w:val="20"/>
      <w:lang w:val="en-US"/>
    </w:rPr>
  </w:style>
  <w:style w:type="character" w:customStyle="1" w:styleId="BalloonTextChar">
    <w:name w:val="Balloon Text Char"/>
    <w:rPr>
      <w:rFonts w:ascii="Tahoma" w:hAnsi="Tahoma" w:cs="Tahoma"/>
      <w:sz w:val="16"/>
      <w:lang w:val="en-US"/>
    </w:rPr>
  </w:style>
  <w:style w:type="character" w:styleId="Emphasis">
    <w:name w:val="Emphasis"/>
    <w:qFormat/>
    <w:rPr>
      <w:rFonts w:ascii="Arial" w:hAnsi="Arial" w:cs="Times New Roman"/>
      <w:i/>
      <w:iCs/>
    </w:rPr>
  </w:style>
  <w:style w:type="character" w:customStyle="1" w:styleId="SubtitleChar">
    <w:name w:val="Subtitle Char"/>
    <w:rPr>
      <w:rFonts w:ascii="Arial" w:hAnsi="Arial" w:cs="Times New Roman"/>
      <w:i/>
      <w:iCs/>
      <w:spacing w:val="15"/>
      <w:sz w:val="24"/>
    </w:rPr>
  </w:style>
  <w:style w:type="character" w:styleId="SubtleEmphasis">
    <w:name w:val="Subtle Emphasis"/>
    <w:qFormat/>
    <w:rPr>
      <w:rFonts w:ascii="Arial" w:hAnsi="Arial" w:cs="Times New Roman"/>
      <w:i/>
      <w:iCs/>
      <w:color w:val="808080"/>
    </w:rPr>
  </w:style>
  <w:style w:type="character" w:customStyle="1" w:styleId="IntenseQuoteChar">
    <w:name w:val="Intense Quote Char"/>
    <w:rPr>
      <w:rFonts w:ascii="Arial" w:hAnsi="Arial" w:cs="Times New Roman"/>
      <w:b/>
      <w:bCs/>
      <w:i/>
      <w:iCs/>
      <w:sz w:val="24"/>
    </w:rPr>
  </w:style>
  <w:style w:type="character" w:styleId="SubtleReference">
    <w:name w:val="Subtle Reference"/>
    <w:qFormat/>
    <w:rPr>
      <w:rFonts w:ascii="Arial" w:hAnsi="Arial" w:cs="Times New Roman"/>
      <w:smallCaps/>
      <w:color w:val="auto"/>
      <w:u w:val="single"/>
    </w:rPr>
  </w:style>
  <w:style w:type="character" w:styleId="IntenseReference">
    <w:name w:val="Intense Reference"/>
    <w:qFormat/>
    <w:rPr>
      <w:rFonts w:ascii="Arial" w:hAnsi="Arial" w:cs="Times New Roman"/>
      <w:b/>
      <w:bCs/>
      <w:smallCaps/>
      <w:color w:val="auto"/>
      <w:spacing w:val="5"/>
      <w:u w:val="single"/>
    </w:rPr>
  </w:style>
  <w:style w:type="character" w:styleId="BookTitle">
    <w:name w:val="Book Title"/>
    <w:qFormat/>
    <w:rPr>
      <w:rFonts w:ascii="Arial" w:hAnsi="Arial" w:cs="Times New Roman"/>
      <w:b/>
      <w:bCs/>
      <w:smallCaps/>
      <w:spacing w:val="5"/>
    </w:rPr>
  </w:style>
  <w:style w:type="character" w:styleId="Hyperlink">
    <w:name w:val="Hyperlink"/>
    <w:uiPriority w:val="99"/>
    <w:rPr>
      <w:rFonts w:cs="Times New Roman"/>
      <w:color w:val="0000FF"/>
      <w:u w:val="single"/>
    </w:rPr>
  </w:style>
  <w:style w:type="character" w:styleId="FollowedHyperlink">
    <w:name w:val="FollowedHyperlink"/>
    <w:rPr>
      <w:color w:val="800080"/>
      <w:u w:val="single"/>
    </w:rPr>
  </w:style>
  <w:style w:type="character" w:styleId="CommentReference">
    <w:name w:val="annotation reference"/>
    <w:uiPriority w:val="99"/>
    <w:rPr>
      <w:sz w:val="16"/>
      <w:szCs w:val="16"/>
    </w:rPr>
  </w:style>
  <w:style w:type="character" w:customStyle="1" w:styleId="CommentTextChar">
    <w:name w:val="Comment Text Char"/>
    <w:uiPriority w:val="99"/>
    <w:rPr>
      <w:rFonts w:ascii="Arial" w:hAnsi="Arial" w:cs="Arial"/>
    </w:rPr>
  </w:style>
  <w:style w:type="character" w:customStyle="1" w:styleId="CommentSubjectChar">
    <w:name w:val="Comment Subject Char"/>
    <w:rPr>
      <w:rFonts w:ascii="Arial" w:hAnsi="Arial" w:cs="Arial"/>
      <w:b/>
      <w:bCs/>
    </w:rPr>
  </w:style>
  <w:style w:type="character" w:customStyle="1" w:styleId="FootnoteTextChar">
    <w:name w:val="Footnote Text Char"/>
  </w:style>
  <w:style w:type="character" w:customStyle="1" w:styleId="FootnoteCharacters">
    <w:name w:val="Footnote Characters"/>
    <w:rPr>
      <w:vertAlign w:val="superscript"/>
    </w:rPr>
  </w:style>
  <w:style w:type="character" w:customStyle="1" w:styleId="EndnoteTextChar">
    <w:name w:val="Endnote Text Char"/>
    <w:rPr>
      <w:rFonts w:ascii="Arial" w:hAnsi="Arial" w:cs="Arial"/>
    </w:rPr>
  </w:style>
  <w:style w:type="character" w:customStyle="1" w:styleId="EndnoteCharacters">
    <w:name w:val="Endnote Characters"/>
    <w:rPr>
      <w:vertAlign w:val="superscript"/>
    </w:rPr>
  </w:style>
  <w:style w:type="paragraph" w:customStyle="1" w:styleId="Heading">
    <w:name w:val="Heading"/>
    <w:basedOn w:val="Normal"/>
    <w:next w:val="BodyText"/>
    <w:pPr>
      <w:keepNext/>
      <w:spacing w:before="240" w:after="120"/>
    </w:pPr>
    <w:rPr>
      <w:rFonts w:ascii="Liberation Sans" w:eastAsia="Droid Sans Fallback"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Header">
    <w:name w:val="header"/>
    <w:basedOn w:val="Normal"/>
    <w:pPr>
      <w:spacing w:line="200" w:lineRule="exact"/>
    </w:pPr>
    <w:rPr>
      <w:sz w:val="16"/>
      <w:szCs w:val="16"/>
    </w:rPr>
  </w:style>
  <w:style w:type="paragraph" w:styleId="Footer">
    <w:name w:val="footer"/>
    <w:basedOn w:val="Normal"/>
    <w:pPr>
      <w:spacing w:line="240" w:lineRule="auto"/>
    </w:pPr>
  </w:style>
  <w:style w:type="paragraph" w:styleId="BalloonText">
    <w:name w:val="Balloon Text"/>
    <w:basedOn w:val="Normal"/>
    <w:pPr>
      <w:spacing w:line="240" w:lineRule="auto"/>
    </w:pPr>
    <w:rPr>
      <w:rFonts w:ascii="Tahoma" w:hAnsi="Tahoma" w:cs="Tahoma"/>
      <w:sz w:val="16"/>
      <w:szCs w:val="16"/>
    </w:rPr>
  </w:style>
  <w:style w:type="paragraph" w:styleId="Subtitle">
    <w:name w:val="Subtitle"/>
    <w:basedOn w:val="Normal"/>
    <w:next w:val="Normal"/>
    <w:qFormat/>
    <w:rPr>
      <w:rFonts w:eastAsia="Times New Roman"/>
      <w:i/>
      <w:iCs/>
      <w:spacing w:val="15"/>
    </w:rPr>
  </w:style>
  <w:style w:type="paragraph" w:styleId="IntenseQuote">
    <w:name w:val="Intense Quote"/>
    <w:basedOn w:val="Normal"/>
    <w:next w:val="Normal"/>
    <w:qFormat/>
    <w:pPr>
      <w:pBdr>
        <w:top w:val="none" w:sz="0" w:space="0" w:color="000000"/>
        <w:left w:val="none" w:sz="0" w:space="0" w:color="000000"/>
        <w:bottom w:val="single" w:sz="4" w:space="4" w:color="4F81BD"/>
        <w:right w:val="none" w:sz="0" w:space="0" w:color="000000"/>
      </w:pBdr>
      <w:spacing w:before="200" w:after="280"/>
      <w:ind w:left="936" w:right="936"/>
    </w:pPr>
    <w:rPr>
      <w:b/>
      <w:bCs/>
      <w:i/>
      <w:iCs/>
    </w:rPr>
  </w:style>
  <w:style w:type="paragraph" w:styleId="ListParagraph">
    <w:name w:val="List Paragraph"/>
    <w:basedOn w:val="Normal"/>
    <w:uiPriority w:val="34"/>
    <w:qFormat/>
    <w:pPr>
      <w:ind w:left="720"/>
      <w:contextualSpacing/>
    </w:pPr>
  </w:style>
  <w:style w:type="paragraph" w:customStyle="1" w:styleId="Pa12">
    <w:name w:val="Pa12"/>
    <w:basedOn w:val="Normal"/>
    <w:next w:val="Normal"/>
    <w:pPr>
      <w:autoSpaceDE w:val="0"/>
      <w:spacing w:line="201" w:lineRule="atLeast"/>
    </w:pPr>
  </w:style>
  <w:style w:type="paragraph" w:customStyle="1" w:styleId="Default">
    <w:name w:val="Default"/>
    <w:pPr>
      <w:suppressAutoHyphens/>
      <w:autoSpaceDE w:val="0"/>
    </w:pPr>
    <w:rPr>
      <w:rFonts w:ascii="Arial" w:eastAsia="Calibri" w:hAnsi="Arial" w:cs="Arial"/>
      <w:color w:val="000000"/>
      <w:sz w:val="24"/>
      <w:szCs w:val="24"/>
      <w:lang w:eastAsia="zh-CN"/>
    </w:rPr>
  </w:style>
  <w:style w:type="paragraph" w:styleId="CommentText">
    <w:name w:val="annotation text"/>
    <w:basedOn w:val="Normal"/>
    <w:uiPriority w:val="99"/>
    <w:rPr>
      <w:sz w:val="20"/>
      <w:szCs w:val="20"/>
    </w:rPr>
  </w:style>
  <w:style w:type="paragraph" w:styleId="CommentSubject">
    <w:name w:val="annotation subject"/>
    <w:basedOn w:val="CommentText"/>
    <w:next w:val="CommentText"/>
    <w:rPr>
      <w:b/>
      <w:bCs/>
    </w:rPr>
  </w:style>
  <w:style w:type="paragraph" w:styleId="Revision">
    <w:name w:val="Revision"/>
    <w:pPr>
      <w:suppressAutoHyphens/>
    </w:pPr>
    <w:rPr>
      <w:rFonts w:ascii="Arial" w:eastAsia="Calibri" w:hAnsi="Arial" w:cs="Arial"/>
      <w:sz w:val="24"/>
      <w:szCs w:val="24"/>
      <w:lang w:eastAsia="zh-CN"/>
    </w:rPr>
  </w:style>
  <w:style w:type="paragraph" w:styleId="FootnoteText">
    <w:name w:val="footnote text"/>
    <w:basedOn w:val="Normal"/>
    <w:pPr>
      <w:spacing w:line="240" w:lineRule="auto"/>
    </w:pPr>
    <w:rPr>
      <w:rFonts w:ascii="Calibri" w:hAnsi="Calibri" w:cs="Times New Roman"/>
      <w:sz w:val="20"/>
      <w:szCs w:val="20"/>
    </w:rPr>
  </w:style>
  <w:style w:type="paragraph" w:styleId="EndnoteText">
    <w:name w:val="endnote text"/>
    <w:basedOn w:val="Normal"/>
    <w:rPr>
      <w:sz w:val="20"/>
      <w:szCs w:val="20"/>
    </w:rPr>
  </w:style>
  <w:style w:type="paragraph" w:styleId="NormalWeb">
    <w:name w:val="Normal (Web)"/>
    <w:basedOn w:val="Normal"/>
    <w:uiPriority w:val="99"/>
    <w:pPr>
      <w:spacing w:before="280" w:after="280" w:line="240" w:lineRule="auto"/>
    </w:pPr>
    <w:rPr>
      <w:rFonts w:ascii="Times New Roman" w:eastAsia="Times New Roman" w:hAnsi="Times New Roman" w:cs="Times New Roman"/>
    </w:rPr>
  </w:style>
  <w:style w:type="paragraph" w:customStyle="1" w:styleId="Paragraph">
    <w:name w:val="Paragraph"/>
    <w:basedOn w:val="Normal"/>
    <w:pPr>
      <w:numPr>
        <w:numId w:val="6"/>
      </w:numPr>
      <w:spacing w:before="240" w:after="240" w:line="276" w:lineRule="auto"/>
    </w:pPr>
    <w:rPr>
      <w:rFonts w:eastAsia="Times New Roman"/>
      <w:sz w:val="22"/>
      <w:szCs w:val="22"/>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table" w:styleId="TableGrid">
    <w:name w:val="Table Grid"/>
    <w:basedOn w:val="TableNormal"/>
    <w:uiPriority w:val="59"/>
    <w:rsid w:val="00B940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528419">
      <w:bodyDiv w:val="1"/>
      <w:marLeft w:val="0"/>
      <w:marRight w:val="0"/>
      <w:marTop w:val="0"/>
      <w:marBottom w:val="0"/>
      <w:divBdr>
        <w:top w:val="none" w:sz="0" w:space="0" w:color="auto"/>
        <w:left w:val="none" w:sz="0" w:space="0" w:color="auto"/>
        <w:bottom w:val="none" w:sz="0" w:space="0" w:color="auto"/>
        <w:right w:val="none" w:sz="0" w:space="0" w:color="auto"/>
      </w:divBdr>
    </w:div>
    <w:div w:id="169996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egislation.gov.uk/ukpga/1998/29/contents" TargetMode="External"/><Relationship Id="rId18" Type="http://schemas.openxmlformats.org/officeDocument/2006/relationships/hyperlink" Target="http://phenet.phe.gov.uk/Our-Organisation/Directorates/CKO/Pages/Research-governance-and-ethics-.asp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phe.bravosolution.co.uk" TargetMode="External"/><Relationship Id="rId7" Type="http://schemas.openxmlformats.org/officeDocument/2006/relationships/footnotes" Target="footnotes.xml"/><Relationship Id="rId12" Type="http://schemas.openxmlformats.org/officeDocument/2006/relationships/hyperlink" Target="http://content.digital.nhs.uk/maternityandchildren/maternity" TargetMode="External"/><Relationship Id="rId17" Type="http://schemas.openxmlformats.org/officeDocument/2006/relationships/hyperlink" Target="http://phenet.phe.gov.uk/Services/publications/Pages/Creating-a-publication.asp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topic/government-digital-guidance/content-publishing" TargetMode="External"/><Relationship Id="rId20" Type="http://schemas.openxmlformats.org/officeDocument/2006/relationships/hyperlink" Target="https://www.gov.uk/guidance/equality-act-2010-guidanc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mup.com/"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phenet.phe.gov.uk/Our-Organisation/Directorates/CKO/Pages/THE-PHE-publication-standard.aspx" TargetMode="External"/><Relationship Id="rId23" Type="http://schemas.openxmlformats.org/officeDocument/2006/relationships/header" Target="header1.xml"/><Relationship Id="rId10" Type="http://schemas.openxmlformats.org/officeDocument/2006/relationships/hyperlink" Target="http://www.rcgp.org.uk/clinical-and-research/toolkits/~/media/A015853C3C22448583712961D42CA9E8.ashx" TargetMode="External"/><Relationship Id="rId19" Type="http://schemas.openxmlformats.org/officeDocument/2006/relationships/hyperlink" Target="https://www.ukdataservice.ac.uk/" TargetMode="External"/><Relationship Id="rId4" Type="http://schemas.microsoft.com/office/2007/relationships/stylesWithEffects" Target="stylesWithEffects.xml"/><Relationship Id="rId9" Type="http://schemas.openxmlformats.org/officeDocument/2006/relationships/hyperlink" Target="https://www.gov.uk/government/publications/a-framework-for-sexual-health-improvement-in-england" TargetMode="External"/><Relationship Id="rId14" Type="http://schemas.openxmlformats.org/officeDocument/2006/relationships/hyperlink" Target="http://phenet.phe.gov.uk/Policies-and-Procedures/Policy%20Documents/Information%20Governance%20policy.pdf"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un.gallagher\Desktop\Invitation%20to%20Tend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1FCA6-065A-4015-AD3D-A54DC6E89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Invitation to Tender.dot</Template>
  <TotalTime>7</TotalTime>
  <Pages>7</Pages>
  <Words>2216</Words>
  <Characters>12632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Letterhead with fold lines</vt:lpstr>
    </vt:vector>
  </TitlesOfParts>
  <Company/>
  <LinksUpToDate>false</LinksUpToDate>
  <CharactersWithSpaces>14819</CharactersWithSpaces>
  <SharedDoc>false</SharedDoc>
  <HLinks>
    <vt:vector size="78" baseType="variant">
      <vt:variant>
        <vt:i4>2818174</vt:i4>
      </vt:variant>
      <vt:variant>
        <vt:i4>36</vt:i4>
      </vt:variant>
      <vt:variant>
        <vt:i4>0</vt:i4>
      </vt:variant>
      <vt:variant>
        <vt:i4>5</vt:i4>
      </vt:variant>
      <vt:variant>
        <vt:lpwstr>https://commercialsolutions.bravosolution.co.uk/web/login.shtml</vt:lpwstr>
      </vt:variant>
      <vt:variant>
        <vt:lpwstr/>
      </vt:variant>
      <vt:variant>
        <vt:i4>6291574</vt:i4>
      </vt:variant>
      <vt:variant>
        <vt:i4>33</vt:i4>
      </vt:variant>
      <vt:variant>
        <vt:i4>0</vt:i4>
      </vt:variant>
      <vt:variant>
        <vt:i4>5</vt:i4>
      </vt:variant>
      <vt:variant>
        <vt:lpwstr>https://www.gov.uk/guidance/equality-act-2010-guidance</vt:lpwstr>
      </vt:variant>
      <vt:variant>
        <vt:lpwstr/>
      </vt:variant>
      <vt:variant>
        <vt:i4>4456460</vt:i4>
      </vt:variant>
      <vt:variant>
        <vt:i4>30</vt:i4>
      </vt:variant>
      <vt:variant>
        <vt:i4>0</vt:i4>
      </vt:variant>
      <vt:variant>
        <vt:i4>5</vt:i4>
      </vt:variant>
      <vt:variant>
        <vt:lpwstr>https://www.ukdataservice.ac.uk/</vt:lpwstr>
      </vt:variant>
      <vt:variant>
        <vt:lpwstr/>
      </vt:variant>
      <vt:variant>
        <vt:i4>5636121</vt:i4>
      </vt:variant>
      <vt:variant>
        <vt:i4>27</vt:i4>
      </vt:variant>
      <vt:variant>
        <vt:i4>0</vt:i4>
      </vt:variant>
      <vt:variant>
        <vt:i4>5</vt:i4>
      </vt:variant>
      <vt:variant>
        <vt:lpwstr>http://phenet.phe.gov.uk/Our-Organisation/Directorates/CKO/Pages/Research-governance-and-ethics-.aspx</vt:lpwstr>
      </vt:variant>
      <vt:variant>
        <vt:lpwstr/>
      </vt:variant>
      <vt:variant>
        <vt:i4>1376335</vt:i4>
      </vt:variant>
      <vt:variant>
        <vt:i4>24</vt:i4>
      </vt:variant>
      <vt:variant>
        <vt:i4>0</vt:i4>
      </vt:variant>
      <vt:variant>
        <vt:i4>5</vt:i4>
      </vt:variant>
      <vt:variant>
        <vt:lpwstr>http://phenet.phe.gov.uk/Services/publications/Pages/Creating-a-publication.aspx</vt:lpwstr>
      </vt:variant>
      <vt:variant>
        <vt:lpwstr/>
      </vt:variant>
      <vt:variant>
        <vt:i4>8323124</vt:i4>
      </vt:variant>
      <vt:variant>
        <vt:i4>21</vt:i4>
      </vt:variant>
      <vt:variant>
        <vt:i4>0</vt:i4>
      </vt:variant>
      <vt:variant>
        <vt:i4>5</vt:i4>
      </vt:variant>
      <vt:variant>
        <vt:lpwstr>https://www.gov.uk/topic/government-digital-guidance/content-publishing</vt:lpwstr>
      </vt:variant>
      <vt:variant>
        <vt:lpwstr/>
      </vt:variant>
      <vt:variant>
        <vt:i4>7864445</vt:i4>
      </vt:variant>
      <vt:variant>
        <vt:i4>18</vt:i4>
      </vt:variant>
      <vt:variant>
        <vt:i4>0</vt:i4>
      </vt:variant>
      <vt:variant>
        <vt:i4>5</vt:i4>
      </vt:variant>
      <vt:variant>
        <vt:lpwstr>http://phenet.phe.gov.uk/Our-Organisation/Directorates/CKO/Pages/THE-PHE-publication-standard.aspx</vt:lpwstr>
      </vt:variant>
      <vt:variant>
        <vt:lpwstr/>
      </vt:variant>
      <vt:variant>
        <vt:i4>6094865</vt:i4>
      </vt:variant>
      <vt:variant>
        <vt:i4>15</vt:i4>
      </vt:variant>
      <vt:variant>
        <vt:i4>0</vt:i4>
      </vt:variant>
      <vt:variant>
        <vt:i4>5</vt:i4>
      </vt:variant>
      <vt:variant>
        <vt:lpwstr>http://phenet.phe.gov.uk/Policies-and-Procedures/Policy%20Documents/Information%20Governance%20policy.pdf</vt:lpwstr>
      </vt:variant>
      <vt:variant>
        <vt:lpwstr/>
      </vt:variant>
      <vt:variant>
        <vt:i4>4653129</vt:i4>
      </vt:variant>
      <vt:variant>
        <vt:i4>12</vt:i4>
      </vt:variant>
      <vt:variant>
        <vt:i4>0</vt:i4>
      </vt:variant>
      <vt:variant>
        <vt:i4>5</vt:i4>
      </vt:variant>
      <vt:variant>
        <vt:lpwstr>http://www.legislation.gov.uk/ukpga/1998/29/contents</vt:lpwstr>
      </vt:variant>
      <vt:variant>
        <vt:lpwstr/>
      </vt:variant>
      <vt:variant>
        <vt:i4>1245215</vt:i4>
      </vt:variant>
      <vt:variant>
        <vt:i4>9</vt:i4>
      </vt:variant>
      <vt:variant>
        <vt:i4>0</vt:i4>
      </vt:variant>
      <vt:variant>
        <vt:i4>5</vt:i4>
      </vt:variant>
      <vt:variant>
        <vt:lpwstr>http://content.digital.nhs.uk/maternityandchildren/maternity</vt:lpwstr>
      </vt:variant>
      <vt:variant>
        <vt:lpwstr/>
      </vt:variant>
      <vt:variant>
        <vt:i4>6029379</vt:i4>
      </vt:variant>
      <vt:variant>
        <vt:i4>6</vt:i4>
      </vt:variant>
      <vt:variant>
        <vt:i4>0</vt:i4>
      </vt:variant>
      <vt:variant>
        <vt:i4>5</vt:i4>
      </vt:variant>
      <vt:variant>
        <vt:lpwstr>http://www.lmup.com/</vt:lpwstr>
      </vt:variant>
      <vt:variant>
        <vt:lpwstr/>
      </vt:variant>
      <vt:variant>
        <vt:i4>2097256</vt:i4>
      </vt:variant>
      <vt:variant>
        <vt:i4>3</vt:i4>
      </vt:variant>
      <vt:variant>
        <vt:i4>0</vt:i4>
      </vt:variant>
      <vt:variant>
        <vt:i4>5</vt:i4>
      </vt:variant>
      <vt:variant>
        <vt:lpwstr>http://www.rcgp.org.uk/clinical-and-research/toolkits/~/media/A015853C3C22448583712961D42CA9E8.ashx</vt:lpwstr>
      </vt:variant>
      <vt:variant>
        <vt:lpwstr/>
      </vt:variant>
      <vt:variant>
        <vt:i4>2097266</vt:i4>
      </vt:variant>
      <vt:variant>
        <vt:i4>0</vt:i4>
      </vt:variant>
      <vt:variant>
        <vt:i4>0</vt:i4>
      </vt:variant>
      <vt:variant>
        <vt:i4>5</vt:i4>
      </vt:variant>
      <vt:variant>
        <vt:lpwstr>https://www.gov.uk/government/publications/a-framework-for-sexual-health-improvement-in-england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with fold lines</dc:title>
  <dc:creator>Shaun Gallagher</dc:creator>
  <cp:lastModifiedBy>Timothy Purchase</cp:lastModifiedBy>
  <cp:revision>3</cp:revision>
  <cp:lastPrinted>2016-12-23T11:36:00Z</cp:lastPrinted>
  <dcterms:created xsi:type="dcterms:W3CDTF">2016-12-23T11:43:00Z</dcterms:created>
  <dcterms:modified xsi:type="dcterms:W3CDTF">2016-12-23T11:50:00Z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http://www.zotero.org/styles/vancouver</vt:lpwstr>
  </property>
  <property fmtid="{D5CDD505-2E9C-101B-9397-08002B2CF9AE}" pid="3" name="Mendeley Document_1">
    <vt:lpwstr>True</vt:lpwstr>
  </property>
  <property fmtid="{D5CDD505-2E9C-101B-9397-08002B2CF9AE}" pid="4" name="Mendeley Recent Style Id 0_1">
    <vt:lpwstr>http://www.zotero.org/styles/american-political-science-association</vt:lpwstr>
  </property>
  <property fmtid="{D5CDD505-2E9C-101B-9397-08002B2CF9AE}" pid="5" name="Mendeley Recent Style Id 1_1">
    <vt:lpwstr>http://www.zotero.org/styles/apa</vt:lpwstr>
  </property>
  <property fmtid="{D5CDD505-2E9C-101B-9397-08002B2CF9AE}" pid="6" name="Mendeley Recent Style Id 2_1">
    <vt:lpwstr>http://www.zotero.org/styles/american-sociological-association</vt:lpwstr>
  </property>
  <property fmtid="{D5CDD505-2E9C-101B-9397-08002B2CF9AE}" pid="7" name="Mendeley Recent Style Id 3_1">
    <vt:lpwstr>http://www.zotero.org/styles/chicago-author-date</vt:lpwstr>
  </property>
  <property fmtid="{D5CDD505-2E9C-101B-9397-08002B2CF9AE}" pid="8" name="Mendeley Recent Style Id 4_1">
    <vt:lpwstr>http://www.zotero.org/styles/harvard1</vt:lpwstr>
  </property>
  <property fmtid="{D5CDD505-2E9C-101B-9397-08002B2CF9AE}" pid="9" name="Mendeley Recent Style Id 5_1">
    <vt:lpwstr>http://www.zotero.org/styles/ieee</vt:lpwstr>
  </property>
  <property fmtid="{D5CDD505-2E9C-101B-9397-08002B2CF9AE}" pid="10" name="Mendeley Recent Style Id 6_1">
    <vt:lpwstr>http://www.zotero.org/styles/modern-humanities-research-association</vt:lpwstr>
  </property>
  <property fmtid="{D5CDD505-2E9C-101B-9397-08002B2CF9AE}" pid="11" name="Mendeley Recent Style Id 7_1">
    <vt:lpwstr>http://www.zotero.org/styles/modern-language-association</vt:lpwstr>
  </property>
  <property fmtid="{D5CDD505-2E9C-101B-9397-08002B2CF9AE}" pid="12" name="Mendeley Recent Style Id 8_1">
    <vt:lpwstr>http://www.zotero.org/styles/nature</vt:lpwstr>
  </property>
  <property fmtid="{D5CDD505-2E9C-101B-9397-08002B2CF9AE}" pid="13" name="Mendeley Recent Style Id 9_1">
    <vt:lpwstr>http://www.zotero.org/styles/vancouver</vt:lpwstr>
  </property>
  <property fmtid="{D5CDD505-2E9C-101B-9397-08002B2CF9AE}" pid="14" name="Mendeley Recent Style Name 0_1">
    <vt:lpwstr>American Political Science Association</vt:lpwstr>
  </property>
  <property fmtid="{D5CDD505-2E9C-101B-9397-08002B2CF9AE}" pid="15" name="Mendeley Recent Style Name 1_1">
    <vt:lpwstr>American Psychological Association 6th edition</vt:lpwstr>
  </property>
  <property fmtid="{D5CDD505-2E9C-101B-9397-08002B2CF9AE}" pid="16" name="Mendeley Recent Style Name 2_1">
    <vt:lpwstr>American Sociological Association</vt:lpwstr>
  </property>
  <property fmtid="{D5CDD505-2E9C-101B-9397-08002B2CF9AE}" pid="17" name="Mendeley Recent Style Name 3_1">
    <vt:lpwstr>Chicago Manual of Style 16th edition (author-date)</vt:lpwstr>
  </property>
  <property fmtid="{D5CDD505-2E9C-101B-9397-08002B2CF9AE}" pid="18" name="Mendeley Recent Style Name 4_1">
    <vt:lpwstr>Harvard Reference format 1 (author-date)</vt:lpwstr>
  </property>
  <property fmtid="{D5CDD505-2E9C-101B-9397-08002B2CF9AE}" pid="19" name="Mendeley Recent Style Name 5_1">
    <vt:lpwstr>IEEE</vt:lpwstr>
  </property>
  <property fmtid="{D5CDD505-2E9C-101B-9397-08002B2CF9AE}" pid="20" name="Mendeley Recent Style Name 6_1">
    <vt:lpwstr>Modern Humanities Research Association 3rd edition (note with bibliography)</vt:lpwstr>
  </property>
  <property fmtid="{D5CDD505-2E9C-101B-9397-08002B2CF9AE}" pid="21" name="Mendeley Recent Style Name 7_1">
    <vt:lpwstr>Modern Language Association 7th edition</vt:lpwstr>
  </property>
  <property fmtid="{D5CDD505-2E9C-101B-9397-08002B2CF9AE}" pid="22" name="Mendeley Recent Style Name 8_1">
    <vt:lpwstr>Nature</vt:lpwstr>
  </property>
  <property fmtid="{D5CDD505-2E9C-101B-9397-08002B2CF9AE}" pid="23" name="Mendeley Recent Style Name 9_1">
    <vt:lpwstr>Vancouver</vt:lpwstr>
  </property>
  <property fmtid="{D5CDD505-2E9C-101B-9397-08002B2CF9AE}" pid="24" name="Mendeley User Name_1">
    <vt:lpwstr>Sonya.Clark@phe.gov.uk@www.mendeley.com</vt:lpwstr>
  </property>
</Properties>
</file>