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8398" w14:textId="66515B15" w:rsidR="005B6C3B" w:rsidRPr="001C062A" w:rsidRDefault="005B6C3B" w:rsidP="001C062A">
      <w:pPr>
        <w:jc w:val="both"/>
        <w:rPr>
          <w:b/>
          <w:sz w:val="20"/>
          <w:szCs w:val="20"/>
          <w:u w:val="single"/>
        </w:rPr>
      </w:pPr>
      <w:r w:rsidRPr="001C062A">
        <w:rPr>
          <w:b/>
          <w:sz w:val="20"/>
          <w:szCs w:val="20"/>
          <w:u w:val="single"/>
        </w:rPr>
        <w:t xml:space="preserve">Prior Information Notice – </w:t>
      </w:r>
      <w:r w:rsidR="00051E64">
        <w:rPr>
          <w:b/>
          <w:sz w:val="20"/>
          <w:szCs w:val="20"/>
          <w:u w:val="single"/>
        </w:rPr>
        <w:t xml:space="preserve">Cwm Rheidol </w:t>
      </w:r>
      <w:r w:rsidR="00D6445D">
        <w:rPr>
          <w:b/>
          <w:sz w:val="20"/>
          <w:szCs w:val="20"/>
          <w:u w:val="single"/>
        </w:rPr>
        <w:t>Phase 2 Works</w:t>
      </w:r>
    </w:p>
    <w:p w14:paraId="5DBDB410" w14:textId="3C1B4D8F" w:rsidR="005F0EC1" w:rsidRDefault="0031790B" w:rsidP="001C062A">
      <w:pPr>
        <w:jc w:val="both"/>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w:t>
      </w:r>
      <w:r w:rsidRPr="005E7862">
        <w:rPr>
          <w:sz w:val="20"/>
          <w:szCs w:val="20"/>
        </w:rPr>
        <w:t xml:space="preserve">after </w:t>
      </w:r>
      <w:r w:rsidR="005E7862">
        <w:rPr>
          <w:sz w:val="20"/>
          <w:szCs w:val="20"/>
        </w:rPr>
        <w:t>6</w:t>
      </w:r>
      <w:r w:rsidR="005B0B88" w:rsidRPr="005E7862">
        <w:rPr>
          <w:sz w:val="20"/>
          <w:szCs w:val="20"/>
          <w:vertAlign w:val="superscript"/>
        </w:rPr>
        <w:t>th</w:t>
      </w:r>
      <w:r w:rsidR="005B0B88" w:rsidRPr="005E7862">
        <w:rPr>
          <w:sz w:val="20"/>
          <w:szCs w:val="20"/>
        </w:rPr>
        <w:t xml:space="preserve"> </w:t>
      </w:r>
      <w:r w:rsidR="008D36EE" w:rsidRPr="005E7862">
        <w:rPr>
          <w:sz w:val="20"/>
          <w:szCs w:val="20"/>
        </w:rPr>
        <w:t>September</w:t>
      </w:r>
      <w:r w:rsidR="00C60DE1" w:rsidRPr="005E7862">
        <w:rPr>
          <w:sz w:val="20"/>
          <w:szCs w:val="20"/>
        </w:rPr>
        <w:t xml:space="preserve"> 2021.</w:t>
      </w:r>
    </w:p>
    <w:p w14:paraId="51B1A1ED" w14:textId="77777777" w:rsidR="00680884" w:rsidRPr="00680884" w:rsidRDefault="00680884" w:rsidP="001C062A">
      <w:pPr>
        <w:jc w:val="both"/>
        <w:rPr>
          <w:sz w:val="20"/>
          <w:szCs w:val="20"/>
          <w:u w:val="single"/>
        </w:rPr>
      </w:pPr>
      <w:r w:rsidRPr="00680884">
        <w:rPr>
          <w:sz w:val="20"/>
          <w:szCs w:val="20"/>
          <w:u w:val="single"/>
        </w:rPr>
        <w:t>Supplier engagement notification</w:t>
      </w:r>
    </w:p>
    <w:p w14:paraId="269DF251" w14:textId="551890F1" w:rsidR="00680884" w:rsidRDefault="00680884" w:rsidP="001C062A">
      <w:pPr>
        <w:jc w:val="both"/>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392C11">
        <w:rPr>
          <w:sz w:val="20"/>
          <w:szCs w:val="20"/>
        </w:rPr>
        <w:t>T</w:t>
      </w:r>
      <w:r w:rsidR="006C2503">
        <w:rPr>
          <w:sz w:val="20"/>
          <w:szCs w:val="20"/>
        </w:rPr>
        <w:t>he Coal Authority will</w:t>
      </w:r>
      <w:r>
        <w:rPr>
          <w:sz w:val="20"/>
          <w:szCs w:val="20"/>
        </w:rPr>
        <w:t xml:space="preserve"> host </w:t>
      </w:r>
      <w:r w:rsidR="00051E64">
        <w:rPr>
          <w:sz w:val="20"/>
          <w:szCs w:val="20"/>
        </w:rPr>
        <w:t>a supplier engagement event</w:t>
      </w:r>
      <w:r w:rsidR="006C2503">
        <w:rPr>
          <w:sz w:val="20"/>
          <w:szCs w:val="20"/>
        </w:rPr>
        <w:t xml:space="preserve"> via Zoom</w:t>
      </w:r>
      <w:r>
        <w:rPr>
          <w:sz w:val="20"/>
          <w:szCs w:val="20"/>
        </w:rPr>
        <w:t xml:space="preserve">. </w:t>
      </w:r>
    </w:p>
    <w:p w14:paraId="1465D283" w14:textId="4FA2B03C" w:rsidR="00680884" w:rsidRDefault="00680884" w:rsidP="001C062A">
      <w:pPr>
        <w:jc w:val="both"/>
        <w:rPr>
          <w:sz w:val="20"/>
          <w:szCs w:val="20"/>
        </w:rPr>
      </w:pPr>
      <w:r>
        <w:rPr>
          <w:sz w:val="20"/>
          <w:szCs w:val="20"/>
        </w:rPr>
        <w:t>The purpose of these events are to provide further information about this requirement, the tendering process</w:t>
      </w:r>
      <w:r w:rsidR="00392C11">
        <w:rPr>
          <w:sz w:val="20"/>
          <w:szCs w:val="20"/>
        </w:rPr>
        <w:t>,</w:t>
      </w:r>
      <w:r>
        <w:rPr>
          <w:sz w:val="20"/>
          <w:szCs w:val="20"/>
        </w:rPr>
        <w:t xml:space="preserve"> and to invite feedback and questions from potential bidders.</w:t>
      </w:r>
    </w:p>
    <w:p w14:paraId="2149B133" w14:textId="1272C67D" w:rsidR="00680884" w:rsidRDefault="00CC70C3" w:rsidP="001C062A">
      <w:pPr>
        <w:jc w:val="both"/>
        <w:rPr>
          <w:sz w:val="20"/>
          <w:szCs w:val="20"/>
        </w:rPr>
      </w:pPr>
      <w:r>
        <w:rPr>
          <w:sz w:val="20"/>
          <w:szCs w:val="20"/>
        </w:rPr>
        <w:t>Dates/times:</w:t>
      </w:r>
    </w:p>
    <w:p w14:paraId="14D04BD0" w14:textId="7DCA2F70" w:rsidR="009F0D00" w:rsidRDefault="00051E64" w:rsidP="001C062A">
      <w:pPr>
        <w:jc w:val="both"/>
        <w:rPr>
          <w:sz w:val="20"/>
          <w:szCs w:val="20"/>
        </w:rPr>
      </w:pPr>
      <w:r>
        <w:rPr>
          <w:sz w:val="20"/>
          <w:szCs w:val="20"/>
        </w:rPr>
        <w:t>Wednesday 18</w:t>
      </w:r>
      <w:r w:rsidRPr="00051E64">
        <w:rPr>
          <w:sz w:val="20"/>
          <w:szCs w:val="20"/>
          <w:vertAlign w:val="superscript"/>
        </w:rPr>
        <w:t>th</w:t>
      </w:r>
      <w:r>
        <w:rPr>
          <w:sz w:val="20"/>
          <w:szCs w:val="20"/>
        </w:rPr>
        <w:t xml:space="preserve"> August 2021 – 10:00</w:t>
      </w:r>
    </w:p>
    <w:p w14:paraId="06097001" w14:textId="528C40AE" w:rsidR="00680884" w:rsidRDefault="00680884" w:rsidP="001C062A">
      <w:pPr>
        <w:jc w:val="both"/>
        <w:rPr>
          <w:sz w:val="20"/>
          <w:szCs w:val="20"/>
        </w:rPr>
      </w:pPr>
      <w:r>
        <w:rPr>
          <w:sz w:val="20"/>
          <w:szCs w:val="20"/>
        </w:rPr>
        <w:t xml:space="preserve">Interested parties should email </w:t>
      </w:r>
      <w:r w:rsidR="00EF06DF">
        <w:rPr>
          <w:sz w:val="20"/>
          <w:szCs w:val="20"/>
        </w:rPr>
        <w:t>Jacob Collishaw</w:t>
      </w:r>
      <w:r>
        <w:rPr>
          <w:sz w:val="20"/>
          <w:szCs w:val="20"/>
        </w:rPr>
        <w:t xml:space="preserve"> - </w:t>
      </w:r>
      <w:hyperlink r:id="rId8" w:history="1">
        <w:r w:rsidR="00EF06DF" w:rsidRPr="00B95A2E">
          <w:rPr>
            <w:rStyle w:val="Hyperlink"/>
            <w:sz w:val="20"/>
            <w:szCs w:val="20"/>
          </w:rPr>
          <w:t>JacobCollishaw@coal.gov.uk</w:t>
        </w:r>
      </w:hyperlink>
      <w:r w:rsidR="00EF06DF">
        <w:rPr>
          <w:sz w:val="20"/>
          <w:szCs w:val="20"/>
        </w:rPr>
        <w:t xml:space="preserve"> </w:t>
      </w:r>
      <w:r w:rsidR="002D7750">
        <w:rPr>
          <w:sz w:val="20"/>
          <w:szCs w:val="20"/>
        </w:rPr>
        <w:t xml:space="preserve">to book a place </w:t>
      </w:r>
      <w:r w:rsidR="002D7750" w:rsidRPr="002D7750">
        <w:rPr>
          <w:sz w:val="20"/>
          <w:szCs w:val="20"/>
        </w:rPr>
        <w:t>or if there are any queries about this requirement</w:t>
      </w:r>
      <w:r w:rsidR="002D7750">
        <w:rPr>
          <w:sz w:val="20"/>
          <w:szCs w:val="20"/>
        </w:rPr>
        <w:t>.</w:t>
      </w:r>
      <w:r>
        <w:rPr>
          <w:sz w:val="20"/>
          <w:szCs w:val="20"/>
        </w:rPr>
        <w:t xml:space="preserve"> </w:t>
      </w:r>
    </w:p>
    <w:p w14:paraId="66E74BFC" w14:textId="1CF75F46" w:rsidR="00676E91" w:rsidRPr="00676E91" w:rsidRDefault="00676E91" w:rsidP="00676E91">
      <w:pPr>
        <w:jc w:val="both"/>
        <w:rPr>
          <w:sz w:val="20"/>
          <w:szCs w:val="20"/>
          <w:u w:val="single"/>
        </w:rPr>
      </w:pPr>
      <w:r>
        <w:rPr>
          <w:sz w:val="20"/>
          <w:szCs w:val="20"/>
          <w:u w:val="single"/>
        </w:rPr>
        <w:t>Background</w:t>
      </w:r>
    </w:p>
    <w:p w14:paraId="525AFB41" w14:textId="77777777" w:rsidR="00676E91" w:rsidRPr="00AC0718" w:rsidRDefault="00676E91" w:rsidP="00676E91">
      <w:pPr>
        <w:jc w:val="both"/>
        <w:rPr>
          <w:sz w:val="20"/>
          <w:szCs w:val="20"/>
        </w:rPr>
      </w:pPr>
      <w:r w:rsidRPr="00AC0718">
        <w:rPr>
          <w:sz w:val="20"/>
          <w:szCs w:val="20"/>
        </w:rPr>
        <w:t>Abandoned metal mines are significant sources of metals pollution to surface waters, particularly as a result of polluted mine water discharges. Elevated levels of metals from these discharges, primarily zinc, lead and cadmium, can have a detrimental impact on the ecology of river systems, reducing fish populations and the diversity of invertebrate fauna. There are more than 1,300 abandoned metal mines in Wales polluting more than 600km of river reaches, making them the single biggest cause of water quality objective failures. The Cwm Rheidol project forms part of a wider programme of works, which are intended to reduce river pollution and help restore river health downstream, directly contributing to the sustainable management of natural resources in Wales as detailed in the Environment (Wales) Act 2015 and the Well-being of Future Generations (Wales) Act 2015.</w:t>
      </w:r>
    </w:p>
    <w:p w14:paraId="442B853C" w14:textId="7F211AD8" w:rsidR="00676E91" w:rsidRPr="00AC0718" w:rsidRDefault="00676E91" w:rsidP="00676E91">
      <w:pPr>
        <w:jc w:val="both"/>
        <w:rPr>
          <w:sz w:val="20"/>
          <w:szCs w:val="20"/>
        </w:rPr>
      </w:pPr>
      <w:r w:rsidRPr="00AC0718">
        <w:rPr>
          <w:sz w:val="20"/>
          <w:szCs w:val="20"/>
        </w:rPr>
        <w:t>As a result of the above, National Resources Wales (NRW) commissioned The Coal Authority (CA) to assess the risks at a number of abandoned mine sites, with Adit 9 at Cwm Rheidol being the most significant and critical risk identified to date.</w:t>
      </w:r>
    </w:p>
    <w:p w14:paraId="331A99E0" w14:textId="0D0B3255" w:rsidR="00680884" w:rsidRPr="00683522" w:rsidRDefault="00E40678" w:rsidP="001C062A">
      <w:pPr>
        <w:jc w:val="both"/>
        <w:rPr>
          <w:sz w:val="20"/>
          <w:szCs w:val="20"/>
          <w:u w:val="single"/>
        </w:rPr>
      </w:pPr>
      <w:r>
        <w:rPr>
          <w:sz w:val="20"/>
          <w:szCs w:val="20"/>
          <w:u w:val="single"/>
        </w:rPr>
        <w:t xml:space="preserve">History </w:t>
      </w:r>
    </w:p>
    <w:p w14:paraId="255609C1" w14:textId="0196B183" w:rsidR="00B764C0" w:rsidRPr="00B764C0" w:rsidRDefault="00B764C0" w:rsidP="00B764C0">
      <w:pPr>
        <w:rPr>
          <w:sz w:val="20"/>
          <w:szCs w:val="20"/>
        </w:rPr>
      </w:pPr>
      <w:r w:rsidRPr="00B764C0">
        <w:rPr>
          <w:sz w:val="20"/>
          <w:szCs w:val="20"/>
        </w:rPr>
        <w:t xml:space="preserve">The Cwm Rheidol metal mine complex is located approximately 15km east of Aberystwyth and includes the mines of Cwm Rheidol, Ystumtuen, Penrhiw, Bwlchgwyn and Llwynteifi. </w:t>
      </w:r>
      <w:r w:rsidR="00676E91" w:rsidRPr="00676E91">
        <w:rPr>
          <w:sz w:val="20"/>
          <w:szCs w:val="20"/>
        </w:rPr>
        <w:t xml:space="preserve">These four mines were all connected underground, enabling the extensive workings to drain to the </w:t>
      </w:r>
      <w:r w:rsidR="00E40678">
        <w:rPr>
          <w:sz w:val="20"/>
          <w:szCs w:val="20"/>
        </w:rPr>
        <w:t>Afon</w:t>
      </w:r>
      <w:r w:rsidR="00676E91" w:rsidRPr="00676E91">
        <w:rPr>
          <w:sz w:val="20"/>
          <w:szCs w:val="20"/>
        </w:rPr>
        <w:t xml:space="preserve"> Rheidol via Adits 6 and 9, which emerge on the steep valley slopes at the Cwm Rheidol mine site.</w:t>
      </w:r>
      <w:r w:rsidR="00E40678">
        <w:rPr>
          <w:sz w:val="20"/>
          <w:szCs w:val="20"/>
        </w:rPr>
        <w:t xml:space="preserve"> </w:t>
      </w:r>
      <w:r w:rsidRPr="00B764C0">
        <w:rPr>
          <w:sz w:val="20"/>
          <w:szCs w:val="20"/>
        </w:rPr>
        <w:t xml:space="preserve">The </w:t>
      </w:r>
      <w:r w:rsidR="00E40678">
        <w:rPr>
          <w:sz w:val="20"/>
          <w:szCs w:val="20"/>
        </w:rPr>
        <w:t>Afon</w:t>
      </w:r>
      <w:r w:rsidRPr="00B764C0">
        <w:rPr>
          <w:sz w:val="20"/>
          <w:szCs w:val="20"/>
        </w:rPr>
        <w:t xml:space="preserve"> Rheidol flows westwards past the Cwm Rheidol site, discharging directly into the sea at Aberystwyth.</w:t>
      </w:r>
    </w:p>
    <w:p w14:paraId="5500A3C0" w14:textId="77777777" w:rsidR="00E40678" w:rsidRDefault="00E40678" w:rsidP="00B764C0">
      <w:pPr>
        <w:rPr>
          <w:sz w:val="20"/>
          <w:szCs w:val="20"/>
        </w:rPr>
      </w:pPr>
    </w:p>
    <w:p w14:paraId="7D7BE4F1" w14:textId="25D8D047" w:rsidR="00E40678" w:rsidRDefault="00E40678" w:rsidP="00B764C0">
      <w:pPr>
        <w:rPr>
          <w:sz w:val="20"/>
          <w:szCs w:val="20"/>
        </w:rPr>
      </w:pPr>
      <w:r w:rsidRPr="00E40678">
        <w:rPr>
          <w:sz w:val="20"/>
          <w:szCs w:val="20"/>
        </w:rPr>
        <w:lastRenderedPageBreak/>
        <w:t xml:space="preserve">Today the abandoned underground workings continue to drain from Adits 6 and 9, with both discharges being highly acidic (pH&lt;3), containing significantly elevated concentrations of metals including zinc, lead and cadmium, and discharging some 9 tonnes of metals </w:t>
      </w:r>
      <w:r>
        <w:rPr>
          <w:sz w:val="20"/>
          <w:szCs w:val="20"/>
        </w:rPr>
        <w:t xml:space="preserve">in to the Afon Rheidol </w:t>
      </w:r>
      <w:r w:rsidRPr="00E40678">
        <w:rPr>
          <w:sz w:val="20"/>
          <w:szCs w:val="20"/>
        </w:rPr>
        <w:t>annually.</w:t>
      </w:r>
    </w:p>
    <w:p w14:paraId="14BEC50A" w14:textId="77777777" w:rsidR="00D51DA2" w:rsidRDefault="00B764C0" w:rsidP="00B764C0">
      <w:pPr>
        <w:rPr>
          <w:sz w:val="20"/>
          <w:szCs w:val="20"/>
        </w:rPr>
      </w:pPr>
      <w:r w:rsidRPr="00B764C0">
        <w:rPr>
          <w:sz w:val="20"/>
          <w:szCs w:val="20"/>
        </w:rPr>
        <w:t>There has been a history of minewater blow</w:t>
      </w:r>
      <w:r w:rsidR="00676E91">
        <w:rPr>
          <w:sz w:val="20"/>
          <w:szCs w:val="20"/>
        </w:rPr>
        <w:t>-</w:t>
      </w:r>
      <w:r w:rsidRPr="00B764C0">
        <w:rPr>
          <w:sz w:val="20"/>
          <w:szCs w:val="20"/>
        </w:rPr>
        <w:t xml:space="preserve">outs at Cwm Rheidol, both from Adit No.9 and Adit No.6 </w:t>
      </w:r>
    </w:p>
    <w:p w14:paraId="293B7E5E" w14:textId="3DE7D4F7" w:rsidR="00D51DA2" w:rsidRDefault="00D51DA2" w:rsidP="00B764C0">
      <w:pPr>
        <w:rPr>
          <w:sz w:val="20"/>
          <w:szCs w:val="20"/>
        </w:rPr>
      </w:pPr>
      <w:r w:rsidRPr="00683522">
        <w:rPr>
          <w:sz w:val="20"/>
          <w:szCs w:val="20"/>
          <w:u w:val="single"/>
        </w:rPr>
        <w:t>Requirement Overview</w:t>
      </w:r>
    </w:p>
    <w:p w14:paraId="76EC708F" w14:textId="3941E9B5" w:rsidR="00051E64" w:rsidRPr="00051E64" w:rsidRDefault="00AC0718" w:rsidP="00B764C0">
      <w:pPr>
        <w:rPr>
          <w:sz w:val="20"/>
          <w:szCs w:val="20"/>
        </w:rPr>
      </w:pPr>
      <w:r>
        <w:rPr>
          <w:sz w:val="20"/>
          <w:szCs w:val="20"/>
        </w:rPr>
        <w:t>Blow-out</w:t>
      </w:r>
      <w:r w:rsidR="00B764C0" w:rsidRPr="00B764C0">
        <w:rPr>
          <w:sz w:val="20"/>
          <w:szCs w:val="20"/>
        </w:rPr>
        <w:t xml:space="preserve"> risk assessment reports have concluded that there is a potentially high risk </w:t>
      </w:r>
      <w:r w:rsidR="008D36EE">
        <w:rPr>
          <w:sz w:val="20"/>
          <w:szCs w:val="20"/>
        </w:rPr>
        <w:t xml:space="preserve">of </w:t>
      </w:r>
      <w:r w:rsidR="00676E91">
        <w:rPr>
          <w:sz w:val="20"/>
          <w:szCs w:val="20"/>
        </w:rPr>
        <w:t>b</w:t>
      </w:r>
      <w:r w:rsidR="008D36EE">
        <w:rPr>
          <w:sz w:val="20"/>
          <w:szCs w:val="20"/>
        </w:rPr>
        <w:t>low</w:t>
      </w:r>
      <w:r w:rsidR="00676E91">
        <w:rPr>
          <w:sz w:val="20"/>
          <w:szCs w:val="20"/>
        </w:rPr>
        <w:t>-</w:t>
      </w:r>
      <w:r w:rsidR="008D36EE">
        <w:rPr>
          <w:sz w:val="20"/>
          <w:szCs w:val="20"/>
        </w:rPr>
        <w:t xml:space="preserve">out </w:t>
      </w:r>
      <w:r w:rsidR="00B764C0" w:rsidRPr="00B764C0">
        <w:rPr>
          <w:sz w:val="20"/>
          <w:szCs w:val="20"/>
        </w:rPr>
        <w:t>at Adit No.9 due to an existing blockage in, and progressive collapse of, the existing adit between the adit portal and rockhead.</w:t>
      </w:r>
    </w:p>
    <w:p w14:paraId="72786837" w14:textId="3EC58509" w:rsidR="00B764C0" w:rsidRPr="00B764C0" w:rsidRDefault="00B764C0" w:rsidP="00B764C0">
      <w:pPr>
        <w:rPr>
          <w:sz w:val="20"/>
          <w:szCs w:val="20"/>
        </w:rPr>
      </w:pPr>
      <w:r w:rsidRPr="00B764C0">
        <w:rPr>
          <w:sz w:val="20"/>
          <w:szCs w:val="20"/>
        </w:rPr>
        <w:t>The principle objective of the Cwm Rheidol blow-out mitigation works is to reduce or permanently remove the risk of a minewater blow</w:t>
      </w:r>
      <w:r w:rsidR="00676E91">
        <w:rPr>
          <w:sz w:val="20"/>
          <w:szCs w:val="20"/>
        </w:rPr>
        <w:t>-</w:t>
      </w:r>
      <w:r w:rsidRPr="00B764C0">
        <w:rPr>
          <w:sz w:val="20"/>
          <w:szCs w:val="20"/>
        </w:rPr>
        <w:t xml:space="preserve">out at Adit No.9. </w:t>
      </w:r>
    </w:p>
    <w:p w14:paraId="109E76F5" w14:textId="19262686" w:rsidR="00051E64" w:rsidRDefault="00B764C0" w:rsidP="00B764C0">
      <w:pPr>
        <w:rPr>
          <w:sz w:val="20"/>
          <w:szCs w:val="20"/>
        </w:rPr>
      </w:pPr>
      <w:r w:rsidRPr="00B764C0">
        <w:rPr>
          <w:sz w:val="20"/>
          <w:szCs w:val="20"/>
        </w:rPr>
        <w:t xml:space="preserve">The Coal Authority on behalf of Natural Resources Wales (NRW) have undertaken a study to assess the risk and magnitude of a potential blow-out and concluded that there is a risk that </w:t>
      </w:r>
      <w:r w:rsidR="00676E91">
        <w:rPr>
          <w:sz w:val="20"/>
          <w:szCs w:val="20"/>
        </w:rPr>
        <w:t xml:space="preserve">up to </w:t>
      </w:r>
      <w:r w:rsidRPr="00B764C0">
        <w:rPr>
          <w:sz w:val="20"/>
          <w:szCs w:val="20"/>
        </w:rPr>
        <w:t>2,112m3 of water could blow-out of the adit portal at any time</w:t>
      </w:r>
      <w:r>
        <w:rPr>
          <w:sz w:val="20"/>
          <w:szCs w:val="20"/>
        </w:rPr>
        <w:t>.</w:t>
      </w:r>
    </w:p>
    <w:p w14:paraId="7B7C3B9A" w14:textId="77777777" w:rsidR="00B764C0" w:rsidRPr="00B764C0" w:rsidRDefault="00B764C0" w:rsidP="00B764C0">
      <w:pPr>
        <w:rPr>
          <w:sz w:val="20"/>
          <w:szCs w:val="20"/>
        </w:rPr>
      </w:pPr>
      <w:r w:rsidRPr="00B764C0">
        <w:rPr>
          <w:sz w:val="20"/>
          <w:szCs w:val="20"/>
        </w:rPr>
        <w:t>A two phased approach is proposed to mitigate this risk;</w:t>
      </w:r>
    </w:p>
    <w:p w14:paraId="68078F0F" w14:textId="502CD5B0" w:rsidR="00B764C0" w:rsidRPr="00B764C0" w:rsidRDefault="00B764C0" w:rsidP="00B764C0">
      <w:pPr>
        <w:rPr>
          <w:sz w:val="20"/>
          <w:szCs w:val="20"/>
        </w:rPr>
      </w:pPr>
      <w:r w:rsidRPr="00B764C0">
        <w:rPr>
          <w:sz w:val="20"/>
          <w:szCs w:val="20"/>
        </w:rPr>
        <w:t xml:space="preserve">Phase 1 – The construction of a 2,112m3 </w:t>
      </w:r>
      <w:r w:rsidR="00676E91">
        <w:rPr>
          <w:sz w:val="20"/>
          <w:szCs w:val="20"/>
        </w:rPr>
        <w:t xml:space="preserve">capacity </w:t>
      </w:r>
      <w:r w:rsidRPr="00B764C0">
        <w:rPr>
          <w:sz w:val="20"/>
          <w:szCs w:val="20"/>
        </w:rPr>
        <w:t>dry lagoon and engineered channel to convey any blow-out water from Adit No. 9 to the lagoon</w:t>
      </w:r>
      <w:r w:rsidR="007758FF">
        <w:rPr>
          <w:sz w:val="20"/>
          <w:szCs w:val="20"/>
        </w:rPr>
        <w:t>.</w:t>
      </w:r>
      <w:r w:rsidR="000432BB" w:rsidRPr="000432BB">
        <w:rPr>
          <w:sz w:val="20"/>
          <w:szCs w:val="20"/>
        </w:rPr>
        <w:t xml:space="preserve"> </w:t>
      </w:r>
      <w:r w:rsidR="000432BB">
        <w:rPr>
          <w:sz w:val="20"/>
          <w:szCs w:val="20"/>
        </w:rPr>
        <w:t>Phase 1 is being carried out under the NRW framework</w:t>
      </w:r>
    </w:p>
    <w:p w14:paraId="1460D5C7" w14:textId="0C972000" w:rsidR="001E1D96" w:rsidRDefault="00B764C0" w:rsidP="00B764C0">
      <w:pPr>
        <w:rPr>
          <w:sz w:val="20"/>
          <w:szCs w:val="20"/>
        </w:rPr>
      </w:pPr>
      <w:r w:rsidRPr="00B764C0">
        <w:rPr>
          <w:sz w:val="20"/>
          <w:szCs w:val="20"/>
        </w:rPr>
        <w:t>Phase 2 - Draining down the adit and preventing future blow-out risk by introducing a permanent drain through the blockage in the adit and stabilising the roof.</w:t>
      </w:r>
      <w:r w:rsidR="000432BB">
        <w:rPr>
          <w:sz w:val="20"/>
          <w:szCs w:val="20"/>
        </w:rPr>
        <w:t xml:space="preserve"> Phase 2 will be tendered </w:t>
      </w:r>
      <w:bookmarkStart w:id="0" w:name="_GoBack"/>
      <w:bookmarkEnd w:id="0"/>
      <w:r w:rsidR="000432BB">
        <w:rPr>
          <w:sz w:val="20"/>
          <w:szCs w:val="20"/>
        </w:rPr>
        <w:t>under NEC4 contract conditions.</w:t>
      </w:r>
    </w:p>
    <w:p w14:paraId="30E5A279" w14:textId="7ED33188" w:rsidR="00B764C0" w:rsidRPr="001E1D96" w:rsidRDefault="00AD24A9" w:rsidP="00B764C0">
      <w:pPr>
        <w:rPr>
          <w:b/>
          <w:sz w:val="20"/>
          <w:szCs w:val="20"/>
        </w:rPr>
      </w:pPr>
      <w:r w:rsidRPr="001E1D96">
        <w:rPr>
          <w:b/>
          <w:sz w:val="20"/>
          <w:szCs w:val="20"/>
        </w:rPr>
        <w:t>Please note that t</w:t>
      </w:r>
      <w:r w:rsidR="00B764C0" w:rsidRPr="001E1D96">
        <w:rPr>
          <w:b/>
          <w:sz w:val="20"/>
          <w:szCs w:val="20"/>
        </w:rPr>
        <w:t xml:space="preserve">his Prior Information Notice is for works to be undertaken as part of </w:t>
      </w:r>
      <w:r w:rsidR="00D51DA2">
        <w:rPr>
          <w:b/>
          <w:sz w:val="20"/>
          <w:szCs w:val="20"/>
        </w:rPr>
        <w:t>P</w:t>
      </w:r>
      <w:r w:rsidR="00B764C0" w:rsidRPr="001E1D96">
        <w:rPr>
          <w:b/>
          <w:sz w:val="20"/>
          <w:szCs w:val="20"/>
        </w:rPr>
        <w:t>hase 2</w:t>
      </w:r>
      <w:r w:rsidR="008D36EE">
        <w:rPr>
          <w:b/>
          <w:sz w:val="20"/>
          <w:szCs w:val="20"/>
        </w:rPr>
        <w:t xml:space="preserve"> only</w:t>
      </w:r>
      <w:r w:rsidR="00B764C0" w:rsidRPr="001E1D96">
        <w:rPr>
          <w:b/>
          <w:sz w:val="20"/>
          <w:szCs w:val="20"/>
        </w:rPr>
        <w:t xml:space="preserve">. </w:t>
      </w:r>
    </w:p>
    <w:p w14:paraId="2D5594CB" w14:textId="250B0884" w:rsidR="00B764C0" w:rsidRDefault="00A13294" w:rsidP="00B764C0">
      <w:pPr>
        <w:rPr>
          <w:sz w:val="20"/>
          <w:szCs w:val="20"/>
        </w:rPr>
      </w:pPr>
      <w:r>
        <w:rPr>
          <w:sz w:val="20"/>
          <w:szCs w:val="20"/>
        </w:rPr>
        <w:t>Requirements of Phase 2 works:</w:t>
      </w:r>
    </w:p>
    <w:p w14:paraId="79AD9EB1" w14:textId="07202133" w:rsidR="00A13294" w:rsidRPr="00A13294" w:rsidRDefault="00A13294" w:rsidP="00A13294">
      <w:pPr>
        <w:pStyle w:val="ListParagraph"/>
        <w:numPr>
          <w:ilvl w:val="0"/>
          <w:numId w:val="5"/>
        </w:numPr>
        <w:rPr>
          <w:sz w:val="20"/>
          <w:szCs w:val="20"/>
        </w:rPr>
      </w:pPr>
      <w:r w:rsidRPr="00A13294">
        <w:rPr>
          <w:sz w:val="20"/>
          <w:szCs w:val="20"/>
        </w:rPr>
        <w:t xml:space="preserve">To </w:t>
      </w:r>
      <w:r w:rsidR="000432BB">
        <w:rPr>
          <w:sz w:val="20"/>
          <w:szCs w:val="20"/>
        </w:rPr>
        <w:t xml:space="preserve">design and </w:t>
      </w:r>
      <w:r w:rsidRPr="00A13294">
        <w:rPr>
          <w:sz w:val="20"/>
          <w:szCs w:val="20"/>
        </w:rPr>
        <w:t xml:space="preserve">install a clear drainage path of minimum 300mm clear diameter </w:t>
      </w:r>
      <w:r w:rsidR="000432BB">
        <w:rPr>
          <w:sz w:val="20"/>
          <w:szCs w:val="20"/>
        </w:rPr>
        <w:t>into the adit as far as</w:t>
      </w:r>
      <w:r w:rsidRPr="00A13294">
        <w:rPr>
          <w:sz w:val="20"/>
          <w:szCs w:val="20"/>
        </w:rPr>
        <w:t xml:space="preserve"> rockhead</w:t>
      </w:r>
    </w:p>
    <w:p w14:paraId="14ADE610" w14:textId="77777777" w:rsidR="00A13294" w:rsidRPr="00A13294" w:rsidRDefault="00A13294" w:rsidP="00A13294">
      <w:pPr>
        <w:pStyle w:val="ListParagraph"/>
        <w:numPr>
          <w:ilvl w:val="0"/>
          <w:numId w:val="5"/>
        </w:numPr>
        <w:rPr>
          <w:sz w:val="20"/>
          <w:szCs w:val="20"/>
        </w:rPr>
      </w:pPr>
      <w:r w:rsidRPr="00A13294">
        <w:rPr>
          <w:sz w:val="20"/>
          <w:szCs w:val="20"/>
        </w:rPr>
        <w:t xml:space="preserve">Include some form of redundancy (backup) such as twin pipes or equivalent </w:t>
      </w:r>
    </w:p>
    <w:p w14:paraId="6E5FADBB" w14:textId="77777777" w:rsidR="00A13294" w:rsidRPr="00A13294" w:rsidRDefault="00A13294" w:rsidP="00A13294">
      <w:pPr>
        <w:pStyle w:val="ListParagraph"/>
        <w:numPr>
          <w:ilvl w:val="0"/>
          <w:numId w:val="5"/>
        </w:numPr>
        <w:rPr>
          <w:sz w:val="20"/>
          <w:szCs w:val="20"/>
        </w:rPr>
      </w:pPr>
      <w:r w:rsidRPr="00A13294">
        <w:rPr>
          <w:sz w:val="20"/>
          <w:szCs w:val="20"/>
        </w:rPr>
        <w:t>Design life 50 years</w:t>
      </w:r>
    </w:p>
    <w:p w14:paraId="6798C86E" w14:textId="77777777" w:rsidR="00A13294" w:rsidRPr="00A13294" w:rsidRDefault="00A13294" w:rsidP="00A13294">
      <w:pPr>
        <w:pStyle w:val="ListParagraph"/>
        <w:numPr>
          <w:ilvl w:val="0"/>
          <w:numId w:val="5"/>
        </w:numPr>
        <w:rPr>
          <w:sz w:val="20"/>
          <w:szCs w:val="20"/>
        </w:rPr>
      </w:pPr>
      <w:r w:rsidRPr="00A13294">
        <w:rPr>
          <w:sz w:val="20"/>
          <w:szCs w:val="20"/>
        </w:rPr>
        <w:t>Infrastructure to be protected from further roof collapse</w:t>
      </w:r>
    </w:p>
    <w:p w14:paraId="6B4E1A92" w14:textId="77777777" w:rsidR="00A13294" w:rsidRPr="00A13294" w:rsidRDefault="00A13294" w:rsidP="00A13294">
      <w:pPr>
        <w:pStyle w:val="ListParagraph"/>
        <w:numPr>
          <w:ilvl w:val="0"/>
          <w:numId w:val="5"/>
        </w:numPr>
        <w:rPr>
          <w:sz w:val="20"/>
          <w:szCs w:val="20"/>
        </w:rPr>
      </w:pPr>
      <w:r w:rsidRPr="00A13294">
        <w:rPr>
          <w:sz w:val="20"/>
          <w:szCs w:val="20"/>
        </w:rPr>
        <w:t>Infrastructure resistant to the chemical and pH characteristics of the mine water</w:t>
      </w:r>
    </w:p>
    <w:p w14:paraId="33527137" w14:textId="4F5C187B" w:rsidR="00A13294" w:rsidRDefault="00A13294" w:rsidP="00A13294">
      <w:pPr>
        <w:pStyle w:val="ListParagraph"/>
        <w:numPr>
          <w:ilvl w:val="0"/>
          <w:numId w:val="5"/>
        </w:numPr>
        <w:rPr>
          <w:sz w:val="20"/>
          <w:szCs w:val="20"/>
        </w:rPr>
      </w:pPr>
      <w:r w:rsidRPr="00A13294">
        <w:rPr>
          <w:sz w:val="20"/>
          <w:szCs w:val="20"/>
        </w:rPr>
        <w:t>Stabilisation of the adit roof structure such that further collapses are prevented</w:t>
      </w:r>
    </w:p>
    <w:p w14:paraId="6343A81A" w14:textId="67AA46ED" w:rsidR="007758FF" w:rsidRPr="00AC0718" w:rsidRDefault="007758FF" w:rsidP="007758FF">
      <w:pPr>
        <w:pStyle w:val="ListParagraph"/>
        <w:numPr>
          <w:ilvl w:val="0"/>
          <w:numId w:val="5"/>
        </w:numPr>
        <w:rPr>
          <w:sz w:val="20"/>
          <w:szCs w:val="20"/>
        </w:rPr>
      </w:pPr>
      <w:r w:rsidRPr="007758FF">
        <w:rPr>
          <w:sz w:val="20"/>
          <w:szCs w:val="20"/>
        </w:rPr>
        <w:t>Reconstruct</w:t>
      </w:r>
      <w:r>
        <w:rPr>
          <w:sz w:val="20"/>
          <w:szCs w:val="20"/>
        </w:rPr>
        <w:t>ion</w:t>
      </w:r>
      <w:r w:rsidRPr="007758FF">
        <w:rPr>
          <w:sz w:val="20"/>
          <w:szCs w:val="20"/>
        </w:rPr>
        <w:t xml:space="preserve"> </w:t>
      </w:r>
      <w:r>
        <w:rPr>
          <w:sz w:val="20"/>
          <w:szCs w:val="20"/>
        </w:rPr>
        <w:t xml:space="preserve">of any </w:t>
      </w:r>
      <w:r w:rsidRPr="007758FF">
        <w:rPr>
          <w:sz w:val="20"/>
          <w:szCs w:val="20"/>
        </w:rPr>
        <w:t xml:space="preserve">adit </w:t>
      </w:r>
      <w:r>
        <w:rPr>
          <w:sz w:val="20"/>
          <w:szCs w:val="20"/>
        </w:rPr>
        <w:t xml:space="preserve">infrastructure </w:t>
      </w:r>
      <w:r w:rsidR="00D51DA2">
        <w:rPr>
          <w:sz w:val="20"/>
          <w:szCs w:val="20"/>
        </w:rPr>
        <w:t>at at the portal</w:t>
      </w:r>
      <w:r w:rsidRPr="007758FF">
        <w:rPr>
          <w:sz w:val="20"/>
          <w:szCs w:val="20"/>
        </w:rPr>
        <w:t xml:space="preserve"> to replicate </w:t>
      </w:r>
      <w:r w:rsidR="00D51DA2">
        <w:rPr>
          <w:sz w:val="20"/>
          <w:szCs w:val="20"/>
        </w:rPr>
        <w:t xml:space="preserve">the </w:t>
      </w:r>
      <w:r w:rsidRPr="007758FF">
        <w:rPr>
          <w:sz w:val="20"/>
          <w:szCs w:val="20"/>
        </w:rPr>
        <w:t xml:space="preserve">historical mine </w:t>
      </w:r>
      <w:r w:rsidR="00D51DA2">
        <w:rPr>
          <w:sz w:val="20"/>
          <w:szCs w:val="20"/>
        </w:rPr>
        <w:t>portal</w:t>
      </w:r>
    </w:p>
    <w:p w14:paraId="170AF7E0" w14:textId="77777777" w:rsidR="007758FF" w:rsidRDefault="007758FF" w:rsidP="007758FF">
      <w:pPr>
        <w:pStyle w:val="ListParagraph"/>
        <w:numPr>
          <w:ilvl w:val="0"/>
          <w:numId w:val="5"/>
        </w:numPr>
        <w:rPr>
          <w:sz w:val="20"/>
          <w:szCs w:val="20"/>
        </w:rPr>
      </w:pPr>
      <w:r>
        <w:rPr>
          <w:sz w:val="20"/>
          <w:szCs w:val="20"/>
        </w:rPr>
        <w:t xml:space="preserve">The works at adit 9 will </w:t>
      </w:r>
      <w:r w:rsidRPr="008D36EE">
        <w:rPr>
          <w:sz w:val="20"/>
          <w:szCs w:val="20"/>
        </w:rPr>
        <w:t xml:space="preserve">include entry of persons into the adit and /or removal or alteration of mine infrastructure, </w:t>
      </w:r>
      <w:r>
        <w:rPr>
          <w:sz w:val="20"/>
          <w:szCs w:val="20"/>
        </w:rPr>
        <w:t xml:space="preserve">therefore </w:t>
      </w:r>
      <w:r w:rsidRPr="008D36EE">
        <w:rPr>
          <w:sz w:val="20"/>
          <w:szCs w:val="20"/>
        </w:rPr>
        <w:t xml:space="preserve">the works will fall under the Mines </w:t>
      </w:r>
      <w:r w:rsidRPr="008D36EE">
        <w:rPr>
          <w:sz w:val="20"/>
          <w:szCs w:val="20"/>
        </w:rPr>
        <w:lastRenderedPageBreak/>
        <w:t>Regulations 2014</w:t>
      </w:r>
      <w:r>
        <w:rPr>
          <w:sz w:val="20"/>
          <w:szCs w:val="20"/>
        </w:rPr>
        <w:t xml:space="preserve"> </w:t>
      </w:r>
      <w:r w:rsidRPr="008D36EE">
        <w:rPr>
          <w:sz w:val="20"/>
          <w:szCs w:val="20"/>
        </w:rPr>
        <w:t>rather than the Construction Design and Management Regulations 2015</w:t>
      </w:r>
    </w:p>
    <w:p w14:paraId="0F744792" w14:textId="77777777" w:rsidR="007758FF" w:rsidRPr="007758FF" w:rsidRDefault="007758FF" w:rsidP="007758FF">
      <w:pPr>
        <w:ind w:left="360"/>
        <w:rPr>
          <w:sz w:val="20"/>
          <w:szCs w:val="20"/>
        </w:rPr>
      </w:pPr>
    </w:p>
    <w:p w14:paraId="18F04CC5" w14:textId="77777777" w:rsidR="00B764C0" w:rsidRPr="00B764C0" w:rsidRDefault="00B764C0" w:rsidP="00B764C0">
      <w:pPr>
        <w:rPr>
          <w:sz w:val="20"/>
          <w:szCs w:val="20"/>
        </w:rPr>
      </w:pPr>
    </w:p>
    <w:p w14:paraId="7DC72B1D" w14:textId="67A71A07" w:rsidR="00845A1D" w:rsidRPr="00845A1D" w:rsidRDefault="00845A1D" w:rsidP="00845A1D">
      <w:pPr>
        <w:rPr>
          <w:b/>
          <w:sz w:val="20"/>
          <w:szCs w:val="20"/>
        </w:rPr>
      </w:pPr>
      <w:r w:rsidRPr="00845A1D">
        <w:rPr>
          <w:b/>
          <w:sz w:val="20"/>
          <w:szCs w:val="20"/>
        </w:rPr>
        <w:t xml:space="preserve">About the buyer </w:t>
      </w:r>
    </w:p>
    <w:p w14:paraId="5CCDF9D6" w14:textId="77777777" w:rsidR="00934ADC" w:rsidRDefault="00934ADC" w:rsidP="00680884">
      <w:pPr>
        <w:spacing w:after="0"/>
        <w:rPr>
          <w:sz w:val="20"/>
          <w:szCs w:val="20"/>
        </w:rPr>
      </w:pPr>
      <w:r>
        <w:rPr>
          <w:sz w:val="20"/>
          <w:szCs w:val="20"/>
        </w:rPr>
        <w:t xml:space="preserve">Jacob Collishaw </w:t>
      </w:r>
    </w:p>
    <w:p w14:paraId="5A2C0E14" w14:textId="77777777" w:rsidR="00845A1D" w:rsidRPr="00845A1D" w:rsidRDefault="00845A1D" w:rsidP="00680884">
      <w:pPr>
        <w:spacing w:after="0"/>
        <w:rPr>
          <w:sz w:val="20"/>
          <w:szCs w:val="20"/>
        </w:rPr>
      </w:pPr>
      <w:r w:rsidRPr="00845A1D">
        <w:rPr>
          <w:sz w:val="20"/>
          <w:szCs w:val="20"/>
        </w:rPr>
        <w:t xml:space="preserve">The Coal Authority </w:t>
      </w:r>
    </w:p>
    <w:p w14:paraId="6724E9DC" w14:textId="77777777" w:rsidR="00845A1D" w:rsidRPr="00845A1D" w:rsidRDefault="00845A1D" w:rsidP="00680884">
      <w:pPr>
        <w:spacing w:after="0"/>
        <w:rPr>
          <w:sz w:val="20"/>
          <w:szCs w:val="20"/>
        </w:rPr>
      </w:pPr>
      <w:r w:rsidRPr="00845A1D">
        <w:rPr>
          <w:sz w:val="20"/>
          <w:szCs w:val="20"/>
        </w:rPr>
        <w:t xml:space="preserve">200 Lichfield Lane </w:t>
      </w:r>
    </w:p>
    <w:p w14:paraId="0E2C7989" w14:textId="77777777" w:rsidR="00845A1D" w:rsidRPr="00845A1D" w:rsidRDefault="00845A1D" w:rsidP="00680884">
      <w:pPr>
        <w:spacing w:after="0"/>
        <w:rPr>
          <w:sz w:val="20"/>
          <w:szCs w:val="20"/>
        </w:rPr>
      </w:pPr>
      <w:r w:rsidRPr="00845A1D">
        <w:rPr>
          <w:sz w:val="20"/>
          <w:szCs w:val="20"/>
        </w:rPr>
        <w:t xml:space="preserve">Mansfield </w:t>
      </w:r>
    </w:p>
    <w:p w14:paraId="5B3F43BA" w14:textId="77777777" w:rsidR="00845A1D" w:rsidRPr="00845A1D" w:rsidRDefault="00845A1D" w:rsidP="00680884">
      <w:pPr>
        <w:spacing w:after="0"/>
        <w:rPr>
          <w:sz w:val="20"/>
          <w:szCs w:val="20"/>
        </w:rPr>
      </w:pPr>
      <w:r w:rsidRPr="00845A1D">
        <w:rPr>
          <w:sz w:val="20"/>
          <w:szCs w:val="20"/>
        </w:rPr>
        <w:t xml:space="preserve">NG18 4RG </w:t>
      </w:r>
    </w:p>
    <w:p w14:paraId="251610F0" w14:textId="77777777" w:rsidR="00845A1D" w:rsidRPr="00845A1D" w:rsidRDefault="00845A1D" w:rsidP="00680884">
      <w:pPr>
        <w:spacing w:after="0"/>
        <w:rPr>
          <w:sz w:val="20"/>
          <w:szCs w:val="20"/>
        </w:rPr>
      </w:pPr>
      <w:r w:rsidRPr="00845A1D">
        <w:rPr>
          <w:sz w:val="20"/>
          <w:szCs w:val="20"/>
        </w:rPr>
        <w:t xml:space="preserve">England </w:t>
      </w:r>
    </w:p>
    <w:p w14:paraId="560EC712" w14:textId="336DDE0F" w:rsidR="004C31CA" w:rsidRPr="00845A1D" w:rsidRDefault="00845A1D">
      <w:pPr>
        <w:rPr>
          <w:sz w:val="20"/>
          <w:szCs w:val="20"/>
        </w:rPr>
      </w:pPr>
      <w:r w:rsidRPr="00845A1D">
        <w:rPr>
          <w:sz w:val="20"/>
          <w:szCs w:val="20"/>
        </w:rPr>
        <w:t xml:space="preserve">Email </w:t>
      </w:r>
      <w:r w:rsidR="00934ADC">
        <w:rPr>
          <w:sz w:val="20"/>
          <w:szCs w:val="20"/>
        </w:rPr>
        <w:t xml:space="preserve">- </w:t>
      </w:r>
      <w:hyperlink r:id="rId9" w:history="1">
        <w:r w:rsidR="00934ADC" w:rsidRPr="00B95A2E">
          <w:rPr>
            <w:rStyle w:val="Hyperlink"/>
            <w:sz w:val="20"/>
            <w:szCs w:val="20"/>
          </w:rPr>
          <w:t>JacobCollishaw@coal.gov.uk</w:t>
        </w:r>
      </w:hyperlink>
    </w:p>
    <w:sectPr w:rsidR="004C31CA" w:rsidRPr="00845A1D" w:rsidSect="001C062A">
      <w:headerReference w:type="default" r:id="rId10"/>
      <w:pgSz w:w="11906" w:h="16838"/>
      <w:pgMar w:top="2268" w:right="1440" w:bottom="1134"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D0FB" w14:textId="77777777" w:rsidR="00B910A4" w:rsidRDefault="00B910A4" w:rsidP="00823A95">
      <w:pPr>
        <w:spacing w:after="0" w:line="240" w:lineRule="auto"/>
      </w:pPr>
      <w:r>
        <w:separator/>
      </w:r>
    </w:p>
  </w:endnote>
  <w:endnote w:type="continuationSeparator" w:id="0">
    <w:p w14:paraId="59797FF3" w14:textId="77777777" w:rsidR="00B910A4" w:rsidRDefault="00B910A4"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8070" w14:textId="77777777" w:rsidR="00B910A4" w:rsidRDefault="00B910A4" w:rsidP="00823A95">
      <w:pPr>
        <w:spacing w:after="0" w:line="240" w:lineRule="auto"/>
      </w:pPr>
      <w:r>
        <w:separator/>
      </w:r>
    </w:p>
  </w:footnote>
  <w:footnote w:type="continuationSeparator" w:id="0">
    <w:p w14:paraId="7FA6848F" w14:textId="77777777" w:rsidR="00B910A4" w:rsidRDefault="00B910A4"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9119" w14:textId="77777777" w:rsidR="00823A95" w:rsidRDefault="00823A95">
    <w:pPr>
      <w:pStyle w:val="Header"/>
    </w:pPr>
    <w:r>
      <w:rPr>
        <w:noProof/>
        <w:lang w:eastAsia="en-GB"/>
      </w:rPr>
      <w:drawing>
        <wp:anchor distT="0" distB="0" distL="114300" distR="114300" simplePos="0" relativeHeight="251659264" behindDoc="0" locked="0" layoutInCell="1" allowOverlap="1" wp14:anchorId="0257C096" wp14:editId="7B83DB4F">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2182A"/>
    <w:multiLevelType w:val="hybridMultilevel"/>
    <w:tmpl w:val="78E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2AA11ED"/>
    <w:multiLevelType w:val="hybridMultilevel"/>
    <w:tmpl w:val="ABAEC29C"/>
    <w:lvl w:ilvl="0" w:tplc="54D4D790">
      <w:start w:val="1"/>
      <w:numFmt w:val="bullet"/>
      <w:lvlText w:val="•"/>
      <w:lvlJc w:val="left"/>
      <w:pPr>
        <w:tabs>
          <w:tab w:val="num" w:pos="720"/>
        </w:tabs>
        <w:ind w:left="720" w:hanging="360"/>
      </w:pPr>
      <w:rPr>
        <w:rFonts w:ascii="Arial" w:hAnsi="Arial" w:hint="default"/>
      </w:rPr>
    </w:lvl>
    <w:lvl w:ilvl="1" w:tplc="69FAF942" w:tentative="1">
      <w:start w:val="1"/>
      <w:numFmt w:val="bullet"/>
      <w:lvlText w:val="•"/>
      <w:lvlJc w:val="left"/>
      <w:pPr>
        <w:tabs>
          <w:tab w:val="num" w:pos="1440"/>
        </w:tabs>
        <w:ind w:left="1440" w:hanging="360"/>
      </w:pPr>
      <w:rPr>
        <w:rFonts w:ascii="Arial" w:hAnsi="Arial" w:hint="default"/>
      </w:rPr>
    </w:lvl>
    <w:lvl w:ilvl="2" w:tplc="DED6355C" w:tentative="1">
      <w:start w:val="1"/>
      <w:numFmt w:val="bullet"/>
      <w:lvlText w:val="•"/>
      <w:lvlJc w:val="left"/>
      <w:pPr>
        <w:tabs>
          <w:tab w:val="num" w:pos="2160"/>
        </w:tabs>
        <w:ind w:left="2160" w:hanging="360"/>
      </w:pPr>
      <w:rPr>
        <w:rFonts w:ascii="Arial" w:hAnsi="Arial" w:hint="default"/>
      </w:rPr>
    </w:lvl>
    <w:lvl w:ilvl="3" w:tplc="628AD19A" w:tentative="1">
      <w:start w:val="1"/>
      <w:numFmt w:val="bullet"/>
      <w:lvlText w:val="•"/>
      <w:lvlJc w:val="left"/>
      <w:pPr>
        <w:tabs>
          <w:tab w:val="num" w:pos="2880"/>
        </w:tabs>
        <w:ind w:left="2880" w:hanging="360"/>
      </w:pPr>
      <w:rPr>
        <w:rFonts w:ascii="Arial" w:hAnsi="Arial" w:hint="default"/>
      </w:rPr>
    </w:lvl>
    <w:lvl w:ilvl="4" w:tplc="973A3392" w:tentative="1">
      <w:start w:val="1"/>
      <w:numFmt w:val="bullet"/>
      <w:lvlText w:val="•"/>
      <w:lvlJc w:val="left"/>
      <w:pPr>
        <w:tabs>
          <w:tab w:val="num" w:pos="3600"/>
        </w:tabs>
        <w:ind w:left="3600" w:hanging="360"/>
      </w:pPr>
      <w:rPr>
        <w:rFonts w:ascii="Arial" w:hAnsi="Arial" w:hint="default"/>
      </w:rPr>
    </w:lvl>
    <w:lvl w:ilvl="5" w:tplc="CAE68EEA" w:tentative="1">
      <w:start w:val="1"/>
      <w:numFmt w:val="bullet"/>
      <w:lvlText w:val="•"/>
      <w:lvlJc w:val="left"/>
      <w:pPr>
        <w:tabs>
          <w:tab w:val="num" w:pos="4320"/>
        </w:tabs>
        <w:ind w:left="4320" w:hanging="360"/>
      </w:pPr>
      <w:rPr>
        <w:rFonts w:ascii="Arial" w:hAnsi="Arial" w:hint="default"/>
      </w:rPr>
    </w:lvl>
    <w:lvl w:ilvl="6" w:tplc="51F0DD2E" w:tentative="1">
      <w:start w:val="1"/>
      <w:numFmt w:val="bullet"/>
      <w:lvlText w:val="•"/>
      <w:lvlJc w:val="left"/>
      <w:pPr>
        <w:tabs>
          <w:tab w:val="num" w:pos="5040"/>
        </w:tabs>
        <w:ind w:left="5040" w:hanging="360"/>
      </w:pPr>
      <w:rPr>
        <w:rFonts w:ascii="Arial" w:hAnsi="Arial" w:hint="default"/>
      </w:rPr>
    </w:lvl>
    <w:lvl w:ilvl="7" w:tplc="C9626F80" w:tentative="1">
      <w:start w:val="1"/>
      <w:numFmt w:val="bullet"/>
      <w:lvlText w:val="•"/>
      <w:lvlJc w:val="left"/>
      <w:pPr>
        <w:tabs>
          <w:tab w:val="num" w:pos="5760"/>
        </w:tabs>
        <w:ind w:left="5760" w:hanging="360"/>
      </w:pPr>
      <w:rPr>
        <w:rFonts w:ascii="Arial" w:hAnsi="Arial" w:hint="default"/>
      </w:rPr>
    </w:lvl>
    <w:lvl w:ilvl="8" w:tplc="DAF0C6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E953BC"/>
    <w:multiLevelType w:val="hybridMultilevel"/>
    <w:tmpl w:val="074414DA"/>
    <w:lvl w:ilvl="0" w:tplc="45E4C30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432BB"/>
    <w:rsid w:val="00046B69"/>
    <w:rsid w:val="00051E64"/>
    <w:rsid w:val="00067435"/>
    <w:rsid w:val="00153356"/>
    <w:rsid w:val="001C062A"/>
    <w:rsid w:val="001E1D96"/>
    <w:rsid w:val="002954D9"/>
    <w:rsid w:val="002A075F"/>
    <w:rsid w:val="002D7750"/>
    <w:rsid w:val="0031790B"/>
    <w:rsid w:val="003179D6"/>
    <w:rsid w:val="003853CD"/>
    <w:rsid w:val="00392C11"/>
    <w:rsid w:val="004466FD"/>
    <w:rsid w:val="00472071"/>
    <w:rsid w:val="004C31CA"/>
    <w:rsid w:val="004D6CC9"/>
    <w:rsid w:val="004D7BB4"/>
    <w:rsid w:val="00565236"/>
    <w:rsid w:val="005B0B88"/>
    <w:rsid w:val="005B569E"/>
    <w:rsid w:val="005B6C3B"/>
    <w:rsid w:val="005D1CE3"/>
    <w:rsid w:val="005E7862"/>
    <w:rsid w:val="005F0EC1"/>
    <w:rsid w:val="006432E3"/>
    <w:rsid w:val="00643A23"/>
    <w:rsid w:val="0065666B"/>
    <w:rsid w:val="00676E91"/>
    <w:rsid w:val="00680884"/>
    <w:rsid w:val="00683522"/>
    <w:rsid w:val="006C2503"/>
    <w:rsid w:val="006D6BB2"/>
    <w:rsid w:val="006E2884"/>
    <w:rsid w:val="006F5BB7"/>
    <w:rsid w:val="00732536"/>
    <w:rsid w:val="007463F5"/>
    <w:rsid w:val="007758FF"/>
    <w:rsid w:val="007F1CDA"/>
    <w:rsid w:val="00823A95"/>
    <w:rsid w:val="008365A8"/>
    <w:rsid w:val="00845A1D"/>
    <w:rsid w:val="008C202D"/>
    <w:rsid w:val="008D36EE"/>
    <w:rsid w:val="008D4A72"/>
    <w:rsid w:val="00934ADC"/>
    <w:rsid w:val="00982C94"/>
    <w:rsid w:val="009A1526"/>
    <w:rsid w:val="009F0D00"/>
    <w:rsid w:val="00A13294"/>
    <w:rsid w:val="00A9111A"/>
    <w:rsid w:val="00A94BCA"/>
    <w:rsid w:val="00AB2D8E"/>
    <w:rsid w:val="00AC0718"/>
    <w:rsid w:val="00AD22EC"/>
    <w:rsid w:val="00AD24A9"/>
    <w:rsid w:val="00AD54A2"/>
    <w:rsid w:val="00B6212A"/>
    <w:rsid w:val="00B764C0"/>
    <w:rsid w:val="00B910A4"/>
    <w:rsid w:val="00B9465A"/>
    <w:rsid w:val="00BE33AC"/>
    <w:rsid w:val="00BF4DBC"/>
    <w:rsid w:val="00C06792"/>
    <w:rsid w:val="00C26FE7"/>
    <w:rsid w:val="00C57920"/>
    <w:rsid w:val="00C60DE1"/>
    <w:rsid w:val="00C66248"/>
    <w:rsid w:val="00CC70C3"/>
    <w:rsid w:val="00CE1026"/>
    <w:rsid w:val="00D01201"/>
    <w:rsid w:val="00D01F21"/>
    <w:rsid w:val="00D33BF5"/>
    <w:rsid w:val="00D51DA2"/>
    <w:rsid w:val="00D6445D"/>
    <w:rsid w:val="00DA573B"/>
    <w:rsid w:val="00DA68FD"/>
    <w:rsid w:val="00DD6A99"/>
    <w:rsid w:val="00E018B3"/>
    <w:rsid w:val="00E10B46"/>
    <w:rsid w:val="00E40678"/>
    <w:rsid w:val="00E47CC6"/>
    <w:rsid w:val="00EA2B8B"/>
    <w:rsid w:val="00EF06DF"/>
    <w:rsid w:val="00F079EE"/>
    <w:rsid w:val="00FB2A87"/>
    <w:rsid w:val="00FD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A594D2"/>
  <w15:docId w15:val="{A8D08E6B-7CD7-4731-8A03-49B3ADD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F0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268222">
      <w:bodyDiv w:val="1"/>
      <w:marLeft w:val="0"/>
      <w:marRight w:val="0"/>
      <w:marTop w:val="0"/>
      <w:marBottom w:val="0"/>
      <w:divBdr>
        <w:top w:val="none" w:sz="0" w:space="0" w:color="auto"/>
        <w:left w:val="none" w:sz="0" w:space="0" w:color="auto"/>
        <w:bottom w:val="none" w:sz="0" w:space="0" w:color="auto"/>
        <w:right w:val="none" w:sz="0" w:space="0" w:color="auto"/>
      </w:divBdr>
      <w:divsChild>
        <w:div w:id="1501773983">
          <w:marLeft w:val="547"/>
          <w:marRight w:val="0"/>
          <w:marTop w:val="200"/>
          <w:marBottom w:val="0"/>
          <w:divBdr>
            <w:top w:val="none" w:sz="0" w:space="0" w:color="auto"/>
            <w:left w:val="none" w:sz="0" w:space="0" w:color="auto"/>
            <w:bottom w:val="none" w:sz="0" w:space="0" w:color="auto"/>
            <w:right w:val="none" w:sz="0" w:space="0" w:color="auto"/>
          </w:divBdr>
        </w:div>
        <w:div w:id="721951099">
          <w:marLeft w:val="547"/>
          <w:marRight w:val="0"/>
          <w:marTop w:val="200"/>
          <w:marBottom w:val="0"/>
          <w:divBdr>
            <w:top w:val="none" w:sz="0" w:space="0" w:color="auto"/>
            <w:left w:val="none" w:sz="0" w:space="0" w:color="auto"/>
            <w:bottom w:val="none" w:sz="0" w:space="0" w:color="auto"/>
            <w:right w:val="none" w:sz="0" w:space="0" w:color="auto"/>
          </w:divBdr>
        </w:div>
        <w:div w:id="38360995">
          <w:marLeft w:val="547"/>
          <w:marRight w:val="0"/>
          <w:marTop w:val="200"/>
          <w:marBottom w:val="0"/>
          <w:divBdr>
            <w:top w:val="none" w:sz="0" w:space="0" w:color="auto"/>
            <w:left w:val="none" w:sz="0" w:space="0" w:color="auto"/>
            <w:bottom w:val="none" w:sz="0" w:space="0" w:color="auto"/>
            <w:right w:val="none" w:sz="0" w:space="0" w:color="auto"/>
          </w:divBdr>
        </w:div>
        <w:div w:id="1917855804">
          <w:marLeft w:val="547"/>
          <w:marRight w:val="0"/>
          <w:marTop w:val="200"/>
          <w:marBottom w:val="0"/>
          <w:divBdr>
            <w:top w:val="none" w:sz="0" w:space="0" w:color="auto"/>
            <w:left w:val="none" w:sz="0" w:space="0" w:color="auto"/>
            <w:bottom w:val="none" w:sz="0" w:space="0" w:color="auto"/>
            <w:right w:val="none" w:sz="0" w:space="0" w:color="auto"/>
          </w:divBdr>
        </w:div>
      </w:divsChild>
    </w:div>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Collishaw@coa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obCollishaw@co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2A7D-678B-492B-9614-B4D0A1B5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creator>Peter Kobryn</dc:creator>
  <cp:lastModifiedBy>Jacob Collishaw</cp:lastModifiedBy>
  <cp:revision>9</cp:revision>
  <cp:lastPrinted>2021-01-06T16:45:00Z</cp:lastPrinted>
  <dcterms:created xsi:type="dcterms:W3CDTF">2021-07-26T07:37:00Z</dcterms:created>
  <dcterms:modified xsi:type="dcterms:W3CDTF">2021-07-26T08:52:00Z</dcterms:modified>
</cp:coreProperties>
</file>