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rStyle w:val="chrSubTitle"/>
          <w:bCs w:val="0"/>
          <w:sz w:val="36"/>
          <w:szCs w:val="24"/>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120DDC55" w:rsidR="00FC6860" w:rsidRPr="00E22B4D" w:rsidRDefault="006F5E4C" w:rsidP="00C71C4F">
          <w:pPr>
            <w:pStyle w:val="Heading1"/>
            <w:rPr>
              <w:rStyle w:val="chrSubTitle"/>
              <w:bCs w:val="0"/>
              <w:sz w:val="36"/>
              <w:szCs w:val="24"/>
            </w:rPr>
          </w:pPr>
          <w:r w:rsidRPr="00E22B4D">
            <w:rPr>
              <w:rStyle w:val="chrSubTitle"/>
              <w:bCs w:val="0"/>
              <w:sz w:val="36"/>
              <w:szCs w:val="24"/>
            </w:rPr>
            <w:t>Obtaining Stakeholder Views on the Quality of Network Rail’s Stakeholder Engagement, for Year 4 of Control Period 6</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1-06T00:00:00Z">
          <w:dateFormat w:val="dd MMMM yyyy"/>
          <w:lid w:val="en-GB"/>
          <w:storeMappedDataAs w:val="dateTime"/>
          <w:calendar w:val="gregorian"/>
        </w:date>
      </w:sdtPr>
      <w:sdtEndPr/>
      <w:sdtContent>
        <w:p w14:paraId="38D7D855" w14:textId="63929892" w:rsidR="00FC6860" w:rsidRDefault="00F518C6" w:rsidP="00C71C4F">
          <w:pPr>
            <w:pStyle w:val="Date"/>
          </w:pPr>
          <w:r>
            <w:rPr>
              <w:bCs/>
            </w:rPr>
            <w:t>06 January 2023</w:t>
          </w:r>
        </w:p>
      </w:sdtContent>
    </w:sdt>
    <w:p w14:paraId="512B2E87" w14:textId="77777777" w:rsidR="003E5612" w:rsidRDefault="003E5612" w:rsidP="003E5612"/>
    <w:p w14:paraId="0B23CADF" w14:textId="02C92032" w:rsidR="003E5612" w:rsidRPr="00574B16" w:rsidRDefault="003E5612" w:rsidP="003E5612">
      <w:pPr>
        <w:pStyle w:val="NormalBulletround"/>
        <w:rPr>
          <w:b/>
          <w:bCs/>
          <w:color w:val="B1173B"/>
        </w:rPr>
      </w:pPr>
      <w:proofErr w:type="spellStart"/>
      <w:r w:rsidRPr="003E5612">
        <w:rPr>
          <w:b/>
          <w:bCs/>
        </w:rPr>
        <w:t>CPV</w:t>
      </w:r>
      <w:proofErr w:type="spellEnd"/>
      <w:r w:rsidRPr="003E5612">
        <w:rPr>
          <w:b/>
          <w:bCs/>
        </w:rPr>
        <w:t xml:space="preserve"> </w:t>
      </w:r>
      <w:r w:rsidRPr="00993B2E">
        <w:rPr>
          <w:b/>
          <w:bCs/>
        </w:rPr>
        <w:t>Co</w:t>
      </w:r>
      <w:r w:rsidRPr="006B431C">
        <w:rPr>
          <w:b/>
          <w:bCs/>
        </w:rPr>
        <w:t xml:space="preserve">de: </w:t>
      </w:r>
      <w:r w:rsidR="006B431C" w:rsidRPr="006B431C">
        <w:rPr>
          <w:b/>
          <w:bCs/>
        </w:rPr>
        <w:t> </w:t>
      </w:r>
      <w:hyperlink r:id="rId9" w:history="1">
        <w:r w:rsidR="006B431C" w:rsidRPr="006B431C">
          <w:rPr>
            <w:b/>
            <w:bCs/>
          </w:rPr>
          <w:t>79311000</w:t>
        </w:r>
      </w:hyperlink>
    </w:p>
    <w:p w14:paraId="4B92FCBC" w14:textId="0BC395F0" w:rsidR="00FC6860" w:rsidRPr="00574B16" w:rsidRDefault="003E5612" w:rsidP="003E5612">
      <w:pPr>
        <w:pStyle w:val="NormalBulletround"/>
        <w:rPr>
          <w:b/>
          <w:bCs/>
          <w:color w:val="B1173B"/>
        </w:rPr>
      </w:pPr>
      <w:r w:rsidRPr="003E5612">
        <w:rPr>
          <w:b/>
          <w:bCs/>
        </w:rPr>
        <w:t>Tender Reference:</w:t>
      </w:r>
      <w:r w:rsidRPr="00F518C6">
        <w:rPr>
          <w:b/>
          <w:bCs/>
        </w:rPr>
        <w:t xml:space="preserve"> </w:t>
      </w:r>
      <w:r w:rsidR="00F518C6" w:rsidRPr="00F518C6">
        <w:rPr>
          <w:b/>
          <w:bCs/>
        </w:rPr>
        <w:t>ORR/CT/22-60</w:t>
      </w:r>
    </w:p>
    <w:p w14:paraId="6F6DAD95" w14:textId="77777777" w:rsidR="00FC6860" w:rsidRDefault="00FC6860" w:rsidP="004E1570">
      <w:pPr>
        <w:pStyle w:val="Heading2NoToc"/>
      </w:pPr>
      <w:r>
        <w:lastRenderedPageBreak/>
        <w:t>Contents</w:t>
      </w:r>
    </w:p>
    <w:p w14:paraId="243E1EE4" w14:textId="0CAF843F" w:rsidR="00422460" w:rsidRDefault="00FC6860">
      <w:pPr>
        <w:pStyle w:val="TOC1"/>
        <w:rPr>
          <w:rFonts w:asciiTheme="minorHAnsi" w:eastAsiaTheme="minorEastAsia" w:hAnsiTheme="minorHAnsi"/>
          <w:b w:val="0"/>
          <w:bCs w:val="0"/>
          <w:color w:val="auto"/>
          <w:sz w:val="22"/>
          <w:lang w:eastAsia="en-GB"/>
        </w:rPr>
      </w:pPr>
      <w:r>
        <w:rPr>
          <w:color w:val="731472"/>
        </w:rPr>
        <w:fldChar w:fldCharType="begin"/>
      </w:r>
      <w:r w:rsidR="00422460">
        <w:instrText xml:space="preserve"> TOC \f \h \z \t "Heading 2,1,Heading 2NoNumb,1,Heading 2 (Single),1,Annex H2,1" </w:instrText>
      </w:r>
      <w:r>
        <w:rPr>
          <w:color w:val="731472"/>
        </w:rPr>
        <w:fldChar w:fldCharType="separate"/>
      </w:r>
      <w:hyperlink w:anchor="_Toc123311149" w:history="1">
        <w:r w:rsidR="00422460" w:rsidRPr="008C42FA">
          <w:rPr>
            <w:rStyle w:val="Hyperlink"/>
          </w:rPr>
          <w:t>Purpose of the document</w:t>
        </w:r>
        <w:r w:rsidR="00422460">
          <w:rPr>
            <w:webHidden/>
          </w:rPr>
          <w:tab/>
        </w:r>
        <w:r w:rsidR="00422460">
          <w:rPr>
            <w:webHidden/>
          </w:rPr>
          <w:fldChar w:fldCharType="begin"/>
        </w:r>
        <w:r w:rsidR="00422460">
          <w:rPr>
            <w:webHidden/>
          </w:rPr>
          <w:instrText xml:space="preserve"> PAGEREF _Toc123311149 \h </w:instrText>
        </w:r>
        <w:r w:rsidR="00422460">
          <w:rPr>
            <w:webHidden/>
          </w:rPr>
        </w:r>
        <w:r w:rsidR="00422460">
          <w:rPr>
            <w:webHidden/>
          </w:rPr>
          <w:fldChar w:fldCharType="separate"/>
        </w:r>
        <w:r w:rsidR="002E15CE">
          <w:rPr>
            <w:webHidden/>
          </w:rPr>
          <w:t>3</w:t>
        </w:r>
        <w:r w:rsidR="00422460">
          <w:rPr>
            <w:webHidden/>
          </w:rPr>
          <w:fldChar w:fldCharType="end"/>
        </w:r>
      </w:hyperlink>
    </w:p>
    <w:p w14:paraId="7E33C4FA" w14:textId="6FA085FE" w:rsidR="00422460" w:rsidRDefault="006B431C">
      <w:pPr>
        <w:pStyle w:val="TOC1"/>
        <w:rPr>
          <w:rFonts w:asciiTheme="minorHAnsi" w:eastAsiaTheme="minorEastAsia" w:hAnsiTheme="minorHAnsi"/>
          <w:b w:val="0"/>
          <w:bCs w:val="0"/>
          <w:color w:val="auto"/>
          <w:sz w:val="22"/>
          <w:lang w:eastAsia="en-GB"/>
        </w:rPr>
      </w:pPr>
      <w:hyperlink w:anchor="_Toc123311150" w:history="1">
        <w:r w:rsidR="00422460" w:rsidRPr="008C42FA">
          <w:rPr>
            <w:rStyle w:val="Hyperlink"/>
          </w:rPr>
          <w:t>1.</w:t>
        </w:r>
        <w:r w:rsidR="00422460">
          <w:rPr>
            <w:rFonts w:asciiTheme="minorHAnsi" w:eastAsiaTheme="minorEastAsia" w:hAnsiTheme="minorHAnsi"/>
            <w:b w:val="0"/>
            <w:bCs w:val="0"/>
            <w:color w:val="auto"/>
            <w:sz w:val="22"/>
            <w:lang w:eastAsia="en-GB"/>
          </w:rPr>
          <w:tab/>
        </w:r>
        <w:r w:rsidR="00422460" w:rsidRPr="008C42FA">
          <w:rPr>
            <w:rStyle w:val="Hyperlink"/>
          </w:rPr>
          <w:t>Introduction to the Office of Rail and Road</w:t>
        </w:r>
        <w:r w:rsidR="00422460">
          <w:rPr>
            <w:webHidden/>
          </w:rPr>
          <w:tab/>
        </w:r>
        <w:r w:rsidR="00422460">
          <w:rPr>
            <w:webHidden/>
          </w:rPr>
          <w:fldChar w:fldCharType="begin"/>
        </w:r>
        <w:r w:rsidR="00422460">
          <w:rPr>
            <w:webHidden/>
          </w:rPr>
          <w:instrText xml:space="preserve"> PAGEREF _Toc123311150 \h </w:instrText>
        </w:r>
        <w:r w:rsidR="00422460">
          <w:rPr>
            <w:webHidden/>
          </w:rPr>
        </w:r>
        <w:r w:rsidR="00422460">
          <w:rPr>
            <w:webHidden/>
          </w:rPr>
          <w:fldChar w:fldCharType="separate"/>
        </w:r>
        <w:r w:rsidR="002E15CE">
          <w:rPr>
            <w:webHidden/>
          </w:rPr>
          <w:t>4</w:t>
        </w:r>
        <w:r w:rsidR="00422460">
          <w:rPr>
            <w:webHidden/>
          </w:rPr>
          <w:fldChar w:fldCharType="end"/>
        </w:r>
      </w:hyperlink>
    </w:p>
    <w:p w14:paraId="231894D9" w14:textId="6ED02A7B" w:rsidR="00422460" w:rsidRDefault="006B431C">
      <w:pPr>
        <w:pStyle w:val="TOC1"/>
        <w:rPr>
          <w:rFonts w:asciiTheme="minorHAnsi" w:eastAsiaTheme="minorEastAsia" w:hAnsiTheme="minorHAnsi"/>
          <w:b w:val="0"/>
          <w:bCs w:val="0"/>
          <w:color w:val="auto"/>
          <w:sz w:val="22"/>
          <w:lang w:eastAsia="en-GB"/>
        </w:rPr>
      </w:pPr>
      <w:hyperlink w:anchor="_Toc123311151" w:history="1">
        <w:r w:rsidR="00422460" w:rsidRPr="008C42FA">
          <w:rPr>
            <w:rStyle w:val="Hyperlink"/>
          </w:rPr>
          <w:t>Small and Medium Enterprises</w:t>
        </w:r>
        <w:r w:rsidR="00422460">
          <w:rPr>
            <w:webHidden/>
          </w:rPr>
          <w:tab/>
        </w:r>
        <w:r w:rsidR="00422460">
          <w:rPr>
            <w:webHidden/>
          </w:rPr>
          <w:fldChar w:fldCharType="begin"/>
        </w:r>
        <w:r w:rsidR="00422460">
          <w:rPr>
            <w:webHidden/>
          </w:rPr>
          <w:instrText xml:space="preserve"> PAGEREF _Toc123311151 \h </w:instrText>
        </w:r>
        <w:r w:rsidR="00422460">
          <w:rPr>
            <w:webHidden/>
          </w:rPr>
        </w:r>
        <w:r w:rsidR="00422460">
          <w:rPr>
            <w:webHidden/>
          </w:rPr>
          <w:fldChar w:fldCharType="separate"/>
        </w:r>
        <w:r w:rsidR="002E15CE">
          <w:rPr>
            <w:webHidden/>
          </w:rPr>
          <w:t>6</w:t>
        </w:r>
        <w:r w:rsidR="00422460">
          <w:rPr>
            <w:webHidden/>
          </w:rPr>
          <w:fldChar w:fldCharType="end"/>
        </w:r>
      </w:hyperlink>
    </w:p>
    <w:p w14:paraId="0112FD36" w14:textId="2660C637" w:rsidR="00422460" w:rsidRDefault="006B431C">
      <w:pPr>
        <w:pStyle w:val="TOC1"/>
        <w:rPr>
          <w:rFonts w:asciiTheme="minorHAnsi" w:eastAsiaTheme="minorEastAsia" w:hAnsiTheme="minorHAnsi"/>
          <w:b w:val="0"/>
          <w:bCs w:val="0"/>
          <w:color w:val="auto"/>
          <w:sz w:val="22"/>
          <w:lang w:eastAsia="en-GB"/>
        </w:rPr>
      </w:pPr>
      <w:hyperlink w:anchor="_Toc123311152" w:history="1">
        <w:r w:rsidR="00422460" w:rsidRPr="008C42FA">
          <w:rPr>
            <w:rStyle w:val="Hyperlink"/>
          </w:rPr>
          <w:t>2.</w:t>
        </w:r>
        <w:r w:rsidR="00422460">
          <w:rPr>
            <w:rFonts w:asciiTheme="minorHAnsi" w:eastAsiaTheme="minorEastAsia" w:hAnsiTheme="minorHAnsi"/>
            <w:b w:val="0"/>
            <w:bCs w:val="0"/>
            <w:color w:val="auto"/>
            <w:sz w:val="22"/>
            <w:lang w:eastAsia="en-GB"/>
          </w:rPr>
          <w:tab/>
        </w:r>
        <w:r w:rsidR="00422460" w:rsidRPr="008C42FA">
          <w:rPr>
            <w:rStyle w:val="Hyperlink"/>
          </w:rPr>
          <w:t>Statement of Requirement</w:t>
        </w:r>
        <w:r w:rsidR="00422460">
          <w:rPr>
            <w:webHidden/>
          </w:rPr>
          <w:tab/>
        </w:r>
        <w:r w:rsidR="00422460">
          <w:rPr>
            <w:webHidden/>
          </w:rPr>
          <w:fldChar w:fldCharType="begin"/>
        </w:r>
        <w:r w:rsidR="00422460">
          <w:rPr>
            <w:webHidden/>
          </w:rPr>
          <w:instrText xml:space="preserve"> PAGEREF _Toc123311152 \h </w:instrText>
        </w:r>
        <w:r w:rsidR="00422460">
          <w:rPr>
            <w:webHidden/>
          </w:rPr>
        </w:r>
        <w:r w:rsidR="00422460">
          <w:rPr>
            <w:webHidden/>
          </w:rPr>
          <w:fldChar w:fldCharType="separate"/>
        </w:r>
        <w:r w:rsidR="002E15CE">
          <w:rPr>
            <w:webHidden/>
          </w:rPr>
          <w:t>7</w:t>
        </w:r>
        <w:r w:rsidR="00422460">
          <w:rPr>
            <w:webHidden/>
          </w:rPr>
          <w:fldChar w:fldCharType="end"/>
        </w:r>
      </w:hyperlink>
    </w:p>
    <w:p w14:paraId="5088B2D2" w14:textId="5CA371EC" w:rsidR="00422460" w:rsidRDefault="006B431C">
      <w:pPr>
        <w:pStyle w:val="TOC1"/>
        <w:rPr>
          <w:rFonts w:asciiTheme="minorHAnsi" w:eastAsiaTheme="minorEastAsia" w:hAnsiTheme="minorHAnsi"/>
          <w:b w:val="0"/>
          <w:bCs w:val="0"/>
          <w:color w:val="auto"/>
          <w:sz w:val="22"/>
          <w:lang w:eastAsia="en-GB"/>
        </w:rPr>
      </w:pPr>
      <w:hyperlink w:anchor="_Toc123311153" w:history="1">
        <w:r w:rsidR="00422460" w:rsidRPr="008C42FA">
          <w:rPr>
            <w:rStyle w:val="Hyperlink"/>
          </w:rPr>
          <w:t>3.</w:t>
        </w:r>
        <w:r w:rsidR="00422460">
          <w:rPr>
            <w:rFonts w:asciiTheme="minorHAnsi" w:eastAsiaTheme="minorEastAsia" w:hAnsiTheme="minorHAnsi"/>
            <w:b w:val="0"/>
            <w:bCs w:val="0"/>
            <w:color w:val="auto"/>
            <w:sz w:val="22"/>
            <w:lang w:eastAsia="en-GB"/>
          </w:rPr>
          <w:tab/>
        </w:r>
        <w:r w:rsidR="00422460" w:rsidRPr="008C42FA">
          <w:rPr>
            <w:rStyle w:val="Hyperlink"/>
          </w:rPr>
          <w:t>Tender Response and Evaluation Criteria</w:t>
        </w:r>
        <w:r w:rsidR="00422460">
          <w:rPr>
            <w:webHidden/>
          </w:rPr>
          <w:tab/>
        </w:r>
        <w:r w:rsidR="00422460">
          <w:rPr>
            <w:webHidden/>
          </w:rPr>
          <w:fldChar w:fldCharType="begin"/>
        </w:r>
        <w:r w:rsidR="00422460">
          <w:rPr>
            <w:webHidden/>
          </w:rPr>
          <w:instrText xml:space="preserve"> PAGEREF _Toc123311153 \h </w:instrText>
        </w:r>
        <w:r w:rsidR="00422460">
          <w:rPr>
            <w:webHidden/>
          </w:rPr>
        </w:r>
        <w:r w:rsidR="00422460">
          <w:rPr>
            <w:webHidden/>
          </w:rPr>
          <w:fldChar w:fldCharType="separate"/>
        </w:r>
        <w:r w:rsidR="002E15CE">
          <w:rPr>
            <w:webHidden/>
          </w:rPr>
          <w:t>16</w:t>
        </w:r>
        <w:r w:rsidR="00422460">
          <w:rPr>
            <w:webHidden/>
          </w:rPr>
          <w:fldChar w:fldCharType="end"/>
        </w:r>
      </w:hyperlink>
    </w:p>
    <w:p w14:paraId="2740F098" w14:textId="5D434286" w:rsidR="00422460" w:rsidRDefault="006B431C">
      <w:pPr>
        <w:pStyle w:val="TOC1"/>
        <w:rPr>
          <w:rFonts w:asciiTheme="minorHAnsi" w:eastAsiaTheme="minorEastAsia" w:hAnsiTheme="minorHAnsi"/>
          <w:b w:val="0"/>
          <w:bCs w:val="0"/>
          <w:color w:val="auto"/>
          <w:sz w:val="22"/>
          <w:lang w:eastAsia="en-GB"/>
        </w:rPr>
      </w:pPr>
      <w:hyperlink w:anchor="_Toc123311154" w:history="1">
        <w:r w:rsidR="00422460" w:rsidRPr="008C42FA">
          <w:rPr>
            <w:rStyle w:val="Hyperlink"/>
          </w:rPr>
          <w:t>4.</w:t>
        </w:r>
        <w:r w:rsidR="00422460">
          <w:rPr>
            <w:rFonts w:asciiTheme="minorHAnsi" w:eastAsiaTheme="minorEastAsia" w:hAnsiTheme="minorHAnsi"/>
            <w:b w:val="0"/>
            <w:bCs w:val="0"/>
            <w:color w:val="auto"/>
            <w:sz w:val="22"/>
            <w:lang w:eastAsia="en-GB"/>
          </w:rPr>
          <w:tab/>
        </w:r>
        <w:r w:rsidR="00422460" w:rsidRPr="008C42FA">
          <w:rPr>
            <w:rStyle w:val="Hyperlink"/>
          </w:rPr>
          <w:t>Procurement Procedures</w:t>
        </w:r>
        <w:r w:rsidR="00422460">
          <w:rPr>
            <w:webHidden/>
          </w:rPr>
          <w:tab/>
        </w:r>
        <w:r w:rsidR="00422460">
          <w:rPr>
            <w:webHidden/>
          </w:rPr>
          <w:fldChar w:fldCharType="begin"/>
        </w:r>
        <w:r w:rsidR="00422460">
          <w:rPr>
            <w:webHidden/>
          </w:rPr>
          <w:instrText xml:space="preserve"> PAGEREF _Toc123311154 \h </w:instrText>
        </w:r>
        <w:r w:rsidR="00422460">
          <w:rPr>
            <w:webHidden/>
          </w:rPr>
        </w:r>
        <w:r w:rsidR="00422460">
          <w:rPr>
            <w:webHidden/>
          </w:rPr>
          <w:fldChar w:fldCharType="separate"/>
        </w:r>
        <w:r w:rsidR="002E15CE">
          <w:rPr>
            <w:webHidden/>
          </w:rPr>
          <w:t>22</w:t>
        </w:r>
        <w:r w:rsidR="00422460">
          <w:rPr>
            <w:webHidden/>
          </w:rPr>
          <w:fldChar w:fldCharType="end"/>
        </w:r>
      </w:hyperlink>
    </w:p>
    <w:p w14:paraId="6B48D324" w14:textId="015AAF0B" w:rsidR="00FC6860" w:rsidRDefault="00FC6860" w:rsidP="004E1570">
      <w:pPr>
        <w:sectPr w:rsidR="00FC6860" w:rsidSect="004E1570">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1" w:name="_Toc123311149"/>
      <w:r>
        <w:lastRenderedPageBreak/>
        <w:t>Purpose of the document</w:t>
      </w:r>
      <w:bookmarkEnd w:id="1"/>
    </w:p>
    <w:p w14:paraId="5CB061E3" w14:textId="3BB10B5E" w:rsidR="00A02455" w:rsidRDefault="00A02455" w:rsidP="006F5E4C">
      <w:pPr>
        <w:pStyle w:val="NormalBulletnumber"/>
        <w:numPr>
          <w:ilvl w:val="0"/>
          <w:numId w:val="0"/>
        </w:numPr>
        <w:ind w:left="142"/>
      </w:pPr>
      <w:r>
        <w:t xml:space="preserve">The purpose of this document is to invite proposals for </w:t>
      </w:r>
      <w:r w:rsidR="006F5E4C" w:rsidRPr="006F5E4C">
        <w:t xml:space="preserve">Obtaining </w:t>
      </w:r>
      <w:r w:rsidR="006F5E4C">
        <w:t>S</w:t>
      </w:r>
      <w:r w:rsidR="006F5E4C" w:rsidRPr="006F5E4C">
        <w:t xml:space="preserve">takeholder </w:t>
      </w:r>
      <w:r w:rsidR="006F5E4C">
        <w:t>V</w:t>
      </w:r>
      <w:r w:rsidR="006F5E4C" w:rsidRPr="006F5E4C">
        <w:t xml:space="preserve">iews on the </w:t>
      </w:r>
      <w:r w:rsidR="006F5E4C">
        <w:t>Q</w:t>
      </w:r>
      <w:r w:rsidR="006F5E4C" w:rsidRPr="006F5E4C">
        <w:t xml:space="preserve">uality of Network Rail’s </w:t>
      </w:r>
      <w:r w:rsidR="006F5E4C">
        <w:t>S</w:t>
      </w:r>
      <w:r w:rsidR="006F5E4C" w:rsidRPr="006F5E4C">
        <w:t xml:space="preserve">takeholder </w:t>
      </w:r>
      <w:r w:rsidR="006F5E4C">
        <w:t>E</w:t>
      </w:r>
      <w:r w:rsidR="006F5E4C" w:rsidRPr="006F5E4C">
        <w:t>ngagement</w:t>
      </w:r>
      <w:r w:rsidR="006F5E4C">
        <w:t xml:space="preserve">, </w:t>
      </w:r>
      <w:r w:rsidR="006F5E4C" w:rsidRPr="006F5E4C">
        <w:t xml:space="preserve">for </w:t>
      </w:r>
      <w:r w:rsidR="006F5E4C">
        <w:t>Y</w:t>
      </w:r>
      <w:r w:rsidR="006F5E4C" w:rsidRPr="006F5E4C">
        <w:t>ear 4 of Control Period 6</w:t>
      </w:r>
      <w:r w:rsidR="006F5E4C">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61C6CDF0" w:rsidR="00451C67" w:rsidRDefault="00A02455" w:rsidP="00155088">
      <w:pPr>
        <w:pStyle w:val="NormalBulletnumber"/>
        <w:tabs>
          <w:tab w:val="clear" w:pos="2268"/>
        </w:tabs>
        <w:ind w:left="709"/>
      </w:pPr>
      <w:r>
        <w:t>Procurement Procedures</w:t>
      </w:r>
    </w:p>
    <w:p w14:paraId="22D75D96" w14:textId="3B2DFE76" w:rsidR="006F5E4C" w:rsidRDefault="006F5E4C" w:rsidP="006F5E4C">
      <w:pPr>
        <w:pStyle w:val="NormalBulletnumber"/>
        <w:numPr>
          <w:ilvl w:val="0"/>
          <w:numId w:val="0"/>
        </w:numPr>
        <w:ind w:left="142"/>
      </w:pPr>
    </w:p>
    <w:p w14:paraId="253D5E63" w14:textId="052BB41B" w:rsidR="003E1A78" w:rsidRDefault="00490915" w:rsidP="00D776B6">
      <w:pPr>
        <w:pStyle w:val="Heading2"/>
      </w:pPr>
      <w:bookmarkStart w:id="2" w:name="_Toc123311150"/>
      <w:r>
        <w:lastRenderedPageBreak/>
        <w:t>Introduction to the Office of Rail and Road</w:t>
      </w:r>
      <w:bookmarkEnd w:id="2"/>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r>
        <w:t>Our strategic objectives</w:t>
      </w:r>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r>
        <w:t>Supplying ORR</w:t>
      </w:r>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5D4C5E">
      <w:pPr>
        <w:pStyle w:v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5D4C5E">
      <w:pPr>
        <w:pStyle w:val="Bulletround"/>
      </w:pPr>
      <w:r>
        <w:t xml:space="preserve">to achieve value for money by balancing quality and </w:t>
      </w:r>
      <w:proofErr w:type="gramStart"/>
      <w:r>
        <w:t>cost;</w:t>
      </w:r>
      <w:proofErr w:type="gramEnd"/>
      <w:r>
        <w:t xml:space="preserve"> </w:t>
      </w:r>
    </w:p>
    <w:p w14:paraId="1C476475" w14:textId="323B8CE0" w:rsidR="00490915" w:rsidRDefault="00490915" w:rsidP="005D4C5E">
      <w:pPr>
        <w:pStyle w:v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5D4C5E">
      <w:pPr>
        <w:pStyle w:val="Bulletround"/>
      </w:pPr>
      <w:r>
        <w:t xml:space="preserve">to ensure that processes have regard for equality and diversity; and </w:t>
      </w:r>
    </w:p>
    <w:p w14:paraId="76FDEFD9" w14:textId="3A415708" w:rsidR="00490915" w:rsidRDefault="00490915" w:rsidP="005D4C5E">
      <w:pPr>
        <w:pStyle w:val="Bulletround"/>
      </w:pPr>
      <w:r>
        <w:t xml:space="preserve">to ensure that procurement is undertaken </w:t>
      </w:r>
      <w:proofErr w:type="gramStart"/>
      <w:r>
        <w:t>with regard to</w:t>
      </w:r>
      <w:proofErr w:type="gramEnd"/>
      <w:r>
        <w:t xml:space="preserve"> Law and best practice.</w:t>
      </w:r>
    </w:p>
    <w:p w14:paraId="06E7514B" w14:textId="2DC74C96" w:rsidR="00490915" w:rsidRDefault="00490915" w:rsidP="00490915">
      <w:r>
        <w:t xml:space="preserve">For further information on ORR please visit our website: </w:t>
      </w:r>
      <w:hyperlink r:id="rId16"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3" w:name="_Toc123311151"/>
      <w:r>
        <w:lastRenderedPageBreak/>
        <w:t>Small and Medium Enterprises</w:t>
      </w:r>
      <w:bookmarkEnd w:id="3"/>
    </w:p>
    <w:p w14:paraId="355FD852" w14:textId="07A97A06" w:rsidR="00B24EA2" w:rsidRDefault="00B24EA2" w:rsidP="00D776B6">
      <w:r w:rsidRPr="00B24EA2">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sidRPr="00B24EA2">
        <w:t>on the basis of</w:t>
      </w:r>
      <w:proofErr w:type="gramEnd"/>
      <w:r w:rsidRPr="00B24EA2">
        <w:t xml:space="preserve"> the most economically advantageous tender.</w:t>
      </w:r>
    </w:p>
    <w:p w14:paraId="3C2E47BE" w14:textId="3AA05EC1"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4" w:name="_Toc123311152"/>
      <w:r>
        <w:lastRenderedPageBreak/>
        <w:t>Statement of Requirement</w:t>
      </w:r>
      <w:bookmarkEnd w:id="4"/>
    </w:p>
    <w:p w14:paraId="66F303FE" w14:textId="072D1EAA" w:rsidR="001A7C6D" w:rsidRDefault="00F20E70" w:rsidP="001A7C6D">
      <w:pPr>
        <w:pStyle w:val="Heading3"/>
      </w:pPr>
      <w:r>
        <w:t>2.1 Background of the project</w:t>
      </w:r>
    </w:p>
    <w:p w14:paraId="50848E3F" w14:textId="77777777" w:rsidR="001A7C6D" w:rsidRPr="00F52BB7" w:rsidRDefault="001A7C6D" w:rsidP="001A7C6D">
      <w:pPr>
        <w:shd w:val="clear" w:color="auto" w:fill="FFFFFF" w:themeFill="background1"/>
        <w:rPr>
          <w:rFonts w:cs="Arial"/>
          <w:szCs w:val="24"/>
        </w:rPr>
      </w:pPr>
      <w:r w:rsidRPr="00F52BB7">
        <w:rPr>
          <w:rFonts w:cs="Arial"/>
          <w:szCs w:val="24"/>
        </w:rPr>
        <w:t>The Office of Rail and Road is the independent economic regulator for Britain’s railway infrastructure. A key element of this role is holding Network Rail to account for delivering what it promised – at the amount it agreed to do it for – and ensuring it meets its obligation to provide a safe, high-performing, and efficient railway. We do this by enforcing compliance with its licences and by conducting five-yearly reviews (known as “periodic reviews”) that set its funding and what it must achieve within the relevant control period.</w:t>
      </w:r>
    </w:p>
    <w:p w14:paraId="71CD7C10" w14:textId="1598A3BB" w:rsidR="00D52C24" w:rsidRDefault="00D52C24" w:rsidP="00D52C24">
      <w:pPr>
        <w:shd w:val="clear" w:color="auto" w:fill="FFFFFF" w:themeFill="background1"/>
        <w:rPr>
          <w:rFonts w:cs="Arial"/>
          <w:szCs w:val="24"/>
        </w:rPr>
      </w:pPr>
      <w:r>
        <w:rPr>
          <w:rFonts w:cs="Arial"/>
          <w:szCs w:val="24"/>
        </w:rPr>
        <w:t>In Control Period 6 (2019-2024), w</w:t>
      </w:r>
      <w:r w:rsidR="001A7C6D" w:rsidRPr="00F52BB7">
        <w:rPr>
          <w:rFonts w:cs="Arial"/>
          <w:szCs w:val="24"/>
        </w:rPr>
        <w:t xml:space="preserve">e have placed significant emphasis on the importance of </w:t>
      </w:r>
      <w:r w:rsidR="001A7C6D" w:rsidRPr="00F52BB7">
        <w:rPr>
          <w:rFonts w:cs="Arial"/>
          <w:b/>
          <w:bCs/>
          <w:szCs w:val="24"/>
        </w:rPr>
        <w:t>good stakeholder engagement</w:t>
      </w:r>
      <w:r w:rsidR="001A7C6D" w:rsidRPr="00F52BB7">
        <w:rPr>
          <w:rFonts w:cs="Arial"/>
          <w:szCs w:val="24"/>
        </w:rPr>
        <w:t xml:space="preserve"> between Network Rail and its customers (</w:t>
      </w:r>
      <w:proofErr w:type="gramStart"/>
      <w:r w:rsidR="001A7C6D" w:rsidRPr="00F52BB7">
        <w:rPr>
          <w:rFonts w:cs="Arial"/>
          <w:szCs w:val="24"/>
        </w:rPr>
        <w:t>i.e.</w:t>
      </w:r>
      <w:proofErr w:type="gramEnd"/>
      <w:r w:rsidR="001A7C6D" w:rsidRPr="00F52BB7">
        <w:rPr>
          <w:rFonts w:cs="Arial"/>
          <w:szCs w:val="24"/>
        </w:rPr>
        <w:t xml:space="preserve"> train operators) and other stakeholders (e.g. funders, freight and open access operators, suppliers, etc). This reflects </w:t>
      </w:r>
      <w:r w:rsidRPr="00F52BB7">
        <w:rPr>
          <w:rFonts w:cs="Arial"/>
          <w:szCs w:val="24"/>
          <w:shd w:val="clear" w:color="auto" w:fill="FFFFFF"/>
        </w:rPr>
        <w:t>Network Rail’s network licence with respect to stakeholder engagement – s</w:t>
      </w:r>
      <w:r w:rsidRPr="00F52BB7">
        <w:rPr>
          <w:szCs w:val="24"/>
        </w:rPr>
        <w:t xml:space="preserve">ee pages 19-20 of Network Rail’s </w:t>
      </w:r>
      <w:hyperlink r:id="rId17" w:history="1">
        <w:r w:rsidRPr="00F52BB7">
          <w:rPr>
            <w:rStyle w:val="Hyperlink"/>
            <w:szCs w:val="24"/>
          </w:rPr>
          <w:t>Network Licence.</w:t>
        </w:r>
      </w:hyperlink>
      <w:r>
        <w:rPr>
          <w:rFonts w:cs="Arial"/>
          <w:szCs w:val="24"/>
        </w:rPr>
        <w:t xml:space="preserve"> </w:t>
      </w:r>
      <w:r w:rsidR="001A7C6D" w:rsidRPr="00F52BB7">
        <w:rPr>
          <w:rFonts w:cs="Arial"/>
          <w:szCs w:val="24"/>
        </w:rPr>
        <w:t>Network Rail’s customers and stakeholders should play an effective role in influencing how Network Rail delivers on its commitments, as well as being able to effectively challenge them where performance falls below what is expected.</w:t>
      </w:r>
      <w:r>
        <w:rPr>
          <w:rFonts w:cs="Arial"/>
          <w:szCs w:val="24"/>
        </w:rPr>
        <w:t xml:space="preserve"> </w:t>
      </w:r>
      <w:r w:rsidR="001A7C6D" w:rsidRPr="00F52BB7">
        <w:rPr>
          <w:rFonts w:cs="Arial"/>
          <w:szCs w:val="24"/>
          <w:shd w:val="clear" w:color="auto" w:fill="FFFFFF"/>
        </w:rPr>
        <w:t>This is also reflected in Annex A of our</w:t>
      </w:r>
      <w:r w:rsidR="001A7C6D" w:rsidRPr="00F52BB7">
        <w:rPr>
          <w:szCs w:val="24"/>
        </w:rPr>
        <w:t xml:space="preserve"> </w:t>
      </w:r>
      <w:hyperlink r:id="rId18" w:history="1">
        <w:r w:rsidR="001A7C6D" w:rsidRPr="00A97AA2">
          <w:rPr>
            <w:rStyle w:val="Hyperlink"/>
            <w:rFonts w:cs="Arial"/>
            <w:szCs w:val="24"/>
          </w:rPr>
          <w:t>Holding to Account policy.</w:t>
        </w:r>
      </w:hyperlink>
      <w:r w:rsidR="001A7C6D" w:rsidRPr="00F52BB7">
        <w:rPr>
          <w:rFonts w:cs="Arial"/>
          <w:szCs w:val="24"/>
        </w:rPr>
        <w:t xml:space="preserve"> </w:t>
      </w:r>
    </w:p>
    <w:p w14:paraId="11F6A678" w14:textId="2C0FAE2A" w:rsidR="001A7C6D" w:rsidRPr="00F52BB7" w:rsidRDefault="001A7C6D" w:rsidP="00D52C24">
      <w:pPr>
        <w:shd w:val="clear" w:color="auto" w:fill="FFFFFF" w:themeFill="background1"/>
        <w:rPr>
          <w:rFonts w:cs="Arial"/>
          <w:szCs w:val="24"/>
        </w:rPr>
      </w:pPr>
      <w:r w:rsidRPr="00F52BB7">
        <w:rPr>
          <w:rFonts w:cs="Arial"/>
          <w:szCs w:val="24"/>
          <w:shd w:val="clear" w:color="auto" w:fill="FFFFFF"/>
        </w:rPr>
        <w:t xml:space="preserve">While we have not prescribed exactly how </w:t>
      </w:r>
      <w:r w:rsidR="00D52C24">
        <w:rPr>
          <w:rFonts w:cs="Arial"/>
          <w:szCs w:val="24"/>
          <w:shd w:val="clear" w:color="auto" w:fill="FFFFFF"/>
        </w:rPr>
        <w:t xml:space="preserve">Network Rail </w:t>
      </w:r>
      <w:r w:rsidRPr="00F52BB7">
        <w:rPr>
          <w:rFonts w:cs="Arial"/>
          <w:szCs w:val="24"/>
          <w:shd w:val="clear" w:color="auto" w:fill="FFFFFF"/>
        </w:rPr>
        <w:t xml:space="preserve">should engage with stakeholders, we have set out high-level principles of good engagement which we expect it to comply with: </w:t>
      </w:r>
    </w:p>
    <w:p w14:paraId="3E5CFFC4" w14:textId="77777777" w:rsidR="001A7C6D" w:rsidRPr="00F52BB7" w:rsidRDefault="001A7C6D" w:rsidP="000042A8">
      <w:pPr>
        <w:pStyle w:val="Bulletround"/>
      </w:pPr>
      <w:r w:rsidRPr="00F52BB7">
        <w:rPr>
          <w:b/>
          <w:bCs/>
          <w:shd w:val="clear" w:color="auto" w:fill="FFFFFF"/>
        </w:rPr>
        <w:t>Effectiveness</w:t>
      </w:r>
      <w:r w:rsidRPr="00F52BB7">
        <w:rPr>
          <w:shd w:val="clear" w:color="auto" w:fill="FFFFFF"/>
        </w:rPr>
        <w:t xml:space="preserve">: the engagement should support delivery of a safer, more efficient and better used rail network, including by ensuring that stakeholders’ views are taken into </w:t>
      </w:r>
      <w:proofErr w:type="gramStart"/>
      <w:r w:rsidRPr="00F52BB7">
        <w:rPr>
          <w:shd w:val="clear" w:color="auto" w:fill="FFFFFF"/>
        </w:rPr>
        <w:t>account;</w:t>
      </w:r>
      <w:proofErr w:type="gramEnd"/>
    </w:p>
    <w:p w14:paraId="10CCE88F" w14:textId="77777777" w:rsidR="001A7C6D" w:rsidRPr="00F52BB7" w:rsidRDefault="001A7C6D" w:rsidP="000042A8">
      <w:pPr>
        <w:pStyle w:val="Bulletround"/>
      </w:pPr>
      <w:r w:rsidRPr="00F52BB7">
        <w:rPr>
          <w:b/>
          <w:shd w:val="clear" w:color="auto" w:fill="FFFFFF"/>
        </w:rPr>
        <w:t>Inclusivity</w:t>
      </w:r>
      <w:r w:rsidRPr="00F52BB7">
        <w:rPr>
          <w:shd w:val="clear" w:color="auto" w:fill="FFFFFF"/>
        </w:rPr>
        <w:t xml:space="preserve">: the engagement should seek to involve all relevant stakeholders in a fair and proportionate </w:t>
      </w:r>
      <w:proofErr w:type="gramStart"/>
      <w:r w:rsidRPr="00F52BB7">
        <w:rPr>
          <w:shd w:val="clear" w:color="auto" w:fill="FFFFFF"/>
        </w:rPr>
        <w:t>manner;</w:t>
      </w:r>
      <w:proofErr w:type="gramEnd"/>
    </w:p>
    <w:p w14:paraId="20026E13" w14:textId="77777777" w:rsidR="001A7C6D" w:rsidRPr="00F52BB7" w:rsidRDefault="001A7C6D" w:rsidP="000042A8">
      <w:pPr>
        <w:pStyle w:val="Bulletround"/>
      </w:pPr>
      <w:r w:rsidRPr="00F52BB7">
        <w:rPr>
          <w:b/>
          <w:shd w:val="clear" w:color="auto" w:fill="FFFFFF"/>
        </w:rPr>
        <w:t>Governance</w:t>
      </w:r>
      <w:r w:rsidRPr="00F52BB7">
        <w:rPr>
          <w:shd w:val="clear" w:color="auto" w:fill="FFFFFF"/>
        </w:rPr>
        <w:t>: the engagement is underpinned by effective processes and governance arrangements that encourage meaningful engagement and accountability; and</w:t>
      </w:r>
    </w:p>
    <w:p w14:paraId="18458441" w14:textId="77777777" w:rsidR="001A7C6D" w:rsidRPr="00F52BB7" w:rsidRDefault="001A7C6D" w:rsidP="000042A8">
      <w:pPr>
        <w:pStyle w:val="Bulletround"/>
        <w:rPr>
          <w:shd w:val="clear" w:color="auto" w:fill="FFFFFF"/>
        </w:rPr>
      </w:pPr>
      <w:r w:rsidRPr="00F52BB7">
        <w:rPr>
          <w:b/>
          <w:bCs/>
          <w:shd w:val="clear" w:color="auto" w:fill="FFFFFF"/>
        </w:rPr>
        <w:t>Transparency</w:t>
      </w:r>
      <w:r w:rsidRPr="00F52BB7">
        <w:rPr>
          <w:shd w:val="clear" w:color="auto" w:fill="FFFFFF"/>
        </w:rPr>
        <w:t xml:space="preserve">: Network Rail provides sufficient information to stakeholders to enable them to engage </w:t>
      </w:r>
      <w:proofErr w:type="gramStart"/>
      <w:r w:rsidRPr="00F52BB7">
        <w:rPr>
          <w:shd w:val="clear" w:color="auto" w:fill="FFFFFF"/>
        </w:rPr>
        <w:t>properly, and</w:t>
      </w:r>
      <w:proofErr w:type="gramEnd"/>
      <w:r w:rsidRPr="00F52BB7">
        <w:rPr>
          <w:shd w:val="clear" w:color="auto" w:fill="FFFFFF"/>
        </w:rPr>
        <w:t xml:space="preserve"> can demonstrate how it has engaged with its stakeholders and how this has influenced its actions and delivery.</w:t>
      </w:r>
    </w:p>
    <w:p w14:paraId="25E8DF4D" w14:textId="636599F1" w:rsidR="001A7C6D" w:rsidRPr="00F52BB7" w:rsidRDefault="001A7C6D" w:rsidP="00D52C24">
      <w:pPr>
        <w:shd w:val="clear" w:color="auto" w:fill="FFFFFF" w:themeFill="background1"/>
        <w:rPr>
          <w:rFonts w:cs="Arial"/>
          <w:szCs w:val="24"/>
        </w:rPr>
      </w:pPr>
      <w:r w:rsidRPr="00F52BB7">
        <w:rPr>
          <w:rFonts w:cs="Arial"/>
          <w:szCs w:val="24"/>
          <w:shd w:val="clear" w:color="auto" w:fill="FFFFFF"/>
        </w:rPr>
        <w:lastRenderedPageBreak/>
        <w:t>As part of our monitoring of Network Rail’s compliance with these obligations we undertake an annual assessment of the quality of Network Rail’s stakeholder engagement. The purpose of the assessment is to provide an incentive for Network Rail to improve its compliance year</w:t>
      </w:r>
      <w:r w:rsidR="00D52C24">
        <w:rPr>
          <w:rFonts w:cs="Arial"/>
          <w:szCs w:val="24"/>
          <w:shd w:val="clear" w:color="auto" w:fill="FFFFFF"/>
        </w:rPr>
        <w:t>-</w:t>
      </w:r>
      <w:r w:rsidRPr="00F52BB7">
        <w:rPr>
          <w:rFonts w:cs="Arial"/>
          <w:szCs w:val="24"/>
          <w:shd w:val="clear" w:color="auto" w:fill="FFFFFF"/>
        </w:rPr>
        <w:t>on</w:t>
      </w:r>
      <w:r w:rsidR="00D52C24">
        <w:rPr>
          <w:rFonts w:cs="Arial"/>
          <w:szCs w:val="24"/>
          <w:shd w:val="clear" w:color="auto" w:fill="FFFFFF"/>
        </w:rPr>
        <w:t>-</w:t>
      </w:r>
      <w:r w:rsidRPr="00F52BB7">
        <w:rPr>
          <w:rFonts w:cs="Arial"/>
          <w:szCs w:val="24"/>
          <w:shd w:val="clear" w:color="auto" w:fill="FFFFFF"/>
        </w:rPr>
        <w:t xml:space="preserve">year, including by publicly comparing performance across its key business units (the five geographic regions, System Operator (SO) function including its Freight and National Operator </w:t>
      </w:r>
      <w:r w:rsidR="00D52C24">
        <w:rPr>
          <w:rFonts w:cs="Arial"/>
          <w:szCs w:val="24"/>
          <w:shd w:val="clear" w:color="auto" w:fill="FFFFFF"/>
        </w:rPr>
        <w:t>team</w:t>
      </w:r>
      <w:r w:rsidRPr="00F52BB7">
        <w:rPr>
          <w:rFonts w:cs="Arial"/>
          <w:szCs w:val="24"/>
          <w:shd w:val="clear" w:color="auto" w:fill="FFFFFF"/>
        </w:rPr>
        <w:t>). Our assessments also highlight and promote the adoption of best practice across the units.</w:t>
      </w:r>
      <w:r w:rsidRPr="00F52BB7">
        <w:rPr>
          <w:rFonts w:cs="Arial"/>
          <w:szCs w:val="24"/>
        </w:rPr>
        <w:t xml:space="preserve"> We publish a report on the findings from our assessment in autumn of each year.</w:t>
      </w:r>
    </w:p>
    <w:p w14:paraId="4EBE17E5" w14:textId="3D276886" w:rsidR="001A7C6D" w:rsidRPr="00F52BB7" w:rsidRDefault="001A7C6D" w:rsidP="001A7C6D">
      <w:pPr>
        <w:shd w:val="clear" w:color="auto" w:fill="FFFFFF" w:themeFill="background1"/>
        <w:rPr>
          <w:rFonts w:cs="Arial"/>
          <w:szCs w:val="24"/>
        </w:rPr>
      </w:pPr>
      <w:proofErr w:type="spellStart"/>
      <w:r w:rsidRPr="00F52BB7">
        <w:rPr>
          <w:rFonts w:cs="Arial"/>
          <w:szCs w:val="24"/>
        </w:rPr>
        <w:t>ORR’s</w:t>
      </w:r>
      <w:proofErr w:type="spellEnd"/>
      <w:r w:rsidRPr="00F52BB7">
        <w:rPr>
          <w:rFonts w:cs="Arial"/>
          <w:szCs w:val="24"/>
        </w:rPr>
        <w:t xml:space="preserve"> assessments are based on two primary sources of evidence – a stakeholder survey conducted on behalf of ORR and self-assessments produced by Network Rail and its business units.  This ITT relates to the stakeholder survey only.</w:t>
      </w:r>
    </w:p>
    <w:p w14:paraId="74919ACA" w14:textId="0796D41A" w:rsidR="00F20E70" w:rsidRDefault="00F20E70" w:rsidP="00F20E70">
      <w:pPr>
        <w:pStyle w:val="Heading3"/>
      </w:pPr>
      <w:r>
        <w:t>2.2 Project Objectives and Scope</w:t>
      </w:r>
    </w:p>
    <w:p w14:paraId="33D51BF5" w14:textId="77777777" w:rsidR="00F52BB7" w:rsidRPr="00F52BB7" w:rsidRDefault="00F52BB7" w:rsidP="00F52BB7">
      <w:pPr>
        <w:rPr>
          <w:rFonts w:ascii="Calibri" w:eastAsia="Calibri" w:hAnsi="Calibri" w:cs="Arial"/>
          <w:szCs w:val="24"/>
        </w:rPr>
      </w:pPr>
      <w:r w:rsidRPr="00F52BB7">
        <w:rPr>
          <w:rFonts w:cs="Arial"/>
          <w:szCs w:val="24"/>
        </w:rPr>
        <w:t xml:space="preserve">We are currently preparing for our fourth assessment of the quality of Network Rail’s stakeholder engagement, which looks back on year 4 of </w:t>
      </w:r>
      <w:proofErr w:type="spellStart"/>
      <w:r w:rsidRPr="00F52BB7">
        <w:rPr>
          <w:rFonts w:cs="Arial"/>
          <w:szCs w:val="24"/>
        </w:rPr>
        <w:t>CP6</w:t>
      </w:r>
      <w:proofErr w:type="spellEnd"/>
      <w:r w:rsidRPr="00F52BB7">
        <w:rPr>
          <w:rFonts w:cs="Arial"/>
          <w:szCs w:val="24"/>
        </w:rPr>
        <w:t xml:space="preserve"> (April 2022 to March 2023). </w:t>
      </w:r>
    </w:p>
    <w:p w14:paraId="119E4998" w14:textId="77777777" w:rsidR="00F52BB7" w:rsidRPr="00993B2E" w:rsidRDefault="00F52BB7" w:rsidP="00F52BB7">
      <w:pPr>
        <w:rPr>
          <w:rFonts w:cs="Arial"/>
          <w:szCs w:val="24"/>
        </w:rPr>
      </w:pPr>
      <w:r w:rsidRPr="00993B2E">
        <w:rPr>
          <w:rFonts w:cs="Arial"/>
          <w:szCs w:val="24"/>
        </w:rPr>
        <w:t xml:space="preserve">We are seeking a consultant to design and create an online survey, analyse the </w:t>
      </w:r>
      <w:proofErr w:type="gramStart"/>
      <w:r w:rsidRPr="00993B2E">
        <w:rPr>
          <w:rFonts w:cs="Arial"/>
          <w:szCs w:val="24"/>
        </w:rPr>
        <w:t>results</w:t>
      </w:r>
      <w:proofErr w:type="gramEnd"/>
      <w:r w:rsidRPr="00993B2E">
        <w:rPr>
          <w:rFonts w:cs="Arial"/>
          <w:szCs w:val="24"/>
        </w:rPr>
        <w:t xml:space="preserve"> and provide ORR with a publishable report as well as the underlying data and analysis. </w:t>
      </w:r>
    </w:p>
    <w:p w14:paraId="0079F98E" w14:textId="77777777" w:rsidR="00F52BB7" w:rsidRPr="00F52BB7" w:rsidRDefault="00F52BB7" w:rsidP="00F52BB7">
      <w:pPr>
        <w:shd w:val="clear" w:color="auto" w:fill="FFFFFF" w:themeFill="background1"/>
        <w:rPr>
          <w:rFonts w:cs="Arial"/>
          <w:szCs w:val="24"/>
        </w:rPr>
      </w:pPr>
      <w:r w:rsidRPr="00F52BB7">
        <w:rPr>
          <w:rFonts w:cs="Arial"/>
          <w:szCs w:val="24"/>
        </w:rPr>
        <w:t xml:space="preserve">The survey results and report will form a key input to </w:t>
      </w:r>
      <w:proofErr w:type="spellStart"/>
      <w:r w:rsidRPr="00F52BB7">
        <w:rPr>
          <w:rFonts w:cs="Arial"/>
          <w:szCs w:val="24"/>
        </w:rPr>
        <w:t>ORR’s</w:t>
      </w:r>
      <w:proofErr w:type="spellEnd"/>
      <w:r w:rsidRPr="00F52BB7">
        <w:rPr>
          <w:rFonts w:cs="Arial"/>
          <w:szCs w:val="24"/>
        </w:rPr>
        <w:t xml:space="preserve"> overall assessment. We expect to publish our assessment report in September 2023. However, we will need the results of the survey to inform our decision making by the end of May 2023 (see next section for project timescales).</w:t>
      </w:r>
    </w:p>
    <w:p w14:paraId="62676BF0" w14:textId="77777777" w:rsidR="00F52BB7" w:rsidRPr="00F52BB7" w:rsidRDefault="00F52BB7" w:rsidP="00F52BB7">
      <w:pPr>
        <w:shd w:val="clear" w:color="auto" w:fill="FFFFFF" w:themeFill="background1"/>
        <w:rPr>
          <w:rFonts w:cs="Arial"/>
          <w:color w:val="000000" w:themeColor="text1"/>
          <w:szCs w:val="24"/>
          <w:lang w:eastAsia="en-GB"/>
        </w:rPr>
      </w:pPr>
      <w:r w:rsidRPr="00F52BB7">
        <w:rPr>
          <w:rFonts w:cs="Arial"/>
          <w:color w:val="000000" w:themeColor="text1"/>
          <w:szCs w:val="24"/>
          <w:lang w:eastAsia="en-GB"/>
        </w:rPr>
        <w:t>We require the successful bidder to design (within the parameters below) and conduct the survey, in liaison with ORR:</w:t>
      </w:r>
    </w:p>
    <w:p w14:paraId="34A4CE99" w14:textId="55B1FC03" w:rsidR="00F52BB7" w:rsidRPr="00F52BB7" w:rsidRDefault="00F52BB7" w:rsidP="006F5E4C">
      <w:pPr>
        <w:pStyle w:val="Heading4"/>
        <w:rPr>
          <w:shd w:val="clear" w:color="auto" w:fill="FFFFFF"/>
        </w:rPr>
      </w:pPr>
      <w:r w:rsidRPr="00F52BB7">
        <w:rPr>
          <w:shd w:val="clear" w:color="auto" w:fill="FFFFFF"/>
        </w:rPr>
        <w:t>Survey questions</w:t>
      </w:r>
      <w:r w:rsidR="00E22B4D">
        <w:rPr>
          <w:shd w:val="clear" w:color="auto" w:fill="FFFFFF"/>
        </w:rPr>
        <w:t>:</w:t>
      </w:r>
    </w:p>
    <w:p w14:paraId="3196A4EA" w14:textId="77777777" w:rsidR="00F52BB7" w:rsidRPr="00F52BB7" w:rsidRDefault="00F52BB7" w:rsidP="006F5E4C">
      <w:pPr>
        <w:pStyle w:val="Bulletround"/>
        <w:rPr>
          <w:color w:val="000000" w:themeColor="text1"/>
          <w:shd w:val="clear" w:color="auto" w:fill="FFFFFF"/>
          <w:lang w:eastAsia="en-GB"/>
        </w:rPr>
      </w:pPr>
      <w:r w:rsidRPr="00F52BB7">
        <w:rPr>
          <w:shd w:val="clear" w:color="auto" w:fill="FFFFFF"/>
        </w:rPr>
        <w:t xml:space="preserve">The successful bidder will </w:t>
      </w:r>
      <w:r w:rsidRPr="00F52BB7">
        <w:t>advise ORR to</w:t>
      </w:r>
      <w:r w:rsidRPr="00F52BB7">
        <w:rPr>
          <w:shd w:val="clear" w:color="auto" w:fill="FFFFFF"/>
        </w:rPr>
        <w:t xml:space="preserve"> refine the existing survey questions while enabling year-on-year comparisons and maximising completion of the survey. </w:t>
      </w:r>
      <w:r w:rsidRPr="00F52BB7">
        <w:rPr>
          <w:color w:val="000000" w:themeColor="text1"/>
          <w:lang w:eastAsia="en-GB"/>
        </w:rPr>
        <w:t xml:space="preserve">ORR has a baseline of 26 survey questions from Year 3. The questions will need to be updated slightly </w:t>
      </w:r>
      <w:proofErr w:type="gramStart"/>
      <w:r w:rsidRPr="00F52BB7">
        <w:rPr>
          <w:color w:val="000000" w:themeColor="text1"/>
          <w:lang w:eastAsia="en-GB"/>
        </w:rPr>
        <w:t>e.g.</w:t>
      </w:r>
      <w:proofErr w:type="gramEnd"/>
      <w:r w:rsidRPr="00F52BB7">
        <w:rPr>
          <w:color w:val="000000" w:themeColor="text1"/>
          <w:lang w:eastAsia="en-GB"/>
        </w:rPr>
        <w:t xml:space="preserve"> to reflect ‘hot topic’ issues. </w:t>
      </w:r>
    </w:p>
    <w:p w14:paraId="7B417CF8" w14:textId="77777777" w:rsidR="00F52BB7" w:rsidRPr="00F52BB7" w:rsidRDefault="00F52BB7" w:rsidP="006F5E4C">
      <w:pPr>
        <w:pStyle w:val="Bulletround"/>
        <w:rPr>
          <w:shd w:val="clear" w:color="auto" w:fill="FFFFFF"/>
        </w:rPr>
      </w:pPr>
      <w:r w:rsidRPr="00F52BB7">
        <w:rPr>
          <w:lang w:eastAsia="en-GB"/>
        </w:rPr>
        <w:t xml:space="preserve">The questionnaire must be scripted in a way which ensures we obtain feedback specifically on the </w:t>
      </w:r>
      <w:r w:rsidRPr="00F52BB7">
        <w:rPr>
          <w:i/>
          <w:iCs/>
          <w:lang w:eastAsia="en-GB"/>
        </w:rPr>
        <w:t>quality of engagement</w:t>
      </w:r>
      <w:r w:rsidRPr="00F52BB7">
        <w:rPr>
          <w:lang w:eastAsia="en-GB"/>
        </w:rPr>
        <w:t xml:space="preserve">, not on stakeholders’ </w:t>
      </w:r>
      <w:r w:rsidRPr="00F52BB7">
        <w:rPr>
          <w:i/>
          <w:iCs/>
          <w:lang w:eastAsia="en-GB"/>
        </w:rPr>
        <w:t>general satisfaction</w:t>
      </w:r>
      <w:r w:rsidRPr="00F52BB7">
        <w:rPr>
          <w:lang w:eastAsia="en-GB"/>
        </w:rPr>
        <w:t xml:space="preserve"> with Network Rail. We expect the successful bidder to advise on how best to achieve this. </w:t>
      </w:r>
    </w:p>
    <w:p w14:paraId="1A643FBD" w14:textId="05618A48" w:rsidR="00F52BB7" w:rsidRPr="00F52BB7" w:rsidRDefault="00F52BB7" w:rsidP="006F5E4C">
      <w:pPr>
        <w:pStyle w:val="Heading4"/>
        <w:rPr>
          <w:shd w:val="clear" w:color="auto" w:fill="FFFFFF"/>
        </w:rPr>
      </w:pPr>
      <w:r w:rsidRPr="00F52BB7">
        <w:rPr>
          <w:shd w:val="clear" w:color="auto" w:fill="FFFFFF"/>
        </w:rPr>
        <w:lastRenderedPageBreak/>
        <w:t>Structure of survey</w:t>
      </w:r>
      <w:r w:rsidR="00485896" w:rsidRPr="00485896">
        <w:rPr>
          <w:shd w:val="clear" w:color="auto" w:fill="FFFFFF"/>
        </w:rPr>
        <w:t xml:space="preserve"> </w:t>
      </w:r>
      <w:r w:rsidR="00485896" w:rsidRPr="00F52BB7">
        <w:rPr>
          <w:shd w:val="clear" w:color="auto" w:fill="FFFFFF"/>
        </w:rPr>
        <w:t>and routing</w:t>
      </w:r>
      <w:r w:rsidR="00E22B4D">
        <w:rPr>
          <w:shd w:val="clear" w:color="auto" w:fill="FFFFFF"/>
        </w:rPr>
        <w:t>:</w:t>
      </w:r>
    </w:p>
    <w:p w14:paraId="12EE0310" w14:textId="77777777" w:rsidR="00F52BB7" w:rsidRPr="00F52BB7" w:rsidRDefault="00F52BB7" w:rsidP="006F5E4C">
      <w:pPr>
        <w:pStyle w:val="Bulletround"/>
        <w:rPr>
          <w:shd w:val="clear" w:color="auto" w:fill="FFFFFF"/>
        </w:rPr>
      </w:pPr>
      <w:r w:rsidRPr="00F52BB7">
        <w:rPr>
          <w:shd w:val="clear" w:color="auto" w:fill="FFFFFF"/>
        </w:rPr>
        <w:t xml:space="preserve">ORR must be able to </w:t>
      </w:r>
      <w:r w:rsidRPr="00F52BB7">
        <w:rPr>
          <w:b/>
          <w:bCs/>
          <w:i/>
          <w:iCs/>
          <w:shd w:val="clear" w:color="auto" w:fill="FFFFFF"/>
        </w:rPr>
        <w:t>compare</w:t>
      </w:r>
      <w:r w:rsidRPr="00F52BB7">
        <w:rPr>
          <w:shd w:val="clear" w:color="auto" w:fill="FFFFFF"/>
        </w:rPr>
        <w:t xml:space="preserve"> the performance of different business units in relation to how they manage their stakeholders. </w:t>
      </w:r>
    </w:p>
    <w:p w14:paraId="4FF848A4" w14:textId="77777777" w:rsidR="00F52BB7" w:rsidRPr="00F52BB7" w:rsidRDefault="00F52BB7" w:rsidP="006F5E4C">
      <w:pPr>
        <w:pStyle w:val="Bulletround"/>
        <w:rPr>
          <w:shd w:val="clear" w:color="auto" w:fill="FFFFFF"/>
        </w:rPr>
      </w:pPr>
      <w:r w:rsidRPr="00F52BB7">
        <w:rPr>
          <w:shd w:val="clear" w:color="auto" w:fill="FFFFFF"/>
        </w:rPr>
        <w:t xml:space="preserve">The survey must therefore be structured to enable stakeholders to respond in relation to one, some, or </w:t>
      </w:r>
      <w:proofErr w:type="gramStart"/>
      <w:r w:rsidRPr="00F52BB7">
        <w:rPr>
          <w:shd w:val="clear" w:color="auto" w:fill="FFFFFF"/>
        </w:rPr>
        <w:t>all of</w:t>
      </w:r>
      <w:proofErr w:type="gramEnd"/>
      <w:r w:rsidRPr="00F52BB7">
        <w:rPr>
          <w:shd w:val="clear" w:color="auto" w:fill="FFFFFF"/>
        </w:rPr>
        <w:t xml:space="preserve"> the six business units – as stakeholders may engage with more than one business unit and have different views on how different business units are performing. Stakeholders must also be able to give responses in relation to Network Rail’s overall performance.</w:t>
      </w:r>
    </w:p>
    <w:p w14:paraId="03078E87" w14:textId="77777777" w:rsidR="00F52BB7" w:rsidRPr="00F52BB7" w:rsidRDefault="00F52BB7" w:rsidP="006F5E4C">
      <w:pPr>
        <w:pStyle w:val="Bulletround"/>
        <w:rPr>
          <w:color w:val="000000" w:themeColor="text1"/>
          <w:lang w:eastAsia="en-GB"/>
        </w:rPr>
      </w:pPr>
      <w:r w:rsidRPr="00F52BB7">
        <w:rPr>
          <w:color w:val="000000" w:themeColor="text1"/>
          <w:lang w:eastAsia="en-GB"/>
        </w:rPr>
        <w:t xml:space="preserve">We expect the successful bidder to produce a reliable routing procedure to ensure that stakeholders are asked the relevant set of questions, and only in respect of business units with whom they have engaged. </w:t>
      </w:r>
    </w:p>
    <w:p w14:paraId="53F38771" w14:textId="7DF8194F" w:rsidR="00F52BB7" w:rsidRPr="00F52BB7" w:rsidRDefault="00F52BB7" w:rsidP="005D6406">
      <w:pPr>
        <w:pStyle w:val="Heading4"/>
        <w:rPr>
          <w:shd w:val="clear" w:color="auto" w:fill="FFFFFF"/>
        </w:rPr>
      </w:pPr>
      <w:r w:rsidRPr="00F52BB7">
        <w:rPr>
          <w:shd w:val="clear" w:color="auto" w:fill="FFFFFF"/>
        </w:rPr>
        <w:t>Method of issuing the survey</w:t>
      </w:r>
      <w:r w:rsidR="00E22B4D">
        <w:rPr>
          <w:shd w:val="clear" w:color="auto" w:fill="FFFFFF"/>
        </w:rPr>
        <w:t>:</w:t>
      </w:r>
    </w:p>
    <w:p w14:paraId="409FCEF2" w14:textId="4BCF9A41" w:rsidR="00F52BB7" w:rsidRPr="00F52BB7" w:rsidRDefault="00F52BB7" w:rsidP="005D6406">
      <w:pPr>
        <w:pStyle w:val="Bulletround"/>
        <w:rPr>
          <w:shd w:val="clear" w:color="auto" w:fill="FFFFFF"/>
        </w:rPr>
      </w:pPr>
      <w:r w:rsidRPr="00F52BB7">
        <w:rPr>
          <w:shd w:val="clear" w:color="auto" w:fill="FFFFFF"/>
        </w:rPr>
        <w:t xml:space="preserve">ORR </w:t>
      </w:r>
      <w:r w:rsidR="00D52C24">
        <w:rPr>
          <w:shd w:val="clear" w:color="auto" w:fill="FFFFFF"/>
        </w:rPr>
        <w:t>expects to</w:t>
      </w:r>
      <w:r w:rsidR="00D52C24" w:rsidRPr="00F52BB7">
        <w:rPr>
          <w:shd w:val="clear" w:color="auto" w:fill="FFFFFF"/>
        </w:rPr>
        <w:t xml:space="preserve"> </w:t>
      </w:r>
      <w:r w:rsidRPr="00F52BB7">
        <w:rPr>
          <w:shd w:val="clear" w:color="auto" w:fill="FFFFFF"/>
        </w:rPr>
        <w:t xml:space="preserve">issue the invite to participate in the survey </w:t>
      </w:r>
      <w:r w:rsidR="00D52C24">
        <w:rPr>
          <w:shd w:val="clear" w:color="auto" w:fill="FFFFFF"/>
        </w:rPr>
        <w:t xml:space="preserve">by email </w:t>
      </w:r>
      <w:r w:rsidRPr="00F52BB7">
        <w:rPr>
          <w:shd w:val="clear" w:color="auto" w:fill="FFFFFF"/>
        </w:rPr>
        <w:t>(we do not consider it appropriate to text stakeholders). ORR will source the list of stakeholders and their contact details</w:t>
      </w:r>
      <w:r w:rsidR="00D52C24">
        <w:rPr>
          <w:shd w:val="clear" w:color="auto" w:fill="FFFFFF"/>
        </w:rPr>
        <w:t>.</w:t>
      </w:r>
    </w:p>
    <w:p w14:paraId="4DD3030A" w14:textId="69A45595" w:rsidR="00F52BB7" w:rsidRPr="00F52BB7" w:rsidRDefault="00F52BB7" w:rsidP="005D6406">
      <w:pPr>
        <w:pStyle w:val="Bulletround"/>
        <w:rPr>
          <w:shd w:val="clear" w:color="auto" w:fill="FFFFFF"/>
        </w:rPr>
      </w:pPr>
      <w:r w:rsidRPr="00F52BB7">
        <w:t>The consultant will provide a link to the online survey for ORR to include in the email. This will allow stakeholders to click on the link and complete the survey</w:t>
      </w:r>
      <w:r w:rsidR="00D52C24">
        <w:t>.</w:t>
      </w:r>
    </w:p>
    <w:p w14:paraId="33286A67" w14:textId="765D8913" w:rsidR="00F52BB7" w:rsidRPr="00F52BB7" w:rsidRDefault="00F52BB7" w:rsidP="005D6406">
      <w:pPr>
        <w:pStyle w:val="Bulletround"/>
        <w:rPr>
          <w:shd w:val="clear" w:color="auto" w:fill="FFFFFF"/>
        </w:rPr>
      </w:pPr>
      <w:r w:rsidRPr="00F52BB7">
        <w:rPr>
          <w:shd w:val="clear" w:color="auto" w:fill="FFFFFF"/>
        </w:rPr>
        <w:t xml:space="preserve">We welcome innovative proposals from bidders on this </w:t>
      </w:r>
      <w:r w:rsidR="00D52C24">
        <w:rPr>
          <w:shd w:val="clear" w:color="auto" w:fill="FFFFFF"/>
        </w:rPr>
        <w:t xml:space="preserve">particularly which support </w:t>
      </w:r>
      <w:r w:rsidRPr="00F52BB7">
        <w:rPr>
          <w:shd w:val="clear" w:color="auto" w:fill="FFFFFF"/>
        </w:rPr>
        <w:t>maximising the number and quality of responses.</w:t>
      </w:r>
    </w:p>
    <w:p w14:paraId="3086CE1B" w14:textId="31EFDC18" w:rsidR="00F52BB7" w:rsidRPr="00F52BB7" w:rsidRDefault="00F52BB7" w:rsidP="005D6406">
      <w:pPr>
        <w:pStyle w:val="Heading4"/>
        <w:rPr>
          <w:shd w:val="clear" w:color="auto" w:fill="FFFFFF"/>
        </w:rPr>
      </w:pPr>
      <w:r w:rsidRPr="00F52BB7">
        <w:rPr>
          <w:shd w:val="clear" w:color="auto" w:fill="FFFFFF"/>
        </w:rPr>
        <w:t>Size of survey group</w:t>
      </w:r>
      <w:r w:rsidR="00E22B4D">
        <w:rPr>
          <w:shd w:val="clear" w:color="auto" w:fill="FFFFFF"/>
        </w:rPr>
        <w:t>:</w:t>
      </w:r>
    </w:p>
    <w:p w14:paraId="3E9DAFBC" w14:textId="3EAEBCE9" w:rsidR="00F52BB7" w:rsidRDefault="00F52BB7" w:rsidP="005D6406">
      <w:pPr>
        <w:pStyle w:val="Bulletround"/>
        <w:rPr>
          <w:shd w:val="clear" w:color="auto" w:fill="FFFFFF"/>
        </w:rPr>
      </w:pPr>
      <w:r w:rsidRPr="00F52BB7">
        <w:rPr>
          <w:shd w:val="clear" w:color="auto" w:fill="FFFFFF"/>
        </w:rPr>
        <w:t xml:space="preserve">In Year 3 the survey was sent to </w:t>
      </w:r>
      <w:proofErr w:type="spellStart"/>
      <w:r w:rsidRPr="00F52BB7">
        <w:rPr>
          <w:shd w:val="clear" w:color="auto" w:fill="FFFFFF"/>
        </w:rPr>
        <w:t>c3000</w:t>
      </w:r>
      <w:proofErr w:type="spellEnd"/>
      <w:r w:rsidRPr="00F52BB7">
        <w:rPr>
          <w:shd w:val="clear" w:color="auto" w:fill="FFFFFF"/>
        </w:rPr>
        <w:t xml:space="preserve"> stakeholders. We are asking Network Rail to improve the coverage of stakeholders in different groups and so this is likely to increase.</w:t>
      </w:r>
    </w:p>
    <w:p w14:paraId="426B958A" w14:textId="59DB49E0" w:rsidR="00F52BB7" w:rsidRPr="00F52BB7" w:rsidRDefault="00F52BB7" w:rsidP="005D6406">
      <w:pPr>
        <w:pStyle w:val="Heading4"/>
        <w:rPr>
          <w:shd w:val="clear" w:color="auto" w:fill="FFFFFF"/>
        </w:rPr>
      </w:pPr>
      <w:r w:rsidRPr="00F52BB7">
        <w:rPr>
          <w:shd w:val="clear" w:color="auto" w:fill="FFFFFF"/>
        </w:rPr>
        <w:t>Response rate</w:t>
      </w:r>
      <w:r w:rsidR="00E22B4D">
        <w:rPr>
          <w:shd w:val="clear" w:color="auto" w:fill="FFFFFF"/>
        </w:rPr>
        <w:t>:</w:t>
      </w:r>
    </w:p>
    <w:p w14:paraId="3454AB98" w14:textId="77777777" w:rsidR="00F52BB7" w:rsidRPr="00F52BB7" w:rsidRDefault="00F52BB7" w:rsidP="005D6406">
      <w:pPr>
        <w:pStyle w:val="Bulletround"/>
        <w:rPr>
          <w:shd w:val="clear" w:color="auto" w:fill="FFFFFF"/>
        </w:rPr>
      </w:pPr>
      <w:r w:rsidRPr="00F52BB7">
        <w:rPr>
          <w:shd w:val="clear" w:color="auto" w:fill="FFFFFF"/>
        </w:rPr>
        <w:t>Response rates have been low in past years (</w:t>
      </w:r>
      <w:proofErr w:type="spellStart"/>
      <w:r w:rsidRPr="00F52BB7">
        <w:rPr>
          <w:shd w:val="clear" w:color="auto" w:fill="FFFFFF"/>
        </w:rPr>
        <w:t>c9</w:t>
      </w:r>
      <w:proofErr w:type="spellEnd"/>
      <w:r w:rsidRPr="00F52BB7">
        <w:rPr>
          <w:shd w:val="clear" w:color="auto" w:fill="FFFFFF"/>
        </w:rPr>
        <w:t xml:space="preserve">-12%). We would like bidders to identify </w:t>
      </w:r>
      <w:r w:rsidRPr="00F52BB7">
        <w:t>any</w:t>
      </w:r>
      <w:r w:rsidRPr="00F52BB7">
        <w:rPr>
          <w:shd w:val="clear" w:color="auto" w:fill="FFFFFF"/>
        </w:rPr>
        <w:t xml:space="preserve"> ways to maximise the response and completion rates of the survey, which preserve </w:t>
      </w:r>
      <w:proofErr w:type="spellStart"/>
      <w:r w:rsidRPr="00F52BB7">
        <w:rPr>
          <w:shd w:val="clear" w:color="auto" w:fill="FFFFFF"/>
        </w:rPr>
        <w:t>ORR’s</w:t>
      </w:r>
      <w:proofErr w:type="spellEnd"/>
      <w:r w:rsidRPr="00F52BB7">
        <w:rPr>
          <w:shd w:val="clear" w:color="auto" w:fill="FFFFFF"/>
        </w:rPr>
        <w:t xml:space="preserve"> policy principles and recognise the nature of ORR as a regulator (</w:t>
      </w:r>
      <w:proofErr w:type="gramStart"/>
      <w:r w:rsidRPr="00F52BB7">
        <w:rPr>
          <w:shd w:val="clear" w:color="auto" w:fill="FFFFFF"/>
        </w:rPr>
        <w:t>e.g.</w:t>
      </w:r>
      <w:proofErr w:type="gramEnd"/>
      <w:r w:rsidRPr="00F52BB7">
        <w:rPr>
          <w:shd w:val="clear" w:color="auto" w:fill="FFFFFF"/>
        </w:rPr>
        <w:t xml:space="preserve"> use of ‘prizes’ would not be appropriate).</w:t>
      </w:r>
    </w:p>
    <w:p w14:paraId="2F47C59B" w14:textId="4CAE0951" w:rsidR="00F52BB7" w:rsidRPr="00F52BB7" w:rsidRDefault="00F52BB7" w:rsidP="005D6406">
      <w:pPr>
        <w:pStyle w:val="Heading4"/>
        <w:rPr>
          <w:shd w:val="clear" w:color="auto" w:fill="FFFFFF"/>
        </w:rPr>
      </w:pPr>
      <w:r w:rsidRPr="00F52BB7">
        <w:rPr>
          <w:shd w:val="clear" w:color="auto" w:fill="FFFFFF"/>
        </w:rPr>
        <w:t>Survey sample</w:t>
      </w:r>
      <w:r w:rsidR="00E22B4D">
        <w:rPr>
          <w:shd w:val="clear" w:color="auto" w:fill="FFFFFF"/>
        </w:rPr>
        <w:t>:</w:t>
      </w:r>
    </w:p>
    <w:p w14:paraId="6F74878C" w14:textId="77777777" w:rsidR="00F52BB7" w:rsidRPr="00F52BB7" w:rsidRDefault="00F52BB7" w:rsidP="005D6406">
      <w:pPr>
        <w:pStyle w:val="Bulletround"/>
        <w:rPr>
          <w:shd w:val="clear" w:color="auto" w:fill="FFFFFF"/>
        </w:rPr>
      </w:pPr>
      <w:r w:rsidRPr="00F52BB7">
        <w:rPr>
          <w:shd w:val="clear" w:color="auto" w:fill="FFFFFF"/>
        </w:rPr>
        <w:t xml:space="preserve">Network Rail’s network licence defines “stakeholder” broadly, as any person with which Network Rail has (now or in the future) a significant relationship; </w:t>
      </w:r>
      <w:r w:rsidRPr="00F52BB7">
        <w:rPr>
          <w:shd w:val="clear" w:color="auto" w:fill="FFFFFF"/>
        </w:rPr>
        <w:lastRenderedPageBreak/>
        <w:t xml:space="preserve">any person who may be impacted by the activities of Network Rail; and any person who has expressed a serious interest in providing railway services, </w:t>
      </w:r>
      <w:proofErr w:type="gramStart"/>
      <w:r w:rsidRPr="00F52BB7">
        <w:rPr>
          <w:shd w:val="clear" w:color="auto" w:fill="FFFFFF"/>
        </w:rPr>
        <w:t>facilities</w:t>
      </w:r>
      <w:proofErr w:type="gramEnd"/>
      <w:r w:rsidRPr="00F52BB7">
        <w:rPr>
          <w:shd w:val="clear" w:color="auto" w:fill="FFFFFF"/>
        </w:rPr>
        <w:t xml:space="preserve"> or networks (as defined in Network Rail’s network licence). The survey will cover the following key stakeholder groups:</w:t>
      </w:r>
    </w:p>
    <w:p w14:paraId="6481078F" w14:textId="77777777" w:rsidR="00F52BB7" w:rsidRPr="00F52BB7" w:rsidRDefault="00F52BB7" w:rsidP="005D6406">
      <w:pPr>
        <w:pStyle w:val="Bullet-"/>
        <w:rPr>
          <w:lang w:val="en-US" w:eastAsia="en-GB"/>
        </w:rPr>
      </w:pPr>
      <w:r w:rsidRPr="00F52BB7">
        <w:rPr>
          <w:lang w:eastAsia="en-GB"/>
        </w:rPr>
        <w:t>Passenger train operators (</w:t>
      </w:r>
      <w:proofErr w:type="gramStart"/>
      <w:r w:rsidRPr="00F52BB7">
        <w:rPr>
          <w:lang w:eastAsia="en-GB"/>
        </w:rPr>
        <w:t>i.e.</w:t>
      </w:r>
      <w:proofErr w:type="gramEnd"/>
      <w:r w:rsidRPr="00F52BB7">
        <w:rPr>
          <w:lang w:eastAsia="en-GB"/>
        </w:rPr>
        <w:t xml:space="preserve"> those with franchise or concession agreements; </w:t>
      </w:r>
      <w:r w:rsidRPr="00F52BB7">
        <w:rPr>
          <w:lang w:val="en-US" w:eastAsia="en-GB"/>
        </w:rPr>
        <w:t>open-access operators);</w:t>
      </w:r>
    </w:p>
    <w:p w14:paraId="450BE2F9" w14:textId="77777777" w:rsidR="00F52BB7" w:rsidRPr="00F52BB7" w:rsidRDefault="00F52BB7" w:rsidP="005D6406">
      <w:pPr>
        <w:pStyle w:val="Bullet-"/>
        <w:rPr>
          <w:lang w:val="en-US" w:eastAsia="en-GB"/>
        </w:rPr>
      </w:pPr>
      <w:r w:rsidRPr="00F52BB7">
        <w:rPr>
          <w:lang w:val="en-US" w:eastAsia="en-GB"/>
        </w:rPr>
        <w:t xml:space="preserve">freight </w:t>
      </w:r>
      <w:proofErr w:type="gramStart"/>
      <w:r w:rsidRPr="00F52BB7">
        <w:rPr>
          <w:lang w:val="en-US" w:eastAsia="en-GB"/>
        </w:rPr>
        <w:t>operators;</w:t>
      </w:r>
      <w:proofErr w:type="gramEnd"/>
    </w:p>
    <w:p w14:paraId="740F451E" w14:textId="77777777" w:rsidR="00F52BB7" w:rsidRPr="00F52BB7" w:rsidRDefault="00F52BB7" w:rsidP="005D6406">
      <w:pPr>
        <w:pStyle w:val="Bullet-"/>
        <w:rPr>
          <w:lang w:val="en-US" w:eastAsia="en-GB"/>
        </w:rPr>
      </w:pPr>
      <w:r w:rsidRPr="00F52BB7">
        <w:rPr>
          <w:lang w:val="en-US" w:eastAsia="en-GB"/>
        </w:rPr>
        <w:t>funders / regulatory bodies; (but not Department for Transport or Transport Scotland, who ORR will canvass separately</w:t>
      </w:r>
      <w:proofErr w:type="gramStart"/>
      <w:r w:rsidRPr="00F52BB7">
        <w:rPr>
          <w:lang w:val="en-US" w:eastAsia="en-GB"/>
        </w:rPr>
        <w:t>);</w:t>
      </w:r>
      <w:proofErr w:type="gramEnd"/>
    </w:p>
    <w:p w14:paraId="08DB87DD" w14:textId="77777777" w:rsidR="00F52BB7" w:rsidRPr="00F52BB7" w:rsidRDefault="00F52BB7" w:rsidP="005D6406">
      <w:pPr>
        <w:pStyle w:val="Bullet-"/>
        <w:rPr>
          <w:lang w:val="fr-FR" w:eastAsia="en-GB"/>
        </w:rPr>
      </w:pPr>
      <w:proofErr w:type="spellStart"/>
      <w:proofErr w:type="gramStart"/>
      <w:r w:rsidRPr="00F52BB7">
        <w:rPr>
          <w:lang w:val="fr-FR" w:eastAsia="en-GB"/>
        </w:rPr>
        <w:t>passengers</w:t>
      </w:r>
      <w:proofErr w:type="spellEnd"/>
      <w:proofErr w:type="gramEnd"/>
      <w:r w:rsidRPr="00F52BB7">
        <w:rPr>
          <w:lang w:val="fr-FR" w:eastAsia="en-GB"/>
        </w:rPr>
        <w:t xml:space="preserve"> (via </w:t>
      </w:r>
      <w:proofErr w:type="spellStart"/>
      <w:r w:rsidRPr="00F52BB7">
        <w:rPr>
          <w:lang w:val="fr-FR" w:eastAsia="en-GB"/>
        </w:rPr>
        <w:t>passenger</w:t>
      </w:r>
      <w:proofErr w:type="spellEnd"/>
      <w:r w:rsidRPr="00F52BB7">
        <w:rPr>
          <w:lang w:val="fr-FR" w:eastAsia="en-GB"/>
        </w:rPr>
        <w:t xml:space="preserve"> </w:t>
      </w:r>
      <w:proofErr w:type="spellStart"/>
      <w:r w:rsidRPr="00F52BB7">
        <w:rPr>
          <w:lang w:val="fr-FR" w:eastAsia="en-GB"/>
        </w:rPr>
        <w:t>representative</w:t>
      </w:r>
      <w:proofErr w:type="spellEnd"/>
      <w:r w:rsidRPr="00F52BB7">
        <w:rPr>
          <w:lang w:val="fr-FR" w:eastAsia="en-GB"/>
        </w:rPr>
        <w:t xml:space="preserve"> groups / bodies), rail </w:t>
      </w:r>
      <w:proofErr w:type="spellStart"/>
      <w:r w:rsidRPr="00F52BB7">
        <w:rPr>
          <w:lang w:val="fr-FR" w:eastAsia="en-GB"/>
        </w:rPr>
        <w:t>communities</w:t>
      </w:r>
      <w:proofErr w:type="spellEnd"/>
      <w:r w:rsidRPr="00F52BB7">
        <w:rPr>
          <w:lang w:val="fr-FR" w:eastAsia="en-GB"/>
        </w:rPr>
        <w:t>;</w:t>
      </w:r>
    </w:p>
    <w:p w14:paraId="68F7D56A" w14:textId="77777777" w:rsidR="00F52BB7" w:rsidRPr="00F52BB7" w:rsidRDefault="00F52BB7" w:rsidP="005D6406">
      <w:pPr>
        <w:pStyle w:val="Bullet-"/>
        <w:rPr>
          <w:lang w:val="en-US" w:eastAsia="en-GB"/>
        </w:rPr>
      </w:pPr>
      <w:r w:rsidRPr="00F52BB7">
        <w:rPr>
          <w:lang w:val="en-US" w:eastAsia="en-GB"/>
        </w:rPr>
        <w:t xml:space="preserve">supply chain </w:t>
      </w:r>
      <w:proofErr w:type="gramStart"/>
      <w:r w:rsidRPr="00F52BB7">
        <w:rPr>
          <w:lang w:val="en-US" w:eastAsia="en-GB"/>
        </w:rPr>
        <w:t>partners;</w:t>
      </w:r>
      <w:proofErr w:type="gramEnd"/>
    </w:p>
    <w:p w14:paraId="06C34330" w14:textId="77777777" w:rsidR="00F52BB7" w:rsidRPr="00F52BB7" w:rsidRDefault="00F52BB7" w:rsidP="005D6406">
      <w:pPr>
        <w:pStyle w:val="Bullet-"/>
        <w:rPr>
          <w:lang w:val="en-US" w:eastAsia="en-GB"/>
        </w:rPr>
      </w:pPr>
      <w:r w:rsidRPr="00F52BB7">
        <w:rPr>
          <w:lang w:val="en-US" w:eastAsia="en-GB"/>
        </w:rPr>
        <w:t xml:space="preserve">local transport </w:t>
      </w:r>
      <w:proofErr w:type="gramStart"/>
      <w:r w:rsidRPr="00F52BB7">
        <w:rPr>
          <w:lang w:val="en-US" w:eastAsia="en-GB"/>
        </w:rPr>
        <w:t>authorities;</w:t>
      </w:r>
      <w:proofErr w:type="gramEnd"/>
    </w:p>
    <w:p w14:paraId="0BF54FB3" w14:textId="77777777" w:rsidR="00F52BB7" w:rsidRPr="00F52BB7" w:rsidRDefault="00F52BB7" w:rsidP="005D6406">
      <w:pPr>
        <w:pStyle w:val="Bullet-"/>
        <w:rPr>
          <w:lang w:val="en-US" w:eastAsia="en-GB"/>
        </w:rPr>
      </w:pPr>
      <w:r w:rsidRPr="00F52BB7">
        <w:rPr>
          <w:lang w:val="en-US" w:eastAsia="en-GB"/>
        </w:rPr>
        <w:t xml:space="preserve">elected </w:t>
      </w:r>
      <w:proofErr w:type="gramStart"/>
      <w:r w:rsidRPr="00F52BB7">
        <w:rPr>
          <w:lang w:val="en-US" w:eastAsia="en-GB"/>
        </w:rPr>
        <w:t>representatives;</w:t>
      </w:r>
      <w:proofErr w:type="gramEnd"/>
    </w:p>
    <w:p w14:paraId="5CFF2F89" w14:textId="77777777" w:rsidR="00F52BB7" w:rsidRPr="00F52BB7" w:rsidRDefault="00F52BB7" w:rsidP="005D6406">
      <w:pPr>
        <w:pStyle w:val="Bullet-"/>
        <w:rPr>
          <w:lang w:val="en-US" w:eastAsia="en-GB"/>
        </w:rPr>
      </w:pPr>
      <w:r w:rsidRPr="00F52BB7">
        <w:rPr>
          <w:lang w:val="en-US" w:eastAsia="en-GB"/>
        </w:rPr>
        <w:t xml:space="preserve">public sector </w:t>
      </w:r>
      <w:proofErr w:type="gramStart"/>
      <w:r w:rsidRPr="00F52BB7">
        <w:rPr>
          <w:lang w:val="en-US" w:eastAsia="en-GB"/>
        </w:rPr>
        <w:t>bodies;</w:t>
      </w:r>
      <w:proofErr w:type="gramEnd"/>
    </w:p>
    <w:p w14:paraId="066340BF" w14:textId="67C72B0F" w:rsidR="00F52BB7" w:rsidRPr="00F52BB7" w:rsidRDefault="00F52BB7" w:rsidP="005D6406">
      <w:pPr>
        <w:pStyle w:val="Bullet-"/>
        <w:rPr>
          <w:rFonts w:eastAsiaTheme="minorEastAsia"/>
          <w:lang w:val="en-US" w:eastAsia="en-GB"/>
        </w:rPr>
      </w:pPr>
      <w:r w:rsidRPr="00F52BB7">
        <w:rPr>
          <w:rFonts w:eastAsiaTheme="minorEastAsia"/>
          <w:lang w:val="en-US" w:eastAsia="en-GB"/>
        </w:rPr>
        <w:t>other infrastructure owners / developers (besides Network Rail).</w:t>
      </w:r>
    </w:p>
    <w:p w14:paraId="6956ECB3" w14:textId="77777777" w:rsidR="00F52BB7" w:rsidRPr="00F52BB7" w:rsidRDefault="00F52BB7" w:rsidP="005D6406">
      <w:pPr>
        <w:pStyle w:val="Bulletround"/>
        <w:rPr>
          <w:lang w:val="en-US" w:eastAsia="en-GB"/>
        </w:rPr>
      </w:pPr>
      <w:r w:rsidRPr="00F52BB7">
        <w:rPr>
          <w:lang w:val="en-US" w:eastAsia="en-GB"/>
        </w:rPr>
        <w:t xml:space="preserve">Network Rail will provide the list of stakeholders, their contact </w:t>
      </w:r>
      <w:proofErr w:type="gramStart"/>
      <w:r w:rsidRPr="00F52BB7">
        <w:rPr>
          <w:lang w:val="en-US" w:eastAsia="en-GB"/>
        </w:rPr>
        <w:t>details</w:t>
      </w:r>
      <w:proofErr w:type="gramEnd"/>
      <w:r w:rsidRPr="00F52BB7">
        <w:rPr>
          <w:lang w:val="en-US" w:eastAsia="en-GB"/>
        </w:rPr>
        <w:t xml:space="preserve"> and their categorization, to ORR. </w:t>
      </w:r>
    </w:p>
    <w:p w14:paraId="46C37827" w14:textId="5C044614" w:rsidR="00F52BB7" w:rsidRDefault="00F52BB7" w:rsidP="005D6406">
      <w:pPr>
        <w:pStyle w:val="Bulletround"/>
        <w:rPr>
          <w:lang w:val="en-US" w:eastAsia="en-GB"/>
        </w:rPr>
      </w:pPr>
      <w:r w:rsidRPr="00F52BB7">
        <w:rPr>
          <w:lang w:val="en-US" w:eastAsia="en-GB"/>
        </w:rPr>
        <w:t xml:space="preserve">Respondents will self-identify their stakeholder group which will enable the consultants to </w:t>
      </w:r>
      <w:proofErr w:type="spellStart"/>
      <w:r w:rsidRPr="00F52BB7">
        <w:rPr>
          <w:lang w:val="en-US" w:eastAsia="en-GB"/>
        </w:rPr>
        <w:t>analyse</w:t>
      </w:r>
      <w:proofErr w:type="spellEnd"/>
      <w:r w:rsidRPr="00F52BB7">
        <w:rPr>
          <w:lang w:val="en-US" w:eastAsia="en-GB"/>
        </w:rPr>
        <w:t xml:space="preserve"> responses by stakeholder category. The consultants will not receive the stakeholder contact details.</w:t>
      </w:r>
    </w:p>
    <w:p w14:paraId="53E543F0" w14:textId="4BA83454" w:rsidR="00F52BB7" w:rsidRPr="00F52BB7" w:rsidRDefault="00F52BB7" w:rsidP="005D6406">
      <w:pPr>
        <w:pStyle w:val="Heading4"/>
        <w:rPr>
          <w:shd w:val="clear" w:color="auto" w:fill="FFFFFF"/>
        </w:rPr>
      </w:pPr>
      <w:r w:rsidRPr="00F52BB7">
        <w:rPr>
          <w:shd w:val="clear" w:color="auto" w:fill="FFFFFF"/>
        </w:rPr>
        <w:t>Timescales</w:t>
      </w:r>
      <w:r w:rsidR="00E22B4D">
        <w:rPr>
          <w:shd w:val="clear" w:color="auto" w:fill="FFFFFF"/>
        </w:rPr>
        <w:t>:</w:t>
      </w:r>
    </w:p>
    <w:p w14:paraId="1D6C2AE0" w14:textId="31A303ED" w:rsidR="00F52BB7" w:rsidRDefault="00F52BB7" w:rsidP="005D6406">
      <w:pPr>
        <w:pStyle w:val="Bulletround"/>
        <w:rPr>
          <w:lang w:eastAsia="en-GB"/>
        </w:rPr>
      </w:pPr>
      <w:r w:rsidRPr="00F52BB7">
        <w:rPr>
          <w:lang w:eastAsia="en-GB"/>
        </w:rPr>
        <w:t xml:space="preserve">Public officials will be included in the survey population. </w:t>
      </w:r>
      <w:r w:rsidR="009346FA">
        <w:rPr>
          <w:lang w:eastAsia="en-GB"/>
        </w:rPr>
        <w:t>T</w:t>
      </w:r>
      <w:r w:rsidRPr="00F52BB7">
        <w:rPr>
          <w:lang w:eastAsia="en-GB"/>
        </w:rPr>
        <w:t>he survey cannot be run during any pre-election period</w:t>
      </w:r>
      <w:r w:rsidR="009346FA">
        <w:rPr>
          <w:lang w:eastAsia="en-GB"/>
        </w:rPr>
        <w:t xml:space="preserve"> (</w:t>
      </w:r>
      <w:proofErr w:type="gramStart"/>
      <w:r w:rsidR="009346FA">
        <w:rPr>
          <w:lang w:eastAsia="en-GB"/>
        </w:rPr>
        <w:t>e.g.</w:t>
      </w:r>
      <w:proofErr w:type="gramEnd"/>
      <w:r w:rsidR="009346FA">
        <w:rPr>
          <w:lang w:eastAsia="en-GB"/>
        </w:rPr>
        <w:t xml:space="preserve"> for local elections)</w:t>
      </w:r>
      <w:r w:rsidRPr="00F52BB7">
        <w:rPr>
          <w:lang w:eastAsia="en-GB"/>
        </w:rPr>
        <w:t xml:space="preserve">, and </w:t>
      </w:r>
      <w:r w:rsidR="009346FA">
        <w:rPr>
          <w:lang w:eastAsia="en-GB"/>
        </w:rPr>
        <w:t xml:space="preserve">so the survey must </w:t>
      </w:r>
      <w:r w:rsidRPr="00F52BB7">
        <w:rPr>
          <w:lang w:eastAsia="en-GB"/>
        </w:rPr>
        <w:t>be complete before this begins.</w:t>
      </w:r>
    </w:p>
    <w:p w14:paraId="29F8FBE8" w14:textId="35068D72" w:rsidR="00886661" w:rsidRPr="00F52BB7" w:rsidRDefault="00886661" w:rsidP="005D6406">
      <w:pPr>
        <w:pStyle w:val="Bulletround"/>
        <w:rPr>
          <w:lang w:eastAsia="en-GB"/>
        </w:rPr>
      </w:pPr>
      <w:proofErr w:type="gramStart"/>
      <w:r w:rsidRPr="093F774A">
        <w:rPr>
          <w:lang w:eastAsia="en-GB"/>
        </w:rPr>
        <w:t>In order to</w:t>
      </w:r>
      <w:proofErr w:type="gramEnd"/>
      <w:r w:rsidRPr="093F774A">
        <w:rPr>
          <w:lang w:eastAsia="en-GB"/>
        </w:rPr>
        <w:t xml:space="preserve"> support our Periodic Review 2023 (</w:t>
      </w:r>
      <w:proofErr w:type="spellStart"/>
      <w:r w:rsidRPr="093F774A">
        <w:rPr>
          <w:lang w:eastAsia="en-GB"/>
        </w:rPr>
        <w:t>PR23</w:t>
      </w:r>
      <w:proofErr w:type="spellEnd"/>
      <w:r w:rsidRPr="093F774A">
        <w:rPr>
          <w:lang w:eastAsia="en-GB"/>
        </w:rPr>
        <w:t>), the results from a small sub-set of questions will be needed earlier in the process than the full report.</w:t>
      </w:r>
      <w:r w:rsidR="27BEB3A6" w:rsidRPr="093F774A">
        <w:rPr>
          <w:lang w:eastAsia="en-GB"/>
        </w:rPr>
        <w:t xml:space="preserve"> These results need to be available w/c 15 May 2023.</w:t>
      </w:r>
    </w:p>
    <w:p w14:paraId="59B5A14D" w14:textId="0EEC546F" w:rsidR="00F52BB7" w:rsidRPr="00F52BB7" w:rsidRDefault="00F52BB7" w:rsidP="005D6406">
      <w:pPr>
        <w:pStyle w:val="Heading4"/>
        <w:rPr>
          <w:color w:val="FF0000"/>
        </w:rPr>
      </w:pPr>
      <w:r w:rsidRPr="00F52BB7">
        <w:rPr>
          <w:lang w:eastAsia="en-GB"/>
        </w:rPr>
        <w:lastRenderedPageBreak/>
        <w:t>GDPR requirements</w:t>
      </w:r>
      <w:r w:rsidR="00E22B4D">
        <w:rPr>
          <w:lang w:eastAsia="en-GB"/>
        </w:rPr>
        <w:t>:</w:t>
      </w:r>
    </w:p>
    <w:p w14:paraId="27F9DD38" w14:textId="55DA5D42" w:rsidR="00F52BB7" w:rsidRPr="00F52BB7" w:rsidRDefault="00F52BB7" w:rsidP="005D6406">
      <w:pPr>
        <w:pStyle w:val="Bulletround"/>
        <w:rPr>
          <w:lang w:eastAsia="en-GB"/>
        </w:rPr>
      </w:pPr>
      <w:r w:rsidRPr="00F52BB7">
        <w:t xml:space="preserve">Bidders should </w:t>
      </w:r>
      <w:r w:rsidRPr="00F52BB7">
        <w:rPr>
          <w:lang w:eastAsia="en-GB"/>
        </w:rPr>
        <w:t xml:space="preserve">explain how they will ensure compliance with relevant GDPR requirements. Bidders should also confirm how survey data will be kept secure. ORR will hold the contact details of stakeholders and send an email with the link to the survey. </w:t>
      </w:r>
    </w:p>
    <w:p w14:paraId="10A026CD" w14:textId="1B6FD89B" w:rsidR="00F52BB7" w:rsidRPr="00F52BB7" w:rsidRDefault="00F52BB7" w:rsidP="005D6406">
      <w:pPr>
        <w:pStyle w:val="Heading4"/>
        <w:rPr>
          <w:lang w:eastAsia="en-GB"/>
        </w:rPr>
      </w:pPr>
      <w:r w:rsidRPr="00F52BB7">
        <w:rPr>
          <w:lang w:eastAsia="en-GB"/>
        </w:rPr>
        <w:t>Data requirements</w:t>
      </w:r>
      <w:r w:rsidR="00E22B4D">
        <w:rPr>
          <w:lang w:eastAsia="en-GB"/>
        </w:rPr>
        <w:t>:</w:t>
      </w:r>
    </w:p>
    <w:p w14:paraId="6AFD4A0E" w14:textId="77777777" w:rsidR="00F52BB7" w:rsidRPr="00F52BB7" w:rsidRDefault="00F52BB7" w:rsidP="005D6406">
      <w:pPr>
        <w:pStyle w:val="Bulletround"/>
        <w:rPr>
          <w:lang w:eastAsia="en-GB"/>
        </w:rPr>
      </w:pPr>
      <w:r w:rsidRPr="00F52BB7">
        <w:rPr>
          <w:lang w:eastAsia="en-GB"/>
        </w:rPr>
        <w:t>As an independent, evidence-based regulator who will be using this information to hold a regulated entity to account, ORR will need to be satisfied the results are accurate. Bidders should explain how they will quality assure their data analysis processes.</w:t>
      </w:r>
    </w:p>
    <w:p w14:paraId="120EF526" w14:textId="353895BA" w:rsidR="00F52BB7" w:rsidRPr="00500CDE" w:rsidRDefault="00F52BB7" w:rsidP="005D6406">
      <w:pPr>
        <w:pStyle w:val="Bulletround"/>
        <w:rPr>
          <w:rFonts w:ascii="Calibri" w:hAnsi="Calibri"/>
        </w:rPr>
      </w:pPr>
      <w:r w:rsidRPr="00F52BB7">
        <w:t xml:space="preserve">The consultant must provide a break-down (count) of the number of respondents (including by business unit and stakeholder group) for each question and its component options as appropriate. This should be in Excel. We would also expect to receive the raw online survey data for the full survey, and analysis and charts used for the full report. This should also be </w:t>
      </w:r>
      <w:proofErr w:type="gramStart"/>
      <w:r w:rsidRPr="00F52BB7">
        <w:t>in  Excel</w:t>
      </w:r>
      <w:proofErr w:type="gramEnd"/>
      <w:r w:rsidRPr="00F52BB7">
        <w:t xml:space="preserve"> format.</w:t>
      </w:r>
    </w:p>
    <w:p w14:paraId="6BF0DB33" w14:textId="438DCFDF" w:rsidR="00500CDE" w:rsidRDefault="008471A0" w:rsidP="00B012E0">
      <w:pPr>
        <w:pStyle w:val="Heading4"/>
      </w:pPr>
      <w:r>
        <w:t xml:space="preserve">Survey </w:t>
      </w:r>
      <w:r w:rsidR="00500CDE">
        <w:t>Accessibility and Branding:</w:t>
      </w:r>
    </w:p>
    <w:p w14:paraId="78071780" w14:textId="3E60B3D3" w:rsidR="008471A0" w:rsidRDefault="008471A0" w:rsidP="008471A0">
      <w:pPr>
        <w:pStyle w:val="Bulletround"/>
      </w:pPr>
      <w:r>
        <w:t>The platform used for the online survey must meet ORR accessibility and branding requirements. At a minimum, the platform must be capable of:</w:t>
      </w:r>
    </w:p>
    <w:p w14:paraId="431D7BC4" w14:textId="56D4D7DC" w:rsidR="008471A0" w:rsidRDefault="008471A0" w:rsidP="008471A0">
      <w:pPr>
        <w:pStyle w:val="Bullet-"/>
      </w:pPr>
      <w:r>
        <w:t xml:space="preserve">adding the ORR logo and brand </w:t>
      </w:r>
      <w:proofErr w:type="gramStart"/>
      <w:r>
        <w:t>colours</w:t>
      </w:r>
      <w:r w:rsidR="009346FA">
        <w:t>;</w:t>
      </w:r>
      <w:proofErr w:type="gramEnd"/>
    </w:p>
    <w:p w14:paraId="5D21E831" w14:textId="420F4029" w:rsidR="008471A0" w:rsidRDefault="008471A0" w:rsidP="008471A0">
      <w:pPr>
        <w:pStyle w:val="Bullet-"/>
      </w:pPr>
      <w:r>
        <w:t>using plain English (as clarity of language is 50% of accessibility</w:t>
      </w:r>
      <w:proofErr w:type="gramStart"/>
      <w:r>
        <w:t>)</w:t>
      </w:r>
      <w:r w:rsidR="009346FA">
        <w:t>;</w:t>
      </w:r>
      <w:proofErr w:type="gramEnd"/>
    </w:p>
    <w:p w14:paraId="78D57F68" w14:textId="6571B80E" w:rsidR="008471A0" w:rsidRDefault="008471A0" w:rsidP="008471A0">
      <w:pPr>
        <w:pStyle w:val="Bullet-"/>
      </w:pPr>
      <w:r>
        <w:t>being responsive to different screen formats/devices</w:t>
      </w:r>
      <w:r w:rsidR="009346FA">
        <w:t>; and</w:t>
      </w:r>
    </w:p>
    <w:p w14:paraId="326C7022" w14:textId="0AB8F820" w:rsidR="008471A0" w:rsidRDefault="008471A0" w:rsidP="008471A0">
      <w:pPr>
        <w:pStyle w:val="Bullet-"/>
      </w:pPr>
      <w:r>
        <w:t>complying with Web Content Accessibility Guidelines (</w:t>
      </w:r>
      <w:proofErr w:type="spellStart"/>
      <w:r>
        <w:t>WCAG</w:t>
      </w:r>
      <w:proofErr w:type="spellEnd"/>
      <w:r>
        <w:t>) AA international standard.</w:t>
      </w:r>
    </w:p>
    <w:p w14:paraId="62DF623C" w14:textId="2CD56137" w:rsidR="00F52BB7" w:rsidRPr="00F52BB7" w:rsidRDefault="00F52BB7" w:rsidP="005D6406">
      <w:pPr>
        <w:pStyle w:val="Heading4"/>
      </w:pPr>
      <w:r w:rsidRPr="00F52BB7">
        <w:t>Report</w:t>
      </w:r>
      <w:r w:rsidR="00E22B4D">
        <w:t>:</w:t>
      </w:r>
    </w:p>
    <w:p w14:paraId="01F0598F" w14:textId="1EC485DE" w:rsidR="00F52BB7" w:rsidRDefault="00F52BB7" w:rsidP="005D6406">
      <w:pPr>
        <w:pStyle w:val="Bulletround"/>
        <w:rPr>
          <w:lang w:eastAsia="en-GB"/>
        </w:rPr>
      </w:pPr>
      <w:r w:rsidRPr="00F52BB7">
        <w:rPr>
          <w:lang w:eastAsia="en-GB"/>
        </w:rPr>
        <w:t>A report showing analysis and charts must be provided which ORR may publish on its website.</w:t>
      </w:r>
    </w:p>
    <w:p w14:paraId="7450581B" w14:textId="5153401F" w:rsidR="0037036D" w:rsidRPr="006B79EF" w:rsidRDefault="0037036D" w:rsidP="006B79EF">
      <w:pPr>
        <w:pStyle w:val="Bulletround"/>
        <w:rPr>
          <w:lang w:eastAsia="en-GB"/>
        </w:rPr>
      </w:pPr>
      <w:r w:rsidRPr="0037036D">
        <w:rPr>
          <w:lang w:eastAsia="en-GB"/>
        </w:rPr>
        <w:t xml:space="preserve">As a public body we are legally required to comply with accessibility guidelines. Please ensure any commissioned report is in a format that meets web accessibility regulations: </w:t>
      </w:r>
      <w:hyperlink r:id="rId19" w:history="1">
        <w:r>
          <w:rPr>
            <w:rStyle w:val="Hyperlink"/>
          </w:rPr>
          <w:t>Guidelines for writing accessible reports for ORR - Guidance for external suppliers | Office of Rail and Road</w:t>
        </w:r>
      </w:hyperlink>
    </w:p>
    <w:p w14:paraId="69A75C90" w14:textId="4E7D31A8" w:rsidR="003F3CB0" w:rsidRDefault="003F3CB0" w:rsidP="003F3CB0">
      <w:pPr>
        <w:pStyle w:val="Heading3"/>
      </w:pPr>
      <w:r w:rsidRPr="003F3CB0">
        <w:lastRenderedPageBreak/>
        <w:t>2.3 Project Outputs, Deliverables and Contract Management</w:t>
      </w:r>
    </w:p>
    <w:p w14:paraId="480D8983" w14:textId="2E122AC0" w:rsidR="00DB02EF" w:rsidRDefault="00DB02EF" w:rsidP="00DB02EF">
      <w:pPr>
        <w:pStyle w:val="Heading4"/>
      </w:pPr>
      <w:r>
        <w:t>Outputs and Deliverables</w:t>
      </w:r>
    </w:p>
    <w:p w14:paraId="59170AC6" w14:textId="77777777" w:rsidR="0037036D" w:rsidRPr="0037036D" w:rsidRDefault="0037036D" w:rsidP="0037036D">
      <w:pPr>
        <w:spacing w:after="0" w:line="240" w:lineRule="auto"/>
        <w:rPr>
          <w:rFonts w:eastAsia="Times New Roman" w:cs="Arial"/>
          <w:b/>
          <w:sz w:val="22"/>
        </w:rPr>
      </w:pPr>
      <w:bookmarkStart w:id="5" w:name="_Hlk121920416"/>
    </w:p>
    <w:p w14:paraId="64053421" w14:textId="77777777" w:rsidR="0037036D" w:rsidRPr="0037036D" w:rsidRDefault="0037036D" w:rsidP="0037036D">
      <w:pPr>
        <w:spacing w:after="0" w:line="240" w:lineRule="auto"/>
        <w:rPr>
          <w:rFonts w:asciiTheme="minorBidi" w:eastAsia="Times New Roman" w:hAnsiTheme="minorBidi"/>
          <w:bCs/>
          <w:szCs w:val="24"/>
        </w:rPr>
      </w:pPr>
      <w:r w:rsidRPr="0037036D">
        <w:rPr>
          <w:rFonts w:asciiTheme="minorBidi" w:eastAsia="Times New Roman" w:hAnsiTheme="minorBidi"/>
          <w:bCs/>
          <w:szCs w:val="24"/>
        </w:rPr>
        <w:t>Key activities the successful bidder will be required to do include:</w:t>
      </w:r>
    </w:p>
    <w:p w14:paraId="36ADCCE6" w14:textId="77777777" w:rsidR="0037036D" w:rsidRPr="0037036D" w:rsidRDefault="0037036D" w:rsidP="0037036D">
      <w:pPr>
        <w:spacing w:after="0" w:line="240" w:lineRule="auto"/>
        <w:rPr>
          <w:rFonts w:asciiTheme="minorBidi" w:eastAsia="Times New Roman" w:hAnsiTheme="minorBidi"/>
          <w:b/>
          <w:szCs w:val="24"/>
        </w:rPr>
      </w:pPr>
    </w:p>
    <w:p w14:paraId="449A7782" w14:textId="77777777" w:rsidR="0037036D" w:rsidRPr="0037036D" w:rsidRDefault="0037036D" w:rsidP="00073630">
      <w:pPr>
        <w:pStyle w:val="Bulletround"/>
        <w:rPr>
          <w:lang w:eastAsia="en-GB"/>
        </w:rPr>
      </w:pPr>
      <w:r w:rsidRPr="0037036D">
        <w:rPr>
          <w:b/>
          <w:bCs/>
          <w:lang w:eastAsia="en-GB"/>
        </w:rPr>
        <w:t>Produce a detailed plan</w:t>
      </w:r>
      <w:r w:rsidRPr="0037036D">
        <w:rPr>
          <w:lang w:eastAsia="en-GB"/>
        </w:rPr>
        <w:t xml:space="preserve"> for the design and implementation of the stakeholder survey. The plan should be produced in liaison with ORR and approved by ORR. </w:t>
      </w:r>
    </w:p>
    <w:p w14:paraId="74E79BE7" w14:textId="77777777" w:rsidR="0037036D" w:rsidRPr="0037036D" w:rsidRDefault="0037036D" w:rsidP="00073630">
      <w:pPr>
        <w:pStyle w:val="Bulletround"/>
        <w:rPr>
          <w:lang w:eastAsia="en-GB"/>
        </w:rPr>
      </w:pPr>
      <w:r w:rsidRPr="0037036D">
        <w:rPr>
          <w:b/>
          <w:bCs/>
          <w:lang w:eastAsia="en-GB"/>
        </w:rPr>
        <w:t>Design an online survey</w:t>
      </w:r>
      <w:r w:rsidRPr="0037036D">
        <w:rPr>
          <w:lang w:eastAsia="en-GB"/>
        </w:rPr>
        <w:t xml:space="preserve"> (</w:t>
      </w:r>
      <w:proofErr w:type="gramStart"/>
      <w:r w:rsidRPr="0037036D">
        <w:rPr>
          <w:lang w:eastAsia="en-GB"/>
        </w:rPr>
        <w:t>i.e.</w:t>
      </w:r>
      <w:proofErr w:type="gramEnd"/>
      <w:r w:rsidRPr="0037036D">
        <w:rPr>
          <w:lang w:eastAsia="en-GB"/>
        </w:rPr>
        <w:t xml:space="preserve"> methodology, sample, and questions), with a view to maximise response rate. We are looking to use similar questions to our year 3 survey (which totalled 26 questions) with a view to include additional questions where appropriate.</w:t>
      </w:r>
    </w:p>
    <w:p w14:paraId="7454D969" w14:textId="457E9820" w:rsidR="0037036D" w:rsidRPr="0037036D" w:rsidRDefault="0037036D" w:rsidP="00073630">
      <w:pPr>
        <w:pStyle w:val="Bulletround"/>
        <w:rPr>
          <w:lang w:eastAsia="en-GB"/>
        </w:rPr>
      </w:pPr>
      <w:r w:rsidRPr="0037036D">
        <w:rPr>
          <w:b/>
          <w:bCs/>
          <w:lang w:eastAsia="en-GB"/>
        </w:rPr>
        <w:t>Conduct an online survey</w:t>
      </w:r>
      <w:r w:rsidRPr="0037036D">
        <w:rPr>
          <w:lang w:eastAsia="en-GB"/>
        </w:rPr>
        <w:t xml:space="preserve"> – the survey must be delivered as agreed with ORR and comply with </w:t>
      </w:r>
      <w:proofErr w:type="spellStart"/>
      <w:r w:rsidRPr="0037036D">
        <w:rPr>
          <w:lang w:eastAsia="en-GB"/>
        </w:rPr>
        <w:t>ORR’s</w:t>
      </w:r>
      <w:proofErr w:type="spellEnd"/>
      <w:r w:rsidRPr="0037036D">
        <w:rPr>
          <w:lang w:eastAsia="en-GB"/>
        </w:rPr>
        <w:t xml:space="preserve"> accessibility requirements</w:t>
      </w:r>
      <w:r w:rsidR="00844E58">
        <w:rPr>
          <w:lang w:eastAsia="en-GB"/>
        </w:rPr>
        <w:t>.</w:t>
      </w:r>
    </w:p>
    <w:p w14:paraId="762591F1" w14:textId="6C330C48" w:rsidR="0037036D" w:rsidRDefault="0037036D" w:rsidP="00073630">
      <w:pPr>
        <w:pStyle w:val="Bulletround"/>
        <w:rPr>
          <w:lang w:eastAsia="en-GB"/>
        </w:rPr>
      </w:pPr>
      <w:r w:rsidRPr="0037036D">
        <w:rPr>
          <w:b/>
          <w:bCs/>
          <w:lang w:eastAsia="en-GB"/>
        </w:rPr>
        <w:t>Analyse and report</w:t>
      </w:r>
      <w:r w:rsidRPr="0037036D">
        <w:rPr>
          <w:lang w:eastAsia="en-GB"/>
        </w:rPr>
        <w:t xml:space="preserve"> on online survey findings – a report must be provided which ORR will publish on its website.</w:t>
      </w:r>
    </w:p>
    <w:p w14:paraId="7D6B1964" w14:textId="77777777" w:rsidR="00B24EA2" w:rsidRPr="0037036D" w:rsidRDefault="00B24EA2" w:rsidP="00B24EA2">
      <w:pPr>
        <w:shd w:val="clear" w:color="auto" w:fill="FFFFFF"/>
        <w:spacing w:line="240" w:lineRule="auto"/>
        <w:ind w:left="720"/>
        <w:contextualSpacing/>
        <w:rPr>
          <w:rFonts w:asciiTheme="minorBidi" w:eastAsia="Times New Roman" w:hAnsiTheme="minorBidi"/>
          <w:color w:val="000000"/>
          <w:szCs w:val="24"/>
          <w:lang w:eastAsia="en-GB"/>
        </w:rPr>
      </w:pPr>
    </w:p>
    <w:bookmarkEnd w:id="5"/>
    <w:p w14:paraId="1A5CD40C" w14:textId="77777777" w:rsidR="0037036D" w:rsidRPr="0037036D" w:rsidRDefault="0037036D" w:rsidP="0037036D">
      <w:pPr>
        <w:shd w:val="clear" w:color="auto" w:fill="FFFFFF"/>
        <w:spacing w:line="240" w:lineRule="auto"/>
        <w:rPr>
          <w:rFonts w:asciiTheme="minorBidi" w:eastAsia="Times New Roman" w:hAnsiTheme="minorBidi"/>
          <w:color w:val="000000"/>
          <w:szCs w:val="24"/>
          <w:lang w:eastAsia="en-GB"/>
        </w:rPr>
      </w:pPr>
      <w:r w:rsidRPr="0037036D">
        <w:rPr>
          <w:rFonts w:asciiTheme="minorBidi" w:eastAsia="Times New Roman" w:hAnsiTheme="minorBidi"/>
          <w:color w:val="000000"/>
          <w:szCs w:val="24"/>
          <w:lang w:eastAsia="en-GB"/>
        </w:rPr>
        <w:t>From the evidence gathered from stakeholders, the successful bidder will produce:</w:t>
      </w:r>
    </w:p>
    <w:p w14:paraId="763F8FD2" w14:textId="0B5B3356" w:rsidR="0037036D" w:rsidRPr="0037036D" w:rsidRDefault="00844E58" w:rsidP="00073630">
      <w:pPr>
        <w:pStyle w:val="Bulletround"/>
        <w:rPr>
          <w:lang w:eastAsia="en-GB"/>
        </w:rPr>
      </w:pPr>
      <w:r>
        <w:rPr>
          <w:lang w:eastAsia="en-GB"/>
        </w:rPr>
        <w:t>a</w:t>
      </w:r>
      <w:r w:rsidR="0037036D" w:rsidRPr="0037036D">
        <w:rPr>
          <w:lang w:eastAsia="en-GB"/>
        </w:rPr>
        <w:t xml:space="preserve">n initial summary of key results and emerging findings – this will contribute to shaping our early analysis and </w:t>
      </w:r>
      <w:proofErr w:type="gramStart"/>
      <w:r w:rsidR="0037036D" w:rsidRPr="0037036D">
        <w:rPr>
          <w:lang w:eastAsia="en-GB"/>
        </w:rPr>
        <w:t>conclusions;</w:t>
      </w:r>
      <w:proofErr w:type="gramEnd"/>
    </w:p>
    <w:p w14:paraId="7F7D65B8" w14:textId="44CD29C8" w:rsidR="0037036D" w:rsidRPr="0037036D" w:rsidRDefault="00844E58" w:rsidP="00073630">
      <w:pPr>
        <w:pStyle w:val="Bulletround"/>
        <w:rPr>
          <w:lang w:eastAsia="en-GB"/>
        </w:rPr>
      </w:pPr>
      <w:r>
        <w:rPr>
          <w:lang w:eastAsia="en-GB"/>
        </w:rPr>
        <w:t>a d</w:t>
      </w:r>
      <w:r w:rsidR="0037036D" w:rsidRPr="0037036D">
        <w:rPr>
          <w:lang w:eastAsia="en-GB"/>
        </w:rPr>
        <w:t xml:space="preserve">raft report for ORR </w:t>
      </w:r>
      <w:proofErr w:type="gramStart"/>
      <w:r w:rsidR="0037036D" w:rsidRPr="0037036D">
        <w:rPr>
          <w:lang w:eastAsia="en-GB"/>
        </w:rPr>
        <w:t>comments;</w:t>
      </w:r>
      <w:proofErr w:type="gramEnd"/>
    </w:p>
    <w:p w14:paraId="08B43C8F" w14:textId="686252BD" w:rsidR="0037036D" w:rsidRPr="0037036D" w:rsidRDefault="00844E58" w:rsidP="00073630">
      <w:pPr>
        <w:pStyle w:val="Bulletround"/>
        <w:rPr>
          <w:lang w:eastAsia="en-GB"/>
        </w:rPr>
      </w:pPr>
      <w:r>
        <w:rPr>
          <w:lang w:eastAsia="en-GB"/>
        </w:rPr>
        <w:t>a</w:t>
      </w:r>
      <w:r w:rsidR="0037036D" w:rsidRPr="0037036D">
        <w:rPr>
          <w:lang w:eastAsia="en-GB"/>
        </w:rPr>
        <w:t xml:space="preserve"> final version of the report that addresses </w:t>
      </w:r>
      <w:proofErr w:type="spellStart"/>
      <w:r w:rsidR="0037036D" w:rsidRPr="0037036D">
        <w:rPr>
          <w:lang w:eastAsia="en-GB"/>
        </w:rPr>
        <w:t>ORR’s</w:t>
      </w:r>
      <w:proofErr w:type="spellEnd"/>
      <w:r w:rsidR="0037036D" w:rsidRPr="0037036D">
        <w:rPr>
          <w:lang w:eastAsia="en-GB"/>
        </w:rPr>
        <w:t xml:space="preserve"> feedback and comments. The report should include a breakdown of responses by stakeholder group including analysis detailing comparisons between each business units’ stakeholders</w:t>
      </w:r>
      <w:r>
        <w:rPr>
          <w:lang w:eastAsia="en-GB"/>
        </w:rPr>
        <w:t>; and</w:t>
      </w:r>
    </w:p>
    <w:p w14:paraId="0583DF0B" w14:textId="1F0D00D7" w:rsidR="0037036D" w:rsidRPr="0037036D" w:rsidRDefault="00844E58" w:rsidP="00073630">
      <w:pPr>
        <w:pStyle w:val="Bulletround"/>
      </w:pPr>
      <w:bookmarkStart w:id="6" w:name="_Hlk120259294"/>
      <w:r>
        <w:t>a</w:t>
      </w:r>
      <w:r w:rsidR="0037036D" w:rsidRPr="0037036D">
        <w:t>n Excel file or files of</w:t>
      </w:r>
      <w:r>
        <w:t xml:space="preserve"> disaggregated</w:t>
      </w:r>
      <w:r w:rsidR="0037036D" w:rsidRPr="0037036D">
        <w:t xml:space="preserve"> survey data (as specified in the previous section).</w:t>
      </w:r>
    </w:p>
    <w:bookmarkEnd w:id="6"/>
    <w:p w14:paraId="2F10591A" w14:textId="77777777" w:rsidR="0037036D" w:rsidRPr="0037036D" w:rsidRDefault="0037036D" w:rsidP="0037036D">
      <w:pPr>
        <w:autoSpaceDE w:val="0"/>
        <w:autoSpaceDN w:val="0"/>
        <w:adjustRightInd w:val="0"/>
        <w:spacing w:after="0" w:line="259" w:lineRule="auto"/>
        <w:ind w:left="1440"/>
        <w:contextualSpacing/>
        <w:rPr>
          <w:rFonts w:asciiTheme="minorBidi" w:eastAsia="Calibri" w:hAnsiTheme="minorBidi"/>
          <w:szCs w:val="24"/>
          <w:lang w:val="en-US" w:eastAsia="en-GB"/>
        </w:rPr>
      </w:pPr>
    </w:p>
    <w:p w14:paraId="21370573" w14:textId="39C1AB06" w:rsidR="0037036D" w:rsidRPr="0037036D" w:rsidRDefault="0037036D" w:rsidP="0037036D">
      <w:pPr>
        <w:spacing w:after="0" w:line="240" w:lineRule="auto"/>
        <w:rPr>
          <w:rFonts w:asciiTheme="minorBidi" w:eastAsia="Times New Roman" w:hAnsiTheme="minorBidi"/>
          <w:szCs w:val="24"/>
        </w:rPr>
      </w:pPr>
      <w:r w:rsidRPr="0037036D">
        <w:rPr>
          <w:rFonts w:asciiTheme="minorBidi" w:eastAsia="Yu Mincho" w:hAnsiTheme="minorBidi"/>
          <w:szCs w:val="24"/>
          <w:lang w:val="en-US" w:eastAsia="en-GB"/>
        </w:rPr>
        <w:t xml:space="preserve">We </w:t>
      </w:r>
      <w:r w:rsidR="00844E58">
        <w:rPr>
          <w:rFonts w:asciiTheme="minorBidi" w:eastAsia="Yu Mincho" w:hAnsiTheme="minorBidi"/>
          <w:szCs w:val="24"/>
          <w:lang w:val="en-US" w:eastAsia="en-GB"/>
        </w:rPr>
        <w:t>may</w:t>
      </w:r>
      <w:r w:rsidRPr="0037036D">
        <w:rPr>
          <w:rFonts w:asciiTheme="minorBidi" w:eastAsia="Yu Mincho" w:hAnsiTheme="minorBidi"/>
          <w:szCs w:val="24"/>
          <w:lang w:val="en-US" w:eastAsia="en-GB"/>
        </w:rPr>
        <w:t xml:space="preserve"> publish the consultant report, and well as refer to results of the survey and analysis in our assessment report. Therefore, </w:t>
      </w:r>
      <w:r w:rsidR="00844E58">
        <w:rPr>
          <w:rFonts w:asciiTheme="minorBidi" w:eastAsia="Yu Mincho" w:hAnsiTheme="minorBidi"/>
          <w:szCs w:val="24"/>
          <w:lang w:val="en-US" w:eastAsia="en-GB"/>
        </w:rPr>
        <w:t xml:space="preserve">ORR </w:t>
      </w:r>
      <w:r w:rsidRPr="0037036D">
        <w:rPr>
          <w:rFonts w:asciiTheme="minorBidi" w:eastAsia="Times New Roman" w:hAnsiTheme="minorBidi"/>
          <w:szCs w:val="24"/>
        </w:rPr>
        <w:t>will own the intellectual property rights in any documentation/outputs produced under the contract.</w:t>
      </w:r>
    </w:p>
    <w:p w14:paraId="2E0A6D51" w14:textId="77777777" w:rsidR="0037036D" w:rsidRPr="0037036D" w:rsidRDefault="0037036D" w:rsidP="0037036D">
      <w:pPr>
        <w:autoSpaceDE w:val="0"/>
        <w:autoSpaceDN w:val="0"/>
        <w:adjustRightInd w:val="0"/>
        <w:spacing w:after="0" w:line="240" w:lineRule="auto"/>
        <w:rPr>
          <w:rFonts w:asciiTheme="minorBidi" w:eastAsia="Times New Roman" w:hAnsiTheme="minorBidi"/>
          <w:color w:val="000000"/>
          <w:szCs w:val="24"/>
          <w:lang w:eastAsia="en-GB"/>
        </w:rPr>
      </w:pPr>
    </w:p>
    <w:p w14:paraId="30DFB785" w14:textId="51107F7B" w:rsidR="00DB02EF" w:rsidRDefault="00DB02EF" w:rsidP="00DB02EF">
      <w:pPr>
        <w:pStyle w:val="Heading4"/>
      </w:pPr>
      <w:r>
        <w:lastRenderedPageBreak/>
        <w:t>Contract Management Requirements</w:t>
      </w:r>
    </w:p>
    <w:p w14:paraId="00F7841A" w14:textId="78E177A6" w:rsidR="00E22B4D" w:rsidRPr="00E22B4D" w:rsidRDefault="00E22B4D" w:rsidP="00E22B4D">
      <w:pPr>
        <w:pStyle w:val="Numberedparagraphdouble"/>
        <w:numPr>
          <w:ilvl w:val="0"/>
          <w:numId w:val="0"/>
        </w:numPr>
        <w:ind w:left="851" w:hanging="851"/>
      </w:pPr>
      <w:r>
        <w:t>The contract management requirements for this project are:</w:t>
      </w:r>
    </w:p>
    <w:p w14:paraId="71910E7F" w14:textId="77777777"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 xml:space="preserve">an initial kick off </w:t>
      </w:r>
      <w:proofErr w:type="gramStart"/>
      <w:r w:rsidRPr="00E22B4D">
        <w:rPr>
          <w:rFonts w:asciiTheme="minorBidi" w:hAnsiTheme="minorBidi"/>
          <w:szCs w:val="24"/>
          <w:lang w:val="en-US" w:eastAsia="en-GB"/>
        </w:rPr>
        <w:t>meeting;</w:t>
      </w:r>
      <w:proofErr w:type="gramEnd"/>
    </w:p>
    <w:p w14:paraId="64E61CD7" w14:textId="77777777"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 xml:space="preserve">a meeting to agree final design and implementation of the </w:t>
      </w:r>
      <w:proofErr w:type="gramStart"/>
      <w:r w:rsidRPr="00E22B4D">
        <w:rPr>
          <w:rFonts w:asciiTheme="minorBidi" w:hAnsiTheme="minorBidi"/>
          <w:szCs w:val="24"/>
          <w:lang w:val="en-US" w:eastAsia="en-GB"/>
        </w:rPr>
        <w:t>survey;</w:t>
      </w:r>
      <w:proofErr w:type="gramEnd"/>
    </w:p>
    <w:p w14:paraId="6AED43F0" w14:textId="77777777"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 xml:space="preserve">weekly updates by e-mail on the response rate when the survey is live and what steps are being taken if the response rate is too </w:t>
      </w:r>
      <w:proofErr w:type="gramStart"/>
      <w:r w:rsidRPr="00E22B4D">
        <w:rPr>
          <w:rFonts w:asciiTheme="minorBidi" w:hAnsiTheme="minorBidi"/>
          <w:szCs w:val="24"/>
          <w:lang w:val="en-US" w:eastAsia="en-GB"/>
        </w:rPr>
        <w:t>low;</w:t>
      </w:r>
      <w:proofErr w:type="gramEnd"/>
    </w:p>
    <w:p w14:paraId="2B54343E" w14:textId="77777777"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 xml:space="preserve">if necessary, a meeting to discuss how to boost response </w:t>
      </w:r>
      <w:proofErr w:type="gramStart"/>
      <w:r w:rsidRPr="00E22B4D">
        <w:rPr>
          <w:rFonts w:asciiTheme="minorBidi" w:hAnsiTheme="minorBidi"/>
          <w:szCs w:val="24"/>
          <w:lang w:val="en-US" w:eastAsia="en-GB"/>
        </w:rPr>
        <w:t>rate;</w:t>
      </w:r>
      <w:proofErr w:type="gramEnd"/>
    </w:p>
    <w:p w14:paraId="5864F149" w14:textId="77777777"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 xml:space="preserve">a meeting to discuss emerging findings; and </w:t>
      </w:r>
    </w:p>
    <w:p w14:paraId="36006092" w14:textId="605AC273" w:rsidR="00B24EA2" w:rsidRPr="00E22B4D" w:rsidRDefault="00B24EA2" w:rsidP="00073630">
      <w:pPr>
        <w:pStyle w:val="Bulletround"/>
        <w:rPr>
          <w:rFonts w:asciiTheme="minorBidi" w:hAnsiTheme="minorBidi"/>
          <w:szCs w:val="24"/>
          <w:lang w:val="en-US" w:eastAsia="en-GB"/>
        </w:rPr>
      </w:pPr>
      <w:r w:rsidRPr="00E22B4D">
        <w:rPr>
          <w:rFonts w:asciiTheme="minorBidi" w:hAnsiTheme="minorBidi"/>
          <w:szCs w:val="24"/>
          <w:lang w:val="en-US" w:eastAsia="en-GB"/>
        </w:rPr>
        <w:t>a meeting to discuss ORR feedback on the draft report.</w:t>
      </w:r>
    </w:p>
    <w:p w14:paraId="31993FC0" w14:textId="019B545F" w:rsidR="00B24EA2" w:rsidRPr="00E22B4D" w:rsidRDefault="00B24EA2" w:rsidP="00073630">
      <w:pPr>
        <w:shd w:val="clear" w:color="auto" w:fill="FFFFFF"/>
        <w:spacing w:line="240" w:lineRule="auto"/>
        <w:rPr>
          <w:rFonts w:asciiTheme="minorBidi" w:eastAsia="Times New Roman" w:hAnsiTheme="minorBidi"/>
          <w:color w:val="000000"/>
          <w:szCs w:val="24"/>
          <w:lang w:eastAsia="en-GB"/>
        </w:rPr>
      </w:pPr>
      <w:r w:rsidRPr="00B24EA2">
        <w:rPr>
          <w:rFonts w:asciiTheme="minorBidi" w:eastAsia="Times New Roman" w:hAnsiTheme="minorBidi"/>
          <w:color w:val="000000"/>
          <w:szCs w:val="24"/>
          <w:lang w:eastAsia="en-GB"/>
        </w:rPr>
        <w:t xml:space="preserve">We will work flexibly with the consultant to discuss progress or any emerging issues, as necessary. We expect to work closely with the appointed consultant on designing the sample and questionnaire, before the survey </w:t>
      </w:r>
      <w:r w:rsidRPr="00B24EA2">
        <w:rPr>
          <w:rFonts w:asciiTheme="minorBidi" w:eastAsia="Times New Roman" w:hAnsiTheme="minorBidi"/>
          <w:szCs w:val="24"/>
          <w:lang w:eastAsia="en-GB"/>
        </w:rPr>
        <w:t xml:space="preserve">is launched, </w:t>
      </w:r>
      <w:r w:rsidRPr="00B24EA2">
        <w:rPr>
          <w:rFonts w:asciiTheme="minorBidi" w:eastAsia="Times New Roman" w:hAnsiTheme="minorBidi"/>
          <w:color w:val="000000"/>
          <w:szCs w:val="24"/>
          <w:lang w:eastAsia="en-GB"/>
        </w:rPr>
        <w:t xml:space="preserve">and on increasing the response rate. </w:t>
      </w:r>
    </w:p>
    <w:p w14:paraId="75F8969E" w14:textId="4665BCEF" w:rsidR="00D6160E" w:rsidRDefault="00AF7AF9" w:rsidP="00AF7AF9">
      <w:pPr>
        <w:pStyle w:val="Heading3"/>
      </w:pPr>
      <w:r>
        <w:t>2.4 Project Timescales</w:t>
      </w:r>
    </w:p>
    <w:p w14:paraId="5C4677B6" w14:textId="77777777" w:rsidR="00B24EA2" w:rsidRPr="00073630" w:rsidRDefault="00B24EA2" w:rsidP="00073630">
      <w:pPr>
        <w:shd w:val="clear" w:color="auto" w:fill="FFFFFF" w:themeFill="background1"/>
        <w:rPr>
          <w:rFonts w:cs="Arial"/>
          <w:color w:val="000000" w:themeColor="text1"/>
          <w:szCs w:val="24"/>
          <w:lang w:eastAsia="en-GB"/>
        </w:rPr>
      </w:pPr>
      <w:r w:rsidRPr="00073630">
        <w:rPr>
          <w:rFonts w:cs="Arial"/>
          <w:color w:val="000000" w:themeColor="text1"/>
          <w:szCs w:val="24"/>
          <w:lang w:eastAsia="en-GB"/>
        </w:rPr>
        <w:t>The key milestones for this project are:</w:t>
      </w:r>
    </w:p>
    <w:p w14:paraId="166B6560" w14:textId="77777777" w:rsidR="00B24EA2" w:rsidRPr="00073630" w:rsidRDefault="00B24EA2" w:rsidP="00073630">
      <w:pPr>
        <w:pStyle w:val="Bulletround"/>
        <w:rPr>
          <w:szCs w:val="24"/>
          <w:lang w:eastAsia="en-GB"/>
        </w:rPr>
      </w:pPr>
      <w:r w:rsidRPr="00073630">
        <w:rPr>
          <w:szCs w:val="24"/>
          <w:lang w:eastAsia="en-GB"/>
        </w:rPr>
        <w:t>The survey closes prior to any pre-election period for local elections at the start of May 2023</w:t>
      </w:r>
    </w:p>
    <w:p w14:paraId="311CC8B3" w14:textId="77777777" w:rsidR="00B24EA2" w:rsidRPr="00073630" w:rsidRDefault="00B24EA2" w:rsidP="00073630">
      <w:pPr>
        <w:pStyle w:val="Bulletround"/>
        <w:rPr>
          <w:szCs w:val="24"/>
          <w:lang w:eastAsia="en-GB"/>
        </w:rPr>
      </w:pPr>
      <w:r w:rsidRPr="00073630">
        <w:rPr>
          <w:szCs w:val="24"/>
          <w:lang w:eastAsia="en-GB"/>
        </w:rPr>
        <w:t>The survey must run for approximately six weeks (but may be extended)</w:t>
      </w:r>
    </w:p>
    <w:p w14:paraId="384C570A" w14:textId="77777777" w:rsidR="00B24EA2" w:rsidRPr="00073630" w:rsidRDefault="00B24EA2" w:rsidP="00073630">
      <w:pPr>
        <w:pStyle w:val="Bulletround"/>
        <w:rPr>
          <w:szCs w:val="24"/>
          <w:lang w:eastAsia="en-GB"/>
        </w:rPr>
      </w:pPr>
      <w:r w:rsidRPr="00073630">
        <w:rPr>
          <w:szCs w:val="24"/>
          <w:lang w:eastAsia="en-GB"/>
        </w:rPr>
        <w:t>The final report is submitted to ORR before the end of May 2023</w:t>
      </w:r>
    </w:p>
    <w:p w14:paraId="4C9769D1" w14:textId="5D4BAF49" w:rsidR="00B24EA2" w:rsidRPr="00073630" w:rsidRDefault="00B24EA2" w:rsidP="00073630">
      <w:pPr>
        <w:shd w:val="clear" w:color="auto" w:fill="FFFFFF" w:themeFill="background1"/>
        <w:autoSpaceDE w:val="0"/>
        <w:autoSpaceDN w:val="0"/>
        <w:adjustRightInd w:val="0"/>
        <w:rPr>
          <w:rFonts w:cs="Arial"/>
          <w:color w:val="000000"/>
          <w:szCs w:val="24"/>
          <w:lang w:eastAsia="en-GB"/>
        </w:rPr>
      </w:pPr>
      <w:r w:rsidRPr="00073630">
        <w:rPr>
          <w:rFonts w:cs="Arial"/>
          <w:color w:val="000000" w:themeColor="text1"/>
          <w:szCs w:val="24"/>
          <w:lang w:eastAsia="en-GB"/>
        </w:rPr>
        <w:t>We expect bidders to set out their proposed timescales for the work, but we have set out an indicative timeline below. Bidders should highlight any expected deviations from this.</w:t>
      </w:r>
    </w:p>
    <w:p w14:paraId="67C34FA4" w14:textId="367379B7" w:rsidR="00B24EA2" w:rsidRPr="00073630" w:rsidRDefault="00B24EA2" w:rsidP="00844E58">
      <w:pPr>
        <w:pStyle w:val="Bulletround"/>
        <w:rPr>
          <w:szCs w:val="24"/>
          <w:lang w:eastAsia="en-GB"/>
        </w:rPr>
      </w:pPr>
      <w:r w:rsidRPr="00073630">
        <w:rPr>
          <w:color w:val="000000" w:themeColor="text1"/>
          <w:szCs w:val="24"/>
          <w:lang w:eastAsia="en-GB"/>
        </w:rPr>
        <w:t xml:space="preserve">Kick-off meeting and </w:t>
      </w:r>
      <w:r w:rsidRPr="00073630">
        <w:rPr>
          <w:szCs w:val="24"/>
          <w:lang w:eastAsia="en-GB"/>
        </w:rPr>
        <w:t>commencement w/c 2</w:t>
      </w:r>
      <w:r w:rsidR="00B27DA4">
        <w:rPr>
          <w:szCs w:val="24"/>
          <w:lang w:eastAsia="en-GB"/>
        </w:rPr>
        <w:t xml:space="preserve">7 </w:t>
      </w:r>
      <w:r w:rsidRPr="00073630">
        <w:rPr>
          <w:szCs w:val="24"/>
          <w:lang w:eastAsia="en-GB"/>
        </w:rPr>
        <w:t>February 2023</w:t>
      </w:r>
    </w:p>
    <w:p w14:paraId="4AD322D1" w14:textId="77777777" w:rsidR="00B24EA2" w:rsidRPr="00073630" w:rsidRDefault="00B24EA2" w:rsidP="00073630">
      <w:pPr>
        <w:pStyle w:val="Bulletround"/>
        <w:rPr>
          <w:szCs w:val="24"/>
          <w:lang w:eastAsia="en-GB"/>
        </w:rPr>
      </w:pPr>
      <w:r w:rsidRPr="00073630">
        <w:rPr>
          <w:szCs w:val="24"/>
          <w:lang w:eastAsia="en-GB"/>
        </w:rPr>
        <w:t>Results for a specific subset (to be specified at kick-off meeting) of questions to be provided by w/c 15 May 2023.</w:t>
      </w:r>
    </w:p>
    <w:p w14:paraId="20EB7668" w14:textId="29D850EA" w:rsidR="00B24EA2" w:rsidRPr="00073630" w:rsidRDefault="00B24EA2" w:rsidP="00073630">
      <w:pPr>
        <w:pStyle w:val="Bulletround"/>
        <w:rPr>
          <w:szCs w:val="24"/>
          <w:lang w:eastAsia="en-GB"/>
        </w:rPr>
      </w:pPr>
      <w:r w:rsidRPr="00073630">
        <w:rPr>
          <w:szCs w:val="24"/>
          <w:lang w:eastAsia="en-GB"/>
        </w:rPr>
        <w:t xml:space="preserve">Discussion of all emerging findings and provision of draft in time for a final report to be provided by </w:t>
      </w:r>
      <w:r w:rsidR="005D4C5E">
        <w:rPr>
          <w:szCs w:val="24"/>
          <w:lang w:eastAsia="en-GB"/>
        </w:rPr>
        <w:t>w/c</w:t>
      </w:r>
      <w:r w:rsidRPr="00073630">
        <w:rPr>
          <w:szCs w:val="24"/>
          <w:lang w:eastAsia="en-GB"/>
        </w:rPr>
        <w:t xml:space="preserve"> 22 May 2023.</w:t>
      </w:r>
    </w:p>
    <w:p w14:paraId="480E00EE" w14:textId="15131D9F" w:rsidR="00B24EA2" w:rsidRPr="00073630" w:rsidRDefault="00B24EA2" w:rsidP="00B24EA2">
      <w:pPr>
        <w:shd w:val="clear" w:color="auto" w:fill="FFFFFF" w:themeFill="background1"/>
        <w:autoSpaceDE w:val="0"/>
        <w:autoSpaceDN w:val="0"/>
        <w:adjustRightInd w:val="0"/>
        <w:spacing w:after="0"/>
        <w:rPr>
          <w:rFonts w:cs="Arial"/>
          <w:color w:val="000000"/>
          <w:szCs w:val="24"/>
          <w:lang w:eastAsia="en-GB"/>
        </w:rPr>
      </w:pPr>
      <w:r w:rsidRPr="00073630">
        <w:rPr>
          <w:rFonts w:cs="Arial"/>
          <w:color w:val="000000" w:themeColor="text1"/>
          <w:szCs w:val="24"/>
          <w:lang w:eastAsia="en-GB"/>
        </w:rPr>
        <w:t xml:space="preserve">We envisage discussing and agreeing the sample and the questionnaire with the appointed consultant between the kick-off meeting in mid-February, and the beginning of </w:t>
      </w:r>
      <w:r w:rsidRPr="00073630">
        <w:rPr>
          <w:rFonts w:cs="Arial"/>
          <w:color w:val="000000" w:themeColor="text1"/>
          <w:szCs w:val="24"/>
          <w:lang w:eastAsia="en-GB"/>
        </w:rPr>
        <w:lastRenderedPageBreak/>
        <w:t>the survey mid-March. This timescale is important to allow us to close the survey prior to any pre-election period for local elections at the start of May 2023.</w:t>
      </w:r>
    </w:p>
    <w:p w14:paraId="76E3EE61" w14:textId="420F91D1" w:rsidR="00AF7AF9" w:rsidRDefault="00AF7AF9" w:rsidP="00AF7AF9">
      <w:pPr>
        <w:pStyle w:val="Heading3"/>
      </w:pPr>
      <w:r w:rsidRPr="00AF7AF9">
        <w:t>2.5 Budget and Payment Schedule</w:t>
      </w:r>
    </w:p>
    <w:p w14:paraId="5DCA3F9B" w14:textId="27EE9036" w:rsidR="00B24EA2" w:rsidRPr="00B24EA2" w:rsidRDefault="00B24EA2" w:rsidP="00B24EA2">
      <w:pPr>
        <w:shd w:val="clear" w:color="auto" w:fill="FFFFFF"/>
        <w:autoSpaceDE w:val="0"/>
        <w:autoSpaceDN w:val="0"/>
        <w:adjustRightInd w:val="0"/>
        <w:spacing w:after="0" w:line="240" w:lineRule="auto"/>
        <w:contextualSpacing/>
        <w:rPr>
          <w:rFonts w:eastAsia="Times New Roman" w:cs="Arial"/>
          <w:szCs w:val="24"/>
        </w:rPr>
      </w:pPr>
      <w:r w:rsidRPr="00B24EA2">
        <w:rPr>
          <w:rFonts w:eastAsia="Times New Roman" w:cs="Arial"/>
          <w:szCs w:val="24"/>
        </w:rPr>
        <w:t>The maximum budget is £33</w:t>
      </w:r>
      <w:r w:rsidR="00993B2E">
        <w:rPr>
          <w:rFonts w:eastAsia="Times New Roman" w:cs="Arial"/>
          <w:szCs w:val="24"/>
        </w:rPr>
        <w:t>,000</w:t>
      </w:r>
      <w:r w:rsidRPr="00B24EA2">
        <w:rPr>
          <w:rFonts w:eastAsia="Times New Roman" w:cs="Arial"/>
          <w:szCs w:val="24"/>
        </w:rPr>
        <w:t xml:space="preserve"> </w:t>
      </w:r>
      <w:r w:rsidR="00EC1F0C">
        <w:rPr>
          <w:rFonts w:eastAsia="Times New Roman" w:cs="Arial"/>
          <w:szCs w:val="24"/>
        </w:rPr>
        <w:t>(</w:t>
      </w:r>
      <w:r w:rsidRPr="00B24EA2">
        <w:rPr>
          <w:rFonts w:eastAsia="Times New Roman" w:cs="Arial"/>
          <w:szCs w:val="24"/>
        </w:rPr>
        <w:t>inc. of expenses, exc. of VA</w:t>
      </w:r>
      <w:r w:rsidR="00993B2E">
        <w:rPr>
          <w:rFonts w:eastAsia="Times New Roman" w:cs="Arial"/>
          <w:szCs w:val="24"/>
        </w:rPr>
        <w:t>T</w:t>
      </w:r>
      <w:r w:rsidR="00EC1F0C">
        <w:rPr>
          <w:rFonts w:eastAsia="Times New Roman" w:cs="Arial"/>
          <w:szCs w:val="24"/>
        </w:rPr>
        <w:t>)</w:t>
      </w:r>
      <w:r w:rsidRPr="00B24EA2">
        <w:rPr>
          <w:rFonts w:eastAsia="Times New Roman" w:cs="Arial"/>
          <w:szCs w:val="24"/>
        </w:rPr>
        <w:t>.</w:t>
      </w:r>
    </w:p>
    <w:p w14:paraId="32F71190" w14:textId="77777777" w:rsidR="00B24EA2" w:rsidRPr="00B24EA2" w:rsidRDefault="00B24EA2" w:rsidP="00B24EA2">
      <w:pPr>
        <w:shd w:val="clear" w:color="auto" w:fill="FFFFFF"/>
        <w:autoSpaceDE w:val="0"/>
        <w:autoSpaceDN w:val="0"/>
        <w:adjustRightInd w:val="0"/>
        <w:spacing w:after="0" w:line="240" w:lineRule="auto"/>
        <w:contextualSpacing/>
        <w:rPr>
          <w:rFonts w:eastAsia="Calibri" w:cs="Arial"/>
          <w:color w:val="000000"/>
          <w:szCs w:val="24"/>
          <w:lang w:val="en-US"/>
        </w:rPr>
      </w:pPr>
      <w:r w:rsidRPr="00B24EA2">
        <w:rPr>
          <w:rFonts w:eastAsia="Times New Roman" w:cs="Arial"/>
          <w:szCs w:val="24"/>
        </w:rPr>
        <w:t xml:space="preserve"> </w:t>
      </w:r>
    </w:p>
    <w:p w14:paraId="1C02E03E" w14:textId="7A5B98C1" w:rsidR="00B24EA2" w:rsidRDefault="00B24EA2" w:rsidP="000042A8">
      <w:pPr>
        <w:shd w:val="clear" w:color="auto" w:fill="FFFFFF"/>
        <w:autoSpaceDE w:val="0"/>
        <w:autoSpaceDN w:val="0"/>
        <w:adjustRightInd w:val="0"/>
        <w:spacing w:after="0" w:line="240" w:lineRule="auto"/>
        <w:rPr>
          <w:b/>
          <w:bCs/>
        </w:rPr>
      </w:pPr>
      <w:r w:rsidRPr="00B24EA2">
        <w:rPr>
          <w:rFonts w:eastAsia="Times New Roman" w:cs="Arial"/>
          <w:szCs w:val="24"/>
        </w:rPr>
        <w:t>Payment of the total fee will be on the delivery and acceptance by ORR of all required deliverables.</w:t>
      </w:r>
      <w:r w:rsidRPr="00B24EA2">
        <w:rPr>
          <w:rFonts w:eastAsia="Times New Roman" w:cs="Times New Roman"/>
          <w:b/>
          <w:color w:val="FF0000"/>
          <w:szCs w:val="24"/>
        </w:rPr>
        <w:t xml:space="preserve"> </w:t>
      </w:r>
    </w:p>
    <w:p w14:paraId="3BB5AE4A" w14:textId="4C2DE6EF" w:rsidR="00AF7AF9" w:rsidRDefault="00AF7AF9" w:rsidP="00AF7AF9">
      <w:pPr>
        <w:pStyle w:val="Heading3"/>
      </w:pPr>
      <w:r w:rsidRPr="00AF7AF9">
        <w:t>2.6 Further project related information for bidders</w:t>
      </w:r>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7" w:name="_Toc123311153"/>
      <w:r>
        <w:lastRenderedPageBreak/>
        <w:t>Tender Response and Evaluation Criteria</w:t>
      </w:r>
      <w:bookmarkEnd w:id="7"/>
    </w:p>
    <w:p w14:paraId="6C9F4B20" w14:textId="5CFF035D" w:rsidR="001768F1" w:rsidRDefault="001768F1" w:rsidP="001768F1">
      <w:pPr>
        <w:pStyle w:val="Heading3"/>
      </w:pPr>
      <w:r>
        <w:t>3.1 The Tender Response</w:t>
      </w:r>
    </w:p>
    <w:p w14:paraId="33A2C61B" w14:textId="7D2562E7" w:rsidR="001768F1" w:rsidRDefault="001768F1" w:rsidP="001768F1">
      <w:r>
        <w:t>The proposals for this project should include an outline of how bidders will meet the requirement outlined in section (ii) “Statement of Requirement”. The following information should be included</w:t>
      </w:r>
      <w:r w:rsidR="00BB0C54">
        <w:t>:</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72FF8B80" w:rsidR="001768F1" w:rsidRPr="00BB0C54" w:rsidRDefault="001768F1" w:rsidP="001E7C87">
      <w:pPr>
        <w:pStyle w:val="NormalBullet-"/>
        <w:rPr>
          <w:szCs w:val="24"/>
        </w:rPr>
      </w:pPr>
      <w:r w:rsidRPr="00BB0C54">
        <w:rPr>
          <w:szCs w:val="24"/>
        </w:rPr>
        <w:t>Provide an explanation of the proposed approach and any methodologies bidders will work to</w:t>
      </w:r>
      <w:r w:rsidR="00BB0C54" w:rsidRPr="00BB0C54">
        <w:rPr>
          <w:szCs w:val="24"/>
        </w:rPr>
        <w:t xml:space="preserve">. </w:t>
      </w:r>
      <w:r w:rsidR="00BB0C54" w:rsidRPr="00BB0C54">
        <w:rPr>
          <w:rFonts w:cs="Arial"/>
          <w:szCs w:val="24"/>
        </w:rPr>
        <w:t xml:space="preserve">This should include </w:t>
      </w:r>
      <w:r w:rsidR="00BB0C54" w:rsidRPr="00BB0C54">
        <w:rPr>
          <w:rFonts w:cs="Arial"/>
          <w:color w:val="000000"/>
          <w:szCs w:val="24"/>
          <w:lang w:eastAsia="en-GB"/>
        </w:rPr>
        <w:t xml:space="preserve">suggestions on the method of surveying and strategies to increase the response rate; suggestions on survey questions (noting that we will work closely with the successful bidder to draft the questionnaire itself), and details on internal data quality assurance processes to ensure survey findings are </w:t>
      </w:r>
      <w:proofErr w:type="gramStart"/>
      <w:r w:rsidR="00BB0C54" w:rsidRPr="00BB0C54">
        <w:rPr>
          <w:rFonts w:cs="Arial"/>
          <w:color w:val="000000"/>
          <w:szCs w:val="24"/>
          <w:lang w:eastAsia="en-GB"/>
        </w:rPr>
        <w:t>robust;</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07EBFAC3" w14:textId="53E9E99C" w:rsidR="00073630" w:rsidRDefault="001768F1" w:rsidP="00F518C6">
      <w:pPr>
        <w:pStyle w:val="NormalBullet-"/>
      </w:pPr>
      <w:r>
        <w:t xml:space="preserve">What support bidders will require from </w:t>
      </w:r>
      <w:proofErr w:type="gramStart"/>
      <w:r>
        <w:t>ORR;</w:t>
      </w:r>
      <w:proofErr w:type="gramEnd"/>
      <w:r>
        <w:t xml:space="preserve"> </w:t>
      </w:r>
    </w:p>
    <w:p w14:paraId="265210D4" w14:textId="77777777" w:rsidR="00073630" w:rsidRDefault="00073630" w:rsidP="00073630">
      <w:pPr>
        <w:pStyle w:val="NormalBullet-"/>
        <w:numPr>
          <w:ilvl w:val="0"/>
          <w:numId w:val="0"/>
        </w:numPr>
        <w:ind w:left="1701"/>
      </w:pP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lastRenderedPageBreak/>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69EF176B" w:rsidR="001768F1" w:rsidRDefault="001768F1" w:rsidP="001E7C87">
      <w:pPr>
        <w:pStyle w:val="NormalBullet-"/>
      </w:pPr>
      <w:r>
        <w:t>Some relevant examples of previous work that bidders have carried out (</w:t>
      </w:r>
      <w:proofErr w:type="gramStart"/>
      <w:r>
        <w:t>e</w:t>
      </w:r>
      <w:r w:rsidR="00886661">
        <w:t>.</w:t>
      </w:r>
      <w:r>
        <w:t>g.</w:t>
      </w:r>
      <w:proofErr w:type="gramEnd"/>
      <w:r>
        <w:t xml:space="preserve"> case studies)</w:t>
      </w:r>
      <w:r w:rsidR="00BB0C54">
        <w:rPr>
          <w:color w:val="B1173B"/>
        </w:rPr>
        <w:t xml:space="preserve"> </w:t>
      </w:r>
      <w:r w:rsidR="00BB0C54" w:rsidRPr="00BB0C54">
        <w:t>and d</w:t>
      </w:r>
      <w:r w:rsidRPr="00BB0C54">
        <w:t xml:space="preserve">etails </w:t>
      </w:r>
      <w:r>
        <w:t>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r>
        <w:t>3.2 Evaluation Criteria</w:t>
      </w:r>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495B78BB" w14:textId="2D366822" w:rsidR="00374BAE" w:rsidRPr="00374BAE" w:rsidRDefault="005C29ED" w:rsidP="00073630">
      <w:pPr>
        <w:rPr>
          <w:b/>
          <w:bCs/>
          <w:color w:val="B1173B"/>
        </w:rPr>
      </w:pPr>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374F2F92" w:rsidR="005C29ED" w:rsidRDefault="005C29ED" w:rsidP="00D61976">
      <w:pPr>
        <w:pStyle w:val="Heading4"/>
      </w:pPr>
      <w:r>
        <w:t>Methodology</w:t>
      </w:r>
      <w:r w:rsidR="00073630">
        <w:t xml:space="preserve"> (25%)</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Pr="00500CDE" w:rsidRDefault="005C29ED" w:rsidP="00D61976">
      <w:pPr>
        <w:pStyle w:val="NormalBulletalpha"/>
        <w:numPr>
          <w:ilvl w:val="1"/>
          <w:numId w:val="29"/>
        </w:numPr>
      </w:pPr>
      <w:r w:rsidRPr="00500CDE">
        <w:t xml:space="preserve">Explain the methodology and delivery mechanisms to ensure that the requirements of this specification are met in terms of </w:t>
      </w:r>
      <w:proofErr w:type="gramStart"/>
      <w:r w:rsidRPr="00500CDE">
        <w:t>quality;</w:t>
      </w:r>
      <w:proofErr w:type="gramEnd"/>
    </w:p>
    <w:p w14:paraId="09D5614C" w14:textId="52DEF631" w:rsidR="005C29ED" w:rsidRPr="00500CDE" w:rsidRDefault="005C29ED" w:rsidP="00D61976">
      <w:pPr>
        <w:pStyle w:val="NormalBulletalpha"/>
        <w:numPr>
          <w:ilvl w:val="1"/>
          <w:numId w:val="29"/>
        </w:numPr>
      </w:pPr>
      <w:r w:rsidRPr="00500CDE">
        <w:t xml:space="preserve">Explain how your organisation will work in partnership with </w:t>
      </w:r>
      <w:proofErr w:type="spellStart"/>
      <w:r w:rsidRPr="00500CDE">
        <w:t>ORR’s</w:t>
      </w:r>
      <w:proofErr w:type="spellEnd"/>
      <w:r w:rsidRPr="00500CDE">
        <w:t xml:space="preserve"> project manager to ensure that the requirement is </w:t>
      </w:r>
      <w:proofErr w:type="gramStart"/>
      <w:r w:rsidRPr="00500CDE">
        <w:t>met</w:t>
      </w:r>
      <w:r w:rsidR="00500CDE" w:rsidRPr="00500CDE">
        <w:t>;</w:t>
      </w:r>
      <w:proofErr w:type="gramEnd"/>
    </w:p>
    <w:p w14:paraId="278014BC" w14:textId="2A1A7979" w:rsidR="005C29ED" w:rsidRPr="00500CDE" w:rsidRDefault="005C29ED" w:rsidP="00D61976">
      <w:pPr>
        <w:pStyle w:val="NormalBulletalpha"/>
        <w:numPr>
          <w:ilvl w:val="1"/>
          <w:numId w:val="29"/>
        </w:numPr>
      </w:pPr>
      <w:r w:rsidRPr="00500CDE">
        <w:t>Outline how the proposed approach utilises innovative consultation methodologies to develop a diverse and comprehensive evidence-</w:t>
      </w:r>
      <w:proofErr w:type="gramStart"/>
      <w:r w:rsidRPr="00500CDE">
        <w:t>base</w:t>
      </w:r>
      <w:r w:rsidR="00500CDE" w:rsidRPr="00500CDE">
        <w:t>;</w:t>
      </w:r>
      <w:proofErr w:type="gramEnd"/>
    </w:p>
    <w:p w14:paraId="54B2DA9E" w14:textId="1EF2A689" w:rsidR="00500CDE" w:rsidRPr="00500CDE" w:rsidRDefault="00500CDE" w:rsidP="00D61976">
      <w:pPr>
        <w:pStyle w:val="NormalBulletalpha"/>
        <w:numPr>
          <w:ilvl w:val="1"/>
          <w:numId w:val="29"/>
        </w:numPr>
      </w:pPr>
      <w:r w:rsidRPr="00500CDE">
        <w:t xml:space="preserve">Explain the methodology your organisation will use to implement the stakeholder survey and to maximise response </w:t>
      </w:r>
      <w:proofErr w:type="gramStart"/>
      <w:r w:rsidRPr="00500CDE">
        <w:t>rate;</w:t>
      </w:r>
      <w:proofErr w:type="gramEnd"/>
    </w:p>
    <w:p w14:paraId="5DEB87BF" w14:textId="5406F199" w:rsidR="00500CDE" w:rsidRPr="00500CDE" w:rsidRDefault="00500CDE" w:rsidP="00D61976">
      <w:pPr>
        <w:pStyle w:val="NormalBulletalpha"/>
        <w:numPr>
          <w:ilvl w:val="1"/>
          <w:numId w:val="29"/>
        </w:numPr>
      </w:pPr>
      <w:r w:rsidRPr="00500CDE">
        <w:t>Explain how your organisation will develop and produce the report.</w:t>
      </w:r>
    </w:p>
    <w:p w14:paraId="66B9BA69" w14:textId="77777777" w:rsidR="00422460" w:rsidRDefault="00422460" w:rsidP="00422460">
      <w:pPr>
        <w:pStyle w:val="NormalBulletalpha"/>
        <w:numPr>
          <w:ilvl w:val="0"/>
          <w:numId w:val="0"/>
        </w:numPr>
        <w:ind w:left="1134"/>
      </w:pPr>
    </w:p>
    <w:p w14:paraId="09DB644F" w14:textId="5F1A48FB" w:rsidR="005C29ED" w:rsidRDefault="005C29ED" w:rsidP="00350594">
      <w:pPr>
        <w:pStyle w:val="Heading4"/>
      </w:pPr>
      <w:r>
        <w:t>Delivery</w:t>
      </w:r>
      <w:r w:rsidR="00073630">
        <w:t xml:space="preserve"> (25%)</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6DEC32CC" w:rsidR="005C29ED" w:rsidRPr="00374BAE" w:rsidRDefault="005C29ED" w:rsidP="00350594">
      <w:pPr>
        <w:pStyle w:val="Heading4"/>
        <w:rPr>
          <w:color w:val="B1173B"/>
        </w:rPr>
      </w:pPr>
      <w:r>
        <w:t>Experience</w:t>
      </w:r>
      <w:r w:rsidR="00073630">
        <w:t xml:space="preserve"> (25%)</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lastRenderedPageBreak/>
        <w:t>Highlight the organisation’s relevant experience for this project, submitting examples of similar projects.</w:t>
      </w:r>
    </w:p>
    <w:p w14:paraId="370476F8" w14:textId="307A7EE6" w:rsidR="005C29ED" w:rsidRDefault="005C29ED" w:rsidP="00350594">
      <w:pPr>
        <w:pStyle w:val="Heading4"/>
      </w:pPr>
      <w:r>
        <w:t>Cost / Value for money</w:t>
      </w:r>
      <w:r w:rsidR="00073630">
        <w:t xml:space="preserve"> (25%)</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lastRenderedPageBreak/>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 xml:space="preserve">The response is comprehensive, unambiguous and demonstrates a thorough understanding of the requirement and provides details of how the </w:t>
            </w:r>
            <w:r w:rsidRPr="00757472">
              <w:rPr>
                <w:rFonts w:eastAsia="Calibri" w:cs="Arial"/>
                <w:sz w:val="22"/>
                <w:lang w:val="en-US" w:eastAsia="en-GB"/>
              </w:rPr>
              <w:lastRenderedPageBreak/>
              <w:t>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8" w:name="_Toc123311154"/>
      <w:r w:rsidRPr="002D3643">
        <w:lastRenderedPageBreak/>
        <w:t xml:space="preserve">Procurement </w:t>
      </w:r>
      <w:r>
        <w:t>P</w:t>
      </w:r>
      <w:r w:rsidRPr="002D3643">
        <w:t>rocedures</w:t>
      </w:r>
      <w:bookmarkEnd w:id="8"/>
      <w:r w:rsidRPr="002D3643">
        <w:t xml:space="preserve"> </w:t>
      </w:r>
    </w:p>
    <w:p w14:paraId="038D890E" w14:textId="77777777" w:rsidR="00400432" w:rsidRDefault="00400432" w:rsidP="00400432">
      <w:pPr>
        <w:pStyle w:val="Heading3"/>
      </w:pPr>
      <w:r>
        <w:t>Tendering Timetable</w:t>
      </w:r>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0042A8">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0042A8">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210C10E2" w:rsidR="00400432" w:rsidRPr="00400432" w:rsidRDefault="00455D8A" w:rsidP="00400432">
            <w:pPr>
              <w:pStyle w:val="TblText"/>
            </w:pPr>
            <w:r>
              <w:t>06 January 2023</w:t>
            </w:r>
          </w:p>
        </w:tc>
      </w:tr>
      <w:tr w:rsidR="00400432" w:rsidRPr="00400432" w14:paraId="42283B80" w14:textId="77777777" w:rsidTr="000042A8">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28789900" w:rsidR="00400432" w:rsidRPr="00400432" w:rsidRDefault="00455D8A" w:rsidP="00400432">
            <w:pPr>
              <w:pStyle w:val="TblText"/>
            </w:pPr>
            <w:r>
              <w:t xml:space="preserve">20 January 2023 </w:t>
            </w:r>
            <w:proofErr w:type="spellStart"/>
            <w:r>
              <w:t>12:00pm</w:t>
            </w:r>
            <w:proofErr w:type="spellEnd"/>
          </w:p>
        </w:tc>
      </w:tr>
      <w:tr w:rsidR="00400432" w:rsidRPr="00400432" w14:paraId="66301268" w14:textId="77777777" w:rsidTr="000042A8">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3B866E55" w:rsidR="00400432" w:rsidRPr="00400432" w:rsidRDefault="00A55821" w:rsidP="00400432">
            <w:pPr>
              <w:pStyle w:val="TblText"/>
            </w:pPr>
            <w:r>
              <w:t xml:space="preserve">27 January 2023 </w:t>
            </w:r>
            <w:proofErr w:type="spellStart"/>
            <w:r>
              <w:t>12:00pm</w:t>
            </w:r>
            <w:proofErr w:type="spellEnd"/>
          </w:p>
        </w:tc>
      </w:tr>
      <w:tr w:rsidR="00400432" w:rsidRPr="00400432" w14:paraId="2D3D0936" w14:textId="77777777" w:rsidTr="000042A8">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1082D4AF" w:rsidR="00400432" w:rsidRPr="00400432" w:rsidRDefault="00A55821" w:rsidP="00400432">
            <w:pPr>
              <w:pStyle w:val="TblText"/>
            </w:pPr>
            <w:r>
              <w:t xml:space="preserve">w/c </w:t>
            </w:r>
            <w:r w:rsidR="00752FEF">
              <w:t>13</w:t>
            </w:r>
            <w:r>
              <w:t xml:space="preserve"> </w:t>
            </w:r>
            <w:r w:rsidR="007D2204">
              <w:t>February</w:t>
            </w:r>
            <w:r>
              <w:t xml:space="preserve"> 2023</w:t>
            </w:r>
          </w:p>
        </w:tc>
      </w:tr>
      <w:tr w:rsidR="00400432" w:rsidRPr="00837DB5" w14:paraId="3E83975E" w14:textId="77777777" w:rsidTr="000042A8">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3DCDB762" w:rsidR="00400432" w:rsidRPr="00837DB5" w:rsidRDefault="00A55821" w:rsidP="00400432">
            <w:pPr>
              <w:pStyle w:val="TblText"/>
              <w:rPr>
                <w:lang w:val="fr-FR"/>
              </w:rPr>
            </w:pPr>
            <w:proofErr w:type="gramStart"/>
            <w:r>
              <w:rPr>
                <w:lang w:val="fr-FR"/>
              </w:rPr>
              <w:t>w</w:t>
            </w:r>
            <w:proofErr w:type="gramEnd"/>
            <w:r>
              <w:rPr>
                <w:lang w:val="fr-FR"/>
              </w:rPr>
              <w:t>/c 2</w:t>
            </w:r>
            <w:r w:rsidR="00752FEF">
              <w:rPr>
                <w:lang w:val="fr-FR"/>
              </w:rPr>
              <w:t>7</w:t>
            </w:r>
            <w:r>
              <w:rPr>
                <w:lang w:val="fr-FR"/>
              </w:rPr>
              <w:t xml:space="preserve"> </w:t>
            </w:r>
            <w:proofErr w:type="spellStart"/>
            <w:r>
              <w:rPr>
                <w:lang w:val="fr-FR"/>
              </w:rPr>
              <w:t>February</w:t>
            </w:r>
            <w:proofErr w:type="spellEnd"/>
            <w:r>
              <w:rPr>
                <w:lang w:val="fr-FR"/>
              </w:rPr>
              <w:t xml:space="preserve"> 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r>
        <w:t>Tendering Instructions and Guidance</w:t>
      </w:r>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383A027A"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lastRenderedPageBreak/>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6B79EF">
            <w:pPr>
              <w:pStyle w:val="TblText"/>
              <w:ind w:left="0"/>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62CE6F65" w14:textId="24945441" w:rsidR="003D0868" w:rsidRDefault="003D0868" w:rsidP="003F3CB0"/>
    <w:p w14:paraId="130553C4" w14:textId="1DE1AEB8" w:rsidR="003F3CB0" w:rsidRPr="003F3CB0" w:rsidRDefault="003F3CB0" w:rsidP="001C2782">
      <w:pPr>
        <w:pStyle w:val="Numberedparagraphdouble"/>
        <w:numPr>
          <w:ilvl w:val="0"/>
          <w:numId w:val="0"/>
        </w:numPr>
        <w:sectPr w:rsidR="003F3CB0" w:rsidRPr="003F3CB0" w:rsidSect="00C567EC">
          <w:headerReference w:type="even" r:id="rId21"/>
          <w:headerReference w:type="default" r:id="rId22"/>
          <w:pgSz w:w="11906" w:h="16838" w:code="9"/>
          <w:pgMar w:top="1418" w:right="1134" w:bottom="1134" w:left="1134" w:header="709" w:footer="709" w:gutter="0"/>
          <w:cols w:space="708"/>
          <w:docGrid w:linePitch="360"/>
        </w:sectPr>
      </w:pPr>
    </w:p>
    <w:p w14:paraId="42D68236" w14:textId="77777777" w:rsidR="00422460" w:rsidRDefault="00422460" w:rsidP="00422460">
      <w:pPr>
        <w:pStyle w:val="Copyrighttext"/>
      </w:pPr>
      <w:r w:rsidRPr="00825978">
        <w:rPr>
          <w:noProof/>
          <w:sz w:val="22"/>
          <w:lang w:eastAsia="en-GB"/>
        </w:rPr>
        <w:lastRenderedPageBreak/>
        <w:drawing>
          <wp:inline distT="0" distB="0" distL="0" distR="0" wp14:anchorId="18D312A4" wp14:editId="747ED180">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627EA957" w14:textId="77777777" w:rsidR="00422460" w:rsidRDefault="00422460" w:rsidP="00422460">
      <w:pPr>
        <w:pStyle w:val="Copyrighttext"/>
      </w:pPr>
      <w:r>
        <w:t>© Crown copyright 2022</w:t>
      </w:r>
    </w:p>
    <w:p w14:paraId="66DB83B1" w14:textId="77777777" w:rsidR="00422460" w:rsidRDefault="00422460" w:rsidP="00422460">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4" w:history="1">
        <w:proofErr w:type="spellStart"/>
        <w:r w:rsidRPr="00422460">
          <w:rPr>
            <w:rStyle w:val="Hyperlink"/>
          </w:rPr>
          <w:t>nationalarchives.gov.uk</w:t>
        </w:r>
        <w:proofErr w:type="spellEnd"/>
        <w:r w:rsidRPr="00422460">
          <w:rPr>
            <w:rStyle w:val="Hyperlink"/>
          </w:rPr>
          <w:t>/doc/open-government-licence/version/3</w:t>
        </w:r>
      </w:hyperlink>
    </w:p>
    <w:p w14:paraId="6537321F" w14:textId="77777777" w:rsidR="00422460" w:rsidRDefault="00422460" w:rsidP="00422460">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5D3E6A67" w14:textId="77777777" w:rsidR="00422460" w:rsidRDefault="00422460" w:rsidP="00422460">
      <w:pPr>
        <w:pStyle w:val="Copyrighttext"/>
      </w:pPr>
      <w:r>
        <w:t xml:space="preserve">This publication is available at </w:t>
      </w:r>
      <w:hyperlink r:id="rId25" w:history="1">
        <w:proofErr w:type="spellStart"/>
        <w:r w:rsidRPr="00422460">
          <w:rPr>
            <w:rStyle w:val="Hyperlink"/>
          </w:rPr>
          <w:t>orr.gov.uk</w:t>
        </w:r>
        <w:proofErr w:type="spellEnd"/>
      </w:hyperlink>
    </w:p>
    <w:p w14:paraId="2D68CC5D" w14:textId="3F6B72D7" w:rsidR="00D25F7E" w:rsidRPr="00D25F7E" w:rsidRDefault="00422460" w:rsidP="00422460">
      <w:pPr>
        <w:pStyle w:val="Copyrighttext"/>
      </w:pPr>
      <w:r>
        <w:t xml:space="preserve">Any enquiries regarding this publication should be sent to us at </w:t>
      </w:r>
      <w:hyperlink r:id="rId26" w:history="1">
        <w:proofErr w:type="spellStart"/>
        <w:r w:rsidRPr="00422460">
          <w:rPr>
            <w:rStyle w:val="Hyperlink"/>
          </w:rPr>
          <w:t>orr.gov.uk</w:t>
        </w:r>
        <w:proofErr w:type="spellEnd"/>
        <w:r w:rsidRPr="00422460">
          <w:rPr>
            <w:rStyle w:val="Hyperlink"/>
          </w:rPr>
          <w:t>/contact-us</w:t>
        </w:r>
      </w:hyperlink>
      <w:r w:rsidR="008F0B87">
        <w:t xml:space="preserve"> </w:t>
      </w:r>
    </w:p>
    <w:sectPr w:rsidR="00D25F7E" w:rsidRPr="00D25F7E" w:rsidSect="00422460">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3E94" w14:textId="77777777" w:rsidR="00422460" w:rsidRDefault="00422460" w:rsidP="00997E07">
    <w:pPr>
      <w:pStyle w:val="Footer"/>
    </w:pPr>
  </w:p>
  <w:p w14:paraId="30166A64" w14:textId="77777777" w:rsidR="00422460" w:rsidRDefault="00422460" w:rsidP="00997E07">
    <w:pPr>
      <w:pStyle w:val="Footer"/>
    </w:pPr>
  </w:p>
  <w:p w14:paraId="66FC41C3" w14:textId="77777777" w:rsidR="00422460" w:rsidRDefault="00422460" w:rsidP="00997E07">
    <w:pPr>
      <w:pStyle w:val="Footer"/>
    </w:pPr>
  </w:p>
  <w:p w14:paraId="7673C1F5" w14:textId="77777777" w:rsidR="00422460" w:rsidRDefault="00422460" w:rsidP="00997E07">
    <w:pPr>
      <w:pStyle w:val="Footer"/>
    </w:pPr>
  </w:p>
  <w:p w14:paraId="51E4D854" w14:textId="77777777" w:rsidR="00422460" w:rsidRDefault="00422460" w:rsidP="00997E07">
    <w:pPr>
      <w:pStyle w:val="Footer"/>
    </w:pPr>
  </w:p>
  <w:p w14:paraId="534BDFF6" w14:textId="77777777" w:rsidR="00422460" w:rsidRPr="004A743E" w:rsidRDefault="00422460"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9440" behindDoc="1" locked="1" layoutInCell="1" allowOverlap="1" wp14:anchorId="20DBCB38" wp14:editId="2B0FD79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bmkContents"/>
  <w:bookmarkEnd w:id="0"/>
  <w:p w14:paraId="54528A7A" w14:textId="0C747093" w:rsidR="00422460" w:rsidRDefault="00422460"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E15CE" w:rsidRPr="002E15C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E15CE">
      <w:instrText>Office of Rail and Road</w:instrText>
    </w:r>
    <w:r>
      <w:fldChar w:fldCharType="end"/>
    </w:r>
    <w:r w:rsidRPr="00AC3B7A">
      <w:instrText xml:space="preserve"> \* MERGEFORMAT </w:instrText>
    </w:r>
    <w:r w:rsidRPr="00A1673D">
      <w:fldChar w:fldCharType="separate"/>
    </w:r>
    <w:r w:rsidR="002E15CE">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002E15CE" w:rsidRPr="002E15CE">
        <w:rPr>
          <w:b w:val="0"/>
          <w:bCs/>
          <w:lang w:val="en-US"/>
        </w:rPr>
        <w:instrText>ITT</w:instrText>
      </w:r>
    </w:fldSimple>
    <w:r w:rsidRPr="00AC3B7A">
      <w:instrText xml:space="preserve"> = "Error! No document variable supplied." " " </w:instrText>
    </w:r>
    <w:fldSimple w:instr=" DOCVARIABLE  txtHdr \* MERGEFORMAT ">
      <w:r w:rsidR="002E15CE">
        <w:instrText>ITT</w:instrText>
      </w:r>
    </w:fldSimple>
    <w:r w:rsidRPr="00AC3B7A">
      <w:instrText xml:space="preserve"> \* MERGEFORMAT </w:instrText>
    </w:r>
    <w:r w:rsidRPr="00A1673D">
      <w:fldChar w:fldCharType="separate"/>
    </w:r>
    <w:r w:rsidR="002E15CE">
      <w:rPr>
        <w:noProof/>
      </w:rPr>
      <w:t>ITT</w:t>
    </w:r>
    <w:r w:rsidRPr="00A167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A708" w14:textId="0F3F89E5" w:rsidR="00422460" w:rsidRDefault="00422460"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E15CE" w:rsidRPr="002E15C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E15CE">
      <w:instrText>Office of Rail and Road</w:instrText>
    </w:r>
    <w:r>
      <w:fldChar w:fldCharType="end"/>
    </w:r>
    <w:r w:rsidRPr="00AC3B7A">
      <w:instrText xml:space="preserve"> \* MERGEFORMAT </w:instrText>
    </w:r>
    <w:r w:rsidRPr="00A1673D">
      <w:fldChar w:fldCharType="separate"/>
    </w:r>
    <w:r w:rsidR="002E15CE">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002E15CE" w:rsidRPr="002E15CE">
        <w:rPr>
          <w:b w:val="0"/>
          <w:bCs/>
          <w:lang w:val="en-US"/>
        </w:rPr>
        <w:instrText>ITT</w:instrText>
      </w:r>
    </w:fldSimple>
    <w:r w:rsidRPr="00AC3B7A">
      <w:instrText xml:space="preserve"> = "Error! No document variable supplied." " " </w:instrText>
    </w:r>
    <w:fldSimple w:instr=" DOCVARIABLE  txtHdr \* MERGEFORMAT ">
      <w:r w:rsidR="002E15CE">
        <w:instrText>ITT</w:instrText>
      </w:r>
    </w:fldSimple>
    <w:r w:rsidRPr="00AC3B7A">
      <w:instrText xml:space="preserve"> \* MERGEFORMAT </w:instrText>
    </w:r>
    <w:r w:rsidRPr="00A1673D">
      <w:fldChar w:fldCharType="separate"/>
    </w:r>
    <w:r w:rsidR="002E15CE">
      <w:rPr>
        <w:noProof/>
      </w:rPr>
      <w:t>ITT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9" w:name="bmkBackPage"/>
    <w:bookmarkEnd w:id="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5855265"/>
    <w:multiLevelType w:val="hybridMultilevel"/>
    <w:tmpl w:val="285244BE"/>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13D65E9"/>
    <w:multiLevelType w:val="hybridMultilevel"/>
    <w:tmpl w:val="E42E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83BF8"/>
    <w:multiLevelType w:val="hybridMultilevel"/>
    <w:tmpl w:val="31D667CA"/>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AB2229"/>
    <w:multiLevelType w:val="hybridMultilevel"/>
    <w:tmpl w:val="74C0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72459"/>
    <w:multiLevelType w:val="hybridMultilevel"/>
    <w:tmpl w:val="5D423FD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6766F5"/>
    <w:multiLevelType w:val="hybridMultilevel"/>
    <w:tmpl w:val="7CBC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96852"/>
    <w:multiLevelType w:val="multilevel"/>
    <w:tmpl w:val="D79C245A"/>
    <w:numStyleLink w:val="ORRNormalList"/>
  </w:abstractNum>
  <w:abstractNum w:abstractNumId="17" w15:restartNumberingAfterBreak="0">
    <w:nsid w:val="39A76BCC"/>
    <w:multiLevelType w:val="multilevel"/>
    <w:tmpl w:val="D79C245A"/>
    <w:numStyleLink w:val="ORRNormalList"/>
  </w:abstractNum>
  <w:abstractNum w:abstractNumId="18"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5BD21B0"/>
    <w:multiLevelType w:val="hybridMultilevel"/>
    <w:tmpl w:val="2CE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B40EE"/>
    <w:multiLevelType w:val="hybridMultilevel"/>
    <w:tmpl w:val="FFFFFFFF"/>
    <w:lvl w:ilvl="0" w:tplc="F616571A">
      <w:start w:val="1"/>
      <w:numFmt w:val="bullet"/>
      <w:lvlText w:val=""/>
      <w:lvlJc w:val="left"/>
      <w:pPr>
        <w:ind w:left="720" w:hanging="360"/>
      </w:pPr>
      <w:rPr>
        <w:rFonts w:ascii="Symbol" w:hAnsi="Symbol" w:hint="default"/>
      </w:rPr>
    </w:lvl>
    <w:lvl w:ilvl="1" w:tplc="FDCE6B22">
      <w:start w:val="1"/>
      <w:numFmt w:val="bullet"/>
      <w:lvlText w:val="o"/>
      <w:lvlJc w:val="left"/>
      <w:pPr>
        <w:ind w:left="1440" w:hanging="360"/>
      </w:pPr>
      <w:rPr>
        <w:rFonts w:ascii="Courier New" w:hAnsi="Courier New" w:hint="default"/>
      </w:rPr>
    </w:lvl>
    <w:lvl w:ilvl="2" w:tplc="95426E3A">
      <w:start w:val="1"/>
      <w:numFmt w:val="bullet"/>
      <w:lvlText w:val=""/>
      <w:lvlJc w:val="left"/>
      <w:pPr>
        <w:ind w:left="2160" w:hanging="360"/>
      </w:pPr>
      <w:rPr>
        <w:rFonts w:ascii="Wingdings" w:hAnsi="Wingdings" w:hint="default"/>
      </w:rPr>
    </w:lvl>
    <w:lvl w:ilvl="3" w:tplc="0FFEDFFA">
      <w:start w:val="1"/>
      <w:numFmt w:val="bullet"/>
      <w:lvlText w:val=""/>
      <w:lvlJc w:val="left"/>
      <w:pPr>
        <w:ind w:left="2880" w:hanging="360"/>
      </w:pPr>
      <w:rPr>
        <w:rFonts w:ascii="Symbol" w:hAnsi="Symbol" w:hint="default"/>
      </w:rPr>
    </w:lvl>
    <w:lvl w:ilvl="4" w:tplc="1AEE9A80">
      <w:start w:val="1"/>
      <w:numFmt w:val="bullet"/>
      <w:lvlText w:val="o"/>
      <w:lvlJc w:val="left"/>
      <w:pPr>
        <w:ind w:left="3600" w:hanging="360"/>
      </w:pPr>
      <w:rPr>
        <w:rFonts w:ascii="Courier New" w:hAnsi="Courier New" w:hint="default"/>
      </w:rPr>
    </w:lvl>
    <w:lvl w:ilvl="5" w:tplc="A6269E1E">
      <w:start w:val="1"/>
      <w:numFmt w:val="bullet"/>
      <w:lvlText w:val=""/>
      <w:lvlJc w:val="left"/>
      <w:pPr>
        <w:ind w:left="4320" w:hanging="360"/>
      </w:pPr>
      <w:rPr>
        <w:rFonts w:ascii="Wingdings" w:hAnsi="Wingdings" w:hint="default"/>
      </w:rPr>
    </w:lvl>
    <w:lvl w:ilvl="6" w:tplc="7F704C20">
      <w:start w:val="1"/>
      <w:numFmt w:val="bullet"/>
      <w:lvlText w:val=""/>
      <w:lvlJc w:val="left"/>
      <w:pPr>
        <w:ind w:left="5040" w:hanging="360"/>
      </w:pPr>
      <w:rPr>
        <w:rFonts w:ascii="Symbol" w:hAnsi="Symbol" w:hint="default"/>
      </w:rPr>
    </w:lvl>
    <w:lvl w:ilvl="7" w:tplc="F5265A42">
      <w:start w:val="1"/>
      <w:numFmt w:val="bullet"/>
      <w:lvlText w:val="o"/>
      <w:lvlJc w:val="left"/>
      <w:pPr>
        <w:ind w:left="5760" w:hanging="360"/>
      </w:pPr>
      <w:rPr>
        <w:rFonts w:ascii="Courier New" w:hAnsi="Courier New" w:hint="default"/>
      </w:rPr>
    </w:lvl>
    <w:lvl w:ilvl="8" w:tplc="097AEAFE">
      <w:start w:val="1"/>
      <w:numFmt w:val="bullet"/>
      <w:lvlText w:val=""/>
      <w:lvlJc w:val="left"/>
      <w:pPr>
        <w:ind w:left="6480" w:hanging="360"/>
      </w:pPr>
      <w:rPr>
        <w:rFonts w:ascii="Wingdings" w:hAnsi="Wingdings" w:hint="default"/>
      </w:rPr>
    </w:lvl>
  </w:abstractNum>
  <w:abstractNum w:abstractNumId="21"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6" w15:restartNumberingAfterBreak="0">
    <w:nsid w:val="662EED04"/>
    <w:multiLevelType w:val="hybridMultilevel"/>
    <w:tmpl w:val="0EB81AD2"/>
    <w:lvl w:ilvl="0" w:tplc="725EE578">
      <w:start w:val="1"/>
      <w:numFmt w:val="bullet"/>
      <w:lvlText w:val=""/>
      <w:lvlJc w:val="left"/>
      <w:pPr>
        <w:ind w:left="720" w:hanging="360"/>
      </w:pPr>
      <w:rPr>
        <w:rFonts w:ascii="Symbol" w:hAnsi="Symbol" w:hint="default"/>
      </w:rPr>
    </w:lvl>
    <w:lvl w:ilvl="1" w:tplc="E3B4136E">
      <w:start w:val="1"/>
      <w:numFmt w:val="bullet"/>
      <w:lvlText w:val="o"/>
      <w:lvlJc w:val="left"/>
      <w:pPr>
        <w:ind w:left="1440" w:hanging="360"/>
      </w:pPr>
      <w:rPr>
        <w:rFonts w:ascii="Courier New" w:hAnsi="Courier New" w:hint="default"/>
      </w:rPr>
    </w:lvl>
    <w:lvl w:ilvl="2" w:tplc="C36486A4">
      <w:start w:val="1"/>
      <w:numFmt w:val="bullet"/>
      <w:lvlText w:val=""/>
      <w:lvlJc w:val="left"/>
      <w:pPr>
        <w:ind w:left="2160" w:hanging="360"/>
      </w:pPr>
      <w:rPr>
        <w:rFonts w:ascii="Wingdings" w:hAnsi="Wingdings" w:hint="default"/>
      </w:rPr>
    </w:lvl>
    <w:lvl w:ilvl="3" w:tplc="CC546008">
      <w:start w:val="1"/>
      <w:numFmt w:val="bullet"/>
      <w:lvlText w:val=""/>
      <w:lvlJc w:val="left"/>
      <w:pPr>
        <w:ind w:left="2880" w:hanging="360"/>
      </w:pPr>
      <w:rPr>
        <w:rFonts w:ascii="Symbol" w:hAnsi="Symbol" w:hint="default"/>
      </w:rPr>
    </w:lvl>
    <w:lvl w:ilvl="4" w:tplc="AA3ADFD2">
      <w:start w:val="1"/>
      <w:numFmt w:val="bullet"/>
      <w:lvlText w:val="o"/>
      <w:lvlJc w:val="left"/>
      <w:pPr>
        <w:ind w:left="3600" w:hanging="360"/>
      </w:pPr>
      <w:rPr>
        <w:rFonts w:ascii="Courier New" w:hAnsi="Courier New" w:hint="default"/>
      </w:rPr>
    </w:lvl>
    <w:lvl w:ilvl="5" w:tplc="18C82608">
      <w:start w:val="1"/>
      <w:numFmt w:val="bullet"/>
      <w:lvlText w:val=""/>
      <w:lvlJc w:val="left"/>
      <w:pPr>
        <w:ind w:left="4320" w:hanging="360"/>
      </w:pPr>
      <w:rPr>
        <w:rFonts w:ascii="Wingdings" w:hAnsi="Wingdings" w:hint="default"/>
      </w:rPr>
    </w:lvl>
    <w:lvl w:ilvl="6" w:tplc="5338F2B4">
      <w:start w:val="1"/>
      <w:numFmt w:val="bullet"/>
      <w:lvlText w:val=""/>
      <w:lvlJc w:val="left"/>
      <w:pPr>
        <w:ind w:left="5040" w:hanging="360"/>
      </w:pPr>
      <w:rPr>
        <w:rFonts w:ascii="Symbol" w:hAnsi="Symbol" w:hint="default"/>
      </w:rPr>
    </w:lvl>
    <w:lvl w:ilvl="7" w:tplc="6ADCE080">
      <w:start w:val="1"/>
      <w:numFmt w:val="bullet"/>
      <w:lvlText w:val="o"/>
      <w:lvlJc w:val="left"/>
      <w:pPr>
        <w:ind w:left="5760" w:hanging="360"/>
      </w:pPr>
      <w:rPr>
        <w:rFonts w:ascii="Courier New" w:hAnsi="Courier New" w:hint="default"/>
      </w:rPr>
    </w:lvl>
    <w:lvl w:ilvl="8" w:tplc="1D4A14A6">
      <w:start w:val="1"/>
      <w:numFmt w:val="bullet"/>
      <w:lvlText w:val=""/>
      <w:lvlJc w:val="left"/>
      <w:pPr>
        <w:ind w:left="6480" w:hanging="360"/>
      </w:pPr>
      <w:rPr>
        <w:rFonts w:ascii="Wingdings" w:hAnsi="Wingdings" w:hint="default"/>
      </w:rPr>
    </w:lvl>
  </w:abstractNum>
  <w:abstractNum w:abstractNumId="27" w15:restartNumberingAfterBreak="0">
    <w:nsid w:val="685725EF"/>
    <w:multiLevelType w:val="hybridMultilevel"/>
    <w:tmpl w:val="F89647D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BD5682"/>
    <w:multiLevelType w:val="multilevel"/>
    <w:tmpl w:val="EAD453D0"/>
    <w:numStyleLink w:val="NumbListHighlight"/>
  </w:abstractNum>
  <w:abstractNum w:abstractNumId="2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15:restartNumberingAfterBreak="0">
    <w:nsid w:val="774C62AB"/>
    <w:multiLevelType w:val="multilevel"/>
    <w:tmpl w:val="6B204466"/>
    <w:numStyleLink w:val="ORRAnnex"/>
  </w:abstractNum>
  <w:abstractNum w:abstractNumId="32" w15:restartNumberingAfterBreak="0">
    <w:nsid w:val="7DDA5CB4"/>
    <w:multiLevelType w:val="multilevel"/>
    <w:tmpl w:val="6B204466"/>
    <w:numStyleLink w:val="ORRAnnex"/>
  </w:abstractNum>
  <w:num w:numId="1" w16cid:durableId="1233007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30"/>
  </w:num>
  <w:num w:numId="3" w16cid:durableId="615990203">
    <w:abstractNumId w:val="8"/>
  </w:num>
  <w:num w:numId="4" w16cid:durableId="1539008159">
    <w:abstractNumId w:val="24"/>
  </w:num>
  <w:num w:numId="5" w16cid:durableId="1334801291">
    <w:abstractNumId w:val="9"/>
  </w:num>
  <w:num w:numId="6" w16cid:durableId="116142554">
    <w:abstractNumId w:val="17"/>
  </w:num>
  <w:num w:numId="7" w16cid:durableId="1708795862">
    <w:abstractNumId w:val="10"/>
  </w:num>
  <w:num w:numId="8" w16cid:durableId="1432780497">
    <w:abstractNumId w:val="5"/>
  </w:num>
  <w:num w:numId="9" w16cid:durableId="35012236">
    <w:abstractNumId w:val="4"/>
  </w:num>
  <w:num w:numId="10" w16cid:durableId="711077664">
    <w:abstractNumId w:val="0"/>
  </w:num>
  <w:num w:numId="11" w16cid:durableId="1604993918">
    <w:abstractNumId w:val="28"/>
  </w:num>
  <w:num w:numId="12" w16cid:durableId="435447028">
    <w:abstractNumId w:val="25"/>
  </w:num>
  <w:num w:numId="13" w16cid:durableId="2048019962">
    <w:abstractNumId w:val="31"/>
  </w:num>
  <w:num w:numId="14" w16cid:durableId="2025738407">
    <w:abstractNumId w:val="28"/>
  </w:num>
  <w:num w:numId="15" w16cid:durableId="150879135">
    <w:abstractNumId w:val="28"/>
  </w:num>
  <w:num w:numId="16" w16cid:durableId="891042484">
    <w:abstractNumId w:val="28"/>
  </w:num>
  <w:num w:numId="17" w16cid:durableId="727414043">
    <w:abstractNumId w:val="25"/>
  </w:num>
  <w:num w:numId="18" w16cid:durableId="1027833524">
    <w:abstractNumId w:val="1"/>
  </w:num>
  <w:num w:numId="19" w16cid:durableId="50661355">
    <w:abstractNumId w:val="6"/>
  </w:num>
  <w:num w:numId="20" w16cid:durableId="1446195555">
    <w:abstractNumId w:val="4"/>
  </w:num>
  <w:num w:numId="21" w16cid:durableId="558327301">
    <w:abstractNumId w:val="32"/>
  </w:num>
  <w:num w:numId="22" w16cid:durableId="463500638">
    <w:abstractNumId w:val="21"/>
  </w:num>
  <w:num w:numId="23" w16cid:durableId="1527019102">
    <w:abstractNumId w:val="2"/>
  </w:num>
  <w:num w:numId="24" w16cid:durableId="1992102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6"/>
  </w:num>
  <w:num w:numId="26" w16cid:durableId="1830293373">
    <w:abstractNumId w:val="29"/>
  </w:num>
  <w:num w:numId="27"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23"/>
  </w:num>
  <w:num w:numId="33" w16cid:durableId="64184068">
    <w:abstractNumId w:val="3"/>
  </w:num>
  <w:num w:numId="34" w16cid:durableId="569195245">
    <w:abstractNumId w:val="26"/>
  </w:num>
  <w:num w:numId="35" w16cid:durableId="1357190861">
    <w:abstractNumId w:val="13"/>
  </w:num>
  <w:num w:numId="36" w16cid:durableId="2013795453">
    <w:abstractNumId w:val="14"/>
  </w:num>
  <w:num w:numId="37" w16cid:durableId="591201204">
    <w:abstractNumId w:val="7"/>
  </w:num>
  <w:num w:numId="38" w16cid:durableId="1328940829">
    <w:abstractNumId w:val="12"/>
  </w:num>
  <w:num w:numId="39" w16cid:durableId="2029597108">
    <w:abstractNumId w:val="27"/>
  </w:num>
  <w:num w:numId="40" w16cid:durableId="739717538">
    <w:abstractNumId w:val="22"/>
  </w:num>
  <w:num w:numId="41" w16cid:durableId="1084181552">
    <w:abstractNumId w:val="19"/>
  </w:num>
  <w:num w:numId="42" w16cid:durableId="282226524">
    <w:abstractNumId w:val="15"/>
  </w:num>
  <w:num w:numId="43" w16cid:durableId="1073167111">
    <w:abstractNumId w:val="20"/>
  </w:num>
  <w:num w:numId="44" w16cid:durableId="84085446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1"/>
  </w:docVars>
  <w:rsids>
    <w:rsidRoot w:val="00FC6860"/>
    <w:rsid w:val="00000EFE"/>
    <w:rsid w:val="000016D5"/>
    <w:rsid w:val="00002819"/>
    <w:rsid w:val="000032A5"/>
    <w:rsid w:val="000042A8"/>
    <w:rsid w:val="0002210B"/>
    <w:rsid w:val="0003350C"/>
    <w:rsid w:val="00036DEB"/>
    <w:rsid w:val="00037BD2"/>
    <w:rsid w:val="00042B65"/>
    <w:rsid w:val="00043DA2"/>
    <w:rsid w:val="0004428A"/>
    <w:rsid w:val="0005181F"/>
    <w:rsid w:val="00066737"/>
    <w:rsid w:val="000735F1"/>
    <w:rsid w:val="00073630"/>
    <w:rsid w:val="00076B67"/>
    <w:rsid w:val="000833AF"/>
    <w:rsid w:val="00084783"/>
    <w:rsid w:val="00084972"/>
    <w:rsid w:val="0008514C"/>
    <w:rsid w:val="000876CB"/>
    <w:rsid w:val="0009126F"/>
    <w:rsid w:val="0009203F"/>
    <w:rsid w:val="000A0438"/>
    <w:rsid w:val="000A6020"/>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7015"/>
    <w:rsid w:val="00141746"/>
    <w:rsid w:val="001526A6"/>
    <w:rsid w:val="00155088"/>
    <w:rsid w:val="0015580C"/>
    <w:rsid w:val="0015625B"/>
    <w:rsid w:val="00156D5F"/>
    <w:rsid w:val="00160B26"/>
    <w:rsid w:val="00162B03"/>
    <w:rsid w:val="001659DD"/>
    <w:rsid w:val="00175A76"/>
    <w:rsid w:val="001768F1"/>
    <w:rsid w:val="00180E47"/>
    <w:rsid w:val="001858EB"/>
    <w:rsid w:val="00194E09"/>
    <w:rsid w:val="00195C79"/>
    <w:rsid w:val="001A00F0"/>
    <w:rsid w:val="001A1058"/>
    <w:rsid w:val="001A7C6D"/>
    <w:rsid w:val="001B3FD8"/>
    <w:rsid w:val="001B54A7"/>
    <w:rsid w:val="001B551F"/>
    <w:rsid w:val="001B5A48"/>
    <w:rsid w:val="001B62CD"/>
    <w:rsid w:val="001B71F8"/>
    <w:rsid w:val="001C2782"/>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15CE"/>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036D"/>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2460"/>
    <w:rsid w:val="0042552D"/>
    <w:rsid w:val="004276BA"/>
    <w:rsid w:val="004308C7"/>
    <w:rsid w:val="00433557"/>
    <w:rsid w:val="00433D4D"/>
    <w:rsid w:val="004372B6"/>
    <w:rsid w:val="0043752D"/>
    <w:rsid w:val="00437772"/>
    <w:rsid w:val="004462A6"/>
    <w:rsid w:val="00446747"/>
    <w:rsid w:val="00451C67"/>
    <w:rsid w:val="00452F29"/>
    <w:rsid w:val="00454D76"/>
    <w:rsid w:val="00455D8A"/>
    <w:rsid w:val="00457556"/>
    <w:rsid w:val="00465E6B"/>
    <w:rsid w:val="00472A7C"/>
    <w:rsid w:val="00476327"/>
    <w:rsid w:val="0048300B"/>
    <w:rsid w:val="00485896"/>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0CDE"/>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5FCA"/>
    <w:rsid w:val="005B27FB"/>
    <w:rsid w:val="005B3ED1"/>
    <w:rsid w:val="005B621F"/>
    <w:rsid w:val="005B7791"/>
    <w:rsid w:val="005B7E88"/>
    <w:rsid w:val="005C0E21"/>
    <w:rsid w:val="005C29ED"/>
    <w:rsid w:val="005C5BD8"/>
    <w:rsid w:val="005C6471"/>
    <w:rsid w:val="005C78C8"/>
    <w:rsid w:val="005D0524"/>
    <w:rsid w:val="005D169D"/>
    <w:rsid w:val="005D4C5E"/>
    <w:rsid w:val="005D6406"/>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701F0"/>
    <w:rsid w:val="00680F51"/>
    <w:rsid w:val="00683A4B"/>
    <w:rsid w:val="00683F80"/>
    <w:rsid w:val="00691342"/>
    <w:rsid w:val="006A063F"/>
    <w:rsid w:val="006A6751"/>
    <w:rsid w:val="006B10E9"/>
    <w:rsid w:val="006B198C"/>
    <w:rsid w:val="006B27E0"/>
    <w:rsid w:val="006B431C"/>
    <w:rsid w:val="006B79EF"/>
    <w:rsid w:val="006C004C"/>
    <w:rsid w:val="006C02BD"/>
    <w:rsid w:val="006C15DB"/>
    <w:rsid w:val="006D1DD8"/>
    <w:rsid w:val="006D4741"/>
    <w:rsid w:val="006D6465"/>
    <w:rsid w:val="006D75CA"/>
    <w:rsid w:val="006E1B6F"/>
    <w:rsid w:val="006E214D"/>
    <w:rsid w:val="006E25F6"/>
    <w:rsid w:val="006E55C1"/>
    <w:rsid w:val="006F5E4C"/>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2FEF"/>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B5727"/>
    <w:rsid w:val="007C43C1"/>
    <w:rsid w:val="007D2204"/>
    <w:rsid w:val="007D5014"/>
    <w:rsid w:val="007E2744"/>
    <w:rsid w:val="007E4EC4"/>
    <w:rsid w:val="007E6E4B"/>
    <w:rsid w:val="007F3F24"/>
    <w:rsid w:val="007F4B75"/>
    <w:rsid w:val="007F6498"/>
    <w:rsid w:val="007F6B18"/>
    <w:rsid w:val="0080035B"/>
    <w:rsid w:val="00806042"/>
    <w:rsid w:val="008122F2"/>
    <w:rsid w:val="008145A2"/>
    <w:rsid w:val="0081555F"/>
    <w:rsid w:val="0081639D"/>
    <w:rsid w:val="008174A6"/>
    <w:rsid w:val="00826F5D"/>
    <w:rsid w:val="008277B1"/>
    <w:rsid w:val="00831EE0"/>
    <w:rsid w:val="0083798F"/>
    <w:rsid w:val="00837DB5"/>
    <w:rsid w:val="008406D4"/>
    <w:rsid w:val="00841B8C"/>
    <w:rsid w:val="008422F2"/>
    <w:rsid w:val="00844E58"/>
    <w:rsid w:val="00845EDF"/>
    <w:rsid w:val="008471A0"/>
    <w:rsid w:val="008475B8"/>
    <w:rsid w:val="00851E44"/>
    <w:rsid w:val="00852E5A"/>
    <w:rsid w:val="00856DAD"/>
    <w:rsid w:val="008624E2"/>
    <w:rsid w:val="008640BB"/>
    <w:rsid w:val="008667A9"/>
    <w:rsid w:val="00873479"/>
    <w:rsid w:val="0087426B"/>
    <w:rsid w:val="00882BEF"/>
    <w:rsid w:val="00884568"/>
    <w:rsid w:val="00885126"/>
    <w:rsid w:val="00886661"/>
    <w:rsid w:val="00886DE9"/>
    <w:rsid w:val="00890BB8"/>
    <w:rsid w:val="008911C0"/>
    <w:rsid w:val="00892CA9"/>
    <w:rsid w:val="00894644"/>
    <w:rsid w:val="008946A7"/>
    <w:rsid w:val="00894D7D"/>
    <w:rsid w:val="00897A5A"/>
    <w:rsid w:val="008A1C58"/>
    <w:rsid w:val="008A1E4C"/>
    <w:rsid w:val="008A25C5"/>
    <w:rsid w:val="008A6B30"/>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46FA"/>
    <w:rsid w:val="009375BF"/>
    <w:rsid w:val="0094130E"/>
    <w:rsid w:val="009617D1"/>
    <w:rsid w:val="00963E0B"/>
    <w:rsid w:val="009646F5"/>
    <w:rsid w:val="00973BC6"/>
    <w:rsid w:val="009757DA"/>
    <w:rsid w:val="00981E60"/>
    <w:rsid w:val="009822CC"/>
    <w:rsid w:val="00982820"/>
    <w:rsid w:val="009852F9"/>
    <w:rsid w:val="0099269F"/>
    <w:rsid w:val="00992B05"/>
    <w:rsid w:val="00993B2E"/>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5821"/>
    <w:rsid w:val="00A575FC"/>
    <w:rsid w:val="00A66AC8"/>
    <w:rsid w:val="00A67863"/>
    <w:rsid w:val="00A70557"/>
    <w:rsid w:val="00A739EA"/>
    <w:rsid w:val="00A73FDA"/>
    <w:rsid w:val="00A77317"/>
    <w:rsid w:val="00A90826"/>
    <w:rsid w:val="00A93476"/>
    <w:rsid w:val="00A95FB0"/>
    <w:rsid w:val="00A97AA2"/>
    <w:rsid w:val="00AB3000"/>
    <w:rsid w:val="00AB621F"/>
    <w:rsid w:val="00AB6599"/>
    <w:rsid w:val="00AC3F17"/>
    <w:rsid w:val="00AE1221"/>
    <w:rsid w:val="00AF205E"/>
    <w:rsid w:val="00AF41B0"/>
    <w:rsid w:val="00AF5A70"/>
    <w:rsid w:val="00AF7AF9"/>
    <w:rsid w:val="00B012E0"/>
    <w:rsid w:val="00B017A5"/>
    <w:rsid w:val="00B04D1F"/>
    <w:rsid w:val="00B0622B"/>
    <w:rsid w:val="00B111AB"/>
    <w:rsid w:val="00B20994"/>
    <w:rsid w:val="00B24EA2"/>
    <w:rsid w:val="00B2713B"/>
    <w:rsid w:val="00B2773F"/>
    <w:rsid w:val="00B27DA4"/>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B0C54"/>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607D"/>
    <w:rsid w:val="00D27573"/>
    <w:rsid w:val="00D3030F"/>
    <w:rsid w:val="00D3273A"/>
    <w:rsid w:val="00D3334E"/>
    <w:rsid w:val="00D401C8"/>
    <w:rsid w:val="00D40E5E"/>
    <w:rsid w:val="00D42F12"/>
    <w:rsid w:val="00D435F4"/>
    <w:rsid w:val="00D477C4"/>
    <w:rsid w:val="00D52C2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41D8"/>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2B4D"/>
    <w:rsid w:val="00E25F9C"/>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1F0C"/>
    <w:rsid w:val="00EC2A84"/>
    <w:rsid w:val="00EC3758"/>
    <w:rsid w:val="00EC4B09"/>
    <w:rsid w:val="00EC5142"/>
    <w:rsid w:val="00EC6B13"/>
    <w:rsid w:val="00ED0A15"/>
    <w:rsid w:val="00ED3BA5"/>
    <w:rsid w:val="00ED6FD1"/>
    <w:rsid w:val="00EE0513"/>
    <w:rsid w:val="00EE278D"/>
    <w:rsid w:val="00EE5809"/>
    <w:rsid w:val="00EE5FED"/>
    <w:rsid w:val="00EF09B1"/>
    <w:rsid w:val="00EF2A0C"/>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18C6"/>
    <w:rsid w:val="00F521D3"/>
    <w:rsid w:val="00F52217"/>
    <w:rsid w:val="00F52BB7"/>
    <w:rsid w:val="00F5561D"/>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93F774A"/>
    <w:rsid w:val="19641E32"/>
    <w:rsid w:val="27BEB3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orr.gov.uk/monitoring-regulation/rail/networks/network-rail/holding-network-rail-account" TargetMode="External"/><Relationship Id="rId26" Type="http://schemas.openxmlformats.org/officeDocument/2006/relationships/hyperlink" Target="http:\\www.orr.gov.uk/contact-us" TargetMode="Externa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orr.gov.uk/sites/default/files/om/netwrk_licence.pdf" TargetMode="External"/><Relationship Id="rId25" Type="http://schemas.openxmlformats.org/officeDocument/2006/relationships/hyperlink" Target="http:\\www.orr.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r.gov.uk/" TargetMode="External"/><Relationship Id="rId20" Type="http://schemas.openxmlformats.org/officeDocument/2006/relationships/hyperlink" Target="https://www.orr.gov.uk/media/2363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ationalarchives.gov.uk/doc/open-government-licence/version/3"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www.orr.gov.uk/media/23638"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yperlink" Target="https://www.bipsolutions.com/news-and-resources/cpv-codes/" TargetMode="Externa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2E1581"/>
    <w:rsid w:val="005E3D6A"/>
    <w:rsid w:val="006E0A6E"/>
    <w:rsid w:val="006E1A9B"/>
    <w:rsid w:val="00843948"/>
    <w:rsid w:val="009519DA"/>
    <w:rsid w:val="009E0644"/>
    <w:rsid w:val="00A257DF"/>
    <w:rsid w:val="00A72823"/>
    <w:rsid w:val="00F06A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13</TotalTime>
  <Pages>26</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Obtaining Stakeholder Views on the Quality of Network Rail’s Stakeholder Engagement, for Year 4 of Control Period 6</dc:subject>
  <dc:creator>Angeriz-Santos, Paula</dc:creator>
  <cp:keywords/>
  <dc:description/>
  <cp:lastModifiedBy>Augusto, Barbara</cp:lastModifiedBy>
  <cp:revision>23</cp:revision>
  <cp:lastPrinted>2022-12-31T11:35:00Z</cp:lastPrinted>
  <dcterms:created xsi:type="dcterms:W3CDTF">2023-01-04T14:45:00Z</dcterms:created>
  <dcterms:modified xsi:type="dcterms:W3CDTF">2023-01-06T13:11:00Z</dcterms:modified>
</cp:coreProperties>
</file>