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pos="1985"/>
        </w:tabs>
        <w:spacing w:after="120" w:before="120" w:lineRule="auto"/>
        <w:ind w:left="1656" w:hanging="720"/>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2">
      <w:pPr>
        <w:keepNext w:val="1"/>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16 (Benchmarking)</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pos="142"/>
        </w:tabs>
        <w:spacing w:before="120" w:lineRule="auto"/>
        <w:ind w:left="360" w:hanging="360"/>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DEFINITIONS</w:t>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tabs>
          <w:tab w:val="left" w:pos="1134"/>
        </w:tabs>
        <w:spacing w:after="120" w:before="120" w:lineRule="auto"/>
        <w:ind w:left="644"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Schedule, the following expressions shall have the following meanings:</w:t>
      </w:r>
    </w:p>
    <w:tbl>
      <w:tblPr>
        <w:tblStyle w:val="Table1"/>
        <w:tblW w:w="8042.0" w:type="dxa"/>
        <w:jc w:val="left"/>
        <w:tblInd w:w="10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00"/>
        <w:gridCol w:w="5142"/>
        <w:tblGridChange w:id="0">
          <w:tblGrid>
            <w:gridCol w:w="2900"/>
            <w:gridCol w:w="5142"/>
          </w:tblGrid>
        </w:tblGridChange>
      </w:tblGrid>
      <w:tr>
        <w:trPr>
          <w:cantSplit w:val="0"/>
          <w:tblHeader w:val="0"/>
        </w:trPr>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"Benchmark Review"</w:t>
            </w:r>
          </w:p>
        </w:tc>
        <w:tc>
          <w:tcPr>
            <w:shd w:fill="auto"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pos="175"/>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review of the Deliverables carried out in accordance with this Schedule to determine whether those Deliverables represent Good Value;</w:t>
            </w:r>
          </w:p>
        </w:tc>
      </w:tr>
      <w:tr>
        <w:trPr>
          <w:cantSplit w:val="0"/>
          <w:tblHeader w:val="0"/>
        </w:trPr>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"Benchmarked Deliverables"</w:t>
            </w:r>
          </w:p>
        </w:tc>
        <w:tc>
          <w:tcPr>
            <w:shd w:fill="auto"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pos="175"/>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Deliverables included within the scope of a Benchmark Review pursuant to this Schedule;</w:t>
            </w:r>
          </w:p>
        </w:tc>
      </w:tr>
      <w:tr>
        <w:trPr>
          <w:cantSplit w:val="0"/>
          <w:tblHeader w:val="0"/>
        </w:trPr>
        <w:tc>
          <w:tcPr>
            <w:shd w:fill="auto"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"Comparable Rates"</w:t>
            </w:r>
          </w:p>
        </w:tc>
        <w:tc>
          <w:tcPr>
            <w:shd w:fill="auto"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pos="175"/>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Charges for Comparable Deliverables;</w:t>
            </w:r>
          </w:p>
        </w:tc>
      </w:tr>
      <w:tr>
        <w:trPr>
          <w:cantSplit w:val="0"/>
          <w:tblHeader w:val="0"/>
        </w:trPr>
        <w:tc>
          <w:tcPr>
            <w:shd w:fill="auto"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"Comparable Deliverables"</w:t>
            </w:r>
          </w:p>
        </w:tc>
        <w:tc>
          <w:tcPr>
            <w:shd w:fill="auto"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pos="175"/>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trPr>
          <w:cantSplit w:val="0"/>
          <w:tblHeader w:val="0"/>
        </w:trPr>
        <w:tc>
          <w:tcPr>
            <w:shd w:fill="auto"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"Comparison Group"</w:t>
            </w:r>
          </w:p>
        </w:tc>
        <w:tc>
          <w:tcPr>
            <w:shd w:fill="auto"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pos="175"/>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trPr>
          <w:cantSplit w:val="0"/>
          <w:tblHeader w:val="0"/>
        </w:trPr>
        <w:tc>
          <w:tcPr>
            <w:shd w:fill="auto"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"Equivalent Data"</w:t>
            </w:r>
          </w:p>
        </w:tc>
        <w:tc>
          <w:tcPr>
            <w:shd w:fill="auto" w:val="clear"/>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pos="175"/>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data derived from an analysis of the Comparable Rates and/or the Comparable Deliverables (as applicable) provided by the Comparison Group;</w:t>
            </w:r>
          </w:p>
        </w:tc>
      </w:tr>
      <w:tr>
        <w:trPr>
          <w:cantSplit w:val="0"/>
          <w:tblHeader w:val="0"/>
        </w:trPr>
        <w:tc>
          <w:tcPr>
            <w:shd w:fill="auto"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"Good Value"</w:t>
            </w:r>
          </w:p>
        </w:tc>
        <w:tc>
          <w:tcPr>
            <w:shd w:fill="auto"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pos="175"/>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that the Benchmarked Rates are within the Upper Quartile; and</w:t>
            </w:r>
          </w:p>
        </w:tc>
      </w:tr>
      <w:tr>
        <w:trPr>
          <w:cantSplit w:val="0"/>
          <w:tblHeader w:val="0"/>
        </w:trPr>
        <w:tc>
          <w:tcPr>
            <w:shd w:fill="auto"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"Upper Quartile"</w:t>
            </w:r>
          </w:p>
        </w:tc>
        <w:tc>
          <w:tcPr>
            <w:shd w:fill="auto" w:val="clear"/>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pos="175"/>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rsidR="00000000" w:rsidDel="00000000" w:rsidP="00000000" w:rsidRDefault="00000000" w:rsidRPr="00000000" w14:paraId="00000015">
      <w:pPr>
        <w:keepNext w:val="1"/>
        <w:numPr>
          <w:ilvl w:val="0"/>
          <w:numId w:val="1"/>
        </w:numPr>
        <w:pBdr>
          <w:top w:space="0" w:sz="0" w:val="nil"/>
          <w:left w:space="0" w:sz="0" w:val="nil"/>
          <w:bottom w:space="0" w:sz="0" w:val="nil"/>
          <w:right w:space="0" w:sz="0" w:val="nil"/>
          <w:between w:space="0" w:sz="0" w:val="nil"/>
        </w:pBdr>
        <w:tabs>
          <w:tab w:val="left" w:pos="142"/>
        </w:tabs>
        <w:spacing w:before="120" w:lineRule="auto"/>
        <w:ind w:left="360" w:hanging="360"/>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When you should use this Schedule</w:t>
      </w:r>
      <w:r w:rsidDel="00000000" w:rsidR="00000000" w:rsidRPr="00000000">
        <w:rPr>
          <w:rtl w:val="0"/>
        </w:rPr>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tabs>
          <w:tab w:val="left" w:pos="1134"/>
        </w:tabs>
        <w:spacing w:after="120" w:before="120" w:lineRule="auto"/>
        <w:ind w:left="644"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Supplier acknowledges that the Buyer wishes to ensure that the Deliverables, represent value for money to the taxpayer throughout the Contract Period.  </w:t>
      </w:r>
      <w:r w:rsidDel="00000000" w:rsidR="00000000" w:rsidRPr="00000000">
        <w:rPr>
          <w:rtl w:val="0"/>
        </w:rPr>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tabs>
          <w:tab w:val="left" w:pos="1134"/>
        </w:tabs>
        <w:spacing w:after="120" w:before="120" w:lineRule="auto"/>
        <w:ind w:left="644"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Schedule sets to ensure the Contracts represent value for money throughout and that the Buyer may terminate the Contract by issuing a Termination Notice to the Supplier if the Supplier refuses or fails to comply with its obligations as set out in Paragraph 3 of this Schedule.</w:t>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tabs>
          <w:tab w:val="left" w:pos="1134"/>
        </w:tabs>
        <w:spacing w:after="120" w:before="120" w:lineRule="auto"/>
        <w:ind w:left="644"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Amounts payable under this Schedule shall not fall with the definition of a Cost.</w:t>
      </w:r>
    </w:p>
    <w:p w:rsidR="00000000" w:rsidDel="00000000" w:rsidP="00000000" w:rsidRDefault="00000000" w:rsidRPr="00000000" w14:paraId="00000019">
      <w:pPr>
        <w:keepNext w:val="1"/>
        <w:numPr>
          <w:ilvl w:val="0"/>
          <w:numId w:val="1"/>
        </w:numPr>
        <w:pBdr>
          <w:top w:space="0" w:sz="0" w:val="nil"/>
          <w:left w:space="0" w:sz="0" w:val="nil"/>
          <w:bottom w:space="0" w:sz="0" w:val="nil"/>
          <w:right w:space="0" w:sz="0" w:val="nil"/>
          <w:between w:space="0" w:sz="0" w:val="nil"/>
        </w:pBdr>
        <w:tabs>
          <w:tab w:val="left" w:pos="142"/>
        </w:tabs>
        <w:spacing w:before="120" w:lineRule="auto"/>
        <w:ind w:left="360" w:hanging="360"/>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Benchmarking</w:t>
      </w:r>
    </w:p>
    <w:p w:rsidR="00000000" w:rsidDel="00000000" w:rsidP="00000000" w:rsidRDefault="00000000" w:rsidRPr="00000000" w14:paraId="0000001A">
      <w:pPr>
        <w:keepNext w:val="1"/>
        <w:numPr>
          <w:ilvl w:val="1"/>
          <w:numId w:val="1"/>
        </w:numPr>
        <w:pBdr>
          <w:top w:space="0" w:sz="0" w:val="nil"/>
          <w:left w:space="0" w:sz="0" w:val="nil"/>
          <w:bottom w:space="0" w:sz="0" w:val="nil"/>
          <w:right w:space="0" w:sz="0" w:val="nil"/>
          <w:between w:space="0" w:sz="0" w:val="nil"/>
        </w:pBdr>
        <w:tabs>
          <w:tab w:val="left" w:pos="1134"/>
        </w:tabs>
        <w:spacing w:after="120" w:before="120" w:lineRule="auto"/>
        <w:ind w:left="644"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How benchmarking works</w:t>
      </w:r>
    </w:p>
    <w:p w:rsidR="00000000" w:rsidDel="00000000" w:rsidP="00000000" w:rsidRDefault="00000000" w:rsidRPr="00000000" w14:paraId="0000001B">
      <w:pPr>
        <w:numPr>
          <w:ilvl w:val="2"/>
          <w:numId w:val="1"/>
        </w:numPr>
        <w:pBdr>
          <w:top w:space="0" w:sz="0" w:val="nil"/>
          <w:left w:space="0" w:sz="0" w:val="nil"/>
          <w:bottom w:space="0" w:sz="0" w:val="nil"/>
          <w:right w:space="0" w:sz="0" w:val="nil"/>
          <w:between w:space="0" w:sz="0" w:val="nil"/>
        </w:pBdr>
        <w:tabs>
          <w:tab w:val="left" w:pos="1985"/>
        </w:tabs>
        <w:spacing w:after="120" w:before="120" w:lineRule="auto"/>
        <w:ind w:left="242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and the Supplier recognise that, where specified in Framework Schedule 4 (Framework Management), the Buyer may give CCS the right to enforce the Buyer's rights under this Schedule.</w:t>
      </w:r>
    </w:p>
    <w:p w:rsidR="00000000" w:rsidDel="00000000" w:rsidP="00000000" w:rsidRDefault="00000000" w:rsidRPr="00000000" w14:paraId="0000001C">
      <w:pPr>
        <w:numPr>
          <w:ilvl w:val="2"/>
          <w:numId w:val="1"/>
        </w:numPr>
        <w:pBdr>
          <w:top w:space="0" w:sz="0" w:val="nil"/>
          <w:left w:space="0" w:sz="0" w:val="nil"/>
          <w:bottom w:space="0" w:sz="0" w:val="nil"/>
          <w:right w:space="0" w:sz="0" w:val="nil"/>
          <w:between w:space="0" w:sz="0" w:val="nil"/>
        </w:pBdr>
        <w:tabs>
          <w:tab w:val="left" w:pos="1985"/>
        </w:tabs>
        <w:spacing w:after="120" w:before="120" w:lineRule="auto"/>
        <w:ind w:left="242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may, by written notice to the Supplier, require a Benchmark Review of any or all of the Deliverables.</w:t>
      </w:r>
    </w:p>
    <w:p w:rsidR="00000000" w:rsidDel="00000000" w:rsidP="00000000" w:rsidRDefault="00000000" w:rsidRPr="00000000" w14:paraId="0000001D">
      <w:pPr>
        <w:numPr>
          <w:ilvl w:val="2"/>
          <w:numId w:val="1"/>
        </w:numPr>
        <w:pBdr>
          <w:top w:space="0" w:sz="0" w:val="nil"/>
          <w:left w:space="0" w:sz="0" w:val="nil"/>
          <w:bottom w:space="0" w:sz="0" w:val="nil"/>
          <w:right w:space="0" w:sz="0" w:val="nil"/>
          <w:between w:space="0" w:sz="0" w:val="nil"/>
        </w:pBdr>
        <w:tabs>
          <w:tab w:val="left" w:pos="1985"/>
        </w:tabs>
        <w:spacing w:after="120" w:before="120" w:lineRule="auto"/>
        <w:ind w:left="242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shall not be entitled to request a Benchmark Review during the first six (6) Month period from the Contract Commencement Date or at intervals of less than twelve (12) Months after any previous Benchmark Review. </w:t>
      </w:r>
    </w:p>
    <w:p w:rsidR="00000000" w:rsidDel="00000000" w:rsidP="00000000" w:rsidRDefault="00000000" w:rsidRPr="00000000" w14:paraId="0000001E">
      <w:pPr>
        <w:numPr>
          <w:ilvl w:val="2"/>
          <w:numId w:val="1"/>
        </w:numPr>
        <w:pBdr>
          <w:top w:space="0" w:sz="0" w:val="nil"/>
          <w:left w:space="0" w:sz="0" w:val="nil"/>
          <w:bottom w:space="0" w:sz="0" w:val="nil"/>
          <w:right w:space="0" w:sz="0" w:val="nil"/>
          <w:between w:space="0" w:sz="0" w:val="nil"/>
        </w:pBdr>
        <w:tabs>
          <w:tab w:val="left" w:pos="1985"/>
        </w:tabs>
        <w:spacing w:after="120" w:before="120" w:lineRule="auto"/>
        <w:ind w:left="242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purpose of a Benchmark Review will be to establish whether the Benchmarked Deliverables are, individually and/or as a whole, Good Value.</w:t>
      </w:r>
    </w:p>
    <w:p w:rsidR="00000000" w:rsidDel="00000000" w:rsidP="00000000" w:rsidRDefault="00000000" w:rsidRPr="00000000" w14:paraId="0000001F">
      <w:pPr>
        <w:numPr>
          <w:ilvl w:val="2"/>
          <w:numId w:val="1"/>
        </w:numPr>
        <w:pBdr>
          <w:top w:space="0" w:sz="0" w:val="nil"/>
          <w:left w:space="0" w:sz="0" w:val="nil"/>
          <w:bottom w:space="0" w:sz="0" w:val="nil"/>
          <w:right w:space="0" w:sz="0" w:val="nil"/>
          <w:between w:space="0" w:sz="0" w:val="nil"/>
        </w:pBdr>
        <w:tabs>
          <w:tab w:val="left" w:pos="1985"/>
        </w:tabs>
        <w:spacing w:after="120" w:before="120" w:lineRule="auto"/>
        <w:ind w:left="242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Deliverables that are to be the Benchmarked Deliverables will be identified by the Buyer in writing.</w:t>
      </w:r>
    </w:p>
    <w:p w:rsidR="00000000" w:rsidDel="00000000" w:rsidP="00000000" w:rsidRDefault="00000000" w:rsidRPr="00000000" w14:paraId="00000020">
      <w:pPr>
        <w:numPr>
          <w:ilvl w:val="2"/>
          <w:numId w:val="1"/>
        </w:numPr>
        <w:pBdr>
          <w:top w:space="0" w:sz="0" w:val="nil"/>
          <w:left w:space="0" w:sz="0" w:val="nil"/>
          <w:bottom w:space="0" w:sz="0" w:val="nil"/>
          <w:right w:space="0" w:sz="0" w:val="nil"/>
          <w:between w:space="0" w:sz="0" w:val="nil"/>
        </w:pBdr>
        <w:tabs>
          <w:tab w:val="left" w:pos="1985"/>
        </w:tabs>
        <w:spacing w:after="120" w:before="120" w:lineRule="auto"/>
        <w:ind w:left="242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 </w:t>
      </w:r>
    </w:p>
    <w:p w:rsidR="00000000" w:rsidDel="00000000" w:rsidP="00000000" w:rsidRDefault="00000000" w:rsidRPr="00000000" w14:paraId="00000021">
      <w:pPr>
        <w:numPr>
          <w:ilvl w:val="2"/>
          <w:numId w:val="1"/>
        </w:numPr>
        <w:pBdr>
          <w:top w:space="0" w:sz="0" w:val="nil"/>
          <w:left w:space="0" w:sz="0" w:val="nil"/>
          <w:bottom w:space="0" w:sz="0" w:val="nil"/>
          <w:right w:space="0" w:sz="0" w:val="nil"/>
          <w:between w:space="0" w:sz="0" w:val="nil"/>
        </w:pBdr>
        <w:tabs>
          <w:tab w:val="left" w:pos="1985"/>
        </w:tabs>
        <w:spacing w:after="120" w:before="120" w:lineRule="auto"/>
        <w:ind w:left="242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rsidR="00000000" w:rsidDel="00000000" w:rsidP="00000000" w:rsidRDefault="00000000" w:rsidRPr="00000000" w14:paraId="00000022">
      <w:pPr>
        <w:keepNext w:val="1"/>
        <w:numPr>
          <w:ilvl w:val="1"/>
          <w:numId w:val="1"/>
        </w:numPr>
        <w:pBdr>
          <w:top w:space="0" w:sz="0" w:val="nil"/>
          <w:left w:space="0" w:sz="0" w:val="nil"/>
          <w:bottom w:space="0" w:sz="0" w:val="nil"/>
          <w:right w:space="0" w:sz="0" w:val="nil"/>
          <w:between w:space="0" w:sz="0" w:val="nil"/>
        </w:pBdr>
        <w:tabs>
          <w:tab w:val="left" w:pos="1134"/>
        </w:tabs>
        <w:spacing w:after="120" w:before="120" w:lineRule="auto"/>
        <w:ind w:left="644"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Benchmarking Process</w:t>
      </w:r>
    </w:p>
    <w:p w:rsidR="00000000" w:rsidDel="00000000" w:rsidP="00000000" w:rsidRDefault="00000000" w:rsidRPr="00000000" w14:paraId="00000023">
      <w:pPr>
        <w:keepNext w:val="1"/>
        <w:numPr>
          <w:ilvl w:val="2"/>
          <w:numId w:val="1"/>
        </w:numPr>
        <w:pBdr>
          <w:top w:space="0" w:sz="0" w:val="nil"/>
          <w:left w:space="0" w:sz="0" w:val="nil"/>
          <w:bottom w:space="0" w:sz="0" w:val="nil"/>
          <w:right w:space="0" w:sz="0" w:val="nil"/>
          <w:between w:space="0" w:sz="0" w:val="nil"/>
        </w:pBdr>
        <w:tabs>
          <w:tab w:val="left" w:pos="1985"/>
        </w:tabs>
        <w:spacing w:after="120" w:before="120" w:lineRule="auto"/>
        <w:ind w:left="2422" w:hanging="720"/>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color w:val="000000"/>
          <w:sz w:val="24"/>
          <w:szCs w:val="24"/>
          <w:rtl w:val="0"/>
        </w:rPr>
        <w:t xml:space="preserve">The benchmarker shall produce and send to the Buyer, for Approval, a draft plan for the Benchmark Review which must include:</w:t>
      </w:r>
    </w:p>
    <w:p w:rsidR="00000000" w:rsidDel="00000000" w:rsidP="00000000" w:rsidRDefault="00000000" w:rsidRPr="00000000" w14:paraId="00000024">
      <w:pPr>
        <w:numPr>
          <w:ilvl w:val="3"/>
          <w:numId w:val="1"/>
        </w:numPr>
        <w:pBdr>
          <w:top w:space="0" w:sz="0" w:val="nil"/>
          <w:left w:space="0" w:sz="0" w:val="nil"/>
          <w:bottom w:space="0" w:sz="0" w:val="nil"/>
          <w:right w:space="0" w:sz="0" w:val="nil"/>
          <w:between w:space="0" w:sz="0" w:val="nil"/>
        </w:pBdr>
        <w:tabs>
          <w:tab w:val="left" w:pos="1985"/>
        </w:tabs>
        <w:spacing w:after="120" w:before="120" w:lineRule="auto"/>
        <w:ind w:left="2563"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proposed cost and timetable for the Benchmark Review;</w:t>
      </w:r>
    </w:p>
    <w:p w:rsidR="00000000" w:rsidDel="00000000" w:rsidP="00000000" w:rsidRDefault="00000000" w:rsidRPr="00000000" w14:paraId="00000025">
      <w:pPr>
        <w:numPr>
          <w:ilvl w:val="3"/>
          <w:numId w:val="1"/>
        </w:numPr>
        <w:pBdr>
          <w:top w:space="0" w:sz="0" w:val="nil"/>
          <w:left w:space="0" w:sz="0" w:val="nil"/>
          <w:bottom w:space="0" w:sz="0" w:val="nil"/>
          <w:right w:space="0" w:sz="0" w:val="nil"/>
          <w:between w:space="0" w:sz="0" w:val="nil"/>
        </w:pBdr>
        <w:tabs>
          <w:tab w:val="left" w:pos="1985"/>
        </w:tabs>
        <w:spacing w:after="120" w:before="120" w:lineRule="auto"/>
        <w:ind w:left="2563"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description of the benchmarking methodology to be used which must demonstrate that the methodology to be used is capable of fulfilling the benchmarking purpose; and</w:t>
      </w:r>
    </w:p>
    <w:p w:rsidR="00000000" w:rsidDel="00000000" w:rsidP="00000000" w:rsidRDefault="00000000" w:rsidRPr="00000000" w14:paraId="00000026">
      <w:pPr>
        <w:numPr>
          <w:ilvl w:val="3"/>
          <w:numId w:val="1"/>
        </w:numPr>
        <w:pBdr>
          <w:top w:space="0" w:sz="0" w:val="nil"/>
          <w:left w:space="0" w:sz="0" w:val="nil"/>
          <w:bottom w:space="0" w:sz="0" w:val="nil"/>
          <w:right w:space="0" w:sz="0" w:val="nil"/>
          <w:between w:space="0" w:sz="0" w:val="nil"/>
        </w:pBdr>
        <w:tabs>
          <w:tab w:val="left" w:pos="1985"/>
        </w:tabs>
        <w:spacing w:after="120" w:before="120" w:lineRule="auto"/>
        <w:ind w:left="2563"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description of how the benchmarker will scope and identify the Comparison Group. </w:t>
      </w:r>
    </w:p>
    <w:p w:rsidR="00000000" w:rsidDel="00000000" w:rsidP="00000000" w:rsidRDefault="00000000" w:rsidRPr="00000000" w14:paraId="00000027">
      <w:pPr>
        <w:numPr>
          <w:ilvl w:val="2"/>
          <w:numId w:val="1"/>
        </w:numPr>
        <w:pBdr>
          <w:top w:space="0" w:sz="0" w:val="nil"/>
          <w:left w:space="0" w:sz="0" w:val="nil"/>
          <w:bottom w:space="0" w:sz="0" w:val="nil"/>
          <w:right w:space="0" w:sz="0" w:val="nil"/>
          <w:between w:space="0" w:sz="0" w:val="nil"/>
        </w:pBdr>
        <w:tabs>
          <w:tab w:val="left" w:pos="1985"/>
        </w:tabs>
        <w:spacing w:after="120" w:before="120" w:lineRule="auto"/>
        <w:ind w:left="2422" w:hanging="720"/>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The benchmarker, acting reasonably, shall be entitled to use any model to determine the achievement of value for money and to carry out the benchmarking. </w:t>
      </w:r>
    </w:p>
    <w:p w:rsidR="00000000" w:rsidDel="00000000" w:rsidP="00000000" w:rsidRDefault="00000000" w:rsidRPr="00000000" w14:paraId="00000028">
      <w:pPr>
        <w:numPr>
          <w:ilvl w:val="2"/>
          <w:numId w:val="1"/>
        </w:numPr>
        <w:pBdr>
          <w:top w:space="0" w:sz="0" w:val="nil"/>
          <w:left w:space="0" w:sz="0" w:val="nil"/>
          <w:bottom w:space="0" w:sz="0" w:val="nil"/>
          <w:right w:space="0" w:sz="0" w:val="nil"/>
          <w:between w:space="0" w:sz="0" w:val="nil"/>
        </w:pBdr>
        <w:tabs>
          <w:tab w:val="left" w:pos="1985"/>
        </w:tabs>
        <w:spacing w:after="120" w:before="120" w:lineRule="auto"/>
        <w:ind w:left="2422" w:hanging="720"/>
        <w:rPr>
          <w:rFonts w:ascii="Arial" w:cs="Arial" w:eastAsia="Arial" w:hAnsi="Arial"/>
          <w:color w:val="000000"/>
          <w:sz w:val="24"/>
          <w:szCs w:val="24"/>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 3.2.3 shall apply to any amended draft plan.</w:t>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tabs>
          <w:tab w:val="left" w:pos="1985"/>
        </w:tabs>
        <w:spacing w:after="120" w:before="120" w:lineRule="auto"/>
        <w:ind w:left="242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Once both Parties have approved the draft plan then they will notify the benchmarker.  No Party may unreasonably withhold or delay its Approval of the draft plan.</w:t>
      </w:r>
    </w:p>
    <w:p w:rsidR="00000000" w:rsidDel="00000000" w:rsidP="00000000" w:rsidRDefault="00000000" w:rsidRPr="00000000" w14:paraId="0000002A">
      <w:pPr>
        <w:keepNext w:val="1"/>
        <w:numPr>
          <w:ilvl w:val="2"/>
          <w:numId w:val="1"/>
        </w:numPr>
        <w:pBdr>
          <w:top w:space="0" w:sz="0" w:val="nil"/>
          <w:left w:space="0" w:sz="0" w:val="nil"/>
          <w:bottom w:space="0" w:sz="0" w:val="nil"/>
          <w:right w:space="0" w:sz="0" w:val="nil"/>
          <w:between w:space="0" w:sz="0" w:val="nil"/>
        </w:pBdr>
        <w:tabs>
          <w:tab w:val="left" w:pos="1985"/>
        </w:tabs>
        <w:spacing w:after="120" w:before="120" w:lineRule="auto"/>
        <w:ind w:left="242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Once it has received the Approval of the draft plan, the benchmarker shall:</w:t>
      </w:r>
    </w:p>
    <w:p w:rsidR="00000000" w:rsidDel="00000000" w:rsidP="00000000" w:rsidRDefault="00000000" w:rsidRPr="00000000" w14:paraId="0000002B">
      <w:pPr>
        <w:numPr>
          <w:ilvl w:val="3"/>
          <w:numId w:val="1"/>
        </w:numPr>
        <w:pBdr>
          <w:top w:space="0" w:sz="0" w:val="nil"/>
          <w:left w:space="0" w:sz="0" w:val="nil"/>
          <w:bottom w:space="0" w:sz="0" w:val="nil"/>
          <w:right w:space="0" w:sz="0" w:val="nil"/>
          <w:between w:space="0" w:sz="0" w:val="nil"/>
        </w:pBdr>
        <w:tabs>
          <w:tab w:val="left" w:pos="1985"/>
        </w:tabs>
        <w:spacing w:after="120" w:before="120" w:lineRule="auto"/>
        <w:ind w:left="2563"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finalise the Comparison Group and collect data relating to Comparable Rates. The selection of the Comparable Rates (both in terms of number and identity) shall be a matter for the Supplier's professional judgment using:</w:t>
      </w:r>
    </w:p>
    <w:p w:rsidR="00000000" w:rsidDel="00000000" w:rsidP="00000000" w:rsidRDefault="00000000" w:rsidRPr="00000000" w14:paraId="0000002C">
      <w:pPr>
        <w:numPr>
          <w:ilvl w:val="4"/>
          <w:numId w:val="1"/>
        </w:numPr>
        <w:pBdr>
          <w:top w:space="0" w:sz="0" w:val="nil"/>
          <w:left w:space="0" w:sz="0" w:val="nil"/>
          <w:bottom w:space="0" w:sz="0" w:val="nil"/>
          <w:right w:space="0" w:sz="0" w:val="nil"/>
          <w:between w:space="0" w:sz="0" w:val="nil"/>
        </w:pBdr>
        <w:tabs>
          <w:tab w:val="left" w:pos="3119"/>
        </w:tabs>
        <w:spacing w:after="120" w:before="120" w:lineRule="auto"/>
        <w:ind w:left="1440"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market intelligence;</w:t>
      </w:r>
    </w:p>
    <w:p w:rsidR="00000000" w:rsidDel="00000000" w:rsidP="00000000" w:rsidRDefault="00000000" w:rsidRPr="00000000" w14:paraId="0000002D">
      <w:pPr>
        <w:numPr>
          <w:ilvl w:val="4"/>
          <w:numId w:val="1"/>
        </w:numPr>
        <w:pBdr>
          <w:top w:space="0" w:sz="0" w:val="nil"/>
          <w:left w:space="0" w:sz="0" w:val="nil"/>
          <w:bottom w:space="0" w:sz="0" w:val="nil"/>
          <w:right w:space="0" w:sz="0" w:val="nil"/>
          <w:between w:space="0" w:sz="0" w:val="nil"/>
        </w:pBdr>
        <w:tabs>
          <w:tab w:val="left" w:pos="3119"/>
        </w:tabs>
        <w:spacing w:after="120" w:before="120" w:lineRule="auto"/>
        <w:ind w:left="1440"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benchmarker’s own data and experience;</w:t>
      </w:r>
    </w:p>
    <w:p w:rsidR="00000000" w:rsidDel="00000000" w:rsidP="00000000" w:rsidRDefault="00000000" w:rsidRPr="00000000" w14:paraId="0000002E">
      <w:pPr>
        <w:numPr>
          <w:ilvl w:val="4"/>
          <w:numId w:val="1"/>
        </w:numPr>
        <w:pBdr>
          <w:top w:space="0" w:sz="0" w:val="nil"/>
          <w:left w:space="0" w:sz="0" w:val="nil"/>
          <w:bottom w:space="0" w:sz="0" w:val="nil"/>
          <w:right w:space="0" w:sz="0" w:val="nil"/>
          <w:between w:space="0" w:sz="0" w:val="nil"/>
        </w:pBdr>
        <w:tabs>
          <w:tab w:val="left" w:pos="3119"/>
        </w:tabs>
        <w:spacing w:after="120" w:before="120" w:lineRule="auto"/>
        <w:ind w:left="1440" w:hanging="108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relevant published information; and</w:t>
      </w:r>
    </w:p>
    <w:p w:rsidR="00000000" w:rsidDel="00000000" w:rsidP="00000000" w:rsidRDefault="00000000" w:rsidRPr="00000000" w14:paraId="0000002F">
      <w:pPr>
        <w:numPr>
          <w:ilvl w:val="4"/>
          <w:numId w:val="1"/>
        </w:numPr>
        <w:pBdr>
          <w:top w:space="0" w:sz="0" w:val="nil"/>
          <w:left w:space="0" w:sz="0" w:val="nil"/>
          <w:bottom w:space="0" w:sz="0" w:val="nil"/>
          <w:right w:space="0" w:sz="0" w:val="nil"/>
          <w:between w:space="0" w:sz="0" w:val="nil"/>
        </w:pBdr>
        <w:tabs>
          <w:tab w:val="left" w:pos="3119"/>
        </w:tabs>
        <w:spacing w:after="120" w:before="120" w:lineRule="auto"/>
        <w:ind w:left="1440" w:hanging="1080"/>
        <w:rPr>
          <w:rFonts w:ascii="Arial" w:cs="Arial" w:eastAsia="Arial" w:hAnsi="Arial"/>
          <w:color w:val="000000"/>
          <w:sz w:val="24"/>
          <w:szCs w:val="24"/>
        </w:rPr>
      </w:pPr>
      <w:bookmarkStart w:colFirst="0" w:colLast="0" w:name="_heading=h.3znysh7" w:id="3"/>
      <w:bookmarkEnd w:id="3"/>
      <w:r w:rsidDel="00000000" w:rsidR="00000000" w:rsidRPr="00000000">
        <w:rPr>
          <w:rFonts w:ascii="Arial" w:cs="Arial" w:eastAsia="Arial" w:hAnsi="Arial"/>
          <w:color w:val="000000"/>
          <w:sz w:val="24"/>
          <w:szCs w:val="24"/>
          <w:rtl w:val="0"/>
        </w:rPr>
        <w:t xml:space="preserve">pursuant to Paragraph 3.2.6  below, information from other suppliers or purchasers on Comparable Rates;</w:t>
      </w:r>
    </w:p>
    <w:p w:rsidR="00000000" w:rsidDel="00000000" w:rsidP="00000000" w:rsidRDefault="00000000" w:rsidRPr="00000000" w14:paraId="00000030">
      <w:pPr>
        <w:numPr>
          <w:ilvl w:val="3"/>
          <w:numId w:val="1"/>
        </w:numPr>
        <w:pBdr>
          <w:top w:space="0" w:sz="0" w:val="nil"/>
          <w:left w:space="0" w:sz="0" w:val="nil"/>
          <w:bottom w:space="0" w:sz="0" w:val="nil"/>
          <w:right w:space="0" w:sz="0" w:val="nil"/>
          <w:between w:space="0" w:sz="0" w:val="nil"/>
        </w:pBdr>
        <w:tabs>
          <w:tab w:val="left" w:pos="1985"/>
        </w:tabs>
        <w:spacing w:after="120" w:before="120" w:lineRule="auto"/>
        <w:ind w:left="2563"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by applying the adjustment factors listed in Paragraph 3.2.7 and from an analysis of the Comparable Rates, derive the Equivalent Data;</w:t>
      </w:r>
    </w:p>
    <w:p w:rsidR="00000000" w:rsidDel="00000000" w:rsidP="00000000" w:rsidRDefault="00000000" w:rsidRPr="00000000" w14:paraId="00000031">
      <w:pPr>
        <w:numPr>
          <w:ilvl w:val="3"/>
          <w:numId w:val="1"/>
        </w:numPr>
        <w:pBdr>
          <w:top w:space="0" w:sz="0" w:val="nil"/>
          <w:left w:space="0" w:sz="0" w:val="nil"/>
          <w:bottom w:space="0" w:sz="0" w:val="nil"/>
          <w:right w:space="0" w:sz="0" w:val="nil"/>
          <w:between w:space="0" w:sz="0" w:val="nil"/>
        </w:pBdr>
        <w:tabs>
          <w:tab w:val="left" w:pos="1985"/>
        </w:tabs>
        <w:spacing w:after="120" w:before="120" w:lineRule="auto"/>
        <w:ind w:left="2563"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using the Equivalent Data, calculate the Upper Quartile;</w:t>
      </w:r>
    </w:p>
    <w:p w:rsidR="00000000" w:rsidDel="00000000" w:rsidP="00000000" w:rsidRDefault="00000000" w:rsidRPr="00000000" w14:paraId="00000032">
      <w:pPr>
        <w:numPr>
          <w:ilvl w:val="3"/>
          <w:numId w:val="1"/>
        </w:numPr>
        <w:pBdr>
          <w:top w:space="0" w:sz="0" w:val="nil"/>
          <w:left w:space="0" w:sz="0" w:val="nil"/>
          <w:bottom w:space="0" w:sz="0" w:val="nil"/>
          <w:right w:space="0" w:sz="0" w:val="nil"/>
          <w:between w:space="0" w:sz="0" w:val="nil"/>
        </w:pBdr>
        <w:tabs>
          <w:tab w:val="left" w:pos="1985"/>
        </w:tabs>
        <w:spacing w:after="120" w:before="120" w:lineRule="auto"/>
        <w:ind w:left="2563"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determine whether or not each Benchmarked Rate is, and/or the Benchmarked Rates as a whole are, Good Value.</w:t>
      </w:r>
    </w:p>
    <w:p w:rsidR="00000000" w:rsidDel="00000000" w:rsidP="00000000" w:rsidRDefault="00000000" w:rsidRPr="00000000" w14:paraId="00000033">
      <w:pPr>
        <w:numPr>
          <w:ilvl w:val="2"/>
          <w:numId w:val="1"/>
        </w:numPr>
        <w:pBdr>
          <w:top w:space="0" w:sz="0" w:val="nil"/>
          <w:left w:space="0" w:sz="0" w:val="nil"/>
          <w:bottom w:space="0" w:sz="0" w:val="nil"/>
          <w:right w:space="0" w:sz="0" w:val="nil"/>
          <w:between w:space="0" w:sz="0" w:val="nil"/>
        </w:pBdr>
        <w:tabs>
          <w:tab w:val="left" w:pos="1985"/>
        </w:tabs>
        <w:spacing w:after="120" w:before="120" w:lineRule="auto"/>
        <w:ind w:left="2422" w:hanging="720"/>
        <w:rPr>
          <w:rFonts w:ascii="Arial" w:cs="Arial" w:eastAsia="Arial" w:hAnsi="Arial"/>
          <w:color w:val="000000"/>
          <w:sz w:val="24"/>
          <w:szCs w:val="24"/>
        </w:rPr>
      </w:pPr>
      <w:bookmarkStart w:colFirst="0" w:colLast="0" w:name="_heading=h.2et92p0" w:id="4"/>
      <w:bookmarkEnd w:id="4"/>
      <w:r w:rsidDel="00000000" w:rsidR="00000000" w:rsidRPr="00000000">
        <w:rPr>
          <w:rFonts w:ascii="Arial" w:cs="Arial" w:eastAsia="Arial" w:hAnsi="Arial"/>
          <w:color w:val="000000"/>
          <w:sz w:val="24"/>
          <w:szCs w:val="24"/>
          <w:rtl w:val="0"/>
        </w:rPr>
        <w:t xml:space="preserve">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p>
    <w:p w:rsidR="00000000" w:rsidDel="00000000" w:rsidP="00000000" w:rsidRDefault="00000000" w:rsidRPr="00000000" w14:paraId="00000034">
      <w:pPr>
        <w:keepNext w:val="1"/>
        <w:numPr>
          <w:ilvl w:val="2"/>
          <w:numId w:val="1"/>
        </w:numPr>
        <w:pBdr>
          <w:top w:space="0" w:sz="0" w:val="nil"/>
          <w:left w:space="0" w:sz="0" w:val="nil"/>
          <w:bottom w:space="0" w:sz="0" w:val="nil"/>
          <w:right w:space="0" w:sz="0" w:val="nil"/>
          <w:between w:space="0" w:sz="0" w:val="nil"/>
        </w:pBdr>
        <w:tabs>
          <w:tab w:val="left" w:pos="1985"/>
        </w:tabs>
        <w:spacing w:after="120" w:before="120" w:lineRule="auto"/>
        <w:ind w:left="2422" w:hanging="720"/>
        <w:rPr>
          <w:rFonts w:ascii="Arial" w:cs="Arial" w:eastAsia="Arial" w:hAnsi="Arial"/>
          <w:color w:val="000000"/>
          <w:sz w:val="24"/>
          <w:szCs w:val="24"/>
        </w:rPr>
      </w:pPr>
      <w:bookmarkStart w:colFirst="0" w:colLast="0" w:name="_heading=h.tyjcwt" w:id="5"/>
      <w:bookmarkEnd w:id="5"/>
      <w:r w:rsidDel="00000000" w:rsidR="00000000" w:rsidRPr="00000000">
        <w:rPr>
          <w:rFonts w:ascii="Arial" w:cs="Arial" w:eastAsia="Arial" w:hAnsi="Arial"/>
          <w:color w:val="000000"/>
          <w:sz w:val="24"/>
          <w:szCs w:val="24"/>
          <w:rtl w:val="0"/>
        </w:rPr>
        <w:t xml:space="preserve">In carrying out the benchmarking analysis the benchmarker may have regard to the following matters when performing a comparative assessment of the Benchmarked Rates and the Comparable Rates in order to derive Equivalent Data:</w:t>
      </w:r>
    </w:p>
    <w:p w:rsidR="00000000" w:rsidDel="00000000" w:rsidP="00000000" w:rsidRDefault="00000000" w:rsidRPr="00000000" w14:paraId="00000035">
      <w:pPr>
        <w:numPr>
          <w:ilvl w:val="3"/>
          <w:numId w:val="1"/>
        </w:numPr>
        <w:pBdr>
          <w:top w:space="0" w:sz="0" w:val="nil"/>
          <w:left w:space="0" w:sz="0" w:val="nil"/>
          <w:bottom w:space="0" w:sz="0" w:val="nil"/>
          <w:right w:space="0" w:sz="0" w:val="nil"/>
          <w:between w:space="0" w:sz="0" w:val="nil"/>
        </w:pBdr>
        <w:tabs>
          <w:tab w:val="left" w:pos="1985"/>
        </w:tabs>
        <w:spacing w:after="120" w:before="120" w:lineRule="auto"/>
        <w:ind w:left="2563"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contractual terms and business environment under which the Comparable Rates are being provided (including the scale and geographical spread of the customers);</w:t>
      </w:r>
    </w:p>
    <w:p w:rsidR="00000000" w:rsidDel="00000000" w:rsidP="00000000" w:rsidRDefault="00000000" w:rsidRPr="00000000" w14:paraId="00000036">
      <w:pPr>
        <w:numPr>
          <w:ilvl w:val="3"/>
          <w:numId w:val="1"/>
        </w:numPr>
        <w:pBdr>
          <w:top w:space="0" w:sz="0" w:val="nil"/>
          <w:left w:space="0" w:sz="0" w:val="nil"/>
          <w:bottom w:space="0" w:sz="0" w:val="nil"/>
          <w:right w:space="0" w:sz="0" w:val="nil"/>
          <w:between w:space="0" w:sz="0" w:val="nil"/>
        </w:pBdr>
        <w:tabs>
          <w:tab w:val="left" w:pos="1985"/>
        </w:tabs>
        <w:spacing w:after="120" w:before="120" w:lineRule="auto"/>
        <w:ind w:left="2563"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exchange rates;</w:t>
      </w:r>
    </w:p>
    <w:p w:rsidR="00000000" w:rsidDel="00000000" w:rsidP="00000000" w:rsidRDefault="00000000" w:rsidRPr="00000000" w14:paraId="00000037">
      <w:pPr>
        <w:numPr>
          <w:ilvl w:val="3"/>
          <w:numId w:val="1"/>
        </w:numPr>
        <w:pBdr>
          <w:top w:space="0" w:sz="0" w:val="nil"/>
          <w:left w:space="0" w:sz="0" w:val="nil"/>
          <w:bottom w:space="0" w:sz="0" w:val="nil"/>
          <w:right w:space="0" w:sz="0" w:val="nil"/>
          <w:between w:space="0" w:sz="0" w:val="nil"/>
        </w:pBdr>
        <w:tabs>
          <w:tab w:val="left" w:pos="1985"/>
        </w:tabs>
        <w:spacing w:after="120" w:before="120" w:lineRule="auto"/>
        <w:ind w:left="2563"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other factors reasonably identified by the Supplier, which, if not taken into consideration, could unfairly cause the Supplier's pricing to appear non-competitive.</w:t>
      </w:r>
    </w:p>
    <w:p w:rsidR="00000000" w:rsidDel="00000000" w:rsidP="00000000" w:rsidRDefault="00000000" w:rsidRPr="00000000" w14:paraId="00000038">
      <w:pPr>
        <w:keepNext w:val="1"/>
        <w:numPr>
          <w:ilvl w:val="1"/>
          <w:numId w:val="1"/>
        </w:numPr>
        <w:pBdr>
          <w:top w:space="0" w:sz="0" w:val="nil"/>
          <w:left w:space="0" w:sz="0" w:val="nil"/>
          <w:bottom w:space="0" w:sz="0" w:val="nil"/>
          <w:right w:space="0" w:sz="0" w:val="nil"/>
          <w:between w:space="0" w:sz="0" w:val="nil"/>
        </w:pBdr>
        <w:tabs>
          <w:tab w:val="left" w:pos="1134"/>
        </w:tabs>
        <w:spacing w:after="120" w:before="120" w:lineRule="auto"/>
        <w:ind w:left="648" w:hanging="21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Benchmarking Report</w:t>
      </w:r>
    </w:p>
    <w:p w:rsidR="00000000" w:rsidDel="00000000" w:rsidP="00000000" w:rsidRDefault="00000000" w:rsidRPr="00000000" w14:paraId="00000039">
      <w:pPr>
        <w:numPr>
          <w:ilvl w:val="2"/>
          <w:numId w:val="1"/>
        </w:numPr>
        <w:pBdr>
          <w:top w:space="0" w:sz="0" w:val="nil"/>
          <w:left w:space="0" w:sz="0" w:val="nil"/>
          <w:bottom w:space="0" w:sz="0" w:val="nil"/>
          <w:right w:space="0" w:sz="0" w:val="nil"/>
          <w:between w:space="0" w:sz="0" w:val="nil"/>
        </w:pBdr>
        <w:tabs>
          <w:tab w:val="left" w:pos="1985"/>
        </w:tabs>
        <w:spacing w:after="120" w:before="120" w:lineRule="auto"/>
        <w:ind w:left="242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purposes of this Schedule </w:t>
      </w:r>
      <w:r w:rsidDel="00000000" w:rsidR="00000000" w:rsidRPr="00000000">
        <w:rPr>
          <w:rFonts w:ascii="Arial" w:cs="Arial" w:eastAsia="Arial" w:hAnsi="Arial"/>
          <w:b w:val="1"/>
          <w:color w:val="000000"/>
          <w:sz w:val="24"/>
          <w:szCs w:val="24"/>
          <w:rtl w:val="0"/>
        </w:rPr>
        <w:t xml:space="preserve">"Benchmarking Report"</w:t>
      </w:r>
      <w:r w:rsidDel="00000000" w:rsidR="00000000" w:rsidRPr="00000000">
        <w:rPr>
          <w:rFonts w:ascii="Arial" w:cs="Arial" w:eastAsia="Arial" w:hAnsi="Arial"/>
          <w:color w:val="000000"/>
          <w:sz w:val="24"/>
          <w:szCs w:val="24"/>
          <w:rtl w:val="0"/>
        </w:rPr>
        <w:t xml:space="preserve"> shall mean the report produced by the benchmarker following the Benchmark Review and as further described in this Schedule;</w:t>
      </w:r>
    </w:p>
    <w:p w:rsidR="00000000" w:rsidDel="00000000" w:rsidP="00000000" w:rsidRDefault="00000000" w:rsidRPr="00000000" w14:paraId="0000003A">
      <w:pPr>
        <w:keepNext w:val="1"/>
        <w:numPr>
          <w:ilvl w:val="2"/>
          <w:numId w:val="1"/>
        </w:numPr>
        <w:pBdr>
          <w:top w:space="0" w:sz="0" w:val="nil"/>
          <w:left w:space="0" w:sz="0" w:val="nil"/>
          <w:bottom w:space="0" w:sz="0" w:val="nil"/>
          <w:right w:space="0" w:sz="0" w:val="nil"/>
          <w:between w:space="0" w:sz="0" w:val="nil"/>
        </w:pBdr>
        <w:tabs>
          <w:tab w:val="left" w:pos="1985"/>
        </w:tabs>
        <w:spacing w:after="120" w:before="120" w:lineRule="auto"/>
        <w:ind w:left="242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benchmarker shall prepare a Benchmarking Report and deliver it to the Buyer, at the time specified in the plan Approved pursuant to Paragraph 3.2.3, setting out its findings.  Those findings shall be required to:</w:t>
      </w:r>
    </w:p>
    <w:p w:rsidR="00000000" w:rsidDel="00000000" w:rsidP="00000000" w:rsidRDefault="00000000" w:rsidRPr="00000000" w14:paraId="0000003B">
      <w:pPr>
        <w:numPr>
          <w:ilvl w:val="3"/>
          <w:numId w:val="1"/>
        </w:numPr>
        <w:pBdr>
          <w:top w:space="0" w:sz="0" w:val="nil"/>
          <w:left w:space="0" w:sz="0" w:val="nil"/>
          <w:bottom w:space="0" w:sz="0" w:val="nil"/>
          <w:right w:space="0" w:sz="0" w:val="nil"/>
          <w:between w:space="0" w:sz="0" w:val="nil"/>
        </w:pBdr>
        <w:tabs>
          <w:tab w:val="left" w:pos="1985"/>
        </w:tabs>
        <w:spacing w:after="120" w:before="120" w:lineRule="auto"/>
        <w:ind w:left="2563"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include a finding as to whether or not a Benchmarked Service and/or whether the Benchmarked Deliverables as a whole are, Good Value;</w:t>
      </w:r>
    </w:p>
    <w:p w:rsidR="00000000" w:rsidDel="00000000" w:rsidP="00000000" w:rsidRDefault="00000000" w:rsidRPr="00000000" w14:paraId="0000003C">
      <w:pPr>
        <w:numPr>
          <w:ilvl w:val="3"/>
          <w:numId w:val="1"/>
        </w:numPr>
        <w:pBdr>
          <w:top w:space="0" w:sz="0" w:val="nil"/>
          <w:left w:space="0" w:sz="0" w:val="nil"/>
          <w:bottom w:space="0" w:sz="0" w:val="nil"/>
          <w:right w:space="0" w:sz="0" w:val="nil"/>
          <w:between w:space="0" w:sz="0" w:val="nil"/>
        </w:pBdr>
        <w:tabs>
          <w:tab w:val="left" w:pos="1985"/>
        </w:tabs>
        <w:spacing w:after="120" w:before="120" w:lineRule="auto"/>
        <w:ind w:left="2563"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 of the Benchmarked Deliverables are, individually or as a whole, not Good Value, specify the changes that would be required to make that Benchmarked Service or the Benchmarked Deliverables as a whole Good Value; and </w:t>
      </w:r>
    </w:p>
    <w:p w:rsidR="00000000" w:rsidDel="00000000" w:rsidP="00000000" w:rsidRDefault="00000000" w:rsidRPr="00000000" w14:paraId="0000003D">
      <w:pPr>
        <w:numPr>
          <w:ilvl w:val="3"/>
          <w:numId w:val="1"/>
        </w:numPr>
        <w:pBdr>
          <w:top w:space="0" w:sz="0" w:val="nil"/>
          <w:left w:space="0" w:sz="0" w:val="nil"/>
          <w:bottom w:space="0" w:sz="0" w:val="nil"/>
          <w:right w:space="0" w:sz="0" w:val="nil"/>
          <w:between w:space="0" w:sz="0" w:val="nil"/>
        </w:pBdr>
        <w:tabs>
          <w:tab w:val="left" w:pos="1985"/>
        </w:tabs>
        <w:spacing w:after="120" w:before="120" w:lineRule="auto"/>
        <w:ind w:left="2563"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include sufficient detail and transparency so that the Party requesting the Benchmarking can interpret and understand how the Supplier has calculated whether or not the Benchmarked Deliverables are, individually or as a whole, Good Value.</w:t>
      </w:r>
    </w:p>
    <w:p w:rsidR="00000000" w:rsidDel="00000000" w:rsidP="00000000" w:rsidRDefault="00000000" w:rsidRPr="00000000" w14:paraId="0000003E">
      <w:pPr>
        <w:numPr>
          <w:ilvl w:val="2"/>
          <w:numId w:val="1"/>
        </w:numPr>
        <w:pBdr>
          <w:top w:space="0" w:sz="0" w:val="nil"/>
          <w:left w:space="0" w:sz="0" w:val="nil"/>
          <w:bottom w:space="0" w:sz="0" w:val="nil"/>
          <w:right w:space="0" w:sz="0" w:val="nil"/>
          <w:between w:space="0" w:sz="0" w:val="nil"/>
        </w:pBdr>
        <w:tabs>
          <w:tab w:val="left" w:pos="1985"/>
        </w:tabs>
        <w:spacing w:after="120" w:before="120" w:lineRule="auto"/>
        <w:ind w:left="242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Parties agree that any changes required to this Contract identified in the Benchmarking Report shall be implemented at the direction of the Buyer in accordance with Clause 24 (Changing the contract).</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pos="4513"/>
        <w:tab w:val="right"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tabs>
        <w:tab w:val="center" w:pos="4513"/>
        <w:tab w:val="right" w:pos="9026"/>
      </w:tabs>
      <w:spacing w:after="0" w:lineRule="auto"/>
      <w:rPr/>
    </w:pPr>
    <w:r w:rsidDel="00000000" w:rsidR="00000000" w:rsidRPr="00000000">
      <w:rPr>
        <w:rFonts w:ascii="Arial" w:cs="Arial" w:eastAsia="Arial" w:hAnsi="Arial"/>
        <w:sz w:val="20"/>
        <w:szCs w:val="20"/>
        <w:rtl w:val="0"/>
      </w:rPr>
      <w:t xml:space="preserve">Model Version: v3.0</w:t>
      <w:tab/>
    </w:r>
    <w:r w:rsidDel="00000000" w:rsidR="00000000" w:rsidRPr="00000000">
      <w:rPr>
        <w:rtl w:val="0"/>
      </w:rPr>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tabs>
        <w:tab w:val="center" w:pos="4513"/>
        <w:tab w:val="right"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RM6217</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pos="4513"/>
        <w:tab w:val="right"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C">
    <w:pPr>
      <w:tabs>
        <w:tab w:val="center" w:pos="4513"/>
        <w:tab w:val="right" w:pos="9026"/>
      </w:tabs>
      <w:spacing w:after="0" w:lineRule="auto"/>
      <w:rPr/>
    </w:pPr>
    <w:r w:rsidDel="00000000" w:rsidR="00000000" w:rsidRPr="00000000">
      <w:rPr>
        <w:rFonts w:ascii="Arial" w:cs="Arial" w:eastAsia="Arial" w:hAnsi="Arial"/>
        <w:sz w:val="20"/>
        <w:szCs w:val="20"/>
        <w:rtl w:val="0"/>
      </w:rPr>
      <w:t xml:space="preserve">Model Version: v3.2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pos="4513"/>
        <w:tab w:val="right" w:pos="9026"/>
      </w:tabs>
      <w:spacing w:after="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Call-Off Schedule 16 (Benchmarking)</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pos="4513"/>
        <w:tab w:val="right"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 </w:t>
    </w:r>
    <w:r w:rsidDel="00000000" w:rsidR="00000000" w:rsidRPr="00000000">
      <w:rPr>
        <w:rFonts w:ascii="Arial" w:cs="Arial" w:eastAsia="Arial" w:hAnsi="Arial"/>
        <w:sz w:val="20"/>
        <w:szCs w:val="20"/>
        <w:rtl w:val="0"/>
      </w:rPr>
      <w:t xml:space="preserve">CCCC21B23 </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pos="4513"/>
        <w:tab w:val="right" w:pos="9026"/>
      </w:tabs>
      <w:spacing w:after="0" w:lineRule="auto"/>
      <w:rPr>
        <w:rFonts w:ascii="Arial" w:cs="Arial" w:eastAsia="Arial" w:hAnsi="Arial"/>
        <w:color w:val="000000"/>
        <w:sz w:val="20"/>
        <w:szCs w:val="20"/>
      </w:rPr>
    </w:pPr>
    <w:bookmarkStart w:colFirst="0" w:colLast="0" w:name="_heading=h.3dy6vkm" w:id="6"/>
    <w:bookmarkEnd w:id="6"/>
    <w:r w:rsidDel="00000000" w:rsidR="00000000" w:rsidRPr="00000000">
      <w:rPr>
        <w:rFonts w:ascii="Arial" w:cs="Arial" w:eastAsia="Arial" w:hAnsi="Arial"/>
        <w:color w:val="000000"/>
        <w:sz w:val="20"/>
        <w:szCs w:val="20"/>
        <w:rtl w:val="0"/>
      </w:rPr>
      <w:t xml:space="preserve">Crown Copyright 2022</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pos="4513"/>
        <w:tab w:val="right" w:pos="9026"/>
      </w:tabs>
      <w:spacing w:after="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pos="4513"/>
        <w:tab w:val="right" w:pos="9026"/>
      </w:tabs>
      <w:spacing w:after="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5714365</wp:posOffset>
          </wp:positionH>
          <wp:positionV relativeFrom="paragraph">
            <wp:posOffset>-13331</wp:posOffset>
          </wp:positionV>
          <wp:extent cx="849085" cy="685627"/>
          <wp:effectExtent b="0" l="0" r="0" t="0"/>
          <wp:wrapNone/>
          <wp:docPr descr="Crown Commercial Service" id="4" name="image1.png"/>
          <a:graphic>
            <a:graphicData uri="http://schemas.openxmlformats.org/drawingml/2006/picture">
              <pic:pic>
                <pic:nvPicPr>
                  <pic:cNvPr descr="Crown Commercial Service" id="0" name="image1.png"/>
                  <pic:cNvPicPr preferRelativeResize="0"/>
                </pic:nvPicPr>
                <pic:blipFill>
                  <a:blip r:embed="rId1"/>
                  <a:srcRect b="0" l="0" r="0" t="0"/>
                  <a:stretch>
                    <a:fillRect/>
                  </a:stretch>
                </pic:blipFill>
                <pic:spPr>
                  <a:xfrm>
                    <a:off x="0" y="0"/>
                    <a:ext cx="849085" cy="68562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8.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overflowPunct w:val="0"/>
      <w:autoSpaceDE w:val="0"/>
      <w:autoSpaceDN w:val="0"/>
      <w:adjustRightInd w:val="0"/>
      <w:textAlignment w:val="baseline"/>
    </w:pPr>
    <w:rPr>
      <w:rFonts w:cs="Arial" w:eastAsia="Times New Roman"/>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uiPriority w:val="99"/>
    <w:qFormat w:val="1"/>
    <w:pPr>
      <w:numPr>
        <w:numId w:val="2"/>
      </w:numPr>
      <w:tabs>
        <w:tab w:val="left" w:pos="142"/>
      </w:tabs>
      <w:overflowPunct w:val="1"/>
      <w:autoSpaceDE w:val="1"/>
      <w:autoSpaceDN w:val="1"/>
      <w:spacing w:before="120"/>
      <w:ind w:left="426" w:hanging="426"/>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2"/>
      </w:numPr>
      <w:tabs>
        <w:tab w:val="left" w:pos="1985"/>
      </w:tabs>
      <w:overflowPunct w:val="1"/>
      <w:autoSpaceDE w:val="1"/>
      <w:autoSpaceDN w:val="1"/>
      <w:spacing w:after="120" w:before="120"/>
      <w:ind w:left="1656"/>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clear" w:pos="1985"/>
      </w:tabs>
      <w:ind w:left="2592" w:hanging="936"/>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link w:val="GPSL5numberedclauseChar"/>
    <w:qFormat w:val="1"/>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pPr>
      <w:numPr>
        <w:ilvl w:val="1"/>
        <w:numId w:val="2"/>
      </w:numPr>
      <w:tabs>
        <w:tab w:val="left" w:pos="1134"/>
      </w:tabs>
      <w:overflowPunct w:val="1"/>
      <w:autoSpaceDE w:val="1"/>
      <w:autoSpaceDN w:val="1"/>
      <w:spacing w:after="120" w:before="120"/>
      <w:ind w:hanging="218"/>
      <w:textAlignment w:val="auto"/>
    </w:pPr>
    <w:rPr>
      <w:b w:val="1"/>
      <w:lang w:eastAsia="zh-CN"/>
    </w:rPr>
  </w:style>
  <w:style w:type="paragraph" w:styleId="GPSL6numbered" w:customStyle="1">
    <w:name w:val="GPS L6 numbered"/>
    <w:basedOn w:val="GPSL5numberedclause"/>
    <w:uiPriority w:val="99"/>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Definition" w:customStyle="1">
    <w:name w:val="GPs Definition"/>
    <w:basedOn w:val="Normal"/>
    <w:uiPriority w:val="99"/>
    <w:qFormat w:val="1"/>
    <w:pPr>
      <w:numPr>
        <w:numId w:val="1"/>
      </w:numPr>
      <w:tabs>
        <w:tab w:val="left" w:pos="175"/>
      </w:tabs>
      <w:spacing w:after="120"/>
    </w:pPr>
  </w:style>
  <w:style w:type="paragraph" w:styleId="GPSDefinitionL2" w:customStyle="1">
    <w:name w:val="GPS Definition L2"/>
    <w:basedOn w:val="GPsDefinition"/>
    <w:uiPriority w:val="99"/>
    <w:qFormat w:val="1"/>
    <w:pPr>
      <w:numPr>
        <w:ilvl w:val="1"/>
      </w:numPr>
      <w:ind w:hanging="544"/>
    </w:pPr>
  </w:style>
  <w:style w:type="paragraph" w:styleId="GPSDefinitionL3" w:customStyle="1">
    <w:name w:val="GPS Definition L3"/>
    <w:basedOn w:val="GPSDefinitionL2"/>
    <w:uiPriority w:val="99"/>
    <w:qFormat w:val="1"/>
    <w:pPr>
      <w:numPr>
        <w:ilvl w:val="2"/>
      </w:numPr>
    </w:pPr>
  </w:style>
  <w:style w:type="paragraph" w:styleId="GPSDefinitionL4" w:customStyle="1">
    <w:name w:val="GPS Definition L4"/>
    <w:basedOn w:val="GPSDefinitionL3"/>
    <w:uiPriority w:val="99"/>
    <w:qFormat w:val="1"/>
    <w:pPr>
      <w:numPr>
        <w:ilvl w:val="3"/>
      </w:numPr>
    </w:pPr>
  </w:style>
  <w:style w:type="paragraph" w:styleId="GPSDefinitionTerm" w:customStyle="1">
    <w:name w:val="GPS Definition Term"/>
    <w:basedOn w:val="Normal"/>
    <w:uiPriority w:val="99"/>
    <w:qFormat w:val="1"/>
    <w:pPr>
      <w:spacing w:after="120"/>
      <w:ind w:left="-108"/>
      <w:jc w:val="left"/>
    </w:pPr>
    <w:rPr>
      <w:b w:val="1"/>
    </w:rPr>
  </w:style>
  <w:style w:type="paragraph" w:styleId="GPSL1SCHEDULEHeading" w:customStyle="1">
    <w:name w:val="GPS L1 SCHEDULE Heading"/>
    <w:basedOn w:val="GPSL1CLAUSEHEADING"/>
    <w:link w:val="GPSL1SCHEDULEHeadingChar"/>
    <w:qFormat w:val="1"/>
    <w:pPr>
      <w:ind w:left="360" w:hanging="360"/>
      <w:outlineLvl w:val="9"/>
    </w:pPr>
  </w:style>
  <w:style w:type="paragraph" w:styleId="GPSmacrorestart" w:customStyle="1">
    <w:name w:val="GPS macro restart"/>
    <w:basedOn w:val="Normal"/>
    <w:qFormat w:val="1"/>
    <w:pPr>
      <w:spacing w:after="0"/>
    </w:pPr>
    <w:rPr>
      <w:color w:val="ffffff"/>
      <w:sz w:val="16"/>
      <w:szCs w:val="16"/>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Normal1" w:customStyle="1">
    <w:name w:val="Normal1"/>
    <w:pPr>
      <w:widowControl w:val="0"/>
      <w:spacing w:after="80"/>
    </w:pPr>
    <w:rPr>
      <w:color w:val="000000"/>
    </w:rPr>
  </w:style>
  <w:style w:type="table" w:styleId="TableGrid">
    <w:name w:val="Table Grid"/>
    <w:basedOn w:val="TableNormal"/>
    <w:uiPriority w:val="59"/>
    <w:pPr>
      <w:spacing w:after="0"/>
    </w:pPr>
    <w:rPr>
      <w:rFonts w:cs="Times New Roman"/>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4D49BE"/>
    <w:pPr>
      <w:spacing w:after="0"/>
    </w:pPr>
    <w:rPr>
      <w:rFonts w:cs="Arial" w:eastAsia="Times New Roman"/>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cs57O1BNAfPO/h7SwBjTjH3iBg==">AMUW2mUm3OwDeQdG4IQKafpE0mEeNomwqbKws8VUrDpBeOSiAYPN33yGS3zP5T99+WXsVAhcDOzAPF14tcz2vm4T+Bd28XVigQGwIsXb9+TbnbaZG1hXpHjku7EHBN/3/ymw3tvXGcxI2W1GQI276GIWDeN5kJWkOvPoVJWKJ5qMulI+h68rR3X2A8N2uhGaMnEX1Wuos99Q7jzYV3QvNTnXcmI2s+YbmA==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2022-08-18T10:38:00Z</dcterms:created>
  <dc:creator>Kelly Hughes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