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C2" w:rsidRDefault="00523ADB" w:rsidP="00D52AC2">
      <w:pPr>
        <w:jc w:val="right"/>
      </w:pPr>
      <w:r>
        <w:tab/>
      </w:r>
      <w:r>
        <w:tab/>
      </w:r>
      <w:r w:rsidR="00D52AC2" w:rsidRPr="008368AD">
        <w:rPr>
          <w:rFonts w:ascii="Calibri" w:hAnsi="Calibri"/>
          <w:noProof/>
          <w:color w:val="FF0000"/>
          <w:lang w:eastAsia="en-GB"/>
        </w:rPr>
        <w:drawing>
          <wp:inline distT="0" distB="0" distL="0" distR="0" wp14:anchorId="669AF0FF" wp14:editId="611C571A">
            <wp:extent cx="1171575" cy="514926"/>
            <wp:effectExtent l="0" t="0" r="0" b="0"/>
            <wp:docPr id="1" name="Picture 1" descr="k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w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296" cy="52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E4" w:rsidRDefault="007D1668" w:rsidP="00AD4762">
      <w:pPr>
        <w:jc w:val="both"/>
        <w:rPr>
          <w:b/>
        </w:rPr>
      </w:pPr>
      <w:r>
        <w:rPr>
          <w:b/>
        </w:rPr>
        <w:t>21</w:t>
      </w:r>
      <w:bookmarkStart w:id="0" w:name="_GoBack"/>
      <w:bookmarkEnd w:id="0"/>
      <w:r w:rsidR="00A51DE4">
        <w:rPr>
          <w:b/>
        </w:rPr>
        <w:t>/11/2016</w:t>
      </w:r>
    </w:p>
    <w:p w:rsidR="00523ADB" w:rsidRDefault="00523ADB" w:rsidP="00AD4762">
      <w:pPr>
        <w:jc w:val="both"/>
      </w:pPr>
      <w:r w:rsidRPr="00523ADB">
        <w:rPr>
          <w:b/>
        </w:rPr>
        <w:t>Request for Quotation</w:t>
      </w:r>
      <w:r w:rsidR="007668B4">
        <w:rPr>
          <w:b/>
        </w:rPr>
        <w:t xml:space="preserve"> (RfQ)</w:t>
      </w:r>
      <w:r w:rsidR="00D52AC2">
        <w:rPr>
          <w:b/>
        </w:rPr>
        <w:t xml:space="preserve"> – </w:t>
      </w:r>
      <w:r w:rsidR="0079546E">
        <w:rPr>
          <w:b/>
        </w:rPr>
        <w:t xml:space="preserve">RBGKEW/320 - </w:t>
      </w:r>
      <w:r w:rsidR="00D52AC2">
        <w:rPr>
          <w:b/>
        </w:rPr>
        <w:t>Supply of Extreme Switches</w:t>
      </w: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442"/>
        <w:gridCol w:w="2393"/>
        <w:gridCol w:w="284"/>
        <w:gridCol w:w="2126"/>
        <w:gridCol w:w="1843"/>
        <w:gridCol w:w="1134"/>
        <w:gridCol w:w="1134"/>
        <w:gridCol w:w="1417"/>
        <w:gridCol w:w="1418"/>
        <w:gridCol w:w="1417"/>
      </w:tblGrid>
      <w:tr w:rsidR="008250C4" w:rsidTr="00B315E8"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0C4" w:rsidRPr="00B34A18" w:rsidRDefault="008250C4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0C4" w:rsidRPr="00B34A18" w:rsidRDefault="008250C4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0C4" w:rsidRPr="00B34A18" w:rsidRDefault="008250C4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0C4" w:rsidRPr="00B34A18" w:rsidRDefault="008250C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0C4" w:rsidRPr="00B34A18" w:rsidRDefault="008250C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0C4" w:rsidRPr="00B34A18" w:rsidRDefault="008250C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0C4" w:rsidRPr="00B34A18" w:rsidRDefault="008250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8250C4" w:rsidRPr="00B34A18" w:rsidRDefault="008250C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250C4" w:rsidRPr="00A51DE4" w:rsidRDefault="008250C4">
            <w:pPr>
              <w:rPr>
                <w:b/>
                <w:i/>
                <w:sz w:val="20"/>
                <w:szCs w:val="20"/>
              </w:rPr>
            </w:pPr>
            <w:r w:rsidRPr="00A51DE4">
              <w:rPr>
                <w:b/>
                <w:i/>
                <w:sz w:val="20"/>
                <w:szCs w:val="20"/>
              </w:rPr>
              <w:t xml:space="preserve">To </w:t>
            </w:r>
            <w:r w:rsidR="00EA42F6" w:rsidRPr="00A51DE4">
              <w:rPr>
                <w:b/>
                <w:i/>
                <w:sz w:val="20"/>
                <w:szCs w:val="20"/>
              </w:rPr>
              <w:t xml:space="preserve">be </w:t>
            </w:r>
            <w:r w:rsidRPr="00A51DE4">
              <w:rPr>
                <w:b/>
                <w:i/>
                <w:sz w:val="20"/>
                <w:szCs w:val="20"/>
              </w:rPr>
              <w:t>completed by suppliers</w:t>
            </w:r>
          </w:p>
        </w:tc>
      </w:tr>
      <w:tr w:rsidR="008250C4" w:rsidRPr="00A51DE4" w:rsidTr="00B315E8">
        <w:tc>
          <w:tcPr>
            <w:tcW w:w="442" w:type="dxa"/>
            <w:shd w:val="clear" w:color="auto" w:fill="C2D69B" w:themeFill="accent3" w:themeFillTint="99"/>
          </w:tcPr>
          <w:p w:rsidR="008250C4" w:rsidRPr="00A51DE4" w:rsidRDefault="008250C4" w:rsidP="00D52AC2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C2D69B" w:themeFill="accent3" w:themeFillTint="99"/>
          </w:tcPr>
          <w:p w:rsidR="008250C4" w:rsidRPr="00A51DE4" w:rsidRDefault="008250C4" w:rsidP="00D52AC2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 w:rsidP="00D52AC2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2D69B" w:themeFill="accent3" w:themeFillTint="99"/>
          </w:tcPr>
          <w:p w:rsidR="008250C4" w:rsidRPr="00A51DE4" w:rsidRDefault="008250C4" w:rsidP="009A494A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 xml:space="preserve">Supplier item  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8250C4" w:rsidRPr="00A51DE4" w:rsidRDefault="008250C4" w:rsidP="00D52AC2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Unit Code (or other ref.)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250C4" w:rsidRPr="00A51DE4" w:rsidRDefault="008250C4" w:rsidP="00B34A18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Unit Qty (ie. box of 10)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250C4" w:rsidRPr="00A51DE4" w:rsidRDefault="008250C4" w:rsidP="008250C4">
            <w:pPr>
              <w:jc w:val="center"/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No of units required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Delivery Date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Unit Cost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Total Cost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X670-G2-48x-4q-Base-Unit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8250C4" w:rsidRPr="00A51DE4" w:rsidRDefault="008250C4" w:rsidP="009A494A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X670 fan module BF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550W AC PSU BF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X670 Series Core License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QSFP+ passive copper cable, 1.0M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LR SFP+ module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X670 AHR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 w:rsidP="00D52AC2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8250C4" w:rsidRPr="00A51DE4" w:rsidRDefault="008250C4" w:rsidP="00D52AC2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X460-G2-24x-10GE4-Base-Unit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X460-G2 fan module FB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250C4" w:rsidRPr="00A51DE4" w:rsidRDefault="008250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715W AC PSU FB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X460-G2 VIM-2q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Summit X460 Core License from Edge Lic</w:t>
            </w:r>
            <w:r w:rsidR="008E5B75" w:rsidRPr="00A51DE4">
              <w:rPr>
                <w:sz w:val="20"/>
                <w:szCs w:val="20"/>
              </w:rPr>
              <w:t>ence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8250C4" w:rsidRPr="00A51DE4" w:rsidTr="00B315E8">
        <w:tc>
          <w:tcPr>
            <w:tcW w:w="442" w:type="dxa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QSFP+ passive copper cable, 1.0MQSFP+ passive copper cable, 1.0M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50C4" w:rsidRPr="00A51DE4" w:rsidRDefault="008250C4" w:rsidP="008250C4">
            <w:pPr>
              <w:jc w:val="center"/>
              <w:rPr>
                <w:sz w:val="20"/>
                <w:szCs w:val="20"/>
              </w:rPr>
            </w:pPr>
            <w:r w:rsidRPr="00A51DE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50C4" w:rsidRPr="00A51DE4" w:rsidRDefault="008250C4" w:rsidP="00C974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7" w:type="dxa"/>
            <w:shd w:val="clear" w:color="auto" w:fill="FFFFFF" w:themeFill="background1"/>
          </w:tcPr>
          <w:p w:rsidR="008250C4" w:rsidRPr="00A51DE4" w:rsidRDefault="008250C4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  <w:tr w:rsidR="00EA42F6" w:rsidRPr="00A51DE4" w:rsidTr="00B315E8">
        <w:tc>
          <w:tcPr>
            <w:tcW w:w="442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:rsidR="00EA42F6" w:rsidRPr="00A51DE4" w:rsidRDefault="00EA42F6" w:rsidP="00825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A42F6" w:rsidRPr="00A51DE4" w:rsidRDefault="00EA42F6" w:rsidP="00C9742E">
            <w:pPr>
              <w:rPr>
                <w:b/>
                <w:sz w:val="20"/>
                <w:szCs w:val="20"/>
              </w:rPr>
            </w:pPr>
            <w:r w:rsidRPr="00A51DE4">
              <w:rPr>
                <w:b/>
                <w:sz w:val="20"/>
                <w:szCs w:val="20"/>
              </w:rPr>
              <w:t>£</w:t>
            </w:r>
          </w:p>
        </w:tc>
      </w:tr>
    </w:tbl>
    <w:p w:rsidR="00A51DE4" w:rsidRPr="00A51DE4" w:rsidRDefault="00A51DE4" w:rsidP="0049363A">
      <w:pPr>
        <w:spacing w:after="0"/>
        <w:rPr>
          <w:b/>
          <w:i/>
          <w:sz w:val="20"/>
          <w:szCs w:val="20"/>
        </w:rPr>
      </w:pPr>
      <w:r w:rsidRPr="00A51DE4">
        <w:rPr>
          <w:i/>
        </w:rPr>
        <w:lastRenderedPageBreak/>
        <w:t xml:space="preserve">Your quote should remain open for acceptance for a period of 30 days from the deadline date. </w:t>
      </w:r>
    </w:p>
    <w:p w:rsidR="008C484D" w:rsidRDefault="008C484D" w:rsidP="0049363A">
      <w:pPr>
        <w:spacing w:after="0"/>
        <w:rPr>
          <w:b/>
          <w:i/>
          <w:sz w:val="20"/>
          <w:szCs w:val="20"/>
        </w:rPr>
      </w:pPr>
    </w:p>
    <w:p w:rsidR="0049363A" w:rsidRPr="00A51DE4" w:rsidRDefault="0049363A" w:rsidP="0049363A">
      <w:pPr>
        <w:spacing w:after="0"/>
        <w:rPr>
          <w:b/>
          <w:i/>
        </w:rPr>
      </w:pPr>
      <w:r w:rsidRPr="00A51DE4">
        <w:rPr>
          <w:b/>
          <w:i/>
        </w:rPr>
        <w:t xml:space="preserve">I </w:t>
      </w:r>
      <w:r w:rsidR="008C484D" w:rsidRPr="00A51DE4">
        <w:rPr>
          <w:b/>
          <w:i/>
        </w:rPr>
        <w:t xml:space="preserve">confirm receipt of </w:t>
      </w:r>
      <w:r w:rsidRPr="00A51DE4">
        <w:rPr>
          <w:b/>
          <w:i/>
        </w:rPr>
        <w:t xml:space="preserve">the Royal Botanic Gardens, Kew </w:t>
      </w:r>
      <w:r w:rsidR="008C484D" w:rsidRPr="00A51DE4">
        <w:rPr>
          <w:b/>
          <w:i/>
        </w:rPr>
        <w:t xml:space="preserve">(‘Customer’) </w:t>
      </w:r>
      <w:r w:rsidRPr="00A51DE4">
        <w:rPr>
          <w:b/>
          <w:i/>
        </w:rPr>
        <w:t>Terms and Conditions</w:t>
      </w:r>
      <w:r w:rsidR="008C484D" w:rsidRPr="00A51DE4">
        <w:rPr>
          <w:b/>
          <w:i/>
        </w:rPr>
        <w:t xml:space="preserve"> and </w:t>
      </w:r>
      <w:r w:rsidRPr="00A51DE4">
        <w:rPr>
          <w:b/>
          <w:i/>
        </w:rPr>
        <w:t xml:space="preserve">hereby indicate my </w:t>
      </w:r>
      <w:r w:rsidR="008C484D" w:rsidRPr="00A51DE4">
        <w:rPr>
          <w:b/>
          <w:i/>
        </w:rPr>
        <w:t xml:space="preserve">unconditional </w:t>
      </w:r>
      <w:r w:rsidRPr="00A51DE4">
        <w:rPr>
          <w:b/>
          <w:i/>
        </w:rPr>
        <w:t xml:space="preserve">acceptance </w:t>
      </w:r>
      <w:r w:rsidR="008C484D" w:rsidRPr="00A51DE4">
        <w:rPr>
          <w:b/>
          <w:i/>
        </w:rPr>
        <w:t>of the terms and acknowledge that the terms will govern any subsequent contract entered into with the Customer for provision of the products and/or services referred to above and in any supplementary documents received from the Customer</w:t>
      </w:r>
      <w:r w:rsidRPr="00A51DE4">
        <w:rPr>
          <w:b/>
          <w:i/>
        </w:rPr>
        <w:t>:</w:t>
      </w:r>
    </w:p>
    <w:p w:rsidR="0049363A" w:rsidRPr="00A51DE4" w:rsidRDefault="0049363A" w:rsidP="0049363A">
      <w:pPr>
        <w:spacing w:after="0"/>
        <w:rPr>
          <w:b/>
          <w:i/>
        </w:rPr>
      </w:pPr>
    </w:p>
    <w:p w:rsidR="0049363A" w:rsidRPr="00A51DE4" w:rsidRDefault="0049363A" w:rsidP="0049363A">
      <w:pPr>
        <w:spacing w:after="0"/>
        <w:rPr>
          <w:b/>
          <w:i/>
        </w:rPr>
      </w:pPr>
    </w:p>
    <w:p w:rsidR="0049363A" w:rsidRPr="00A51DE4" w:rsidRDefault="0049363A" w:rsidP="0049363A">
      <w:pPr>
        <w:spacing w:after="0"/>
        <w:rPr>
          <w:b/>
          <w:i/>
        </w:rPr>
      </w:pPr>
      <w:r w:rsidRPr="00A51DE4">
        <w:rPr>
          <w:b/>
          <w:i/>
        </w:rPr>
        <w:t>Signed:</w:t>
      </w:r>
    </w:p>
    <w:p w:rsidR="0049363A" w:rsidRPr="00A51DE4" w:rsidRDefault="0049363A" w:rsidP="0049363A">
      <w:pPr>
        <w:spacing w:after="0"/>
        <w:rPr>
          <w:b/>
          <w:i/>
        </w:rPr>
      </w:pPr>
      <w:r w:rsidRPr="00A51DE4">
        <w:rPr>
          <w:b/>
          <w:i/>
        </w:rPr>
        <w:t>on behalf of [ Supplier ]</w:t>
      </w:r>
    </w:p>
    <w:p w:rsidR="00F8344B" w:rsidRPr="00A51DE4" w:rsidRDefault="00F8344B" w:rsidP="0049363A">
      <w:pPr>
        <w:spacing w:after="0"/>
        <w:rPr>
          <w:b/>
          <w:i/>
        </w:rPr>
      </w:pPr>
    </w:p>
    <w:p w:rsidR="0049363A" w:rsidRPr="00A51DE4" w:rsidRDefault="0049363A" w:rsidP="0049363A">
      <w:pPr>
        <w:spacing w:after="0"/>
        <w:rPr>
          <w:b/>
          <w:i/>
        </w:rPr>
      </w:pPr>
      <w:r w:rsidRPr="00A51DE4">
        <w:rPr>
          <w:b/>
          <w:i/>
        </w:rPr>
        <w:t>Print Name:..........................................................................</w:t>
      </w:r>
    </w:p>
    <w:p w:rsidR="0049363A" w:rsidRPr="00A51DE4" w:rsidRDefault="0049363A" w:rsidP="0049363A">
      <w:pPr>
        <w:spacing w:after="0"/>
        <w:rPr>
          <w:b/>
          <w:i/>
        </w:rPr>
      </w:pPr>
    </w:p>
    <w:p w:rsidR="0049363A" w:rsidRPr="00A51DE4" w:rsidRDefault="0049363A" w:rsidP="0049363A">
      <w:pPr>
        <w:spacing w:after="0"/>
        <w:rPr>
          <w:b/>
          <w:i/>
        </w:rPr>
      </w:pPr>
      <w:r w:rsidRPr="00A51DE4">
        <w:rPr>
          <w:b/>
          <w:i/>
        </w:rPr>
        <w:t>Date:...............................................</w:t>
      </w:r>
    </w:p>
    <w:p w:rsidR="008E5B75" w:rsidRDefault="008E5B75" w:rsidP="0049363A">
      <w:pPr>
        <w:spacing w:after="0"/>
        <w:rPr>
          <w:b/>
          <w:i/>
          <w:sz w:val="20"/>
          <w:szCs w:val="20"/>
        </w:rPr>
      </w:pPr>
    </w:p>
    <w:p w:rsidR="008E5B75" w:rsidRDefault="008E5B75" w:rsidP="0049363A">
      <w:pPr>
        <w:spacing w:after="0"/>
        <w:rPr>
          <w:b/>
          <w:i/>
          <w:sz w:val="20"/>
          <w:szCs w:val="20"/>
        </w:rPr>
      </w:pPr>
    </w:p>
    <w:p w:rsidR="008E5B75" w:rsidRPr="007668B4" w:rsidRDefault="008E5B75" w:rsidP="0049363A">
      <w:pPr>
        <w:spacing w:after="0"/>
        <w:rPr>
          <w:b/>
          <w:i/>
          <w:sz w:val="20"/>
          <w:szCs w:val="20"/>
        </w:rPr>
      </w:pPr>
    </w:p>
    <w:sectPr w:rsidR="008E5B75" w:rsidRPr="007668B4" w:rsidSect="00AD47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75" w:rsidRDefault="008E5B75" w:rsidP="00D52AC2">
      <w:pPr>
        <w:spacing w:after="0" w:line="240" w:lineRule="auto"/>
      </w:pPr>
      <w:r>
        <w:separator/>
      </w:r>
    </w:p>
  </w:endnote>
  <w:endnote w:type="continuationSeparator" w:id="0">
    <w:p w:rsidR="008E5B75" w:rsidRDefault="008E5B75" w:rsidP="00D5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75" w:rsidRDefault="008E5B75" w:rsidP="00D52AC2">
      <w:pPr>
        <w:spacing w:after="0" w:line="240" w:lineRule="auto"/>
      </w:pPr>
      <w:r>
        <w:separator/>
      </w:r>
    </w:p>
  </w:footnote>
  <w:footnote w:type="continuationSeparator" w:id="0">
    <w:p w:rsidR="008E5B75" w:rsidRDefault="008E5B75" w:rsidP="00D52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DB"/>
    <w:rsid w:val="002B5CCD"/>
    <w:rsid w:val="00343D35"/>
    <w:rsid w:val="0049363A"/>
    <w:rsid w:val="004B1FFF"/>
    <w:rsid w:val="00523ADB"/>
    <w:rsid w:val="005B59BF"/>
    <w:rsid w:val="00634642"/>
    <w:rsid w:val="006A038C"/>
    <w:rsid w:val="006F2CE8"/>
    <w:rsid w:val="007668B4"/>
    <w:rsid w:val="0079546E"/>
    <w:rsid w:val="007D1668"/>
    <w:rsid w:val="008250C4"/>
    <w:rsid w:val="008C484D"/>
    <w:rsid w:val="008E5B75"/>
    <w:rsid w:val="009A494A"/>
    <w:rsid w:val="009A6C5A"/>
    <w:rsid w:val="00A51DE4"/>
    <w:rsid w:val="00AD4762"/>
    <w:rsid w:val="00B315E8"/>
    <w:rsid w:val="00B34A18"/>
    <w:rsid w:val="00B928C4"/>
    <w:rsid w:val="00C9742E"/>
    <w:rsid w:val="00D52AC2"/>
    <w:rsid w:val="00D70C44"/>
    <w:rsid w:val="00DE4209"/>
    <w:rsid w:val="00EA42F6"/>
    <w:rsid w:val="00F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1F659-40B5-4AEA-9685-3263A740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AC2"/>
  </w:style>
  <w:style w:type="paragraph" w:styleId="Footer">
    <w:name w:val="footer"/>
    <w:basedOn w:val="Normal"/>
    <w:link w:val="FooterChar"/>
    <w:uiPriority w:val="99"/>
    <w:unhideWhenUsed/>
    <w:rsid w:val="00D52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B419E455</Template>
  <TotalTime>261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dg21kg</dc:creator>
  <cp:lastModifiedBy>Pam Sohi</cp:lastModifiedBy>
  <cp:revision>9</cp:revision>
  <dcterms:created xsi:type="dcterms:W3CDTF">2016-11-02T13:32:00Z</dcterms:created>
  <dcterms:modified xsi:type="dcterms:W3CDTF">2016-11-21T10:34:00Z</dcterms:modified>
</cp:coreProperties>
</file>