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7AAD43D" w14:textId="77777777" w:rsidR="003C71EB" w:rsidRPr="000E315B" w:rsidRDefault="00F14337" w:rsidP="003C71EB">
      <w:pPr>
        <w:pStyle w:val="CoverTitle"/>
        <w:rPr>
          <w:rFonts w:asciiTheme="minorHAnsi" w:hAnsiTheme="minorHAnsi"/>
        </w:rPr>
      </w:pPr>
      <w:r w:rsidRPr="000E315B">
        <w:rPr>
          <w:rFonts w:asciiTheme="minorHAnsi" w:hAnsiTheme="minorHAnsi"/>
        </w:rPr>
        <w:t>RSSB I</w:t>
      </w:r>
      <w:bookmarkStart w:id="0" w:name="_Ref305418228"/>
      <w:bookmarkEnd w:id="0"/>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3C71EB">
        <w:rPr>
          <w:rFonts w:asciiTheme="minorHAnsi" w:hAnsiTheme="minorHAnsi"/>
        </w:rPr>
        <w:t xml:space="preserve">Risk Analysis Services - </w:t>
      </w:r>
      <w:r w:rsidR="003C71EB" w:rsidRPr="00E97E50">
        <w:rPr>
          <w:sz w:val="28"/>
          <w:szCs w:val="28"/>
        </w:rPr>
        <w:t>Understanding the forces and energy in the electrification system during de-wirements</w:t>
      </w:r>
    </w:p>
    <w:p w14:paraId="69EAEEF8" w14:textId="7F741D96"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3C71EB">
        <w:rPr>
          <w:rFonts w:asciiTheme="minorHAnsi" w:hAnsiTheme="minorHAnsi"/>
        </w:rPr>
        <w:t>4</w:t>
      </w:r>
      <w:r w:rsidR="003C71EB" w:rsidRPr="003C71EB">
        <w:rPr>
          <w:rFonts w:asciiTheme="minorHAnsi" w:hAnsiTheme="minorHAnsi"/>
          <w:vertAlign w:val="superscript"/>
        </w:rPr>
        <w:t>th</w:t>
      </w:r>
      <w:r w:rsidR="003C71EB">
        <w:rPr>
          <w:rFonts w:asciiTheme="minorHAnsi" w:hAnsiTheme="minorHAnsi"/>
        </w:rPr>
        <w:t xml:space="preserve"> May 2017 10:00am</w:t>
      </w:r>
      <w:r w:rsidRPr="000E315B">
        <w:rPr>
          <w:rFonts w:asciiTheme="minorHAnsi" w:hAnsiTheme="minorHAnsi"/>
        </w:rPr>
        <w:t xml:space="preserve"> </w:t>
      </w:r>
    </w:p>
    <w:p w14:paraId="74DE9594" w14:textId="7295331E"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Pr>
          <w:rFonts w:asciiTheme="minorHAnsi" w:hAnsiTheme="minorHAnsi"/>
        </w:rPr>
        <w:t>RSSB</w:t>
      </w:r>
      <w:r w:rsidR="003C71EB">
        <w:rPr>
          <w:rFonts w:asciiTheme="minorHAnsi" w:hAnsiTheme="minorHAnsi"/>
        </w:rPr>
        <w:t>2573</w:t>
      </w:r>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6098F940"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2E2D7C">
              <w:rPr>
                <w:noProof/>
                <w:webHidden/>
              </w:rPr>
              <w:t>3</w:t>
            </w:r>
            <w:r w:rsidR="007D0593">
              <w:rPr>
                <w:noProof/>
                <w:webHidden/>
              </w:rPr>
              <w:fldChar w:fldCharType="end"/>
            </w:r>
          </w:hyperlink>
        </w:p>
        <w:p w14:paraId="35EB02AF" w14:textId="4CB3ED94" w:rsidR="007D0593" w:rsidRDefault="0069676E">
          <w:pPr>
            <w:pStyle w:val="TOC1"/>
            <w:tabs>
              <w:tab w:val="right" w:leader="dot" w:pos="9465"/>
            </w:tabs>
            <w:rPr>
              <w:rFonts w:asciiTheme="minorHAnsi" w:eastAsiaTheme="minorEastAsia" w:hAnsiTheme="minorHAnsi"/>
              <w:noProof/>
              <w:lang w:eastAsia="en-GB"/>
            </w:rPr>
          </w:pPr>
          <w:hyperlink w:anchor="_Toc459026820" w:history="1">
            <w:r w:rsidR="003C71EB">
              <w:rPr>
                <w:rStyle w:val="Hyperlink"/>
                <w:noProof/>
              </w:rPr>
              <w:t>Appendix B</w:t>
            </w:r>
            <w:r w:rsidR="007D0593" w:rsidRPr="005B66A6">
              <w:rPr>
                <w:rStyle w:val="Hyperlink"/>
                <w:noProof/>
              </w:rPr>
              <w:t>: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2E2D7C">
              <w:rPr>
                <w:noProof/>
                <w:webHidden/>
              </w:rPr>
              <w:t>5</w:t>
            </w:r>
            <w:r w:rsidR="007D0593">
              <w:rPr>
                <w:noProof/>
                <w:webHidden/>
              </w:rPr>
              <w:fldChar w:fldCharType="end"/>
            </w:r>
          </w:hyperlink>
        </w:p>
        <w:p w14:paraId="17F5AA88" w14:textId="2C3564BA" w:rsidR="007D0593" w:rsidRDefault="0069676E">
          <w:pPr>
            <w:pStyle w:val="TOC1"/>
            <w:tabs>
              <w:tab w:val="right" w:leader="dot" w:pos="9465"/>
            </w:tabs>
            <w:rPr>
              <w:rFonts w:asciiTheme="minorHAnsi" w:eastAsiaTheme="minorEastAsia" w:hAnsiTheme="minorHAnsi"/>
              <w:noProof/>
              <w:lang w:eastAsia="en-GB"/>
            </w:rPr>
          </w:pPr>
          <w:hyperlink w:anchor="_Toc459026822" w:history="1">
            <w:r w:rsidR="003C71EB">
              <w:rPr>
                <w:rStyle w:val="Hyperlink"/>
                <w:noProof/>
              </w:rPr>
              <w:t>Appendix C</w:t>
            </w:r>
            <w:r w:rsidR="007D0593" w:rsidRPr="005B66A6">
              <w:rPr>
                <w:rStyle w:val="Hyperlink"/>
                <w:noProof/>
              </w:rPr>
              <w:t>: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2E2D7C">
              <w:rPr>
                <w:noProof/>
                <w:webHidden/>
              </w:rPr>
              <w:t>6</w:t>
            </w:r>
            <w:r w:rsidR="007D0593">
              <w:rPr>
                <w:noProof/>
                <w:webHidden/>
              </w:rPr>
              <w:fldChar w:fldCharType="end"/>
            </w:r>
          </w:hyperlink>
        </w:p>
        <w:p w14:paraId="469BD77B" w14:textId="331D500B" w:rsidR="007D0593" w:rsidRDefault="0069676E">
          <w:pPr>
            <w:pStyle w:val="TOC1"/>
            <w:tabs>
              <w:tab w:val="right" w:leader="dot" w:pos="9465"/>
            </w:tabs>
            <w:rPr>
              <w:rFonts w:asciiTheme="minorHAnsi" w:eastAsiaTheme="minorEastAsia" w:hAnsiTheme="minorHAnsi"/>
              <w:noProof/>
              <w:lang w:eastAsia="en-GB"/>
            </w:rPr>
          </w:pPr>
          <w:hyperlink w:anchor="_Toc459026823" w:history="1">
            <w:r w:rsidR="003C71EB">
              <w:rPr>
                <w:rStyle w:val="Hyperlink"/>
                <w:noProof/>
              </w:rPr>
              <w:t>Appendix D</w:t>
            </w:r>
            <w:r w:rsidR="007D0593" w:rsidRPr="005B66A6">
              <w:rPr>
                <w:rStyle w:val="Hyperlink"/>
                <w:noProof/>
              </w:rPr>
              <w:t>: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2E2D7C">
              <w:rPr>
                <w:noProof/>
                <w:webHidden/>
              </w:rPr>
              <w:t>7</w:t>
            </w:r>
            <w:r w:rsidR="007D0593">
              <w:rPr>
                <w:noProof/>
                <w:webHidden/>
              </w:rPr>
              <w:fldChar w:fldCharType="end"/>
            </w:r>
          </w:hyperlink>
        </w:p>
        <w:p w14:paraId="63A66CBD" w14:textId="79EF7E86" w:rsidR="007D0593" w:rsidRDefault="0069676E">
          <w:pPr>
            <w:pStyle w:val="TOC1"/>
            <w:tabs>
              <w:tab w:val="right" w:leader="dot" w:pos="9465"/>
            </w:tabs>
            <w:rPr>
              <w:rFonts w:asciiTheme="minorHAnsi" w:eastAsiaTheme="minorEastAsia" w:hAnsiTheme="minorHAnsi"/>
              <w:noProof/>
              <w:lang w:eastAsia="en-GB"/>
            </w:rPr>
          </w:pPr>
          <w:hyperlink w:anchor="_Toc459026824" w:history="1">
            <w:r w:rsidR="003C71EB">
              <w:rPr>
                <w:rStyle w:val="Hyperlink"/>
                <w:noProof/>
              </w:rPr>
              <w:t>Appendix E</w:t>
            </w:r>
            <w:r w:rsidR="007D0593" w:rsidRPr="005B66A6">
              <w:rPr>
                <w:rStyle w:val="Hyperlink"/>
                <w:noProof/>
              </w:rPr>
              <w:t>: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2E2D7C">
              <w:rPr>
                <w:noProof/>
                <w:webHidden/>
              </w:rPr>
              <w:t>8</w:t>
            </w:r>
            <w:r w:rsidR="007D0593">
              <w:rPr>
                <w:noProof/>
                <w:webHidden/>
              </w:rPr>
              <w:fldChar w:fldCharType="end"/>
            </w:r>
          </w:hyperlink>
        </w:p>
        <w:p w14:paraId="02A66D73" w14:textId="11857478" w:rsidR="007D0593" w:rsidRDefault="0069676E">
          <w:pPr>
            <w:pStyle w:val="TOC1"/>
            <w:tabs>
              <w:tab w:val="right" w:leader="dot" w:pos="9465"/>
            </w:tabs>
            <w:rPr>
              <w:rFonts w:asciiTheme="minorHAnsi" w:eastAsiaTheme="minorEastAsia" w:hAnsiTheme="minorHAnsi"/>
              <w:noProof/>
              <w:lang w:eastAsia="en-GB"/>
            </w:rPr>
          </w:pPr>
          <w:hyperlink w:anchor="_Toc459026825" w:history="1">
            <w:r w:rsidR="003C71EB">
              <w:rPr>
                <w:rStyle w:val="Hyperlink"/>
                <w:noProof/>
              </w:rPr>
              <w:t>Appendix F</w:t>
            </w:r>
            <w:r w:rsidR="007D0593" w:rsidRPr="005B66A6">
              <w:rPr>
                <w:rStyle w:val="Hyperlink"/>
                <w:noProof/>
              </w:rPr>
              <w:t>: Schedule of Requirements</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2E2D7C">
              <w:rPr>
                <w:noProof/>
                <w:webHidden/>
              </w:rPr>
              <w:t>9</w:t>
            </w:r>
            <w:r w:rsidR="007D0593">
              <w:rPr>
                <w:noProof/>
                <w:webHidden/>
              </w:rPr>
              <w:fldChar w:fldCharType="end"/>
            </w:r>
          </w:hyperlink>
        </w:p>
        <w:p w14:paraId="45C17FA3" w14:textId="2D8BDF14" w:rsidR="007D0593" w:rsidRDefault="0069676E">
          <w:pPr>
            <w:pStyle w:val="TOC1"/>
            <w:tabs>
              <w:tab w:val="right" w:leader="dot" w:pos="9465"/>
            </w:tabs>
            <w:rPr>
              <w:rFonts w:asciiTheme="minorHAnsi" w:eastAsiaTheme="minorEastAsia" w:hAnsiTheme="minorHAnsi"/>
              <w:noProof/>
              <w:lang w:eastAsia="en-GB"/>
            </w:rPr>
          </w:pPr>
          <w:hyperlink w:anchor="_Toc459026826" w:history="1">
            <w:r w:rsidR="002E2D7C">
              <w:rPr>
                <w:rStyle w:val="Hyperlink"/>
                <w:noProof/>
              </w:rPr>
              <w:t xml:space="preserve">Appendix H: Pricing Schedule </w:t>
            </w:r>
            <w:r w:rsidR="007D0593">
              <w:rPr>
                <w:noProof/>
                <w:webHidden/>
              </w:rPr>
              <w:tab/>
            </w:r>
            <w:r w:rsidR="007D0593">
              <w:rPr>
                <w:noProof/>
                <w:webHidden/>
              </w:rPr>
              <w:fldChar w:fldCharType="begin"/>
            </w:r>
            <w:r w:rsidR="007D0593">
              <w:rPr>
                <w:noProof/>
                <w:webHidden/>
              </w:rPr>
              <w:instrText xml:space="preserve"> PAGEREF _Toc459026826 \h </w:instrText>
            </w:r>
            <w:r w:rsidR="007D0593">
              <w:rPr>
                <w:noProof/>
                <w:webHidden/>
              </w:rPr>
            </w:r>
            <w:r w:rsidR="007D0593">
              <w:rPr>
                <w:noProof/>
                <w:webHidden/>
              </w:rPr>
              <w:fldChar w:fldCharType="separate"/>
            </w:r>
            <w:r w:rsidR="002E2D7C">
              <w:rPr>
                <w:noProof/>
                <w:webHidden/>
              </w:rPr>
              <w:t>15</w:t>
            </w:r>
            <w:r w:rsidR="007D0593">
              <w:rPr>
                <w:noProof/>
                <w:webHidden/>
              </w:rPr>
              <w:fldChar w:fldCharType="end"/>
            </w:r>
          </w:hyperlink>
        </w:p>
        <w:p w14:paraId="2B4A6629" w14:textId="74ED2B56" w:rsidR="007D0593" w:rsidRDefault="0069676E">
          <w:pPr>
            <w:pStyle w:val="TOC1"/>
            <w:tabs>
              <w:tab w:val="right" w:leader="dot" w:pos="9465"/>
            </w:tabs>
            <w:rPr>
              <w:rFonts w:asciiTheme="minorHAnsi" w:eastAsiaTheme="minorEastAsia" w:hAnsiTheme="minorHAnsi"/>
              <w:noProof/>
              <w:lang w:eastAsia="en-GB"/>
            </w:rPr>
          </w:pPr>
          <w:hyperlink w:anchor="_Toc459026827" w:history="1">
            <w:r w:rsidR="007D0593" w:rsidRPr="005B66A6">
              <w:rPr>
                <w:rStyle w:val="Hyperlink"/>
                <w:noProof/>
              </w:rPr>
              <w:t>Appendix I: Draft Contract (see separate document)</w:t>
            </w:r>
            <w:r w:rsidR="007D0593">
              <w:rPr>
                <w:noProof/>
                <w:webHidden/>
              </w:rPr>
              <w:tab/>
            </w:r>
            <w:r w:rsidR="007D0593">
              <w:rPr>
                <w:noProof/>
                <w:webHidden/>
              </w:rPr>
              <w:fldChar w:fldCharType="begin"/>
            </w:r>
            <w:r w:rsidR="007D0593">
              <w:rPr>
                <w:noProof/>
                <w:webHidden/>
              </w:rPr>
              <w:instrText xml:space="preserve"> PAGEREF _Toc459026827 \h </w:instrText>
            </w:r>
            <w:r w:rsidR="007D0593">
              <w:rPr>
                <w:noProof/>
                <w:webHidden/>
              </w:rPr>
            </w:r>
            <w:r w:rsidR="007D0593">
              <w:rPr>
                <w:noProof/>
                <w:webHidden/>
              </w:rPr>
              <w:fldChar w:fldCharType="separate"/>
            </w:r>
            <w:r w:rsidR="002E2D7C">
              <w:rPr>
                <w:noProof/>
                <w:webHidden/>
              </w:rPr>
              <w:t>17</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1"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1"/>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2" w:name="id.2e748957e556" w:colFirst="0" w:colLast="0"/>
            <w:bookmarkEnd w:id="2"/>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f2858791bea6" w:colFirst="0" w:colLast="0"/>
            <w:bookmarkEnd w:id="3"/>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4f9f2646917c" w:colFirst="0" w:colLast="0"/>
            <w:bookmarkEnd w:id="4"/>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15b44623820e" w:colFirst="0" w:colLast="0"/>
            <w:bookmarkEnd w:id="5"/>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bbfb88dbdfcd" w:colFirst="0" w:colLast="0"/>
            <w:bookmarkEnd w:id="6"/>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e62913dc4bcb" w:colFirst="0" w:colLast="0"/>
            <w:bookmarkEnd w:id="7"/>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0f85acb4239e" w:colFirst="0" w:colLast="0"/>
            <w:bookmarkEnd w:id="8"/>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6f212a68f63a" w:colFirst="0" w:colLast="0"/>
            <w:bookmarkEnd w:id="9"/>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whether or not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AF952DC" w14:textId="77777777" w:rsidR="00413433" w:rsidRDefault="00413433" w:rsidP="00413433">
      <w:pPr>
        <w:sectPr w:rsidR="00413433" w:rsidSect="00706CE3">
          <w:headerReference w:type="default" r:id="rId12"/>
          <w:footerReference w:type="even" r:id="rId13"/>
          <w:footerReference w:type="default" r:id="rId14"/>
          <w:pgSz w:w="11906" w:h="16838"/>
          <w:pgMar w:top="1440" w:right="1440" w:bottom="1440" w:left="1440" w:header="941" w:footer="567" w:gutter="0"/>
          <w:cols w:space="708"/>
          <w:docGrid w:linePitch="360"/>
        </w:sectPr>
      </w:pPr>
    </w:p>
    <w:p w14:paraId="69EC782B" w14:textId="395489B1" w:rsidR="003D58D9" w:rsidRDefault="00413433" w:rsidP="003D58D9">
      <w:pPr>
        <w:pStyle w:val="Heading10"/>
      </w:pPr>
      <w:bookmarkStart w:id="10" w:name="_Toc459026820"/>
      <w:r>
        <w:lastRenderedPageBreak/>
        <w:t xml:space="preserve">Appendix </w:t>
      </w:r>
      <w:r w:rsidR="003C71EB">
        <w:t>B</w:t>
      </w:r>
      <w:r w:rsidR="000745CB">
        <w:t xml:space="preserve">: </w:t>
      </w:r>
      <w:r>
        <w:t>Schedule of Qualifications</w:t>
      </w:r>
      <w:bookmarkEnd w:id="10"/>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1" w:name="_Toc456692789"/>
      <w:bookmarkStart w:id="12" w:name="_Toc459022693"/>
      <w:bookmarkStart w:id="13" w:name="_Toc459026821"/>
      <w:r w:rsidRPr="00491146">
        <w:rPr>
          <w:rFonts w:asciiTheme="minorHAnsi" w:hAnsiTheme="minorHAnsi"/>
        </w:rPr>
        <w:t>Qualifications to Terms and Conditions</w:t>
      </w:r>
      <w:bookmarkEnd w:id="11"/>
      <w:bookmarkEnd w:id="12"/>
      <w:bookmarkEnd w:id="13"/>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(iii) seeks to achieve a different relationship through systematic change to a large number of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35CF6CE4" w:rsidR="003D58D9" w:rsidRDefault="003D58D9" w:rsidP="003D58D9">
      <w:pPr>
        <w:pStyle w:val="Heading10"/>
      </w:pPr>
      <w:bookmarkStart w:id="14" w:name="_Toc459026822"/>
      <w:r w:rsidRPr="00CF7EDE">
        <w:lastRenderedPageBreak/>
        <w:t xml:space="preserve">Appendix </w:t>
      </w:r>
      <w:r w:rsidR="003C71EB">
        <w:t>E</w:t>
      </w:r>
      <w:r>
        <w:t>:</w:t>
      </w:r>
      <w:r w:rsidRPr="00CF7EDE">
        <w:t xml:space="preserve"> </w:t>
      </w:r>
      <w:r w:rsidR="00896DE1">
        <w:t>Form of T</w:t>
      </w:r>
      <w:r w:rsidR="003C128F">
        <w:t>ender</w:t>
      </w:r>
      <w:bookmarkEnd w:id="14"/>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this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Enter into an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for the purpose of submission of </w:t>
      </w:r>
      <w:r w:rsidR="001C3F31">
        <w:rPr>
          <w:rFonts w:asciiTheme="minorHAnsi" w:hAnsiTheme="minorHAnsi"/>
        </w:rPr>
        <w:t>a tender</w:t>
      </w:r>
      <w:r w:rsidRPr="00CF7EDE">
        <w:rPr>
          <w:rFonts w:asciiTheme="minorHAnsi" w:hAnsiTheme="minorHAnsi"/>
        </w:rPr>
        <w:t>.</w:t>
      </w:r>
      <w:bookmarkStart w:id="15"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3E6B9A0E" w:rsidR="003D58D9" w:rsidRPr="00CF7EDE" w:rsidRDefault="003D58D9" w:rsidP="003D58D9">
      <w:pPr>
        <w:pStyle w:val="Heading10"/>
        <w:rPr>
          <w:rFonts w:asciiTheme="minorHAnsi" w:hAnsiTheme="minorHAnsi"/>
        </w:rPr>
      </w:pPr>
      <w:bookmarkStart w:id="16" w:name="_Toc459026823"/>
      <w:r w:rsidRPr="00CF7EDE">
        <w:lastRenderedPageBreak/>
        <w:t xml:space="preserve">Appendix </w:t>
      </w:r>
      <w:r w:rsidR="003C71EB">
        <w:t>D</w:t>
      </w:r>
      <w:r>
        <w:t>:</w:t>
      </w:r>
      <w:r w:rsidRPr="00CF7EDE">
        <w:t xml:space="preserve"> </w:t>
      </w:r>
      <w:r>
        <w:t>Sub-contractors</w:t>
      </w:r>
      <w:bookmarkEnd w:id="16"/>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3944203" w:rsidR="003D58D9" w:rsidRPr="00CF7EDE" w:rsidRDefault="003D58D9" w:rsidP="003D58D9">
      <w:pPr>
        <w:pStyle w:val="Heading10"/>
        <w:rPr>
          <w:rFonts w:asciiTheme="minorHAnsi" w:hAnsiTheme="minorHAnsi"/>
        </w:rPr>
      </w:pPr>
      <w:bookmarkStart w:id="17" w:name="_Toc459026824"/>
      <w:r w:rsidRPr="00CF7EDE">
        <w:lastRenderedPageBreak/>
        <w:t xml:space="preserve">Appendix </w:t>
      </w:r>
      <w:r w:rsidR="003C71EB">
        <w:t>E</w:t>
      </w:r>
      <w:r>
        <w:t>:</w:t>
      </w:r>
      <w:r w:rsidRPr="00CF7EDE">
        <w:t xml:space="preserve"> </w:t>
      </w:r>
      <w:r>
        <w:t>Conflicts of Interest</w:t>
      </w:r>
      <w:bookmarkEnd w:id="17"/>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5"/>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1DAF088F" w:rsidR="003D58D9" w:rsidRDefault="003C71EB" w:rsidP="009F5AC3">
      <w:pPr>
        <w:pStyle w:val="Heading10"/>
      </w:pPr>
      <w:bookmarkStart w:id="18" w:name="_Toc459026825"/>
      <w:r>
        <w:lastRenderedPageBreak/>
        <w:t>Appendix F</w:t>
      </w:r>
      <w:r w:rsidR="009F5AC3" w:rsidRPr="009F5AC3">
        <w:t>: Schedule of Requirements</w:t>
      </w:r>
      <w:r w:rsidR="008D3CCA">
        <w:t xml:space="preserve"> </w:t>
      </w:r>
      <w:bookmarkEnd w:id="18"/>
    </w:p>
    <w:p w14:paraId="74D83A5F" w14:textId="77777777" w:rsidR="00A07800" w:rsidRDefault="00A07800" w:rsidP="00A07800"/>
    <w:p w14:paraId="045EFA33" w14:textId="77777777" w:rsidR="003C71EB" w:rsidRDefault="003C71EB" w:rsidP="003C71EB">
      <w:pPr>
        <w:pStyle w:val="Heading1"/>
      </w:pPr>
      <w:r>
        <w:t>Background</w:t>
      </w:r>
    </w:p>
    <w:p w14:paraId="4AB137DD" w14:textId="77777777" w:rsidR="003C71EB" w:rsidRDefault="003C71EB" w:rsidP="003C71EB">
      <w:pPr>
        <w:pStyle w:val="BodyIndent1"/>
      </w:pPr>
      <w:r>
        <w:t xml:space="preserve">RSSB project T1060 – Forces during </w:t>
      </w:r>
      <w:r w:rsidRPr="00584A4F">
        <w:t>de-wirements</w:t>
      </w:r>
      <w:r>
        <w:t xml:space="preserve"> (overhead line de-wirements) is already in delivery and aims to understand the forces during dewirements. Two work packages have already been completed: WP01 - </w:t>
      </w:r>
      <w:r w:rsidRPr="005E5F1B">
        <w:t>Desktop review and suggested scenarios for WP</w:t>
      </w:r>
      <w:r>
        <w:t>0</w:t>
      </w:r>
      <w:r w:rsidRPr="005E5F1B">
        <w:t>2</w:t>
      </w:r>
      <w:r>
        <w:t xml:space="preserve"> and WP02 - </w:t>
      </w:r>
      <w:r w:rsidRPr="005E5F1B">
        <w:t>Calculation and understanding the forces produced during a de-wirement</w:t>
      </w:r>
      <w:r>
        <w:t xml:space="preserve"> looked at helping to categorise previous de-wirement incidents and to investigate the forces involved.</w:t>
      </w:r>
    </w:p>
    <w:p w14:paraId="0BB9021D" w14:textId="77777777" w:rsidR="003C71EB" w:rsidRPr="000B4ACF" w:rsidRDefault="003C71EB" w:rsidP="003C71EB">
      <w:pPr>
        <w:pStyle w:val="BodyIndent1"/>
      </w:pPr>
      <w:r>
        <w:t xml:space="preserve">Further research is now needed to support an analysis of the issues that lead to a de-wirement incident and the potential consequences to the infrastructure, rolling stock, travelling, general public and railway staff as the result of a de-wirement incident. The cost of operational delay, infrastructure and rolling stock repairs, injuries and consequential risk should also be considered. </w:t>
      </w:r>
    </w:p>
    <w:p w14:paraId="5392CA6E" w14:textId="77777777" w:rsidR="003C71EB" w:rsidRDefault="003C71EB" w:rsidP="003C71EB">
      <w:pPr>
        <w:pStyle w:val="BodyIndent1"/>
      </w:pPr>
      <w:r>
        <w:t>Following this improved understanding of the potential risks associated with a de-wirement incident, Network Rail has identified a need for a more comprehensive risk assessment into de-wirement and its consequences, and an identification and analysis of the costs and benefits of potential mitigations. It is thought that this will require a fully quantified risk analysis to be carried out, through examining the rolling stock, infrastructure, people, and location issues associated with a standard de-wirement incident. Network Rail has asked for this area of the research to particularly focus on the industry change from the ceramic to polymeric insulator components currently being installed onto the infrastructure and rolling stock, and the impact of this change on the risk from de-wirements.</w:t>
      </w:r>
    </w:p>
    <w:p w14:paraId="416CCB22" w14:textId="77777777" w:rsidR="003C71EB" w:rsidRDefault="003C71EB" w:rsidP="003C71EB">
      <w:pPr>
        <w:pStyle w:val="TableText"/>
        <w:ind w:right="-568"/>
        <w:rPr>
          <w:sz w:val="20"/>
          <w:lang w:eastAsia="en-GB"/>
        </w:rPr>
      </w:pPr>
    </w:p>
    <w:tbl>
      <w:tblPr>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2"/>
        <w:gridCol w:w="3305"/>
        <w:gridCol w:w="1559"/>
        <w:gridCol w:w="1560"/>
      </w:tblGrid>
      <w:tr w:rsidR="003C71EB" w14:paraId="376217BA" w14:textId="77777777" w:rsidTr="00C539D3">
        <w:trPr>
          <w:cantSplit/>
          <w:trHeight w:val="274"/>
          <w:tblHeader/>
        </w:trPr>
        <w:tc>
          <w:tcPr>
            <w:tcW w:w="1482" w:type="dxa"/>
            <w:tcBorders>
              <w:top w:val="single" w:sz="4" w:space="0" w:color="auto"/>
              <w:left w:val="single" w:sz="4" w:space="0" w:color="auto"/>
              <w:bottom w:val="single" w:sz="4" w:space="0" w:color="auto"/>
              <w:right w:val="single" w:sz="4" w:space="0" w:color="auto"/>
            </w:tcBorders>
            <w:shd w:val="clear" w:color="auto" w:fill="99CC00"/>
            <w:hideMark/>
          </w:tcPr>
          <w:p w14:paraId="05B9A3C8" w14:textId="77777777" w:rsidR="003C71EB" w:rsidRDefault="003C71EB" w:rsidP="00C539D3">
            <w:pPr>
              <w:pStyle w:val="TableTextBold"/>
              <w:ind w:right="-568"/>
            </w:pPr>
            <w:r>
              <w:rPr>
                <w:rFonts w:eastAsia="Times New Roman"/>
              </w:rPr>
              <w:t>WP ID</w:t>
            </w:r>
          </w:p>
        </w:tc>
        <w:tc>
          <w:tcPr>
            <w:tcW w:w="3305" w:type="dxa"/>
            <w:tcBorders>
              <w:top w:val="single" w:sz="4" w:space="0" w:color="auto"/>
              <w:left w:val="single" w:sz="4" w:space="0" w:color="auto"/>
              <w:bottom w:val="single" w:sz="4" w:space="0" w:color="auto"/>
              <w:right w:val="single" w:sz="4" w:space="0" w:color="auto"/>
            </w:tcBorders>
            <w:shd w:val="clear" w:color="auto" w:fill="99CC00"/>
            <w:hideMark/>
          </w:tcPr>
          <w:p w14:paraId="3DCCED9F" w14:textId="77777777" w:rsidR="003C71EB" w:rsidRDefault="003C71EB" w:rsidP="00C539D3">
            <w:pPr>
              <w:pStyle w:val="TableTextBold"/>
              <w:ind w:right="-568"/>
            </w:pPr>
            <w:r>
              <w:rPr>
                <w:rFonts w:eastAsia="Times New Roman"/>
              </w:rPr>
              <w:t>Work Package Title</w:t>
            </w:r>
          </w:p>
        </w:tc>
        <w:tc>
          <w:tcPr>
            <w:tcW w:w="1559" w:type="dxa"/>
            <w:tcBorders>
              <w:top w:val="single" w:sz="4" w:space="0" w:color="auto"/>
              <w:left w:val="single" w:sz="4" w:space="0" w:color="auto"/>
              <w:bottom w:val="single" w:sz="4" w:space="0" w:color="auto"/>
              <w:right w:val="single" w:sz="4" w:space="0" w:color="auto"/>
            </w:tcBorders>
            <w:shd w:val="clear" w:color="auto" w:fill="99CC00"/>
            <w:hideMark/>
          </w:tcPr>
          <w:p w14:paraId="79C4CEEA" w14:textId="77777777" w:rsidR="003C71EB" w:rsidRDefault="003C71EB" w:rsidP="00C539D3">
            <w:pPr>
              <w:pStyle w:val="TableTextBold"/>
            </w:pPr>
            <w:r>
              <w:rPr>
                <w:rFonts w:eastAsia="Times New Roman"/>
              </w:rPr>
              <w:t>Expected Start Date</w:t>
            </w:r>
          </w:p>
        </w:tc>
        <w:tc>
          <w:tcPr>
            <w:tcW w:w="1560" w:type="dxa"/>
            <w:tcBorders>
              <w:top w:val="single" w:sz="4" w:space="0" w:color="auto"/>
              <w:left w:val="single" w:sz="4" w:space="0" w:color="auto"/>
              <w:bottom w:val="single" w:sz="4" w:space="0" w:color="auto"/>
              <w:right w:val="single" w:sz="4" w:space="0" w:color="auto"/>
            </w:tcBorders>
            <w:shd w:val="clear" w:color="auto" w:fill="99CC00"/>
            <w:hideMark/>
          </w:tcPr>
          <w:p w14:paraId="0E42E544" w14:textId="77777777" w:rsidR="003C71EB" w:rsidRDefault="003C71EB" w:rsidP="00C539D3">
            <w:pPr>
              <w:pStyle w:val="TableTextBold"/>
              <w:tabs>
                <w:tab w:val="left" w:pos="992"/>
              </w:tabs>
              <w:ind w:left="33" w:right="176"/>
            </w:pPr>
            <w:r>
              <w:rPr>
                <w:rFonts w:eastAsia="Times New Roman"/>
              </w:rPr>
              <w:t>Expected End Date</w:t>
            </w:r>
          </w:p>
        </w:tc>
      </w:tr>
      <w:tr w:rsidR="003C71EB" w14:paraId="5B903B68" w14:textId="77777777" w:rsidTr="00C539D3">
        <w:trPr>
          <w:cantSplit/>
          <w:trHeight w:val="287"/>
        </w:trPr>
        <w:tc>
          <w:tcPr>
            <w:tcW w:w="1482" w:type="dxa"/>
            <w:tcBorders>
              <w:top w:val="single" w:sz="4" w:space="0" w:color="auto"/>
              <w:left w:val="single" w:sz="4" w:space="0" w:color="auto"/>
              <w:bottom w:val="single" w:sz="4" w:space="0" w:color="auto"/>
              <w:right w:val="single" w:sz="4" w:space="0" w:color="auto"/>
            </w:tcBorders>
            <w:hideMark/>
          </w:tcPr>
          <w:p w14:paraId="493512FC" w14:textId="77777777" w:rsidR="003C71EB" w:rsidRPr="00154052" w:rsidRDefault="003C71EB" w:rsidP="00C539D3">
            <w:pPr>
              <w:pStyle w:val="TableText"/>
              <w:ind w:left="0"/>
              <w:rPr>
                <w:rFonts w:asciiTheme="minorHAnsi" w:hAnsiTheme="minorHAnsi"/>
              </w:rPr>
            </w:pPr>
            <w:r w:rsidRPr="00154052">
              <w:rPr>
                <w:rFonts w:asciiTheme="minorHAnsi" w:hAnsiTheme="minorHAnsi"/>
              </w:rPr>
              <w:t>T1060-01</w:t>
            </w:r>
          </w:p>
        </w:tc>
        <w:tc>
          <w:tcPr>
            <w:tcW w:w="3305" w:type="dxa"/>
            <w:tcBorders>
              <w:top w:val="single" w:sz="4" w:space="0" w:color="auto"/>
              <w:left w:val="single" w:sz="4" w:space="0" w:color="auto"/>
              <w:bottom w:val="single" w:sz="4" w:space="0" w:color="auto"/>
              <w:right w:val="single" w:sz="4" w:space="0" w:color="auto"/>
            </w:tcBorders>
            <w:hideMark/>
          </w:tcPr>
          <w:p w14:paraId="14263447" w14:textId="77777777" w:rsidR="003C71EB" w:rsidRPr="00154052" w:rsidRDefault="003C71EB" w:rsidP="00C539D3">
            <w:pPr>
              <w:pStyle w:val="TableText"/>
              <w:ind w:left="0"/>
              <w:rPr>
                <w:rFonts w:asciiTheme="minorHAnsi" w:eastAsia="Arial" w:hAnsiTheme="minorHAnsi"/>
              </w:rPr>
            </w:pPr>
            <w:r w:rsidRPr="00154052">
              <w:rPr>
                <w:rFonts w:asciiTheme="minorHAnsi" w:hAnsiTheme="minorHAnsi"/>
              </w:rPr>
              <w:t>Desktop review and suggested scenarios for WP2</w:t>
            </w:r>
          </w:p>
        </w:tc>
        <w:tc>
          <w:tcPr>
            <w:tcW w:w="1559" w:type="dxa"/>
            <w:tcBorders>
              <w:top w:val="single" w:sz="4" w:space="0" w:color="auto"/>
              <w:left w:val="single" w:sz="4" w:space="0" w:color="auto"/>
              <w:bottom w:val="single" w:sz="4" w:space="0" w:color="auto"/>
              <w:right w:val="single" w:sz="4" w:space="0" w:color="auto"/>
            </w:tcBorders>
            <w:hideMark/>
          </w:tcPr>
          <w:p w14:paraId="18B03C65" w14:textId="77777777" w:rsidR="003C71EB" w:rsidRPr="00154052" w:rsidRDefault="003C71EB" w:rsidP="00C539D3">
            <w:pPr>
              <w:pStyle w:val="TableText"/>
              <w:ind w:left="0"/>
              <w:rPr>
                <w:rFonts w:asciiTheme="minorHAnsi" w:hAnsiTheme="minorHAnsi"/>
              </w:rPr>
            </w:pPr>
            <w:r w:rsidRPr="00154052">
              <w:rPr>
                <w:rFonts w:asciiTheme="minorHAnsi" w:hAnsiTheme="minorHAnsi"/>
              </w:rPr>
              <w:t>20-Apr-2015</w:t>
            </w:r>
          </w:p>
        </w:tc>
        <w:tc>
          <w:tcPr>
            <w:tcW w:w="1560" w:type="dxa"/>
            <w:tcBorders>
              <w:top w:val="single" w:sz="4" w:space="0" w:color="auto"/>
              <w:left w:val="single" w:sz="4" w:space="0" w:color="auto"/>
              <w:bottom w:val="single" w:sz="4" w:space="0" w:color="auto"/>
              <w:right w:val="single" w:sz="4" w:space="0" w:color="auto"/>
            </w:tcBorders>
            <w:hideMark/>
          </w:tcPr>
          <w:p w14:paraId="3C09B5CD" w14:textId="77777777" w:rsidR="003C71EB" w:rsidRPr="00154052" w:rsidRDefault="003C71EB" w:rsidP="00C539D3">
            <w:pPr>
              <w:pStyle w:val="TableText"/>
              <w:ind w:left="0"/>
              <w:rPr>
                <w:rFonts w:asciiTheme="minorHAnsi" w:hAnsiTheme="minorHAnsi"/>
              </w:rPr>
            </w:pPr>
            <w:r w:rsidRPr="00154052">
              <w:rPr>
                <w:rFonts w:asciiTheme="minorHAnsi" w:hAnsiTheme="minorHAnsi"/>
              </w:rPr>
              <w:t>01-Apr-2016 (Completed)</w:t>
            </w:r>
          </w:p>
        </w:tc>
      </w:tr>
      <w:tr w:rsidR="003C71EB" w14:paraId="0A50B9CA" w14:textId="77777777" w:rsidTr="00C539D3">
        <w:trPr>
          <w:cantSplit/>
          <w:trHeight w:val="287"/>
        </w:trPr>
        <w:tc>
          <w:tcPr>
            <w:tcW w:w="1482" w:type="dxa"/>
            <w:tcBorders>
              <w:top w:val="single" w:sz="4" w:space="0" w:color="auto"/>
              <w:left w:val="single" w:sz="4" w:space="0" w:color="auto"/>
              <w:bottom w:val="single" w:sz="4" w:space="0" w:color="auto"/>
              <w:right w:val="single" w:sz="4" w:space="0" w:color="auto"/>
            </w:tcBorders>
            <w:hideMark/>
          </w:tcPr>
          <w:p w14:paraId="4743FEFD" w14:textId="77777777" w:rsidR="003C71EB" w:rsidRPr="00154052" w:rsidRDefault="003C71EB" w:rsidP="00C539D3">
            <w:pPr>
              <w:pStyle w:val="TableText"/>
              <w:ind w:left="0"/>
              <w:rPr>
                <w:rFonts w:asciiTheme="minorHAnsi" w:hAnsiTheme="minorHAnsi"/>
              </w:rPr>
            </w:pPr>
            <w:r w:rsidRPr="00154052">
              <w:rPr>
                <w:rFonts w:asciiTheme="minorHAnsi" w:hAnsiTheme="minorHAnsi"/>
              </w:rPr>
              <w:t>T1060-02</w:t>
            </w:r>
          </w:p>
        </w:tc>
        <w:tc>
          <w:tcPr>
            <w:tcW w:w="3305" w:type="dxa"/>
            <w:tcBorders>
              <w:top w:val="single" w:sz="4" w:space="0" w:color="auto"/>
              <w:left w:val="single" w:sz="4" w:space="0" w:color="auto"/>
              <w:bottom w:val="single" w:sz="4" w:space="0" w:color="auto"/>
              <w:right w:val="single" w:sz="4" w:space="0" w:color="auto"/>
            </w:tcBorders>
            <w:hideMark/>
          </w:tcPr>
          <w:p w14:paraId="169A1391" w14:textId="77777777" w:rsidR="003C71EB" w:rsidRPr="00154052" w:rsidRDefault="003C71EB" w:rsidP="00C539D3">
            <w:pPr>
              <w:pStyle w:val="TableText"/>
              <w:ind w:left="0"/>
              <w:rPr>
                <w:rFonts w:asciiTheme="minorHAnsi" w:hAnsiTheme="minorHAnsi"/>
              </w:rPr>
            </w:pPr>
            <w:r w:rsidRPr="00154052">
              <w:rPr>
                <w:rFonts w:asciiTheme="minorHAnsi" w:hAnsiTheme="minorHAnsi"/>
              </w:rPr>
              <w:t xml:space="preserve">Calculation and understanding the forces produced during a </w:t>
            </w:r>
          </w:p>
          <w:p w14:paraId="2FED6B7B" w14:textId="77777777" w:rsidR="003C71EB" w:rsidRPr="00154052" w:rsidRDefault="003C71EB" w:rsidP="00C539D3">
            <w:pPr>
              <w:pStyle w:val="TableText"/>
              <w:ind w:left="0"/>
              <w:rPr>
                <w:rFonts w:asciiTheme="minorHAnsi" w:hAnsiTheme="minorHAnsi"/>
              </w:rPr>
            </w:pPr>
            <w:r w:rsidRPr="00154052">
              <w:rPr>
                <w:rFonts w:asciiTheme="minorHAnsi" w:hAnsiTheme="minorHAnsi"/>
              </w:rPr>
              <w:t>de-wirement</w:t>
            </w:r>
          </w:p>
        </w:tc>
        <w:tc>
          <w:tcPr>
            <w:tcW w:w="1559" w:type="dxa"/>
            <w:tcBorders>
              <w:top w:val="single" w:sz="4" w:space="0" w:color="auto"/>
              <w:left w:val="single" w:sz="4" w:space="0" w:color="auto"/>
              <w:bottom w:val="single" w:sz="4" w:space="0" w:color="auto"/>
              <w:right w:val="single" w:sz="4" w:space="0" w:color="auto"/>
            </w:tcBorders>
            <w:hideMark/>
          </w:tcPr>
          <w:p w14:paraId="4241244D" w14:textId="77777777" w:rsidR="003C71EB" w:rsidRPr="00154052" w:rsidRDefault="003C71EB" w:rsidP="00C539D3">
            <w:pPr>
              <w:pStyle w:val="TableText"/>
              <w:ind w:left="0"/>
              <w:rPr>
                <w:rFonts w:asciiTheme="minorHAnsi" w:hAnsiTheme="minorHAnsi"/>
              </w:rPr>
            </w:pPr>
            <w:r w:rsidRPr="00154052">
              <w:rPr>
                <w:rFonts w:asciiTheme="minorHAnsi" w:hAnsiTheme="minorHAnsi"/>
              </w:rPr>
              <w:t>27-Jun-2016</w:t>
            </w:r>
          </w:p>
        </w:tc>
        <w:tc>
          <w:tcPr>
            <w:tcW w:w="1560" w:type="dxa"/>
            <w:tcBorders>
              <w:top w:val="single" w:sz="4" w:space="0" w:color="auto"/>
              <w:left w:val="single" w:sz="4" w:space="0" w:color="auto"/>
              <w:bottom w:val="single" w:sz="4" w:space="0" w:color="auto"/>
              <w:right w:val="single" w:sz="4" w:space="0" w:color="auto"/>
            </w:tcBorders>
            <w:hideMark/>
          </w:tcPr>
          <w:p w14:paraId="581A76E9" w14:textId="77777777" w:rsidR="003C71EB" w:rsidRPr="00154052" w:rsidRDefault="003C71EB" w:rsidP="00C539D3">
            <w:pPr>
              <w:pStyle w:val="TableText"/>
              <w:ind w:left="0"/>
              <w:rPr>
                <w:rFonts w:asciiTheme="minorHAnsi" w:hAnsiTheme="minorHAnsi"/>
              </w:rPr>
            </w:pPr>
            <w:r w:rsidRPr="00154052">
              <w:rPr>
                <w:rFonts w:asciiTheme="minorHAnsi" w:hAnsiTheme="minorHAnsi"/>
              </w:rPr>
              <w:t>30-Nov-2016 (Completed)</w:t>
            </w:r>
          </w:p>
        </w:tc>
      </w:tr>
      <w:tr w:rsidR="003C71EB" w14:paraId="01D8B9B5" w14:textId="77777777" w:rsidTr="00C539D3">
        <w:trPr>
          <w:cantSplit/>
          <w:trHeight w:val="287"/>
        </w:trPr>
        <w:tc>
          <w:tcPr>
            <w:tcW w:w="1482" w:type="dxa"/>
            <w:tcBorders>
              <w:top w:val="single" w:sz="4" w:space="0" w:color="auto"/>
              <w:left w:val="single" w:sz="4" w:space="0" w:color="auto"/>
              <w:bottom w:val="single" w:sz="4" w:space="0" w:color="auto"/>
              <w:right w:val="single" w:sz="4" w:space="0" w:color="auto"/>
            </w:tcBorders>
            <w:hideMark/>
          </w:tcPr>
          <w:p w14:paraId="55F4387F" w14:textId="77777777" w:rsidR="003C71EB" w:rsidRPr="00154052" w:rsidRDefault="003C71EB" w:rsidP="00C539D3">
            <w:pPr>
              <w:pStyle w:val="TableText"/>
              <w:ind w:left="0"/>
              <w:rPr>
                <w:rFonts w:asciiTheme="minorHAnsi" w:hAnsiTheme="minorHAnsi"/>
              </w:rPr>
            </w:pPr>
            <w:r w:rsidRPr="00154052">
              <w:rPr>
                <w:rFonts w:asciiTheme="minorHAnsi" w:hAnsiTheme="minorHAnsi"/>
              </w:rPr>
              <w:t>T1060-03</w:t>
            </w:r>
          </w:p>
        </w:tc>
        <w:tc>
          <w:tcPr>
            <w:tcW w:w="3305" w:type="dxa"/>
            <w:tcBorders>
              <w:top w:val="single" w:sz="4" w:space="0" w:color="auto"/>
              <w:left w:val="single" w:sz="4" w:space="0" w:color="auto"/>
              <w:bottom w:val="single" w:sz="4" w:space="0" w:color="auto"/>
              <w:right w:val="single" w:sz="4" w:space="0" w:color="auto"/>
            </w:tcBorders>
            <w:hideMark/>
          </w:tcPr>
          <w:p w14:paraId="1528503B" w14:textId="77777777" w:rsidR="003C71EB" w:rsidRPr="00154052" w:rsidRDefault="003C71EB" w:rsidP="00C539D3">
            <w:pPr>
              <w:pStyle w:val="TableText"/>
              <w:ind w:left="0"/>
              <w:rPr>
                <w:rFonts w:asciiTheme="minorHAnsi" w:hAnsiTheme="minorHAnsi"/>
              </w:rPr>
            </w:pPr>
            <w:r w:rsidRPr="00154052">
              <w:rPr>
                <w:rFonts w:asciiTheme="minorHAnsi" w:hAnsiTheme="minorHAnsi"/>
              </w:rPr>
              <w:t>Understanding the forces and energy in the electrification system - Summary</w:t>
            </w:r>
          </w:p>
        </w:tc>
        <w:tc>
          <w:tcPr>
            <w:tcW w:w="1559" w:type="dxa"/>
            <w:tcBorders>
              <w:top w:val="single" w:sz="4" w:space="0" w:color="auto"/>
              <w:left w:val="single" w:sz="4" w:space="0" w:color="auto"/>
              <w:bottom w:val="single" w:sz="4" w:space="0" w:color="auto"/>
              <w:right w:val="single" w:sz="4" w:space="0" w:color="auto"/>
            </w:tcBorders>
            <w:hideMark/>
          </w:tcPr>
          <w:p w14:paraId="469AB715" w14:textId="77777777" w:rsidR="003C71EB" w:rsidRPr="00154052" w:rsidRDefault="003C71EB" w:rsidP="00C539D3">
            <w:pPr>
              <w:pStyle w:val="TableText"/>
              <w:ind w:left="0"/>
              <w:rPr>
                <w:rFonts w:asciiTheme="minorHAnsi" w:hAnsiTheme="minorHAnsi"/>
              </w:rPr>
            </w:pPr>
            <w:r w:rsidRPr="00154052">
              <w:rPr>
                <w:rFonts w:asciiTheme="minorHAnsi" w:hAnsiTheme="minorHAnsi"/>
              </w:rPr>
              <w:t>Cancelled</w:t>
            </w:r>
          </w:p>
        </w:tc>
        <w:tc>
          <w:tcPr>
            <w:tcW w:w="1560" w:type="dxa"/>
            <w:tcBorders>
              <w:top w:val="single" w:sz="4" w:space="0" w:color="auto"/>
              <w:left w:val="single" w:sz="4" w:space="0" w:color="auto"/>
              <w:bottom w:val="single" w:sz="4" w:space="0" w:color="auto"/>
              <w:right w:val="single" w:sz="4" w:space="0" w:color="auto"/>
            </w:tcBorders>
            <w:hideMark/>
          </w:tcPr>
          <w:p w14:paraId="386E7DB1" w14:textId="77777777" w:rsidR="003C71EB" w:rsidRPr="00154052" w:rsidRDefault="003C71EB" w:rsidP="00C539D3">
            <w:pPr>
              <w:pStyle w:val="TableText"/>
              <w:ind w:left="0"/>
              <w:rPr>
                <w:rFonts w:asciiTheme="minorHAnsi" w:hAnsiTheme="minorHAnsi"/>
              </w:rPr>
            </w:pPr>
            <w:r w:rsidRPr="00154052">
              <w:rPr>
                <w:rFonts w:asciiTheme="minorHAnsi" w:hAnsiTheme="minorHAnsi"/>
              </w:rPr>
              <w:t>Cancelled</w:t>
            </w:r>
          </w:p>
        </w:tc>
      </w:tr>
      <w:tr w:rsidR="003C71EB" w14:paraId="1D63C10B" w14:textId="77777777" w:rsidTr="00C539D3">
        <w:trPr>
          <w:cantSplit/>
          <w:trHeight w:val="287"/>
        </w:trPr>
        <w:tc>
          <w:tcPr>
            <w:tcW w:w="1482" w:type="dxa"/>
            <w:tcBorders>
              <w:top w:val="single" w:sz="4" w:space="0" w:color="auto"/>
              <w:left w:val="single" w:sz="4" w:space="0" w:color="auto"/>
              <w:bottom w:val="single" w:sz="4" w:space="0" w:color="auto"/>
              <w:right w:val="single" w:sz="4" w:space="0" w:color="auto"/>
            </w:tcBorders>
            <w:hideMark/>
          </w:tcPr>
          <w:p w14:paraId="72591663" w14:textId="77777777" w:rsidR="003C71EB" w:rsidRPr="00154052" w:rsidRDefault="003C71EB" w:rsidP="00C539D3">
            <w:pPr>
              <w:pStyle w:val="TableText"/>
              <w:ind w:left="0"/>
              <w:rPr>
                <w:rFonts w:asciiTheme="minorHAnsi" w:hAnsiTheme="minorHAnsi"/>
              </w:rPr>
            </w:pPr>
            <w:r w:rsidRPr="00154052">
              <w:rPr>
                <w:rFonts w:asciiTheme="minorHAnsi" w:hAnsiTheme="minorHAnsi"/>
              </w:rPr>
              <w:t>T1060-04</w:t>
            </w:r>
          </w:p>
        </w:tc>
        <w:tc>
          <w:tcPr>
            <w:tcW w:w="3305" w:type="dxa"/>
            <w:tcBorders>
              <w:top w:val="single" w:sz="4" w:space="0" w:color="auto"/>
              <w:left w:val="single" w:sz="4" w:space="0" w:color="auto"/>
              <w:bottom w:val="single" w:sz="4" w:space="0" w:color="auto"/>
              <w:right w:val="single" w:sz="4" w:space="0" w:color="auto"/>
            </w:tcBorders>
            <w:hideMark/>
          </w:tcPr>
          <w:p w14:paraId="5EBCD8AA" w14:textId="77777777" w:rsidR="003C71EB" w:rsidRPr="00154052" w:rsidRDefault="003C71EB" w:rsidP="00C539D3">
            <w:pPr>
              <w:pStyle w:val="TableText"/>
              <w:ind w:left="0"/>
              <w:rPr>
                <w:rFonts w:asciiTheme="minorHAnsi" w:eastAsia="Arial" w:hAnsiTheme="minorHAnsi"/>
              </w:rPr>
            </w:pPr>
            <w:r w:rsidRPr="00154052">
              <w:rPr>
                <w:rFonts w:asciiTheme="minorHAnsi" w:hAnsiTheme="minorHAnsi"/>
              </w:rPr>
              <w:t>Risk Analysis</w:t>
            </w:r>
          </w:p>
        </w:tc>
        <w:tc>
          <w:tcPr>
            <w:tcW w:w="1559" w:type="dxa"/>
            <w:tcBorders>
              <w:top w:val="single" w:sz="4" w:space="0" w:color="auto"/>
              <w:left w:val="single" w:sz="4" w:space="0" w:color="auto"/>
              <w:bottom w:val="single" w:sz="4" w:space="0" w:color="auto"/>
              <w:right w:val="single" w:sz="4" w:space="0" w:color="auto"/>
            </w:tcBorders>
            <w:hideMark/>
          </w:tcPr>
          <w:p w14:paraId="0DD0D68A" w14:textId="77777777" w:rsidR="003C71EB" w:rsidRPr="00154052" w:rsidRDefault="003C71EB" w:rsidP="00C539D3">
            <w:pPr>
              <w:pStyle w:val="TableText"/>
              <w:ind w:left="0"/>
              <w:rPr>
                <w:rFonts w:asciiTheme="minorHAnsi" w:hAnsiTheme="minorHAnsi"/>
              </w:rPr>
            </w:pPr>
            <w:r w:rsidRPr="00154052">
              <w:rPr>
                <w:rFonts w:asciiTheme="minorHAnsi" w:hAnsiTheme="minorHAnsi"/>
              </w:rPr>
              <w:t>05-Jun-2017</w:t>
            </w:r>
          </w:p>
        </w:tc>
        <w:tc>
          <w:tcPr>
            <w:tcW w:w="1560" w:type="dxa"/>
            <w:tcBorders>
              <w:top w:val="single" w:sz="4" w:space="0" w:color="auto"/>
              <w:left w:val="single" w:sz="4" w:space="0" w:color="auto"/>
              <w:bottom w:val="single" w:sz="4" w:space="0" w:color="auto"/>
              <w:right w:val="single" w:sz="4" w:space="0" w:color="auto"/>
            </w:tcBorders>
            <w:hideMark/>
          </w:tcPr>
          <w:p w14:paraId="1FC32B60" w14:textId="77777777" w:rsidR="003C71EB" w:rsidRPr="00154052" w:rsidRDefault="003C71EB" w:rsidP="00C539D3">
            <w:pPr>
              <w:pStyle w:val="TableText"/>
              <w:ind w:left="0"/>
              <w:rPr>
                <w:rFonts w:asciiTheme="minorHAnsi" w:hAnsiTheme="minorHAnsi"/>
              </w:rPr>
            </w:pPr>
            <w:r w:rsidRPr="00154052">
              <w:rPr>
                <w:rFonts w:asciiTheme="minorHAnsi" w:hAnsiTheme="minorHAnsi"/>
              </w:rPr>
              <w:t>26-Jan-2018</w:t>
            </w:r>
          </w:p>
        </w:tc>
      </w:tr>
    </w:tbl>
    <w:p w14:paraId="16F17B32" w14:textId="77777777" w:rsidR="003C71EB" w:rsidRDefault="003C71EB" w:rsidP="003C71EB">
      <w:pPr>
        <w:pStyle w:val="TableText"/>
        <w:ind w:right="-568"/>
        <w:rPr>
          <w:rFonts w:cs="Arial"/>
          <w:lang w:eastAsia="en-GB"/>
        </w:rPr>
      </w:pPr>
    </w:p>
    <w:p w14:paraId="490FE97B" w14:textId="77777777" w:rsidR="003C71EB" w:rsidRDefault="003C71EB" w:rsidP="003C71EB">
      <w:pPr>
        <w:pStyle w:val="Heading1"/>
      </w:pPr>
      <w:r>
        <w:t>Work package objectives</w:t>
      </w:r>
    </w:p>
    <w:p w14:paraId="027CF5FE" w14:textId="77777777" w:rsidR="003C71EB" w:rsidRDefault="003C71EB" w:rsidP="003C71EB">
      <w:pPr>
        <w:pStyle w:val="Body"/>
      </w:pPr>
      <w:r>
        <w:t xml:space="preserve">The objective of this work package is to carry out a formal risk analysis of a standard de-wirement incident through drawing further information from historical case studies (as per WP01), foreseeable </w:t>
      </w:r>
      <w:r>
        <w:lastRenderedPageBreak/>
        <w:t>events and to look at possible outcomes as a result of the current ceramic and polymeric insulator design choices, making use of the further knowledge that has also been gained on forces, (through WP02). It is intended that the research should look at the state of the infrastructure and rolling stock over the total period of change from ceramic to polymeric insulators, to be able to quantify the present and future risk across the whole network, based on the numbers and rate of new polymeric insulators being introduced onto the railway network.</w:t>
      </w:r>
    </w:p>
    <w:p w14:paraId="0EF5D0BE" w14:textId="77777777" w:rsidR="003C71EB" w:rsidRPr="001E5074" w:rsidRDefault="003C71EB" w:rsidP="003C71EB">
      <w:pPr>
        <w:pStyle w:val="Body"/>
      </w:pPr>
      <w:r>
        <w:t>The work should consider potential mitigations for de-wirement risk and quantify their potential benefit.</w:t>
      </w:r>
    </w:p>
    <w:p w14:paraId="0755B6BC" w14:textId="77777777" w:rsidR="003C71EB" w:rsidRPr="00B90DA0" w:rsidRDefault="003C71EB" w:rsidP="003C71EB">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3C71EB" w14:paraId="141AC700" w14:textId="77777777" w:rsidTr="00C539D3">
        <w:tc>
          <w:tcPr>
            <w:tcW w:w="3963" w:type="dxa"/>
          </w:tcPr>
          <w:p w14:paraId="7E500D21" w14:textId="77777777" w:rsidR="003C71EB" w:rsidRPr="007617B6" w:rsidRDefault="003C71EB" w:rsidP="00C539D3">
            <w:pPr>
              <w:pStyle w:val="BodyIndent1"/>
              <w:ind w:left="0"/>
              <w:rPr>
                <w:b/>
              </w:rPr>
            </w:pPr>
            <w:r w:rsidRPr="007617B6">
              <w:rPr>
                <w:b/>
              </w:rPr>
              <w:t xml:space="preserve">In scope </w:t>
            </w:r>
          </w:p>
        </w:tc>
        <w:tc>
          <w:tcPr>
            <w:tcW w:w="3963" w:type="dxa"/>
          </w:tcPr>
          <w:p w14:paraId="6014AC17" w14:textId="77777777" w:rsidR="003C71EB" w:rsidRPr="007617B6" w:rsidRDefault="003C71EB" w:rsidP="00C539D3">
            <w:pPr>
              <w:pStyle w:val="BodyIndent1"/>
              <w:ind w:left="0"/>
              <w:rPr>
                <w:b/>
              </w:rPr>
            </w:pPr>
            <w:r w:rsidRPr="007617B6">
              <w:rPr>
                <w:b/>
              </w:rPr>
              <w:t>Out of scope</w:t>
            </w:r>
          </w:p>
        </w:tc>
      </w:tr>
      <w:tr w:rsidR="003C71EB" w14:paraId="4D607F1B" w14:textId="77777777" w:rsidTr="00C539D3">
        <w:tc>
          <w:tcPr>
            <w:tcW w:w="3963" w:type="dxa"/>
          </w:tcPr>
          <w:p w14:paraId="6250F9E7" w14:textId="77777777" w:rsidR="003C71EB" w:rsidRDefault="003C71EB" w:rsidP="003C71EB">
            <w:pPr>
              <w:pStyle w:val="Body"/>
              <w:numPr>
                <w:ilvl w:val="0"/>
                <w:numId w:val="6"/>
              </w:numPr>
              <w:ind w:left="227" w:hanging="227"/>
            </w:pPr>
            <w:r>
              <w:t>Preparation of a quantified risk analysis for a de-wirement incident</w:t>
            </w:r>
          </w:p>
          <w:p w14:paraId="579007E1" w14:textId="77777777" w:rsidR="003C71EB" w:rsidRDefault="003C71EB" w:rsidP="003C71EB">
            <w:pPr>
              <w:pStyle w:val="Body"/>
              <w:numPr>
                <w:ilvl w:val="0"/>
                <w:numId w:val="6"/>
              </w:numPr>
              <w:ind w:left="227" w:hanging="227"/>
            </w:pPr>
            <w:r>
              <w:t xml:space="preserve">Cost and benefits analysis of potential mitigations </w:t>
            </w:r>
          </w:p>
          <w:p w14:paraId="4B8B3155" w14:textId="77777777" w:rsidR="003C71EB" w:rsidRDefault="003C71EB" w:rsidP="003C71EB">
            <w:pPr>
              <w:pStyle w:val="Body"/>
              <w:numPr>
                <w:ilvl w:val="0"/>
                <w:numId w:val="6"/>
              </w:numPr>
              <w:ind w:left="227" w:hanging="227"/>
            </w:pPr>
            <w:r>
              <w:t>Continuation of scenarios based analysis approach adopted during WP01 and WP02</w:t>
            </w:r>
          </w:p>
          <w:p w14:paraId="35F0679D" w14:textId="77777777" w:rsidR="003C71EB" w:rsidRDefault="003C71EB" w:rsidP="003C71EB">
            <w:pPr>
              <w:pStyle w:val="Body"/>
              <w:numPr>
                <w:ilvl w:val="0"/>
                <w:numId w:val="6"/>
              </w:numPr>
              <w:ind w:left="227" w:hanging="227"/>
            </w:pPr>
            <w:r>
              <w:t xml:space="preserve">Ongoing engagement with the project steering group </w:t>
            </w:r>
          </w:p>
          <w:p w14:paraId="62C3D4CA" w14:textId="77777777" w:rsidR="003C71EB" w:rsidRPr="004E0FFB" w:rsidRDefault="003C71EB" w:rsidP="003C71EB">
            <w:pPr>
              <w:pStyle w:val="Body"/>
              <w:numPr>
                <w:ilvl w:val="0"/>
                <w:numId w:val="6"/>
              </w:numPr>
              <w:ind w:left="227" w:hanging="227"/>
            </w:pPr>
            <w:r>
              <w:t>Delivery of presentation of findings to three cross-industry groups</w:t>
            </w:r>
          </w:p>
        </w:tc>
        <w:tc>
          <w:tcPr>
            <w:tcW w:w="3963" w:type="dxa"/>
          </w:tcPr>
          <w:p w14:paraId="0DC732A9" w14:textId="77777777" w:rsidR="003C71EB" w:rsidRDefault="003C71EB" w:rsidP="003C71EB">
            <w:pPr>
              <w:pStyle w:val="Body"/>
              <w:numPr>
                <w:ilvl w:val="0"/>
                <w:numId w:val="6"/>
              </w:numPr>
              <w:ind w:left="227" w:hanging="227"/>
            </w:pPr>
            <w:r>
              <w:t xml:space="preserve">Investigation into the forces produced during a de-wirement </w:t>
            </w:r>
          </w:p>
          <w:p w14:paraId="2DEF38BD" w14:textId="77777777" w:rsidR="003C71EB" w:rsidRDefault="003C71EB" w:rsidP="00C539D3">
            <w:pPr>
              <w:pStyle w:val="Body"/>
              <w:ind w:left="227"/>
            </w:pPr>
          </w:p>
        </w:tc>
      </w:tr>
    </w:tbl>
    <w:p w14:paraId="09F8FD7D" w14:textId="77777777" w:rsidR="003C71EB" w:rsidRPr="00EC0670" w:rsidRDefault="003C71EB" w:rsidP="003C71EB">
      <w:pPr>
        <w:pStyle w:val="Body"/>
      </w:pPr>
    </w:p>
    <w:p w14:paraId="30214D3F" w14:textId="77777777" w:rsidR="003C71EB" w:rsidRDefault="003C71EB" w:rsidP="003C71EB">
      <w:pPr>
        <w:pStyle w:val="Heading1"/>
      </w:pPr>
      <w:r>
        <w:t xml:space="preserve">Methodology </w:t>
      </w:r>
    </w:p>
    <w:p w14:paraId="089D4381" w14:textId="77777777" w:rsidR="003C71EB" w:rsidRDefault="003C71EB" w:rsidP="003C71EB">
      <w:pPr>
        <w:rPr>
          <w:rFonts w:ascii="Calibri" w:hAnsi="Calibri" w:cs="Arial"/>
          <w:lang w:eastAsia="en-GB"/>
        </w:rPr>
      </w:pPr>
      <w:r>
        <w:rPr>
          <w:rFonts w:ascii="Calibri" w:hAnsi="Calibri" w:cs="Arial"/>
          <w:lang w:eastAsia="en-GB"/>
        </w:rPr>
        <w:t>This work is a continuation of research conducted under WP01 and WP02. The supplier is expected to develop a suitable methodology to meet the objectives defined for this work. RSSB would suggest that the following comments should be considered when developing the method for the work.</w:t>
      </w:r>
    </w:p>
    <w:p w14:paraId="143368A2" w14:textId="77777777" w:rsidR="003C71EB" w:rsidRDefault="003C71EB" w:rsidP="003C71EB">
      <w:pPr>
        <w:rPr>
          <w:rFonts w:ascii="Calibri" w:hAnsi="Calibri" w:cs="Arial"/>
          <w:lang w:eastAsia="en-GB"/>
        </w:rPr>
      </w:pPr>
    </w:p>
    <w:p w14:paraId="1341CE3E" w14:textId="77777777" w:rsidR="003C71EB" w:rsidRPr="00653771" w:rsidRDefault="003C71EB" w:rsidP="003C71EB">
      <w:pPr>
        <w:rPr>
          <w:rFonts w:ascii="Calibri" w:hAnsi="Calibri" w:cs="Arial"/>
          <w:lang w:eastAsia="en-GB"/>
        </w:rPr>
      </w:pPr>
      <w:r w:rsidRPr="00653771">
        <w:rPr>
          <w:rFonts w:ascii="Calibri" w:hAnsi="Calibri" w:cs="Arial"/>
          <w:lang w:eastAsia="en-GB"/>
        </w:rPr>
        <w:t>This work package should build upon the work carried out previously during WP01 and WP02 to prepare a quantified risk analysis for a de-wirement incident. The risk analysis should be prepared through combining polymeric and ceramic insulator design options and will therefore comprise a number of elements that may need more than one individual risk analysis to be carried out. For example; a basic risk analysis may be needed for a ceramic (rolling stock), ceramic (infrastructure) option, to be followed by the proposed incremental increases in polymeric (for rolling stock) and polymeric (for infrastructure) options. It is thought that individual de-wirements might then best be analysed through a structured event tree to investigate the frequency of events, that might support an analysis of the ceramic and polymeric design options across separate branches.</w:t>
      </w:r>
    </w:p>
    <w:p w14:paraId="5E91EDA0" w14:textId="77777777" w:rsidR="003C71EB" w:rsidRPr="00653771" w:rsidRDefault="003C71EB" w:rsidP="003C71EB">
      <w:pPr>
        <w:rPr>
          <w:rFonts w:ascii="Calibri" w:hAnsi="Calibri" w:cs="Arial"/>
          <w:lang w:eastAsia="en-GB"/>
        </w:rPr>
      </w:pPr>
    </w:p>
    <w:p w14:paraId="1F55E972" w14:textId="77777777" w:rsidR="003C71EB" w:rsidRPr="00653771" w:rsidRDefault="003C71EB" w:rsidP="003C71EB">
      <w:pPr>
        <w:rPr>
          <w:rFonts w:ascii="Calibri" w:hAnsi="Calibri" w:cs="Arial"/>
          <w:lang w:eastAsia="en-GB"/>
        </w:rPr>
      </w:pPr>
      <w:r w:rsidRPr="00653771">
        <w:rPr>
          <w:rFonts w:ascii="Calibri" w:hAnsi="Calibri" w:cs="Arial"/>
          <w:lang w:eastAsia="en-GB"/>
        </w:rPr>
        <w:t>During the development stages of the formal risk analysis to be prepared by this research, issues that need to be considered include the continued operational integrity of the rolling stock (through for example, a sequence of events leading to possible derailment, or damage to the train due to adverse effects on the roofing material – which might be of lightweight construction using materials such as aluminium) as the result of a de-wirement incident. The work should then go on to consider mitigations that might be provided, (through for example, insulator frangible link designs, pantograph design modifications or other design options); a range of possible design options and approaches will need to be considered. A similar analysis should then be carried out for the infrastructure components. Each analysis is required to consider the risks and potential consequences of a de-wirement for the travelling, general public and railway staff, noting that these can be influenced by the exact location of the de-wirement incident. (Based for example on a number of previous near misses, noting the observed deformation and damage to overhead line equipment, incidents close to a station or under-bridge are thought to have the potential to be particularly hazardous.) Although the research is primarily intended to analyse safety risk, operations and business risk will also need to be considered. The potential costs of operational delay, infrastructure and rolling stock repairs, injuries and consequential risk should also be included.</w:t>
      </w:r>
    </w:p>
    <w:p w14:paraId="3DE9777B" w14:textId="77777777" w:rsidR="003C71EB" w:rsidRPr="00653771" w:rsidRDefault="003C71EB" w:rsidP="003C71EB">
      <w:pPr>
        <w:rPr>
          <w:rFonts w:ascii="Calibri" w:hAnsi="Calibri" w:cs="Arial"/>
          <w:lang w:eastAsia="en-GB"/>
        </w:rPr>
      </w:pPr>
    </w:p>
    <w:p w14:paraId="409984F2" w14:textId="77777777" w:rsidR="003C71EB" w:rsidRPr="00653771" w:rsidRDefault="003C71EB" w:rsidP="003C71EB">
      <w:pPr>
        <w:rPr>
          <w:rFonts w:ascii="Calibri" w:hAnsi="Calibri" w:cs="Arial"/>
          <w:lang w:eastAsia="en-GB"/>
        </w:rPr>
      </w:pPr>
      <w:r w:rsidRPr="00653771">
        <w:rPr>
          <w:rFonts w:ascii="Calibri" w:hAnsi="Calibri" w:cs="Arial"/>
          <w:lang w:eastAsia="en-GB"/>
        </w:rPr>
        <w:t>The risk analysis is required to take a whole network approach as polymeric insulators are introduced. A baseline risk analysis should be carried out for where we are now, to be followed by increases or decreases in incremental values as polymeric insulators are added. The total potential value of mitigations such as the introduction of frangible links should then be considered, to leave a residual upper band of risk. It is recommended that the scenarios based analysis approach adopted during WP01 and WP02 should continue. This should be used to formally quantify the risks in terms of the expected frequency of events and the potential consequences. An analysis of the costs and benefits of any potential mitigations that are identified will also need to be included.</w:t>
      </w:r>
    </w:p>
    <w:p w14:paraId="5C8E1AE5" w14:textId="77777777" w:rsidR="003C71EB" w:rsidRPr="00653771" w:rsidRDefault="003C71EB" w:rsidP="003C71EB">
      <w:pPr>
        <w:rPr>
          <w:rFonts w:ascii="Calibri" w:hAnsi="Calibri" w:cs="Arial"/>
          <w:lang w:eastAsia="en-GB"/>
        </w:rPr>
      </w:pPr>
    </w:p>
    <w:p w14:paraId="52AA9B02" w14:textId="77777777" w:rsidR="003C71EB" w:rsidRDefault="003C71EB" w:rsidP="003C71EB">
      <w:pPr>
        <w:rPr>
          <w:rFonts w:ascii="Calibri" w:hAnsi="Calibri" w:cs="Arial"/>
          <w:lang w:eastAsia="en-GB"/>
        </w:rPr>
      </w:pPr>
      <w:r>
        <w:rPr>
          <w:rFonts w:ascii="Calibri" w:hAnsi="Calibri" w:cs="Arial"/>
          <w:lang w:eastAsia="en-GB"/>
        </w:rPr>
        <w:t>Recommendations from the research are intended to be used to inform relevant Energy, Rolling Stock and Infrastructure Railway Group Standards and Rail Industry Standards in the use of ceramic and polymeric insulator components.</w:t>
      </w:r>
    </w:p>
    <w:p w14:paraId="76097111" w14:textId="77777777" w:rsidR="003C71EB" w:rsidRDefault="003C71EB" w:rsidP="003C71EB">
      <w:pPr>
        <w:rPr>
          <w:rFonts w:ascii="Calibri" w:hAnsi="Calibri" w:cs="Arial"/>
          <w:lang w:eastAsia="en-GB"/>
        </w:rPr>
      </w:pPr>
    </w:p>
    <w:p w14:paraId="6343951B" w14:textId="51A98CC6" w:rsidR="003C71EB" w:rsidRPr="00653771" w:rsidRDefault="003C71EB" w:rsidP="003C71EB">
      <w:pPr>
        <w:rPr>
          <w:rFonts w:ascii="Calibri" w:hAnsi="Calibri" w:cs="Arial"/>
          <w:lang w:eastAsia="en-GB"/>
        </w:rPr>
      </w:pPr>
      <w:r w:rsidRPr="00653771">
        <w:rPr>
          <w:rFonts w:ascii="Calibri" w:hAnsi="Calibri" w:cs="Arial"/>
          <w:lang w:eastAsia="en-GB"/>
        </w:rPr>
        <w:t xml:space="preserve">As a pre-cursor to this research, the project and stakeholder team </w:t>
      </w:r>
      <w:r>
        <w:rPr>
          <w:rFonts w:ascii="Calibri" w:hAnsi="Calibri" w:cs="Arial"/>
          <w:lang w:eastAsia="en-GB"/>
        </w:rPr>
        <w:t>have</w:t>
      </w:r>
      <w:r w:rsidRPr="00653771">
        <w:rPr>
          <w:rFonts w:ascii="Calibri" w:hAnsi="Calibri" w:cs="Arial"/>
          <w:lang w:eastAsia="en-GB"/>
        </w:rPr>
        <w:t xml:space="preserve"> noted that under the Common Safety Method for Risk evaluation and Assessment (CSM RA) – significant system changes require a formal risk assessment to be carried out. However, it is not known whether any formal risk assessment has previously been carried out to support an industry change from ceramic to polymeric insulators and a primary reason for this research is to be able to assess the significance of this change</w:t>
      </w:r>
      <w:r w:rsidR="00E550C0">
        <w:rPr>
          <w:rFonts w:ascii="Calibri" w:hAnsi="Calibri" w:cs="Arial"/>
          <w:lang w:eastAsia="en-GB"/>
        </w:rPr>
        <w:t>;</w:t>
      </w:r>
      <w:r w:rsidR="005426EE">
        <w:rPr>
          <w:rFonts w:ascii="Calibri" w:hAnsi="Calibri" w:cs="Arial"/>
          <w:lang w:eastAsia="en-GB"/>
        </w:rPr>
        <w:t xml:space="preserve"> noting that there is a risk for new designs and that duty holders have a responsibility to review the risk for existing designs</w:t>
      </w:r>
      <w:r w:rsidRPr="00653771">
        <w:rPr>
          <w:rFonts w:ascii="Calibri" w:hAnsi="Calibri" w:cs="Arial"/>
          <w:lang w:eastAsia="en-GB"/>
        </w:rPr>
        <w:t xml:space="preserve">. The team </w:t>
      </w:r>
      <w:r>
        <w:rPr>
          <w:rFonts w:ascii="Calibri" w:hAnsi="Calibri" w:cs="Arial"/>
          <w:lang w:eastAsia="en-GB"/>
        </w:rPr>
        <w:t>have</w:t>
      </w:r>
      <w:r w:rsidRPr="00653771">
        <w:rPr>
          <w:rFonts w:ascii="Calibri" w:hAnsi="Calibri" w:cs="Arial"/>
          <w:lang w:eastAsia="en-GB"/>
        </w:rPr>
        <w:t xml:space="preserve"> also noted that following a de-wirement incident, no routine formal investigation is carried out, unless there has been a fatality or injury – as had been the case at Littleport.</w:t>
      </w:r>
    </w:p>
    <w:p w14:paraId="32BC176F" w14:textId="77777777" w:rsidR="003C71EB" w:rsidRPr="00653771" w:rsidRDefault="003C71EB" w:rsidP="003C71EB">
      <w:pPr>
        <w:rPr>
          <w:rFonts w:ascii="Calibri" w:hAnsi="Calibri" w:cs="Arial"/>
          <w:lang w:eastAsia="en-GB"/>
        </w:rPr>
      </w:pPr>
    </w:p>
    <w:p w14:paraId="74DBC301" w14:textId="77777777" w:rsidR="003C71EB" w:rsidRDefault="003C71EB" w:rsidP="003C71EB">
      <w:pPr>
        <w:rPr>
          <w:rFonts w:ascii="Calibri" w:hAnsi="Calibri" w:cs="Arial"/>
          <w:lang w:eastAsia="en-GB"/>
        </w:rPr>
      </w:pPr>
      <w:r w:rsidRPr="00653771">
        <w:rPr>
          <w:rFonts w:ascii="Calibri" w:hAnsi="Calibri" w:cs="Arial"/>
          <w:lang w:eastAsia="en-GB"/>
        </w:rPr>
        <w:lastRenderedPageBreak/>
        <w:t>There may be a need to consider some form of sensitivity analysis if the required i</w:t>
      </w:r>
      <w:r>
        <w:rPr>
          <w:rFonts w:ascii="Calibri" w:hAnsi="Calibri" w:cs="Arial"/>
          <w:lang w:eastAsia="en-GB"/>
        </w:rPr>
        <w:t>nput data is not available, eg</w:t>
      </w:r>
      <w:r w:rsidRPr="00653771">
        <w:rPr>
          <w:rFonts w:ascii="Calibri" w:hAnsi="Calibri" w:cs="Arial"/>
          <w:lang w:eastAsia="en-GB"/>
        </w:rPr>
        <w:t xml:space="preserve"> where ranges of costs are used for some of the potential mitigation measures.</w:t>
      </w:r>
    </w:p>
    <w:p w14:paraId="2DD4FAB8" w14:textId="77777777" w:rsidR="003C71EB" w:rsidRPr="00A53EA0" w:rsidRDefault="003C71EB" w:rsidP="003C71EB">
      <w:pPr>
        <w:rPr>
          <w:rFonts w:ascii="Calibri" w:hAnsi="Calibri" w:cs="Arial"/>
          <w:lang w:eastAsia="en-GB"/>
        </w:rPr>
      </w:pPr>
    </w:p>
    <w:p w14:paraId="5EA33A56" w14:textId="77777777" w:rsidR="003C71EB" w:rsidRDefault="003C71EB" w:rsidP="003C71EB">
      <w:pPr>
        <w:pStyle w:val="Heading1"/>
      </w:pPr>
      <w:r>
        <w:t>Deliverables</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C71EB" w14:paraId="57490142" w14:textId="77777777" w:rsidTr="00C539D3">
        <w:trPr>
          <w:cantSplit/>
        </w:trPr>
        <w:tc>
          <w:tcPr>
            <w:tcW w:w="5307" w:type="dxa"/>
            <w:shd w:val="clear" w:color="auto" w:fill="99CC00"/>
          </w:tcPr>
          <w:p w14:paraId="3701D8BF" w14:textId="77777777" w:rsidR="003C71EB" w:rsidRDefault="003C71EB" w:rsidP="00C539D3">
            <w:pPr>
              <w:pStyle w:val="BodyIndent1"/>
              <w:rPr>
                <w:b/>
              </w:rPr>
            </w:pPr>
            <w:r>
              <w:rPr>
                <w:b/>
              </w:rPr>
              <w:t>Deliverable Name</w:t>
            </w:r>
          </w:p>
        </w:tc>
        <w:tc>
          <w:tcPr>
            <w:tcW w:w="2694" w:type="dxa"/>
            <w:shd w:val="clear" w:color="auto" w:fill="99CC00"/>
          </w:tcPr>
          <w:p w14:paraId="5CE4F99E" w14:textId="77777777" w:rsidR="003C71EB" w:rsidRDefault="003C71EB" w:rsidP="00C539D3">
            <w:pPr>
              <w:pStyle w:val="BodyIndent1"/>
              <w:rPr>
                <w:b/>
              </w:rPr>
            </w:pPr>
            <w:r>
              <w:rPr>
                <w:b/>
              </w:rPr>
              <w:t>Type</w:t>
            </w:r>
          </w:p>
        </w:tc>
      </w:tr>
      <w:tr w:rsidR="003C71EB" w14:paraId="2EE9CE61" w14:textId="77777777" w:rsidTr="00C539D3">
        <w:trPr>
          <w:cantSplit/>
          <w:tblHeader/>
        </w:trPr>
        <w:tc>
          <w:tcPr>
            <w:tcW w:w="5307" w:type="dxa"/>
            <w:shd w:val="clear" w:color="auto" w:fill="FFFFFF"/>
          </w:tcPr>
          <w:p w14:paraId="26C2192B" w14:textId="77777777" w:rsidR="003C71EB" w:rsidRPr="002B6941" w:rsidRDefault="003C71EB" w:rsidP="00C539D3">
            <w:pPr>
              <w:pStyle w:val="BodyIndent1"/>
              <w:rPr>
                <w:b/>
              </w:rPr>
            </w:pPr>
            <w:r w:rsidRPr="002B6941">
              <w:rPr>
                <w:b/>
              </w:rPr>
              <w:t>Formal risk analysis identifying and quantifying the potential risks associated with a de-wirement incident</w:t>
            </w:r>
          </w:p>
        </w:tc>
        <w:tc>
          <w:tcPr>
            <w:tcW w:w="2694" w:type="dxa"/>
            <w:shd w:val="clear" w:color="auto" w:fill="FFFFFF"/>
          </w:tcPr>
          <w:p w14:paraId="7F4C5870" w14:textId="77777777" w:rsidR="003C71EB" w:rsidRDefault="003C71EB" w:rsidP="00C539D3">
            <w:pPr>
              <w:pStyle w:val="BodyIndent1"/>
            </w:pPr>
            <w:r>
              <w:t>Report</w:t>
            </w:r>
          </w:p>
        </w:tc>
      </w:tr>
      <w:tr w:rsidR="003C71EB" w14:paraId="2666A815" w14:textId="77777777" w:rsidTr="00C539D3">
        <w:trPr>
          <w:cantSplit/>
          <w:tblHeader/>
        </w:trPr>
        <w:tc>
          <w:tcPr>
            <w:tcW w:w="8001" w:type="dxa"/>
            <w:gridSpan w:val="2"/>
            <w:shd w:val="clear" w:color="auto" w:fill="FFFFFF"/>
          </w:tcPr>
          <w:p w14:paraId="5A9F254C" w14:textId="77777777" w:rsidR="003C71EB" w:rsidRPr="00EB29FD" w:rsidRDefault="003C71EB" w:rsidP="00C539D3">
            <w:pPr>
              <w:pStyle w:val="BodyIndent1"/>
              <w:rPr>
                <w:b/>
              </w:rPr>
            </w:pPr>
            <w:r w:rsidRPr="00EB29FD">
              <w:rPr>
                <w:b/>
              </w:rPr>
              <w:t>Description</w:t>
            </w:r>
          </w:p>
        </w:tc>
      </w:tr>
      <w:tr w:rsidR="003C71EB" w14:paraId="66D17D38" w14:textId="77777777" w:rsidTr="00C539D3">
        <w:trPr>
          <w:cantSplit/>
          <w:tblHeader/>
        </w:trPr>
        <w:tc>
          <w:tcPr>
            <w:tcW w:w="8001" w:type="dxa"/>
            <w:gridSpan w:val="2"/>
            <w:shd w:val="clear" w:color="auto" w:fill="FFFFFF"/>
          </w:tcPr>
          <w:p w14:paraId="4B4AEE71" w14:textId="77777777" w:rsidR="003C71EB" w:rsidRDefault="003C71EB" w:rsidP="00C539D3">
            <w:pPr>
              <w:pStyle w:val="BodyIndent1"/>
            </w:pPr>
            <w:r w:rsidRPr="00097848">
              <w:t>Although the formal risk analysis is essentially required to be provided in report format by the supplier, a certain amount of presentation flexibility is permitted. It is recommended that an example risk analysis that has recently been carried out in support of an electrification project (and ideally of a mechanical system) is provided by potential suppliers in support of any tender assessment process.</w:t>
            </w:r>
          </w:p>
          <w:p w14:paraId="14AA4377" w14:textId="77777777" w:rsidR="003C71EB" w:rsidRDefault="003C71EB" w:rsidP="00C539D3">
            <w:pPr>
              <w:pStyle w:val="BodyIndent1"/>
            </w:pPr>
            <w:r>
              <w:rPr>
                <w:b/>
              </w:rPr>
              <w:t xml:space="preserve">Publication stream: </w:t>
            </w:r>
            <w:r>
              <w:t xml:space="preserve">SPARK only; </w:t>
            </w:r>
            <w:r w:rsidRPr="002B6941">
              <w:t>Confidential to RSSB members</w:t>
            </w:r>
          </w:p>
          <w:p w14:paraId="62EADA9C" w14:textId="77777777" w:rsidR="003C71EB" w:rsidRDefault="003C71EB" w:rsidP="00C539D3">
            <w:pPr>
              <w:pStyle w:val="BodyIndent1"/>
              <w:rPr>
                <w:b/>
              </w:rPr>
            </w:pPr>
            <w:r>
              <w:rPr>
                <w:b/>
              </w:rPr>
              <w:t>Implementation Action Needed:</w:t>
            </w:r>
            <w:r>
              <w:t xml:space="preserve"> </w:t>
            </w:r>
            <w:r w:rsidRPr="002B6941">
              <w:t>Through Network Rail and Rolling Stock Company Operators.</w:t>
            </w:r>
          </w:p>
        </w:tc>
      </w:tr>
    </w:tbl>
    <w:p w14:paraId="0DBDB26D" w14:textId="77777777" w:rsidR="003C71EB" w:rsidRDefault="003C71EB" w:rsidP="003C71EB">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C71EB" w14:paraId="33F235EF" w14:textId="77777777" w:rsidTr="00C539D3">
        <w:trPr>
          <w:cantSplit/>
        </w:trPr>
        <w:tc>
          <w:tcPr>
            <w:tcW w:w="5307" w:type="dxa"/>
            <w:shd w:val="clear" w:color="auto" w:fill="99CC00"/>
          </w:tcPr>
          <w:p w14:paraId="4172B459" w14:textId="77777777" w:rsidR="003C71EB" w:rsidRDefault="003C71EB" w:rsidP="00C539D3">
            <w:pPr>
              <w:pStyle w:val="BodyIndent1"/>
              <w:rPr>
                <w:b/>
              </w:rPr>
            </w:pPr>
            <w:r>
              <w:rPr>
                <w:b/>
              </w:rPr>
              <w:t>Deliverable Name</w:t>
            </w:r>
          </w:p>
        </w:tc>
        <w:tc>
          <w:tcPr>
            <w:tcW w:w="2694" w:type="dxa"/>
            <w:shd w:val="clear" w:color="auto" w:fill="99CC00"/>
          </w:tcPr>
          <w:p w14:paraId="687D8F60" w14:textId="77777777" w:rsidR="003C71EB" w:rsidRDefault="003C71EB" w:rsidP="00C539D3">
            <w:pPr>
              <w:pStyle w:val="BodyIndent1"/>
              <w:rPr>
                <w:b/>
              </w:rPr>
            </w:pPr>
            <w:r>
              <w:rPr>
                <w:b/>
              </w:rPr>
              <w:t>Type</w:t>
            </w:r>
          </w:p>
        </w:tc>
      </w:tr>
      <w:tr w:rsidR="003C71EB" w14:paraId="08C22302" w14:textId="77777777" w:rsidTr="00C539D3">
        <w:trPr>
          <w:cantSplit/>
          <w:tblHeader/>
        </w:trPr>
        <w:tc>
          <w:tcPr>
            <w:tcW w:w="5307" w:type="dxa"/>
            <w:shd w:val="clear" w:color="auto" w:fill="FFFFFF"/>
          </w:tcPr>
          <w:p w14:paraId="6E0BE66A" w14:textId="77777777" w:rsidR="003C71EB" w:rsidRPr="00EB29FD" w:rsidRDefault="003C71EB" w:rsidP="00C539D3">
            <w:pPr>
              <w:pStyle w:val="BodyIndent1"/>
              <w:rPr>
                <w:b/>
              </w:rPr>
            </w:pPr>
            <w:r w:rsidRPr="00EB29FD">
              <w:rPr>
                <w:b/>
              </w:rPr>
              <w:t>Supporting tools and analyses that have been used to prepare the risk analysis</w:t>
            </w:r>
          </w:p>
        </w:tc>
        <w:tc>
          <w:tcPr>
            <w:tcW w:w="2694" w:type="dxa"/>
            <w:shd w:val="clear" w:color="auto" w:fill="FFFFFF"/>
          </w:tcPr>
          <w:p w14:paraId="5993737B" w14:textId="77777777" w:rsidR="003C71EB" w:rsidRDefault="003C71EB" w:rsidP="00C539D3">
            <w:pPr>
              <w:pStyle w:val="BodyIndent1"/>
            </w:pPr>
            <w:r>
              <w:t>Tool Kit</w:t>
            </w:r>
          </w:p>
        </w:tc>
      </w:tr>
      <w:tr w:rsidR="003C71EB" w14:paraId="2E2636A9" w14:textId="77777777" w:rsidTr="00C539D3">
        <w:trPr>
          <w:cantSplit/>
          <w:tblHeader/>
        </w:trPr>
        <w:tc>
          <w:tcPr>
            <w:tcW w:w="8001" w:type="dxa"/>
            <w:gridSpan w:val="2"/>
            <w:shd w:val="clear" w:color="auto" w:fill="FFFFFF"/>
          </w:tcPr>
          <w:p w14:paraId="1AC5B7BB" w14:textId="77777777" w:rsidR="003C71EB" w:rsidRPr="00EB29FD" w:rsidRDefault="003C71EB" w:rsidP="00C539D3">
            <w:pPr>
              <w:pStyle w:val="BodyIndent1"/>
              <w:rPr>
                <w:b/>
              </w:rPr>
            </w:pPr>
            <w:r w:rsidRPr="00EB29FD">
              <w:rPr>
                <w:b/>
              </w:rPr>
              <w:t>Description</w:t>
            </w:r>
          </w:p>
        </w:tc>
      </w:tr>
      <w:tr w:rsidR="003C71EB" w14:paraId="0D14947E" w14:textId="77777777" w:rsidTr="00C539D3">
        <w:trPr>
          <w:cantSplit/>
          <w:tblHeader/>
        </w:trPr>
        <w:tc>
          <w:tcPr>
            <w:tcW w:w="8001" w:type="dxa"/>
            <w:gridSpan w:val="2"/>
            <w:shd w:val="clear" w:color="auto" w:fill="FFFFFF"/>
          </w:tcPr>
          <w:p w14:paraId="0B0BADF1" w14:textId="77777777" w:rsidR="003C71EB" w:rsidRDefault="003C71EB" w:rsidP="00C539D3">
            <w:pPr>
              <w:pStyle w:val="BodyIndent1"/>
            </w:pPr>
            <w:r w:rsidRPr="004E1446">
              <w:t xml:space="preserve">The supplier is either to identify (in the case of a proprietary system) or to provide a copy of the supporting tools and analysis that have been used to prepare the formal risk analysis report. This should include details of the insulator component installations, populated risk models, process charts, data-sheets, cost benefit analyses, assumptions made and the processes used to support a robust risk analysis methodology.    </w:t>
            </w:r>
          </w:p>
          <w:p w14:paraId="5A1CA109" w14:textId="77777777" w:rsidR="003C71EB" w:rsidRPr="00EB29FD" w:rsidRDefault="003C71EB" w:rsidP="00C539D3">
            <w:pPr>
              <w:pStyle w:val="BodyIndent1"/>
            </w:pPr>
            <w:r>
              <w:rPr>
                <w:b/>
              </w:rPr>
              <w:t>Publication stream</w:t>
            </w:r>
            <w:r>
              <w:t>: N/A</w:t>
            </w:r>
          </w:p>
          <w:p w14:paraId="175AAFBD" w14:textId="77777777" w:rsidR="003C71EB" w:rsidRDefault="003C71EB" w:rsidP="00C539D3">
            <w:pPr>
              <w:pStyle w:val="BodyIndent1"/>
              <w:rPr>
                <w:b/>
              </w:rPr>
            </w:pPr>
            <w:r>
              <w:rPr>
                <w:b/>
              </w:rPr>
              <w:t>Implementation Action Needed</w:t>
            </w:r>
            <w:r>
              <w:t>: The implementation of this work will be the use</w:t>
            </w:r>
            <w:r w:rsidRPr="00EB29FD">
              <w:t xml:space="preserve"> to support the discussion, conclusions, and recommendations within the risk analysis report.</w:t>
            </w:r>
          </w:p>
        </w:tc>
      </w:tr>
    </w:tbl>
    <w:p w14:paraId="69916D67" w14:textId="77777777" w:rsidR="003C71EB" w:rsidRDefault="003C71EB" w:rsidP="003C71EB">
      <w:pPr>
        <w:pStyle w:val="Body"/>
      </w:pPr>
    </w:p>
    <w:p w14:paraId="0B1EFB23" w14:textId="77777777" w:rsidR="003C71EB" w:rsidRDefault="003C71EB" w:rsidP="003C71EB">
      <w:pPr>
        <w:pStyle w:val="Body"/>
      </w:pPr>
    </w:p>
    <w:p w14:paraId="3E9524B6" w14:textId="77777777" w:rsidR="003C71EB" w:rsidRDefault="003C71EB" w:rsidP="003C71EB">
      <w:pPr>
        <w:pStyle w:val="Body"/>
      </w:pPr>
    </w:p>
    <w:p w14:paraId="7AAE4064" w14:textId="77777777" w:rsidR="003C71EB" w:rsidRDefault="003C71EB" w:rsidP="003C71EB">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C71EB" w14:paraId="4696A90B" w14:textId="77777777" w:rsidTr="00C539D3">
        <w:trPr>
          <w:cantSplit/>
        </w:trPr>
        <w:tc>
          <w:tcPr>
            <w:tcW w:w="5307" w:type="dxa"/>
            <w:shd w:val="clear" w:color="auto" w:fill="99CC00"/>
          </w:tcPr>
          <w:p w14:paraId="09E93A36" w14:textId="77777777" w:rsidR="003C71EB" w:rsidRDefault="003C71EB" w:rsidP="00C539D3">
            <w:pPr>
              <w:pStyle w:val="BodyIndent1"/>
              <w:rPr>
                <w:b/>
              </w:rPr>
            </w:pPr>
            <w:r>
              <w:rPr>
                <w:b/>
              </w:rPr>
              <w:t>Deliverable Name</w:t>
            </w:r>
          </w:p>
        </w:tc>
        <w:tc>
          <w:tcPr>
            <w:tcW w:w="2694" w:type="dxa"/>
            <w:shd w:val="clear" w:color="auto" w:fill="99CC00"/>
          </w:tcPr>
          <w:p w14:paraId="536AE316" w14:textId="77777777" w:rsidR="003C71EB" w:rsidRDefault="003C71EB" w:rsidP="00C539D3">
            <w:pPr>
              <w:pStyle w:val="BodyIndent1"/>
              <w:rPr>
                <w:b/>
              </w:rPr>
            </w:pPr>
            <w:r>
              <w:rPr>
                <w:b/>
              </w:rPr>
              <w:t>Type</w:t>
            </w:r>
          </w:p>
        </w:tc>
      </w:tr>
      <w:tr w:rsidR="003C71EB" w14:paraId="3ACAC4D0" w14:textId="77777777" w:rsidTr="00C539D3">
        <w:trPr>
          <w:cantSplit/>
          <w:tblHeader/>
        </w:trPr>
        <w:tc>
          <w:tcPr>
            <w:tcW w:w="5307" w:type="dxa"/>
            <w:shd w:val="clear" w:color="auto" w:fill="FFFFFF"/>
          </w:tcPr>
          <w:p w14:paraId="1CDFF3F9" w14:textId="77777777" w:rsidR="003C71EB" w:rsidRPr="002B6941" w:rsidRDefault="003C71EB" w:rsidP="00C539D3">
            <w:pPr>
              <w:pStyle w:val="BodyIndent1"/>
              <w:rPr>
                <w:b/>
              </w:rPr>
            </w:pPr>
            <w:r>
              <w:rPr>
                <w:b/>
              </w:rPr>
              <w:t>Presentation</w:t>
            </w:r>
          </w:p>
        </w:tc>
        <w:tc>
          <w:tcPr>
            <w:tcW w:w="2694" w:type="dxa"/>
            <w:shd w:val="clear" w:color="auto" w:fill="FFFFFF"/>
          </w:tcPr>
          <w:p w14:paraId="569F5D4A" w14:textId="77777777" w:rsidR="003C71EB" w:rsidRDefault="003C71EB" w:rsidP="00C539D3">
            <w:pPr>
              <w:pStyle w:val="BodyIndent1"/>
            </w:pPr>
            <w:r>
              <w:t>Powerpoint presentation</w:t>
            </w:r>
          </w:p>
        </w:tc>
      </w:tr>
      <w:tr w:rsidR="003C71EB" w14:paraId="18DA2BF3" w14:textId="77777777" w:rsidTr="00C539D3">
        <w:trPr>
          <w:cantSplit/>
          <w:tblHeader/>
        </w:trPr>
        <w:tc>
          <w:tcPr>
            <w:tcW w:w="8001" w:type="dxa"/>
            <w:gridSpan w:val="2"/>
            <w:shd w:val="clear" w:color="auto" w:fill="FFFFFF"/>
          </w:tcPr>
          <w:p w14:paraId="0FED2CBE" w14:textId="77777777" w:rsidR="003C71EB" w:rsidRPr="00EB29FD" w:rsidRDefault="003C71EB" w:rsidP="00C539D3">
            <w:pPr>
              <w:pStyle w:val="BodyIndent1"/>
              <w:rPr>
                <w:b/>
              </w:rPr>
            </w:pPr>
            <w:r w:rsidRPr="00EB29FD">
              <w:rPr>
                <w:b/>
              </w:rPr>
              <w:t>Description</w:t>
            </w:r>
          </w:p>
        </w:tc>
      </w:tr>
      <w:tr w:rsidR="003C71EB" w14:paraId="31A19253" w14:textId="77777777" w:rsidTr="00C539D3">
        <w:trPr>
          <w:cantSplit/>
          <w:tblHeader/>
        </w:trPr>
        <w:tc>
          <w:tcPr>
            <w:tcW w:w="8001" w:type="dxa"/>
            <w:gridSpan w:val="2"/>
            <w:shd w:val="clear" w:color="auto" w:fill="FFFFFF"/>
          </w:tcPr>
          <w:p w14:paraId="04D4C23A" w14:textId="77777777" w:rsidR="003C71EB" w:rsidRDefault="003C71EB" w:rsidP="00C539D3">
            <w:pPr>
              <w:pStyle w:val="BodyIndent1"/>
            </w:pPr>
            <w:r>
              <w:t>Powerpoint presentation, which summarises the findings of the WP</w:t>
            </w:r>
            <w:r w:rsidRPr="00097848">
              <w:t>.</w:t>
            </w:r>
          </w:p>
          <w:p w14:paraId="712BE057" w14:textId="77777777" w:rsidR="003C71EB" w:rsidRDefault="003C71EB" w:rsidP="00C539D3">
            <w:pPr>
              <w:pStyle w:val="BodyIndent1"/>
            </w:pPr>
            <w:r>
              <w:rPr>
                <w:b/>
              </w:rPr>
              <w:t xml:space="preserve">Publication stream: </w:t>
            </w:r>
            <w:r>
              <w:t xml:space="preserve">SPARK only; </w:t>
            </w:r>
            <w:r w:rsidRPr="002B6941">
              <w:t>Confidential to RSSB members</w:t>
            </w:r>
          </w:p>
          <w:p w14:paraId="3B4A6F6E" w14:textId="77777777" w:rsidR="003C71EB" w:rsidRDefault="003C71EB" w:rsidP="00C539D3">
            <w:pPr>
              <w:pStyle w:val="BodyIndent1"/>
              <w:rPr>
                <w:b/>
              </w:rPr>
            </w:pPr>
            <w:r>
              <w:rPr>
                <w:b/>
              </w:rPr>
              <w:t>Implementation Action Needed:</w:t>
            </w:r>
            <w:r>
              <w:t xml:space="preserve"> N/A</w:t>
            </w:r>
          </w:p>
        </w:tc>
      </w:tr>
    </w:tbl>
    <w:p w14:paraId="1E7738F2" w14:textId="77777777" w:rsidR="003C71EB" w:rsidRDefault="003C71EB" w:rsidP="003C71EB">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C71EB" w14:paraId="23DD365D" w14:textId="77777777" w:rsidTr="00C539D3">
        <w:trPr>
          <w:cantSplit/>
        </w:trPr>
        <w:tc>
          <w:tcPr>
            <w:tcW w:w="5307" w:type="dxa"/>
            <w:shd w:val="clear" w:color="auto" w:fill="99CC00"/>
          </w:tcPr>
          <w:p w14:paraId="5ED057A1" w14:textId="77777777" w:rsidR="003C71EB" w:rsidRDefault="003C71EB" w:rsidP="00C539D3">
            <w:pPr>
              <w:pStyle w:val="BodyIndent1"/>
              <w:rPr>
                <w:b/>
              </w:rPr>
            </w:pPr>
            <w:r>
              <w:rPr>
                <w:b/>
              </w:rPr>
              <w:t>Deliverable Name</w:t>
            </w:r>
          </w:p>
        </w:tc>
        <w:tc>
          <w:tcPr>
            <w:tcW w:w="2694" w:type="dxa"/>
            <w:shd w:val="clear" w:color="auto" w:fill="99CC00"/>
          </w:tcPr>
          <w:p w14:paraId="79BEB2C5" w14:textId="77777777" w:rsidR="003C71EB" w:rsidRDefault="003C71EB" w:rsidP="00C539D3">
            <w:pPr>
              <w:pStyle w:val="BodyIndent1"/>
              <w:rPr>
                <w:b/>
              </w:rPr>
            </w:pPr>
            <w:r>
              <w:rPr>
                <w:b/>
              </w:rPr>
              <w:t>Type</w:t>
            </w:r>
          </w:p>
        </w:tc>
      </w:tr>
      <w:tr w:rsidR="003C71EB" w14:paraId="02B20E56" w14:textId="77777777" w:rsidTr="00C539D3">
        <w:trPr>
          <w:cantSplit/>
          <w:tblHeader/>
        </w:trPr>
        <w:tc>
          <w:tcPr>
            <w:tcW w:w="5307" w:type="dxa"/>
            <w:shd w:val="clear" w:color="auto" w:fill="FFFFFF"/>
          </w:tcPr>
          <w:p w14:paraId="787B5EEE" w14:textId="77777777" w:rsidR="003C71EB" w:rsidRPr="002B6941" w:rsidRDefault="003C71EB" w:rsidP="00C539D3">
            <w:pPr>
              <w:pStyle w:val="BodyIndent1"/>
              <w:rPr>
                <w:b/>
              </w:rPr>
            </w:pPr>
            <w:r>
              <w:rPr>
                <w:b/>
              </w:rPr>
              <w:t>Research brief</w:t>
            </w:r>
          </w:p>
        </w:tc>
        <w:tc>
          <w:tcPr>
            <w:tcW w:w="2694" w:type="dxa"/>
            <w:shd w:val="clear" w:color="auto" w:fill="FFFFFF"/>
          </w:tcPr>
          <w:p w14:paraId="2FF5C5CD" w14:textId="77777777" w:rsidR="003C71EB" w:rsidRDefault="003C71EB" w:rsidP="00C539D3">
            <w:pPr>
              <w:pStyle w:val="BodyIndent1"/>
            </w:pPr>
            <w:r>
              <w:t xml:space="preserve">Research brief </w:t>
            </w:r>
          </w:p>
        </w:tc>
      </w:tr>
      <w:tr w:rsidR="003C71EB" w14:paraId="4370854E" w14:textId="77777777" w:rsidTr="00C539D3">
        <w:trPr>
          <w:cantSplit/>
          <w:tblHeader/>
        </w:trPr>
        <w:tc>
          <w:tcPr>
            <w:tcW w:w="8001" w:type="dxa"/>
            <w:gridSpan w:val="2"/>
            <w:shd w:val="clear" w:color="auto" w:fill="FFFFFF"/>
          </w:tcPr>
          <w:p w14:paraId="03DCA9F3" w14:textId="77777777" w:rsidR="003C71EB" w:rsidRPr="00EB29FD" w:rsidRDefault="003C71EB" w:rsidP="00C539D3">
            <w:pPr>
              <w:pStyle w:val="BodyIndent1"/>
              <w:rPr>
                <w:b/>
              </w:rPr>
            </w:pPr>
            <w:r w:rsidRPr="00EB29FD">
              <w:rPr>
                <w:b/>
              </w:rPr>
              <w:t>Description</w:t>
            </w:r>
          </w:p>
        </w:tc>
      </w:tr>
      <w:tr w:rsidR="003C71EB" w14:paraId="20878C54" w14:textId="77777777" w:rsidTr="00C539D3">
        <w:trPr>
          <w:cantSplit/>
          <w:tblHeader/>
        </w:trPr>
        <w:tc>
          <w:tcPr>
            <w:tcW w:w="8001" w:type="dxa"/>
            <w:gridSpan w:val="2"/>
            <w:shd w:val="clear" w:color="auto" w:fill="FFFFFF"/>
          </w:tcPr>
          <w:p w14:paraId="4EB6CA62" w14:textId="77777777" w:rsidR="003C71EB" w:rsidRDefault="003C71EB" w:rsidP="00C539D3">
            <w:pPr>
              <w:pStyle w:val="BodyIndent1"/>
            </w:pPr>
            <w:r>
              <w:t>Short research brief, which summarises the findings of the WP.</w:t>
            </w:r>
          </w:p>
          <w:p w14:paraId="557EDFFA" w14:textId="77777777" w:rsidR="003C71EB" w:rsidRDefault="003C71EB" w:rsidP="00C539D3">
            <w:pPr>
              <w:pStyle w:val="BodyIndent1"/>
            </w:pPr>
            <w:r>
              <w:rPr>
                <w:b/>
              </w:rPr>
              <w:t xml:space="preserve">Publication stream: </w:t>
            </w:r>
            <w:r>
              <w:t>RSSB website</w:t>
            </w:r>
          </w:p>
          <w:p w14:paraId="7F635382" w14:textId="77777777" w:rsidR="003C71EB" w:rsidRDefault="003C71EB" w:rsidP="00C539D3">
            <w:pPr>
              <w:pStyle w:val="BodyIndent1"/>
              <w:rPr>
                <w:b/>
              </w:rPr>
            </w:pPr>
            <w:r>
              <w:rPr>
                <w:b/>
              </w:rPr>
              <w:t>Implementation Action Needed:</w:t>
            </w:r>
            <w:r>
              <w:t xml:space="preserve"> N/A</w:t>
            </w:r>
          </w:p>
        </w:tc>
      </w:tr>
    </w:tbl>
    <w:p w14:paraId="0B1F2DCA" w14:textId="77777777" w:rsidR="003C71EB" w:rsidRDefault="003C71EB" w:rsidP="003C71EB">
      <w:pPr>
        <w:pStyle w:val="Body"/>
      </w:pPr>
    </w:p>
    <w:p w14:paraId="462C457F" w14:textId="77777777" w:rsidR="003C71EB" w:rsidRDefault="003C71EB" w:rsidP="003C71EB">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3C71EB" w14:paraId="4347D77F" w14:textId="77777777" w:rsidTr="00C539D3">
        <w:tc>
          <w:tcPr>
            <w:tcW w:w="1816" w:type="dxa"/>
            <w:vAlign w:val="center"/>
          </w:tcPr>
          <w:p w14:paraId="2B72EBEF" w14:textId="77777777" w:rsidR="003C71EB" w:rsidRPr="00325F01" w:rsidRDefault="003C71EB" w:rsidP="00C539D3">
            <w:pPr>
              <w:pStyle w:val="Body"/>
              <w:rPr>
                <w:rFonts w:asciiTheme="minorHAnsi" w:hAnsiTheme="minorHAnsi"/>
              </w:rPr>
            </w:pPr>
          </w:p>
        </w:tc>
        <w:tc>
          <w:tcPr>
            <w:tcW w:w="3849" w:type="dxa"/>
            <w:vAlign w:val="center"/>
          </w:tcPr>
          <w:p w14:paraId="72D1FEA5" w14:textId="77777777" w:rsidR="003C71EB" w:rsidRPr="00325F01" w:rsidRDefault="003C71EB" w:rsidP="00C539D3">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7D230370" w14:textId="77777777" w:rsidR="003C71EB" w:rsidRPr="00325F01" w:rsidRDefault="003C71EB" w:rsidP="00C539D3">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3C71EB" w14:paraId="5A301CCD" w14:textId="77777777" w:rsidTr="00C539D3">
        <w:tc>
          <w:tcPr>
            <w:tcW w:w="1816" w:type="dxa"/>
            <w:vAlign w:val="center"/>
          </w:tcPr>
          <w:p w14:paraId="36230E0F" w14:textId="77777777" w:rsidR="003C71EB" w:rsidRPr="00420F8C" w:rsidRDefault="003C71EB" w:rsidP="00C539D3">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79DF3701" w14:textId="77777777" w:rsidR="003C71EB" w:rsidRPr="00420F8C" w:rsidRDefault="003C71EB" w:rsidP="00C539D3">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034E0E3D" w14:textId="77777777" w:rsidR="003C71EB" w:rsidRPr="00420F8C" w:rsidRDefault="003C71EB" w:rsidP="00C539D3">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6484EAC9" w14:textId="77777777" w:rsidR="003C71EB" w:rsidRPr="00325F01" w:rsidRDefault="003C71EB" w:rsidP="00C539D3">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C71EB" w14:paraId="280FFFB7" w14:textId="77777777" w:rsidTr="00C539D3">
        <w:tc>
          <w:tcPr>
            <w:tcW w:w="1816" w:type="dxa"/>
            <w:vAlign w:val="center"/>
          </w:tcPr>
          <w:p w14:paraId="02CDD804" w14:textId="77777777" w:rsidR="003C71EB" w:rsidRPr="00420F8C" w:rsidRDefault="003C71EB" w:rsidP="00C539D3">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2DE4C861" w14:textId="77777777" w:rsidR="003C71EB" w:rsidRPr="00420F8C" w:rsidRDefault="003C71EB" w:rsidP="00C539D3">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3CE7EA30" w14:textId="77777777" w:rsidR="003C71EB" w:rsidRPr="00325F01" w:rsidRDefault="003C71EB" w:rsidP="00C539D3">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C71EB" w14:paraId="1AEFF58B" w14:textId="77777777" w:rsidTr="00C539D3">
        <w:tc>
          <w:tcPr>
            <w:tcW w:w="1816" w:type="dxa"/>
            <w:vAlign w:val="center"/>
          </w:tcPr>
          <w:p w14:paraId="08D1E5E0" w14:textId="77777777" w:rsidR="003C71EB" w:rsidRPr="00420F8C" w:rsidRDefault="003C71EB" w:rsidP="00C539D3">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76C8668" w14:textId="77777777" w:rsidR="003C71EB" w:rsidRPr="00420F8C" w:rsidRDefault="003C71EB" w:rsidP="00C539D3">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196D414A" w14:textId="77777777" w:rsidR="003C71EB" w:rsidRPr="00420F8C" w:rsidRDefault="003C71EB" w:rsidP="00C539D3">
            <w:pPr>
              <w:rPr>
                <w:rFonts w:asciiTheme="minorHAnsi" w:hAnsiTheme="minorHAnsi" w:cs="Arial"/>
                <w:lang w:eastAsia="en-GB"/>
              </w:rPr>
            </w:pPr>
            <w:r w:rsidRPr="00420F8C">
              <w:rPr>
                <w:rFonts w:asciiTheme="minorHAnsi" w:hAnsiTheme="minorHAnsi" w:cs="Arial"/>
                <w:color w:val="000000" w:themeColor="dark1"/>
                <w:kern w:val="28"/>
              </w:rPr>
              <w:t xml:space="preserve">As such, it helps formulate specifications, assesses tenders, reviews </w:t>
            </w:r>
            <w:r w:rsidRPr="00420F8C">
              <w:rPr>
                <w:rFonts w:asciiTheme="minorHAnsi" w:hAnsiTheme="minorHAnsi" w:cs="Arial"/>
                <w:color w:val="000000" w:themeColor="dark1"/>
                <w:kern w:val="28"/>
              </w:rPr>
              <w:lastRenderedPageBreak/>
              <w:t>draft and final outputs and other relevant tasks.</w:t>
            </w:r>
          </w:p>
        </w:tc>
        <w:tc>
          <w:tcPr>
            <w:tcW w:w="2694" w:type="dxa"/>
          </w:tcPr>
          <w:p w14:paraId="0F6E70F4" w14:textId="77777777" w:rsidR="003C71EB" w:rsidRPr="00420F8C" w:rsidRDefault="003C71EB" w:rsidP="00C539D3">
            <w:pPr>
              <w:rPr>
                <w:rFonts w:asciiTheme="minorHAnsi" w:hAnsiTheme="minorHAnsi" w:cs="Arial"/>
                <w:lang w:eastAsia="en-GB"/>
              </w:rPr>
            </w:pPr>
            <w:r w:rsidRPr="00420F8C">
              <w:rPr>
                <w:rFonts w:asciiTheme="minorHAnsi" w:hAnsiTheme="minorHAnsi" w:cs="Arial"/>
                <w:color w:val="000000" w:themeColor="dark1"/>
                <w:kern w:val="28"/>
              </w:rPr>
              <w:lastRenderedPageBreak/>
              <w:t xml:space="preserve">Formally accepts deliverables </w:t>
            </w:r>
          </w:p>
        </w:tc>
      </w:tr>
      <w:tr w:rsidR="003C71EB" w14:paraId="72341052" w14:textId="77777777" w:rsidTr="00C539D3">
        <w:tc>
          <w:tcPr>
            <w:tcW w:w="1816" w:type="dxa"/>
            <w:vAlign w:val="center"/>
          </w:tcPr>
          <w:p w14:paraId="02AB921E" w14:textId="77777777" w:rsidR="003C71EB" w:rsidRPr="006B076F" w:rsidRDefault="003C71EB" w:rsidP="00C539D3">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0B113A5B" w14:textId="77777777" w:rsidR="003C71EB" w:rsidRPr="006B076F" w:rsidRDefault="003C71EB" w:rsidP="00C539D3">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14:paraId="2EF8640B" w14:textId="77777777" w:rsidR="003C71EB" w:rsidRPr="006B076F" w:rsidRDefault="003C71EB" w:rsidP="00C539D3">
            <w:pPr>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etc and ensures timely and effective delivery towards project objectives.</w:t>
            </w:r>
          </w:p>
        </w:tc>
        <w:tc>
          <w:tcPr>
            <w:tcW w:w="2694" w:type="dxa"/>
          </w:tcPr>
          <w:p w14:paraId="0A22C033" w14:textId="77777777" w:rsidR="003C71EB" w:rsidRPr="006B076F" w:rsidRDefault="003C71EB" w:rsidP="00C539D3">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 xml:space="preserve">needed, including facilitating decision making and </w:t>
            </w:r>
          </w:p>
        </w:tc>
      </w:tr>
      <w:tr w:rsidR="003C71EB" w14:paraId="2F99481F" w14:textId="77777777" w:rsidTr="00C539D3">
        <w:tc>
          <w:tcPr>
            <w:tcW w:w="1816" w:type="dxa"/>
            <w:vAlign w:val="center"/>
          </w:tcPr>
          <w:p w14:paraId="52630D4A" w14:textId="77777777" w:rsidR="003C71EB" w:rsidRPr="007715AE" w:rsidRDefault="003C71EB" w:rsidP="00C539D3">
            <w:pPr>
              <w:rPr>
                <w:rFonts w:asciiTheme="minorHAnsi" w:hAnsiTheme="minorHAnsi" w:cs="Arial"/>
                <w:lang w:eastAsia="en-GB"/>
              </w:rPr>
            </w:pPr>
            <w:r w:rsidRPr="007715AE">
              <w:rPr>
                <w:rFonts w:asciiTheme="minorHAnsi" w:hAnsiTheme="minorHAnsi" w:cs="Arial"/>
                <w:color w:val="000000" w:themeColor="dark1"/>
                <w:kern w:val="28"/>
              </w:rPr>
              <w:t>Technical expert</w:t>
            </w:r>
          </w:p>
        </w:tc>
        <w:tc>
          <w:tcPr>
            <w:tcW w:w="3849" w:type="dxa"/>
            <w:vAlign w:val="center"/>
          </w:tcPr>
          <w:p w14:paraId="3D01BCE7" w14:textId="77777777" w:rsidR="003C71EB" w:rsidRPr="007715AE" w:rsidRDefault="003C71EB" w:rsidP="00C539D3">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06B8CEC6" w14:textId="77777777" w:rsidR="003C71EB" w:rsidRPr="007715AE" w:rsidRDefault="003C71EB" w:rsidP="00C539D3">
            <w:pPr>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7AE14822" w14:textId="77777777" w:rsidR="003C71EB" w:rsidRPr="007715AE" w:rsidRDefault="003C71EB" w:rsidP="00C539D3">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of emerging </w:t>
            </w:r>
            <w:r w:rsidRPr="007715AE">
              <w:rPr>
                <w:rFonts w:asciiTheme="minorHAnsi" w:hAnsiTheme="minorHAnsi" w:cs="Arial"/>
                <w:color w:val="000000" w:themeColor="dark1"/>
                <w:kern w:val="28"/>
              </w:rPr>
              <w:t xml:space="preserve">outputs from technical perspective and </w:t>
            </w:r>
            <w:r>
              <w:rPr>
                <w:rFonts w:asciiTheme="minorHAnsi" w:hAnsiTheme="minorHAnsi" w:cs="Arial"/>
                <w:color w:val="000000" w:themeColor="dark1"/>
                <w:kern w:val="28"/>
              </w:rPr>
              <w:t xml:space="preserve">proving </w:t>
            </w:r>
          </w:p>
        </w:tc>
      </w:tr>
    </w:tbl>
    <w:p w14:paraId="2670AC33" w14:textId="77777777" w:rsidR="003C71EB" w:rsidRDefault="003C71EB" w:rsidP="003C71EB">
      <w:pPr>
        <w:rPr>
          <w:rFonts w:ascii="Calibri" w:hAnsi="Calibri" w:cs="Arial"/>
          <w:lang w:eastAsia="en-GB"/>
        </w:rPr>
      </w:pPr>
    </w:p>
    <w:p w14:paraId="4B8AD953" w14:textId="77777777" w:rsidR="003C71EB" w:rsidRDefault="003C71EB" w:rsidP="003C71EB">
      <w:pPr>
        <w:rPr>
          <w:rFonts w:ascii="Calibri" w:hAnsi="Calibri" w:cs="Arial"/>
          <w:lang w:eastAsia="en-GB"/>
        </w:rPr>
      </w:pPr>
    </w:p>
    <w:p w14:paraId="28C012DB" w14:textId="5797D92F" w:rsidR="003C71EB" w:rsidRDefault="003C71EB" w:rsidP="003C71EB">
      <w:pPr>
        <w:pStyle w:val="Heading1"/>
      </w:pPr>
      <w:r>
        <w:t>Timescales and dependencies</w:t>
      </w:r>
    </w:p>
    <w:p w14:paraId="173385CA" w14:textId="77777777" w:rsidR="003C71EB" w:rsidRDefault="003C71EB" w:rsidP="003C71EB">
      <w:pPr>
        <w:rPr>
          <w:rFonts w:ascii="Calibri" w:hAnsi="Calibri" w:cs="Arial"/>
          <w:lang w:eastAsia="en-GB"/>
        </w:rPr>
      </w:pPr>
      <w:r>
        <w:rPr>
          <w:rFonts w:ascii="Calibri" w:hAnsi="Calibri" w:cs="Arial"/>
          <w:lang w:eastAsia="en-GB"/>
        </w:rPr>
        <w:t xml:space="preserve">The work is expected to start in June 2017 and be completed by January 2018. These are indicative dates and RSSB is prepared to consider bids that cannot meet these expectations if they have a robust and realistic project plan, and an explanation of why the expected start and end date cannot be met.  </w:t>
      </w:r>
    </w:p>
    <w:p w14:paraId="5A322112" w14:textId="77777777" w:rsidR="003C71EB" w:rsidRDefault="003C71EB" w:rsidP="003C71EB">
      <w:pPr>
        <w:ind w:left="360"/>
        <w:rPr>
          <w:rFonts w:ascii="Calibri" w:hAnsi="Calibri" w:cs="Arial"/>
          <w:lang w:eastAsia="en-GB"/>
        </w:rPr>
      </w:pPr>
      <w:r w:rsidRPr="0060324E">
        <w:rPr>
          <w:rFonts w:ascii="Calibri" w:hAnsi="Calibri" w:cs="Arial"/>
          <w:lang w:eastAsia="en-GB"/>
        </w:rPr>
        <w:t>Possible dependencies associated with the successful completion of this research are thought to include the following:</w:t>
      </w:r>
    </w:p>
    <w:p w14:paraId="3244D446" w14:textId="77777777" w:rsidR="003C71EB" w:rsidRDefault="003C71EB" w:rsidP="003C71EB">
      <w:pPr>
        <w:pStyle w:val="ListParagraph"/>
        <w:numPr>
          <w:ilvl w:val="0"/>
          <w:numId w:val="7"/>
        </w:numPr>
        <w:rPr>
          <w:rFonts w:ascii="Calibri" w:hAnsi="Calibri" w:cs="Arial"/>
          <w:sz w:val="22"/>
          <w:szCs w:val="22"/>
          <w:lang w:eastAsia="en-GB"/>
        </w:rPr>
      </w:pPr>
      <w:r w:rsidRPr="0060324E">
        <w:rPr>
          <w:rFonts w:ascii="Calibri" w:hAnsi="Calibri" w:cs="Arial"/>
          <w:sz w:val="22"/>
          <w:szCs w:val="22"/>
          <w:lang w:eastAsia="en-GB"/>
        </w:rPr>
        <w:t>The need to obtain infrastructure and rolling stock cost and component data to support the formal quantified risk analysis and cost benefit analy</w:t>
      </w:r>
      <w:r>
        <w:rPr>
          <w:rFonts w:ascii="Calibri" w:hAnsi="Calibri" w:cs="Arial"/>
          <w:sz w:val="22"/>
          <w:szCs w:val="22"/>
          <w:lang w:eastAsia="en-GB"/>
        </w:rPr>
        <w:t xml:space="preserve">sis </w:t>
      </w:r>
      <w:r w:rsidRPr="0060324E">
        <w:rPr>
          <w:rFonts w:ascii="Calibri" w:hAnsi="Calibri" w:cs="Arial"/>
          <w:sz w:val="22"/>
          <w:szCs w:val="22"/>
          <w:lang w:eastAsia="en-GB"/>
        </w:rPr>
        <w:t>from the railway industry and its suppliers.</w:t>
      </w:r>
      <w:r>
        <w:rPr>
          <w:rFonts w:ascii="Calibri" w:hAnsi="Calibri" w:cs="Arial"/>
          <w:sz w:val="22"/>
          <w:szCs w:val="22"/>
          <w:lang w:eastAsia="en-GB"/>
        </w:rPr>
        <w:t xml:space="preserve"> These will be provided by the industry.</w:t>
      </w:r>
    </w:p>
    <w:p w14:paraId="15904132" w14:textId="77777777" w:rsidR="003C71EB" w:rsidRPr="0060324E" w:rsidRDefault="003C71EB" w:rsidP="003C71EB">
      <w:pPr>
        <w:pStyle w:val="ListParagraph"/>
        <w:rPr>
          <w:rFonts w:ascii="Calibri" w:hAnsi="Calibri" w:cs="Arial"/>
          <w:sz w:val="22"/>
          <w:szCs w:val="22"/>
          <w:lang w:eastAsia="en-GB"/>
        </w:rPr>
      </w:pPr>
    </w:p>
    <w:p w14:paraId="5A21E4BE" w14:textId="77777777" w:rsidR="003C71EB" w:rsidRDefault="003C71EB" w:rsidP="003C71EB">
      <w:pPr>
        <w:pStyle w:val="ListParagraph"/>
        <w:numPr>
          <w:ilvl w:val="0"/>
          <w:numId w:val="7"/>
        </w:numPr>
        <w:rPr>
          <w:rFonts w:ascii="Calibri" w:hAnsi="Calibri" w:cs="Arial"/>
          <w:sz w:val="22"/>
          <w:szCs w:val="22"/>
          <w:lang w:eastAsia="en-GB"/>
        </w:rPr>
      </w:pPr>
      <w:r w:rsidRPr="0060324E">
        <w:rPr>
          <w:rFonts w:ascii="Calibri" w:hAnsi="Calibri" w:cs="Arial"/>
          <w:sz w:val="22"/>
          <w:szCs w:val="22"/>
          <w:lang w:eastAsia="en-GB"/>
        </w:rPr>
        <w:t>Provision of historic data and consequences of de-wirements.</w:t>
      </w:r>
    </w:p>
    <w:p w14:paraId="61513519" w14:textId="77777777" w:rsidR="003C71EB" w:rsidRPr="0060324E" w:rsidRDefault="003C71EB" w:rsidP="003C71EB">
      <w:pPr>
        <w:rPr>
          <w:rFonts w:ascii="Calibri" w:hAnsi="Calibri" w:cs="Arial"/>
          <w:lang w:eastAsia="en-GB"/>
        </w:rPr>
      </w:pPr>
    </w:p>
    <w:p w14:paraId="036EE564" w14:textId="77777777" w:rsidR="003C71EB" w:rsidRDefault="003C71EB" w:rsidP="003C71EB">
      <w:pPr>
        <w:pStyle w:val="ListParagraph"/>
        <w:numPr>
          <w:ilvl w:val="0"/>
          <w:numId w:val="7"/>
        </w:numPr>
        <w:rPr>
          <w:rFonts w:ascii="Calibri" w:hAnsi="Calibri" w:cs="Arial"/>
          <w:sz w:val="22"/>
          <w:szCs w:val="22"/>
          <w:lang w:eastAsia="en-GB"/>
        </w:rPr>
      </w:pPr>
      <w:r w:rsidRPr="0060324E">
        <w:rPr>
          <w:rFonts w:ascii="Calibri" w:hAnsi="Calibri" w:cs="Arial"/>
          <w:sz w:val="22"/>
          <w:szCs w:val="22"/>
          <w:lang w:eastAsia="en-GB"/>
        </w:rPr>
        <w:t>Provision of cost data and potential effectiveness of mitigation measures.</w:t>
      </w:r>
    </w:p>
    <w:p w14:paraId="5062D09E" w14:textId="09D1C664" w:rsidR="003C71EB" w:rsidRDefault="003C71EB" w:rsidP="003C71EB">
      <w:pPr>
        <w:rPr>
          <w:rFonts w:ascii="Calibri" w:hAnsi="Calibri" w:cs="Arial"/>
          <w:lang w:eastAsia="en-GB"/>
        </w:rPr>
      </w:pPr>
    </w:p>
    <w:p w14:paraId="4FB496FC" w14:textId="099AB667" w:rsidR="003B607A" w:rsidRDefault="003B607A" w:rsidP="003C71EB">
      <w:pPr>
        <w:rPr>
          <w:rFonts w:ascii="Calibri" w:hAnsi="Calibri" w:cs="Arial"/>
          <w:lang w:eastAsia="en-GB"/>
        </w:rPr>
      </w:pPr>
    </w:p>
    <w:p w14:paraId="0F545221" w14:textId="67AD6A82" w:rsidR="003B607A" w:rsidRDefault="003B607A" w:rsidP="003C71EB">
      <w:pPr>
        <w:rPr>
          <w:rFonts w:ascii="Calibri" w:hAnsi="Calibri" w:cs="Arial"/>
          <w:lang w:eastAsia="en-GB"/>
        </w:rPr>
      </w:pPr>
    </w:p>
    <w:p w14:paraId="02DBE562" w14:textId="29E128B9" w:rsidR="003B607A" w:rsidRDefault="003B607A" w:rsidP="003C71EB">
      <w:pPr>
        <w:rPr>
          <w:rFonts w:ascii="Calibri" w:hAnsi="Calibri" w:cs="Arial"/>
          <w:lang w:eastAsia="en-GB"/>
        </w:rPr>
      </w:pPr>
    </w:p>
    <w:p w14:paraId="3DE4088A" w14:textId="77777777" w:rsidR="003B607A" w:rsidRPr="001B7E0B" w:rsidRDefault="003B607A" w:rsidP="003C71EB">
      <w:pPr>
        <w:rPr>
          <w:rFonts w:ascii="Calibri" w:hAnsi="Calibri" w:cs="Arial"/>
          <w:lang w:eastAsia="en-GB"/>
        </w:rPr>
      </w:pPr>
    </w:p>
    <w:p w14:paraId="428DE10C" w14:textId="77777777" w:rsidR="003C71EB" w:rsidRDefault="003C71EB" w:rsidP="003C71EB">
      <w:pPr>
        <w:pStyle w:val="Heading1"/>
      </w:pPr>
      <w:r>
        <w:lastRenderedPageBreak/>
        <w:t>Critical success factors and risk management</w:t>
      </w:r>
    </w:p>
    <w:p w14:paraId="57FF51D0" w14:textId="77777777" w:rsidR="003C71EB" w:rsidRDefault="003C71EB" w:rsidP="003C71EB">
      <w:pPr>
        <w:rPr>
          <w:rFonts w:ascii="Calibri" w:hAnsi="Calibri" w:cs="Arial"/>
          <w:lang w:eastAsia="en-GB"/>
        </w:rPr>
      </w:pPr>
      <w:r w:rsidRPr="000440DF">
        <w:rPr>
          <w:rFonts w:ascii="Calibri" w:hAnsi="Calibri" w:cs="Arial"/>
          <w:lang w:eastAsia="en-GB"/>
        </w:rPr>
        <w:t>Critical success factors leading to the successful completion of this research are thought to include the following:</w:t>
      </w:r>
    </w:p>
    <w:p w14:paraId="78F28B33" w14:textId="77777777" w:rsidR="003C71EB" w:rsidRDefault="003C71EB" w:rsidP="003C71EB">
      <w:pPr>
        <w:rPr>
          <w:rFonts w:ascii="Calibri" w:hAnsi="Calibri" w:cs="Arial"/>
          <w:lang w:eastAsia="en-GB"/>
        </w:rPr>
      </w:pPr>
    </w:p>
    <w:p w14:paraId="0BD32049" w14:textId="77777777" w:rsidR="003C71EB" w:rsidRDefault="003C71EB" w:rsidP="003C71EB">
      <w:pPr>
        <w:pStyle w:val="ListParagraph"/>
        <w:numPr>
          <w:ilvl w:val="6"/>
          <w:numId w:val="1"/>
        </w:numPr>
        <w:ind w:left="993" w:hanging="426"/>
        <w:rPr>
          <w:rFonts w:ascii="Calibri" w:hAnsi="Calibri" w:cs="Arial"/>
          <w:sz w:val="22"/>
          <w:szCs w:val="22"/>
          <w:lang w:eastAsia="en-GB"/>
        </w:rPr>
      </w:pPr>
      <w:r w:rsidRPr="000440DF">
        <w:rPr>
          <w:rFonts w:ascii="Calibri" w:hAnsi="Calibri" w:cs="Arial"/>
          <w:sz w:val="22"/>
          <w:szCs w:val="22"/>
          <w:lang w:eastAsia="en-GB"/>
        </w:rPr>
        <w:t>The appointment of a supplier who has previous knowledge and experience of the methodology and preparation of formal quantified risk analyses, safety analyses and the risk modelling techniques that are normally used within a railway environment.</w:t>
      </w:r>
    </w:p>
    <w:p w14:paraId="3D8A54A1" w14:textId="77777777" w:rsidR="003C71EB" w:rsidRDefault="003C71EB" w:rsidP="003C71EB">
      <w:pPr>
        <w:pStyle w:val="ListParagraph"/>
        <w:ind w:left="993"/>
        <w:rPr>
          <w:rFonts w:ascii="Calibri" w:hAnsi="Calibri" w:cs="Arial"/>
          <w:sz w:val="22"/>
          <w:szCs w:val="22"/>
          <w:lang w:eastAsia="en-GB"/>
        </w:rPr>
      </w:pPr>
    </w:p>
    <w:p w14:paraId="7EDD8298" w14:textId="77777777" w:rsidR="003C71EB" w:rsidRDefault="003C71EB" w:rsidP="003C71EB">
      <w:pPr>
        <w:pStyle w:val="ListParagraph"/>
        <w:numPr>
          <w:ilvl w:val="6"/>
          <w:numId w:val="1"/>
        </w:numPr>
        <w:ind w:left="993" w:hanging="426"/>
        <w:rPr>
          <w:rFonts w:ascii="Calibri" w:hAnsi="Calibri" w:cs="Arial"/>
          <w:sz w:val="22"/>
          <w:szCs w:val="22"/>
          <w:lang w:eastAsia="en-GB"/>
        </w:rPr>
      </w:pPr>
      <w:r w:rsidRPr="000440DF">
        <w:rPr>
          <w:rFonts w:ascii="Calibri" w:hAnsi="Calibri" w:cs="Arial"/>
          <w:sz w:val="22"/>
          <w:szCs w:val="22"/>
          <w:lang w:eastAsia="en-GB"/>
        </w:rPr>
        <w:t>The appointment of a supplier with knowledge of the materials and structures used on GB mainline electrification infrastructure and the rolling stock that has been designed to operate within these areas.</w:t>
      </w:r>
    </w:p>
    <w:p w14:paraId="12E806D2" w14:textId="77777777" w:rsidR="003C71EB" w:rsidRDefault="003C71EB" w:rsidP="003C71EB">
      <w:pPr>
        <w:pStyle w:val="ListParagraph"/>
        <w:ind w:left="993"/>
        <w:rPr>
          <w:rFonts w:ascii="Calibri" w:hAnsi="Calibri" w:cs="Arial"/>
          <w:sz w:val="22"/>
          <w:szCs w:val="22"/>
          <w:lang w:eastAsia="en-GB"/>
        </w:rPr>
      </w:pPr>
    </w:p>
    <w:p w14:paraId="6A5A54AB" w14:textId="77777777" w:rsidR="003C71EB" w:rsidRDefault="003C71EB" w:rsidP="003C71EB">
      <w:pPr>
        <w:pStyle w:val="ListParagraph"/>
        <w:numPr>
          <w:ilvl w:val="6"/>
          <w:numId w:val="1"/>
        </w:numPr>
        <w:ind w:left="993" w:hanging="426"/>
        <w:rPr>
          <w:rFonts w:ascii="Calibri" w:hAnsi="Calibri" w:cs="Arial"/>
          <w:sz w:val="22"/>
          <w:szCs w:val="22"/>
          <w:lang w:eastAsia="en-GB"/>
        </w:rPr>
      </w:pPr>
      <w:r w:rsidRPr="000440DF">
        <w:rPr>
          <w:rFonts w:ascii="Calibri" w:hAnsi="Calibri" w:cs="Arial"/>
          <w:sz w:val="22"/>
          <w:szCs w:val="22"/>
          <w:lang w:eastAsia="en-GB"/>
        </w:rPr>
        <w:t>The ability of the supplier to work within a project and stakeholder team environment to be best placed to gain access to the knowledge, information and resources needed to support the research.</w:t>
      </w:r>
    </w:p>
    <w:p w14:paraId="266F0EAC" w14:textId="77777777" w:rsidR="003C71EB" w:rsidRPr="00241CB4" w:rsidRDefault="003C71EB" w:rsidP="003C71EB">
      <w:pPr>
        <w:pStyle w:val="ListParagraph"/>
        <w:rPr>
          <w:rFonts w:ascii="Calibri" w:hAnsi="Calibri" w:cs="Arial"/>
          <w:sz w:val="22"/>
          <w:szCs w:val="22"/>
          <w:lang w:eastAsia="en-GB"/>
        </w:rPr>
      </w:pPr>
    </w:p>
    <w:p w14:paraId="0D929B34" w14:textId="77777777" w:rsidR="003C71EB" w:rsidRDefault="003C71EB" w:rsidP="003C71EB">
      <w:pPr>
        <w:rPr>
          <w:rFonts w:ascii="Calibri" w:hAnsi="Calibri" w:cs="Arial"/>
          <w:lang w:eastAsia="en-GB"/>
        </w:rPr>
      </w:pPr>
      <w:r w:rsidRPr="00241CB4">
        <w:rPr>
          <w:rFonts w:ascii="Calibri" w:hAnsi="Calibri" w:cs="Arial"/>
          <w:lang w:eastAsia="en-GB"/>
        </w:rPr>
        <w:t>Risks associated with the successful completion of the research are thought to include the following:</w:t>
      </w:r>
    </w:p>
    <w:p w14:paraId="4C58CEA4" w14:textId="77777777" w:rsidR="003C71EB" w:rsidRDefault="003C71EB" w:rsidP="003C71EB">
      <w:pPr>
        <w:rPr>
          <w:rFonts w:ascii="Calibri" w:hAnsi="Calibri" w:cs="Arial"/>
          <w:lang w:eastAsia="en-GB"/>
        </w:rPr>
      </w:pPr>
    </w:p>
    <w:p w14:paraId="05FC3EA0" w14:textId="77777777" w:rsidR="003C71EB" w:rsidRDefault="003C71EB" w:rsidP="003C71EB">
      <w:pPr>
        <w:pStyle w:val="ListParagraph"/>
        <w:numPr>
          <w:ilvl w:val="0"/>
          <w:numId w:val="8"/>
        </w:numPr>
        <w:tabs>
          <w:tab w:val="left" w:pos="709"/>
        </w:tabs>
        <w:ind w:left="993"/>
        <w:rPr>
          <w:rFonts w:ascii="Calibri" w:hAnsi="Calibri" w:cs="Arial"/>
          <w:sz w:val="22"/>
          <w:szCs w:val="22"/>
          <w:lang w:eastAsia="en-GB"/>
        </w:rPr>
      </w:pPr>
      <w:r w:rsidRPr="003F453F">
        <w:rPr>
          <w:rFonts w:ascii="Calibri" w:hAnsi="Calibri" w:cs="Arial"/>
          <w:sz w:val="22"/>
          <w:szCs w:val="22"/>
          <w:lang w:eastAsia="en-GB"/>
        </w:rPr>
        <w:t>The inability to find a suitably qualified supplier that is able to carry out this research.</w:t>
      </w:r>
    </w:p>
    <w:p w14:paraId="38FB39D2" w14:textId="77777777" w:rsidR="003C71EB" w:rsidRDefault="003C71EB" w:rsidP="003C71EB">
      <w:pPr>
        <w:pStyle w:val="ListParagraph"/>
        <w:tabs>
          <w:tab w:val="left" w:pos="709"/>
        </w:tabs>
        <w:ind w:left="993"/>
        <w:rPr>
          <w:rFonts w:ascii="Calibri" w:hAnsi="Calibri" w:cs="Arial"/>
          <w:sz w:val="22"/>
          <w:szCs w:val="22"/>
          <w:lang w:eastAsia="en-GB"/>
        </w:rPr>
      </w:pPr>
    </w:p>
    <w:p w14:paraId="18E601E3" w14:textId="77777777" w:rsidR="003C71EB" w:rsidRDefault="003C71EB" w:rsidP="003C71EB">
      <w:pPr>
        <w:pStyle w:val="ListParagraph"/>
        <w:numPr>
          <w:ilvl w:val="0"/>
          <w:numId w:val="8"/>
        </w:numPr>
        <w:tabs>
          <w:tab w:val="left" w:pos="709"/>
        </w:tabs>
        <w:ind w:left="993"/>
        <w:rPr>
          <w:rFonts w:ascii="Calibri" w:hAnsi="Calibri" w:cs="Arial"/>
          <w:sz w:val="22"/>
          <w:szCs w:val="22"/>
          <w:lang w:eastAsia="en-GB"/>
        </w:rPr>
      </w:pPr>
      <w:r w:rsidRPr="003F453F">
        <w:rPr>
          <w:rFonts w:ascii="Calibri" w:hAnsi="Calibri" w:cs="Arial"/>
          <w:sz w:val="22"/>
          <w:szCs w:val="22"/>
          <w:lang w:eastAsia="en-GB"/>
        </w:rPr>
        <w:t>The inability of the supplier or project and stakeholder team to obtain the infrastructure and rolling stock cost and component data needed to support the formal quantified risk analysis.</w:t>
      </w:r>
    </w:p>
    <w:p w14:paraId="4AE317B6" w14:textId="77777777" w:rsidR="003C71EB" w:rsidRPr="005D3D1E" w:rsidRDefault="003C71EB" w:rsidP="003C71EB">
      <w:pPr>
        <w:pStyle w:val="ListParagraph"/>
        <w:rPr>
          <w:rFonts w:ascii="Calibri" w:hAnsi="Calibri" w:cs="Arial"/>
          <w:sz w:val="22"/>
          <w:szCs w:val="22"/>
          <w:lang w:eastAsia="en-GB"/>
        </w:rPr>
      </w:pPr>
    </w:p>
    <w:p w14:paraId="05118E71" w14:textId="77777777" w:rsidR="003C71EB" w:rsidRDefault="003C71EB" w:rsidP="003C71EB">
      <w:pPr>
        <w:pStyle w:val="ListParagraph"/>
        <w:numPr>
          <w:ilvl w:val="0"/>
          <w:numId w:val="8"/>
        </w:numPr>
        <w:tabs>
          <w:tab w:val="left" w:pos="709"/>
        </w:tabs>
        <w:ind w:left="993"/>
        <w:rPr>
          <w:rFonts w:ascii="Calibri" w:hAnsi="Calibri" w:cs="Arial"/>
          <w:sz w:val="22"/>
          <w:szCs w:val="22"/>
          <w:lang w:eastAsia="en-GB"/>
        </w:rPr>
      </w:pPr>
      <w:r w:rsidRPr="003F453F">
        <w:rPr>
          <w:rFonts w:ascii="Calibri" w:hAnsi="Calibri" w:cs="Arial"/>
          <w:sz w:val="22"/>
          <w:szCs w:val="22"/>
          <w:lang w:eastAsia="en-GB"/>
        </w:rPr>
        <w:t>System complexity making the formal quantified risk analysis and risk modelling processes too difficult, leading to inconclusive results that have limited value.</w:t>
      </w:r>
    </w:p>
    <w:p w14:paraId="0D92390E" w14:textId="77777777" w:rsidR="003C71EB" w:rsidRPr="005D3D1E" w:rsidRDefault="003C71EB" w:rsidP="003C71EB">
      <w:pPr>
        <w:tabs>
          <w:tab w:val="left" w:pos="709"/>
        </w:tabs>
        <w:rPr>
          <w:rFonts w:ascii="Calibri" w:hAnsi="Calibri" w:cs="Arial"/>
          <w:lang w:eastAsia="en-GB"/>
        </w:rPr>
      </w:pPr>
    </w:p>
    <w:p w14:paraId="3DA383CF" w14:textId="77777777" w:rsidR="003C71EB" w:rsidRPr="003F453F" w:rsidRDefault="003C71EB" w:rsidP="003C71EB">
      <w:pPr>
        <w:pStyle w:val="ListParagraph"/>
        <w:numPr>
          <w:ilvl w:val="0"/>
          <w:numId w:val="8"/>
        </w:numPr>
        <w:tabs>
          <w:tab w:val="left" w:pos="709"/>
        </w:tabs>
        <w:ind w:left="993"/>
        <w:rPr>
          <w:rFonts w:ascii="Calibri" w:hAnsi="Calibri" w:cs="Arial"/>
          <w:sz w:val="22"/>
          <w:szCs w:val="22"/>
          <w:lang w:eastAsia="en-GB"/>
        </w:rPr>
      </w:pPr>
      <w:r w:rsidRPr="003F453F">
        <w:rPr>
          <w:rFonts w:ascii="Calibri" w:hAnsi="Calibri" w:cs="Arial"/>
          <w:sz w:val="22"/>
          <w:szCs w:val="22"/>
          <w:lang w:eastAsia="en-GB"/>
        </w:rPr>
        <w:t>Lack of available data (or its provision in a timely manner).</w:t>
      </w:r>
    </w:p>
    <w:p w14:paraId="45047F1B" w14:textId="77777777" w:rsidR="003C71EB" w:rsidRPr="00422D2E" w:rsidRDefault="003C71EB" w:rsidP="003C71EB">
      <w:pPr>
        <w:rPr>
          <w:rFonts w:ascii="Calibri" w:hAnsi="Calibri" w:cs="Arial"/>
          <w:lang w:eastAsia="en-GB"/>
        </w:rPr>
      </w:pPr>
    </w:p>
    <w:p w14:paraId="03B0F3CF" w14:textId="77777777" w:rsidR="003C71EB" w:rsidRDefault="003C71EB" w:rsidP="009F5AC3">
      <w:pPr>
        <w:pStyle w:val="Heading10"/>
      </w:pPr>
      <w:bookmarkStart w:id="19" w:name="_Toc459026826"/>
    </w:p>
    <w:p w14:paraId="4761D1D4" w14:textId="4B244A88" w:rsidR="003C71EB" w:rsidRDefault="003C71EB" w:rsidP="009F5AC3">
      <w:pPr>
        <w:pStyle w:val="Heading10"/>
      </w:pPr>
    </w:p>
    <w:p w14:paraId="4A4C1D3F" w14:textId="1191C5F7" w:rsidR="003C71EB" w:rsidRDefault="003C71EB" w:rsidP="003C71EB"/>
    <w:p w14:paraId="20643D7E" w14:textId="20DBB5CC" w:rsidR="003C71EB" w:rsidRDefault="003C71EB" w:rsidP="003C71EB"/>
    <w:p w14:paraId="27DA2695" w14:textId="1464F2AE" w:rsidR="003C71EB" w:rsidRDefault="003C71EB" w:rsidP="003C71EB"/>
    <w:p w14:paraId="7FBEBDDF" w14:textId="443F580D" w:rsidR="003C71EB" w:rsidRDefault="003C71EB" w:rsidP="003C71EB"/>
    <w:p w14:paraId="4D21BB32" w14:textId="77777777" w:rsidR="003C71EB" w:rsidRPr="003C71EB" w:rsidRDefault="003C71EB" w:rsidP="003C71EB"/>
    <w:p w14:paraId="4F3E7314" w14:textId="0C66D807" w:rsidR="009F5AC3" w:rsidRDefault="003C71EB" w:rsidP="009F5AC3">
      <w:pPr>
        <w:pStyle w:val="Heading10"/>
      </w:pPr>
      <w:r>
        <w:lastRenderedPageBreak/>
        <w:t>Appendix G</w:t>
      </w:r>
      <w:r w:rsidR="001C3F31" w:rsidRPr="001C3F31">
        <w:t xml:space="preserve">: Pricing Schedule </w:t>
      </w:r>
      <w:bookmarkEnd w:id="19"/>
    </w:p>
    <w:p w14:paraId="607A49BD" w14:textId="5F8C5041" w:rsidR="003C71EB" w:rsidRPr="003C71EB" w:rsidRDefault="003C71EB" w:rsidP="003C71EB">
      <w:pPr>
        <w:rPr>
          <w:rFonts w:asciiTheme="minorHAnsi" w:hAnsiTheme="minorHAnsi"/>
        </w:rPr>
      </w:pPr>
    </w:p>
    <w:p w14:paraId="24EFBEC2" w14:textId="704400D5" w:rsidR="003C71EB" w:rsidRPr="003C71EB" w:rsidRDefault="003C71EB" w:rsidP="003C71EB">
      <w:pPr>
        <w:rPr>
          <w:rFonts w:asciiTheme="minorHAnsi" w:hAnsiTheme="minorHAnsi"/>
        </w:rPr>
      </w:pPr>
      <w:r w:rsidRPr="003C71EB">
        <w:rPr>
          <w:rFonts w:asciiTheme="minorHAnsi" w:hAnsiTheme="minorHAnsi"/>
        </w:rPr>
        <w:t>Please add li</w:t>
      </w:r>
      <w:r w:rsidR="00915FE2">
        <w:rPr>
          <w:rFonts w:asciiTheme="minorHAnsi" w:hAnsiTheme="minorHAnsi"/>
        </w:rPr>
        <w:t>n</w:t>
      </w:r>
      <w:r w:rsidRPr="003C71EB">
        <w:rPr>
          <w:rFonts w:asciiTheme="minorHAnsi" w:hAnsiTheme="minorHAnsi"/>
        </w:rPr>
        <w:t>es as required</w:t>
      </w:r>
    </w:p>
    <w:p w14:paraId="4DF6D0B9" w14:textId="179BF7E8" w:rsidR="003C71EB" w:rsidRPr="003C71EB" w:rsidRDefault="003C71EB" w:rsidP="003C71EB">
      <w:pPr>
        <w:rPr>
          <w:rFonts w:asciiTheme="minorHAnsi" w:hAnsiTheme="minorHAnsi"/>
        </w:rPr>
      </w:pPr>
      <w:r w:rsidRPr="003C71EB">
        <w:rPr>
          <w:rFonts w:asciiTheme="minorHAnsi" w:hAnsiTheme="minorHAnsi"/>
        </w:rPr>
        <w:t>Resources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420"/>
        <w:gridCol w:w="1500"/>
        <w:gridCol w:w="1620"/>
      </w:tblGrid>
      <w:tr w:rsidR="003C71EB" w:rsidRPr="003C71EB" w14:paraId="23D3A230" w14:textId="77777777" w:rsidTr="003C71EB">
        <w:trPr>
          <w:trHeight w:val="320"/>
        </w:trPr>
        <w:tc>
          <w:tcPr>
            <w:tcW w:w="3080" w:type="dxa"/>
            <w:shd w:val="clear" w:color="auto" w:fill="auto"/>
            <w:noWrap/>
            <w:vAlign w:val="center"/>
            <w:hideMark/>
          </w:tcPr>
          <w:p w14:paraId="291212F5" w14:textId="77777777" w:rsidR="003C71EB" w:rsidRPr="003C71EB" w:rsidRDefault="003C71EB" w:rsidP="003C71EB">
            <w:pPr>
              <w:spacing w:after="0" w:line="240" w:lineRule="auto"/>
              <w:rPr>
                <w:rFonts w:asciiTheme="minorHAnsi" w:eastAsia="Times New Roman" w:hAnsiTheme="minorHAnsi" w:cs="Arial"/>
                <w:b/>
                <w:bCs/>
                <w:color w:val="000000"/>
                <w:lang w:eastAsia="en-GB"/>
              </w:rPr>
            </w:pPr>
            <w:r w:rsidRPr="003C71EB">
              <w:rPr>
                <w:rFonts w:asciiTheme="minorHAnsi" w:eastAsia="Times New Roman" w:hAnsiTheme="minorHAnsi" w:cs="Arial"/>
                <w:b/>
                <w:bCs/>
                <w:color w:val="000000"/>
                <w:lang w:eastAsia="en-GB"/>
              </w:rPr>
              <w:t>Name</w:t>
            </w:r>
          </w:p>
        </w:tc>
        <w:tc>
          <w:tcPr>
            <w:tcW w:w="3420" w:type="dxa"/>
            <w:shd w:val="clear" w:color="auto" w:fill="auto"/>
            <w:vAlign w:val="center"/>
            <w:hideMark/>
          </w:tcPr>
          <w:p w14:paraId="356E0F28" w14:textId="77777777" w:rsidR="003C71EB" w:rsidRPr="003C71EB" w:rsidRDefault="003C71EB" w:rsidP="003C71EB">
            <w:pPr>
              <w:spacing w:after="0" w:line="240" w:lineRule="auto"/>
              <w:rPr>
                <w:rFonts w:asciiTheme="minorHAnsi" w:eastAsia="Times New Roman" w:hAnsiTheme="minorHAnsi" w:cs="Arial"/>
                <w:b/>
                <w:bCs/>
                <w:color w:val="000000"/>
                <w:lang w:eastAsia="en-GB"/>
              </w:rPr>
            </w:pPr>
            <w:r w:rsidRPr="003C71EB">
              <w:rPr>
                <w:rFonts w:asciiTheme="minorHAnsi" w:eastAsia="Times New Roman" w:hAnsiTheme="minorHAnsi" w:cs="Arial"/>
                <w:b/>
                <w:bCs/>
                <w:color w:val="000000"/>
                <w:lang w:eastAsia="en-GB"/>
              </w:rPr>
              <w:t>Role/Grade</w:t>
            </w:r>
          </w:p>
        </w:tc>
        <w:tc>
          <w:tcPr>
            <w:tcW w:w="1500" w:type="dxa"/>
            <w:shd w:val="clear" w:color="auto" w:fill="auto"/>
            <w:vAlign w:val="center"/>
            <w:hideMark/>
          </w:tcPr>
          <w:p w14:paraId="5A483650" w14:textId="77777777" w:rsidR="003C71EB" w:rsidRPr="003C71EB" w:rsidRDefault="003C71EB" w:rsidP="003C71EB">
            <w:pPr>
              <w:spacing w:after="0" w:line="240" w:lineRule="auto"/>
              <w:rPr>
                <w:rFonts w:asciiTheme="minorHAnsi" w:eastAsia="Times New Roman" w:hAnsiTheme="minorHAnsi" w:cs="Arial"/>
                <w:b/>
                <w:bCs/>
                <w:color w:val="000000"/>
                <w:lang w:eastAsia="en-GB"/>
              </w:rPr>
            </w:pPr>
            <w:r w:rsidRPr="003C71EB">
              <w:rPr>
                <w:rFonts w:asciiTheme="minorHAnsi" w:eastAsia="Times New Roman" w:hAnsiTheme="minorHAnsi" w:cs="Arial"/>
                <w:b/>
                <w:bCs/>
                <w:color w:val="000000"/>
                <w:lang w:eastAsia="en-GB"/>
              </w:rPr>
              <w:t>Day Rates (£)</w:t>
            </w:r>
          </w:p>
        </w:tc>
        <w:tc>
          <w:tcPr>
            <w:tcW w:w="1620" w:type="dxa"/>
            <w:shd w:val="clear" w:color="auto" w:fill="auto"/>
            <w:noWrap/>
            <w:vAlign w:val="center"/>
            <w:hideMark/>
          </w:tcPr>
          <w:p w14:paraId="1F589187" w14:textId="67CFB433" w:rsidR="003C71EB" w:rsidRPr="003C71EB" w:rsidRDefault="003C71EB" w:rsidP="003C71EB">
            <w:pPr>
              <w:spacing w:after="0" w:line="240" w:lineRule="auto"/>
              <w:rPr>
                <w:rFonts w:asciiTheme="minorHAnsi" w:eastAsia="Times New Roman" w:hAnsiTheme="minorHAnsi" w:cs="Arial"/>
                <w:b/>
                <w:color w:val="000000"/>
                <w:lang w:eastAsia="en-GB"/>
              </w:rPr>
            </w:pPr>
            <w:r w:rsidRPr="003C71EB">
              <w:rPr>
                <w:rFonts w:asciiTheme="minorHAnsi" w:eastAsia="Times New Roman" w:hAnsiTheme="minorHAnsi" w:cs="Arial"/>
                <w:b/>
                <w:color w:val="000000"/>
                <w:lang w:eastAsia="en-GB"/>
              </w:rPr>
              <w:t>No of days</w:t>
            </w:r>
            <w:bookmarkStart w:id="20" w:name="_GoBack"/>
            <w:bookmarkEnd w:id="20"/>
          </w:p>
        </w:tc>
      </w:tr>
      <w:tr w:rsidR="003C71EB" w:rsidRPr="003C71EB" w14:paraId="136BDDCF" w14:textId="77777777" w:rsidTr="003C71EB">
        <w:trPr>
          <w:trHeight w:val="310"/>
        </w:trPr>
        <w:tc>
          <w:tcPr>
            <w:tcW w:w="3080" w:type="dxa"/>
            <w:shd w:val="clear" w:color="auto" w:fill="auto"/>
            <w:noWrap/>
            <w:vAlign w:val="bottom"/>
            <w:hideMark/>
          </w:tcPr>
          <w:p w14:paraId="0901E37B"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2880A992"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6AF60F3E"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7CB3A91E"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7C801C4D" w14:textId="77777777" w:rsidTr="003C71EB">
        <w:trPr>
          <w:trHeight w:val="310"/>
        </w:trPr>
        <w:tc>
          <w:tcPr>
            <w:tcW w:w="3080" w:type="dxa"/>
            <w:shd w:val="clear" w:color="auto" w:fill="auto"/>
            <w:noWrap/>
            <w:vAlign w:val="bottom"/>
            <w:hideMark/>
          </w:tcPr>
          <w:p w14:paraId="2C29160F"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3F3FF858"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142718F8"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3AF5A322"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1073BFF2" w14:textId="77777777" w:rsidTr="003C71EB">
        <w:trPr>
          <w:trHeight w:val="310"/>
        </w:trPr>
        <w:tc>
          <w:tcPr>
            <w:tcW w:w="3080" w:type="dxa"/>
            <w:shd w:val="clear" w:color="auto" w:fill="auto"/>
            <w:noWrap/>
            <w:vAlign w:val="bottom"/>
            <w:hideMark/>
          </w:tcPr>
          <w:p w14:paraId="59CAA4B7"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4E1DEC4D"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6CFF2E6C"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14A4C705"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3305F462" w14:textId="77777777" w:rsidTr="003C71EB">
        <w:trPr>
          <w:trHeight w:val="310"/>
        </w:trPr>
        <w:tc>
          <w:tcPr>
            <w:tcW w:w="3080" w:type="dxa"/>
            <w:shd w:val="clear" w:color="auto" w:fill="auto"/>
            <w:noWrap/>
            <w:vAlign w:val="bottom"/>
            <w:hideMark/>
          </w:tcPr>
          <w:p w14:paraId="43975213"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1F346E5C"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397A6F87"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2915590C"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71AF2EBB" w14:textId="77777777" w:rsidTr="003C71EB">
        <w:trPr>
          <w:trHeight w:val="310"/>
        </w:trPr>
        <w:tc>
          <w:tcPr>
            <w:tcW w:w="3080" w:type="dxa"/>
            <w:shd w:val="clear" w:color="auto" w:fill="auto"/>
            <w:noWrap/>
            <w:vAlign w:val="bottom"/>
            <w:hideMark/>
          </w:tcPr>
          <w:p w14:paraId="067D10F9"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0700CADF"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44737925"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1CFB59C2"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2A2E7858" w14:textId="77777777" w:rsidTr="003C71EB">
        <w:trPr>
          <w:trHeight w:val="310"/>
        </w:trPr>
        <w:tc>
          <w:tcPr>
            <w:tcW w:w="3080" w:type="dxa"/>
            <w:shd w:val="clear" w:color="auto" w:fill="auto"/>
            <w:noWrap/>
            <w:vAlign w:val="bottom"/>
            <w:hideMark/>
          </w:tcPr>
          <w:p w14:paraId="68A0B22B"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77E00DBC"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697BD7A3"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4F0C693F"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r w:rsidR="003C71EB" w:rsidRPr="003C71EB" w14:paraId="34C20A71" w14:textId="77777777" w:rsidTr="003C71EB">
        <w:trPr>
          <w:trHeight w:val="310"/>
        </w:trPr>
        <w:tc>
          <w:tcPr>
            <w:tcW w:w="3080" w:type="dxa"/>
            <w:shd w:val="clear" w:color="auto" w:fill="auto"/>
            <w:noWrap/>
            <w:vAlign w:val="bottom"/>
            <w:hideMark/>
          </w:tcPr>
          <w:p w14:paraId="53CB955E"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c>
          <w:tcPr>
            <w:tcW w:w="3420" w:type="dxa"/>
            <w:shd w:val="clear" w:color="auto" w:fill="auto"/>
            <w:hideMark/>
          </w:tcPr>
          <w:p w14:paraId="442E2957"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500" w:type="dxa"/>
            <w:shd w:val="clear" w:color="auto" w:fill="auto"/>
            <w:hideMark/>
          </w:tcPr>
          <w:p w14:paraId="39F4C18D" w14:textId="77777777" w:rsidR="003C71EB" w:rsidRPr="003C71EB" w:rsidRDefault="003C71EB" w:rsidP="003C71EB">
            <w:pPr>
              <w:spacing w:after="0" w:line="240" w:lineRule="auto"/>
              <w:jc w:val="both"/>
              <w:rPr>
                <w:rFonts w:asciiTheme="minorHAnsi" w:eastAsia="Times New Roman" w:hAnsiTheme="minorHAnsi" w:cs="Arial"/>
                <w:color w:val="000000"/>
                <w:lang w:eastAsia="en-GB"/>
              </w:rPr>
            </w:pPr>
            <w:r w:rsidRPr="003C71EB">
              <w:rPr>
                <w:rFonts w:asciiTheme="minorHAnsi" w:eastAsia="Times New Roman" w:hAnsiTheme="minorHAnsi" w:cs="Arial"/>
                <w:color w:val="000000"/>
                <w:lang w:eastAsia="en-GB"/>
              </w:rPr>
              <w:t> </w:t>
            </w:r>
          </w:p>
        </w:tc>
        <w:tc>
          <w:tcPr>
            <w:tcW w:w="1620" w:type="dxa"/>
            <w:shd w:val="clear" w:color="auto" w:fill="auto"/>
            <w:noWrap/>
            <w:vAlign w:val="bottom"/>
            <w:hideMark/>
          </w:tcPr>
          <w:p w14:paraId="7DB21AFB" w14:textId="77777777" w:rsidR="003C71EB" w:rsidRPr="003C71EB" w:rsidRDefault="003C71EB" w:rsidP="003C71EB">
            <w:pPr>
              <w:spacing w:after="0" w:line="240" w:lineRule="auto"/>
              <w:rPr>
                <w:rFonts w:asciiTheme="minorHAnsi" w:eastAsia="Times New Roman" w:hAnsiTheme="minorHAnsi" w:cs="Arial"/>
                <w:color w:val="000000"/>
                <w:sz w:val="24"/>
                <w:szCs w:val="24"/>
                <w:lang w:eastAsia="en-GB"/>
              </w:rPr>
            </w:pPr>
            <w:r w:rsidRPr="003C71EB">
              <w:rPr>
                <w:rFonts w:asciiTheme="minorHAnsi" w:eastAsia="Times New Roman" w:hAnsiTheme="minorHAnsi" w:cs="Arial"/>
                <w:color w:val="000000"/>
                <w:sz w:val="24"/>
                <w:szCs w:val="24"/>
                <w:lang w:eastAsia="en-GB"/>
              </w:rPr>
              <w:t> </w:t>
            </w:r>
          </w:p>
        </w:tc>
      </w:tr>
    </w:tbl>
    <w:p w14:paraId="2F41837C" w14:textId="3EF945D8" w:rsidR="001C3F31" w:rsidRPr="003C71EB" w:rsidRDefault="001C3F31" w:rsidP="001C3F31">
      <w:pPr>
        <w:rPr>
          <w:rFonts w:asciiTheme="minorHAnsi" w:hAnsiTheme="minorHAnsi"/>
        </w:rPr>
      </w:pPr>
    </w:p>
    <w:p w14:paraId="7BF933A7" w14:textId="21F631A5" w:rsidR="001C3F31" w:rsidRPr="003C71EB" w:rsidRDefault="003C71EB" w:rsidP="001C3F31">
      <w:pPr>
        <w:rPr>
          <w:rFonts w:asciiTheme="minorHAnsi" w:hAnsiTheme="minorHAnsi"/>
        </w:rPr>
      </w:pPr>
      <w:r w:rsidRPr="003C71EB">
        <w:rPr>
          <w:rFonts w:asciiTheme="minorHAnsi" w:hAnsiTheme="minorHAnsi"/>
        </w:rPr>
        <w:t>Any additional consumables, equipment or third party costs</w:t>
      </w:r>
    </w:p>
    <w:tbl>
      <w:tblPr>
        <w:tblStyle w:val="TableGrid"/>
        <w:tblW w:w="0" w:type="auto"/>
        <w:tblLook w:val="04A0" w:firstRow="1" w:lastRow="0" w:firstColumn="1" w:lastColumn="0" w:noHBand="0" w:noVBand="1"/>
      </w:tblPr>
      <w:tblGrid>
        <w:gridCol w:w="4390"/>
        <w:gridCol w:w="1842"/>
      </w:tblGrid>
      <w:tr w:rsidR="003C71EB" w:rsidRPr="002E2D7C" w14:paraId="5623475E" w14:textId="77777777" w:rsidTr="002E2D7C">
        <w:tc>
          <w:tcPr>
            <w:tcW w:w="4390" w:type="dxa"/>
          </w:tcPr>
          <w:p w14:paraId="1A02255C" w14:textId="03C76C17" w:rsidR="003C71EB" w:rsidRPr="002E2D7C" w:rsidRDefault="003C71EB" w:rsidP="001C3F31">
            <w:pPr>
              <w:rPr>
                <w:rFonts w:asciiTheme="minorHAnsi" w:hAnsiTheme="minorHAnsi"/>
                <w:b/>
              </w:rPr>
            </w:pPr>
            <w:r w:rsidRPr="002E2D7C">
              <w:rPr>
                <w:rFonts w:asciiTheme="minorHAnsi" w:hAnsiTheme="minorHAnsi"/>
                <w:b/>
              </w:rPr>
              <w:t>Requirement</w:t>
            </w:r>
          </w:p>
        </w:tc>
        <w:tc>
          <w:tcPr>
            <w:tcW w:w="1842" w:type="dxa"/>
          </w:tcPr>
          <w:p w14:paraId="5F5FEEA5" w14:textId="42654404" w:rsidR="003C71EB" w:rsidRPr="002E2D7C" w:rsidRDefault="003C71EB" w:rsidP="001C3F31">
            <w:pPr>
              <w:rPr>
                <w:rFonts w:asciiTheme="minorHAnsi" w:hAnsiTheme="minorHAnsi"/>
                <w:b/>
              </w:rPr>
            </w:pPr>
            <w:r w:rsidRPr="002E2D7C">
              <w:rPr>
                <w:rFonts w:asciiTheme="minorHAnsi" w:hAnsiTheme="minorHAnsi"/>
                <w:b/>
              </w:rPr>
              <w:t>Cost (£)</w:t>
            </w:r>
          </w:p>
        </w:tc>
      </w:tr>
      <w:tr w:rsidR="003C71EB" w:rsidRPr="002E2D7C" w14:paraId="2015F575" w14:textId="77777777" w:rsidTr="002E2D7C">
        <w:tc>
          <w:tcPr>
            <w:tcW w:w="4390" w:type="dxa"/>
          </w:tcPr>
          <w:p w14:paraId="2275B332" w14:textId="77777777" w:rsidR="003C71EB" w:rsidRPr="002E2D7C" w:rsidRDefault="003C71EB" w:rsidP="001C3F31">
            <w:pPr>
              <w:rPr>
                <w:rFonts w:asciiTheme="minorHAnsi" w:hAnsiTheme="minorHAnsi"/>
              </w:rPr>
            </w:pPr>
          </w:p>
        </w:tc>
        <w:tc>
          <w:tcPr>
            <w:tcW w:w="1842" w:type="dxa"/>
          </w:tcPr>
          <w:p w14:paraId="18685B09" w14:textId="77777777" w:rsidR="003C71EB" w:rsidRPr="002E2D7C" w:rsidRDefault="003C71EB" w:rsidP="001C3F31">
            <w:pPr>
              <w:rPr>
                <w:rFonts w:asciiTheme="minorHAnsi" w:hAnsiTheme="minorHAnsi"/>
              </w:rPr>
            </w:pPr>
          </w:p>
        </w:tc>
      </w:tr>
      <w:tr w:rsidR="003C71EB" w:rsidRPr="002E2D7C" w14:paraId="076E5729" w14:textId="77777777" w:rsidTr="002E2D7C">
        <w:tc>
          <w:tcPr>
            <w:tcW w:w="4390" w:type="dxa"/>
          </w:tcPr>
          <w:p w14:paraId="057643E0" w14:textId="77777777" w:rsidR="003C71EB" w:rsidRPr="002E2D7C" w:rsidRDefault="003C71EB" w:rsidP="001C3F31">
            <w:pPr>
              <w:rPr>
                <w:rFonts w:asciiTheme="minorHAnsi" w:hAnsiTheme="minorHAnsi"/>
              </w:rPr>
            </w:pPr>
          </w:p>
        </w:tc>
        <w:tc>
          <w:tcPr>
            <w:tcW w:w="1842" w:type="dxa"/>
          </w:tcPr>
          <w:p w14:paraId="2516AEF6" w14:textId="77777777" w:rsidR="003C71EB" w:rsidRPr="002E2D7C" w:rsidRDefault="003C71EB" w:rsidP="001C3F31">
            <w:pPr>
              <w:rPr>
                <w:rFonts w:asciiTheme="minorHAnsi" w:hAnsiTheme="minorHAnsi"/>
              </w:rPr>
            </w:pPr>
          </w:p>
        </w:tc>
      </w:tr>
      <w:tr w:rsidR="003C71EB" w:rsidRPr="002E2D7C" w14:paraId="7396C7FE" w14:textId="77777777" w:rsidTr="002E2D7C">
        <w:tc>
          <w:tcPr>
            <w:tcW w:w="4390" w:type="dxa"/>
          </w:tcPr>
          <w:p w14:paraId="2F127A91" w14:textId="77777777" w:rsidR="003C71EB" w:rsidRPr="002E2D7C" w:rsidRDefault="003C71EB" w:rsidP="001C3F31">
            <w:pPr>
              <w:rPr>
                <w:rFonts w:asciiTheme="minorHAnsi" w:hAnsiTheme="minorHAnsi"/>
              </w:rPr>
            </w:pPr>
          </w:p>
        </w:tc>
        <w:tc>
          <w:tcPr>
            <w:tcW w:w="1842" w:type="dxa"/>
          </w:tcPr>
          <w:p w14:paraId="72F4C8C4" w14:textId="77777777" w:rsidR="003C71EB" w:rsidRPr="002E2D7C" w:rsidRDefault="003C71EB" w:rsidP="001C3F31">
            <w:pPr>
              <w:rPr>
                <w:rFonts w:asciiTheme="minorHAnsi" w:hAnsiTheme="minorHAnsi"/>
              </w:rPr>
            </w:pPr>
          </w:p>
        </w:tc>
      </w:tr>
    </w:tbl>
    <w:p w14:paraId="2DECD669" w14:textId="0EDB42D6" w:rsidR="003C71EB" w:rsidRPr="002E2D7C" w:rsidRDefault="003C71EB" w:rsidP="001C3F31">
      <w:pPr>
        <w:rPr>
          <w:rFonts w:asciiTheme="minorHAnsi" w:hAnsiTheme="minorHAnsi"/>
        </w:rPr>
      </w:pPr>
    </w:p>
    <w:p w14:paraId="0C9FD254" w14:textId="4FF27514" w:rsidR="002E2D7C" w:rsidRPr="002E2D7C" w:rsidRDefault="002E2D7C" w:rsidP="001C3F31">
      <w:pPr>
        <w:rPr>
          <w:rFonts w:asciiTheme="minorHAnsi" w:hAnsiTheme="minorHAnsi"/>
        </w:rPr>
      </w:pPr>
      <w:r w:rsidRPr="002E2D7C">
        <w:rPr>
          <w:rFonts w:asciiTheme="minorHAnsi" w:hAnsiTheme="minorHAnsi"/>
        </w:rPr>
        <w:t>Please provide a sum of the above</w:t>
      </w:r>
    </w:p>
    <w:tbl>
      <w:tblPr>
        <w:tblStyle w:val="TableGrid"/>
        <w:tblW w:w="0" w:type="auto"/>
        <w:tblLook w:val="04A0" w:firstRow="1" w:lastRow="0" w:firstColumn="1" w:lastColumn="0" w:noHBand="0" w:noVBand="1"/>
      </w:tblPr>
      <w:tblGrid>
        <w:gridCol w:w="4390"/>
        <w:gridCol w:w="1842"/>
      </w:tblGrid>
      <w:tr w:rsidR="002E2D7C" w:rsidRPr="002E2D7C" w14:paraId="794F7FFF" w14:textId="77777777" w:rsidTr="002E2D7C">
        <w:tc>
          <w:tcPr>
            <w:tcW w:w="4390" w:type="dxa"/>
          </w:tcPr>
          <w:p w14:paraId="0FE20547" w14:textId="6D1D52F2" w:rsidR="002E2D7C" w:rsidRPr="002E2D7C" w:rsidRDefault="002E2D7C" w:rsidP="001C3F31">
            <w:pPr>
              <w:rPr>
                <w:rFonts w:asciiTheme="minorHAnsi" w:hAnsiTheme="minorHAnsi"/>
              </w:rPr>
            </w:pPr>
            <w:r w:rsidRPr="002E2D7C">
              <w:rPr>
                <w:rFonts w:asciiTheme="minorHAnsi" w:hAnsiTheme="minorHAnsi"/>
              </w:rPr>
              <w:t>TOTAL CONTRACT VALUE</w:t>
            </w:r>
          </w:p>
        </w:tc>
        <w:tc>
          <w:tcPr>
            <w:tcW w:w="1842" w:type="dxa"/>
            <w:shd w:val="clear" w:color="auto" w:fill="FFFF00"/>
          </w:tcPr>
          <w:p w14:paraId="6CF11F6D" w14:textId="7B4EECB1" w:rsidR="002E2D7C" w:rsidRPr="002E2D7C" w:rsidRDefault="002E2D7C" w:rsidP="001C3F31">
            <w:pPr>
              <w:rPr>
                <w:rFonts w:asciiTheme="minorHAnsi" w:hAnsiTheme="minorHAnsi"/>
              </w:rPr>
            </w:pPr>
            <w:r>
              <w:rPr>
                <w:rFonts w:asciiTheme="minorHAnsi" w:hAnsiTheme="minorHAnsi"/>
              </w:rPr>
              <w:t>£</w:t>
            </w:r>
          </w:p>
        </w:tc>
      </w:tr>
    </w:tbl>
    <w:p w14:paraId="1CB134E5" w14:textId="052CA873" w:rsidR="001C3F31" w:rsidRPr="002E2D7C" w:rsidRDefault="001C3F31" w:rsidP="001C3F31">
      <w:pPr>
        <w:rPr>
          <w:rFonts w:asciiTheme="minorHAnsi" w:hAnsiTheme="minorHAnsi"/>
        </w:rPr>
      </w:pPr>
    </w:p>
    <w:p w14:paraId="1D46E5F2" w14:textId="1941B3F4" w:rsidR="002E2D7C" w:rsidRPr="002E2D7C" w:rsidRDefault="002E2D7C" w:rsidP="001C3F31">
      <w:pPr>
        <w:rPr>
          <w:rFonts w:asciiTheme="minorHAnsi" w:hAnsiTheme="minorHAnsi"/>
        </w:rPr>
      </w:pPr>
      <w:r w:rsidRPr="002E2D7C">
        <w:rPr>
          <w:rFonts w:asciiTheme="minorHAnsi" w:hAnsiTheme="minorHAnsi"/>
        </w:rPr>
        <w:t xml:space="preserve">The value in the highlighted box shall be the sum assessed against the evaluation criteria in section </w:t>
      </w:r>
      <w:r>
        <w:rPr>
          <w:rFonts w:asciiTheme="minorHAnsi" w:hAnsiTheme="minorHAnsi"/>
        </w:rPr>
        <w:t>5.4 of the ITT guidance notes</w:t>
      </w:r>
    </w:p>
    <w:p w14:paraId="3902337E" w14:textId="1030EC6E" w:rsidR="001C3F31" w:rsidRDefault="001C3F31" w:rsidP="001C3F31"/>
    <w:p w14:paraId="3FEAFE8B" w14:textId="55113AA5" w:rsidR="001C3F31" w:rsidRDefault="001C3F31" w:rsidP="001C3F31"/>
    <w:p w14:paraId="1103A449" w14:textId="21FA30CE" w:rsidR="001C3F31" w:rsidRDefault="001C3F31" w:rsidP="001C3F31"/>
    <w:p w14:paraId="162F107A" w14:textId="14E7A4C9" w:rsidR="001C3F31" w:rsidRDefault="001C3F31" w:rsidP="001C3F31"/>
    <w:p w14:paraId="15A97B07" w14:textId="609DA9A3" w:rsidR="001C3F31" w:rsidRDefault="001C3F31" w:rsidP="001C3F31"/>
    <w:p w14:paraId="1B81B57F" w14:textId="69066159" w:rsidR="001C3F31" w:rsidRDefault="001C3F31" w:rsidP="001C3F31"/>
    <w:p w14:paraId="34D18380" w14:textId="208A4755" w:rsidR="001C3F31" w:rsidRDefault="001C3F31" w:rsidP="001C3F31"/>
    <w:p w14:paraId="73DF5726" w14:textId="018F205D" w:rsidR="001C3F31" w:rsidRDefault="001C3F31" w:rsidP="001C3F31"/>
    <w:p w14:paraId="6AD93D57" w14:textId="00FC0A7B" w:rsidR="001C3F31" w:rsidRDefault="001C3F31" w:rsidP="001C3F31"/>
    <w:p w14:paraId="602AB47F" w14:textId="3DF139B5" w:rsidR="001C3F31" w:rsidRDefault="001C3F31" w:rsidP="001C3F31"/>
    <w:p w14:paraId="6A3F9C4F" w14:textId="3F595575" w:rsidR="001C3F31" w:rsidRDefault="001C3F31" w:rsidP="001C3F31"/>
    <w:p w14:paraId="76C0F0B5" w14:textId="59AAD18A" w:rsidR="001C3F31" w:rsidRDefault="00CA1B0F" w:rsidP="001C3F31">
      <w:pPr>
        <w:pStyle w:val="Heading10"/>
      </w:pPr>
      <w:bookmarkStart w:id="21" w:name="_Toc459026827"/>
      <w:r>
        <w:lastRenderedPageBreak/>
        <w:t>A</w:t>
      </w:r>
      <w:r w:rsidR="002E2D7C">
        <w:t>ppendix H</w:t>
      </w:r>
      <w:r w:rsidR="001C3F31" w:rsidRPr="001C3F31">
        <w:t xml:space="preserve">: Draft Contract (see separate </w:t>
      </w:r>
      <w:r w:rsidR="00075A94">
        <w:t>document</w:t>
      </w:r>
      <w:r w:rsidR="001C3F31" w:rsidRPr="001C3F31">
        <w:t>)</w:t>
      </w:r>
      <w:bookmarkEnd w:id="21"/>
    </w:p>
    <w:p w14:paraId="6633B61D" w14:textId="707CDF8A" w:rsidR="007F7CCC" w:rsidRDefault="007F7CCC" w:rsidP="007F7CCC"/>
    <w:sectPr w:rsidR="007F7CCC" w:rsidSect="00706CE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03EE" w14:textId="77777777" w:rsidR="00E31321" w:rsidRDefault="00E31321">
      <w:pPr>
        <w:spacing w:after="0" w:line="240" w:lineRule="auto"/>
      </w:pPr>
      <w:r>
        <w:separator/>
      </w:r>
    </w:p>
  </w:endnote>
  <w:endnote w:type="continuationSeparator" w:id="0">
    <w:p w14:paraId="230CE906" w14:textId="77777777" w:rsidR="00E31321" w:rsidRDefault="00E3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0E22F2F3" w:rsidR="007A72A2" w:rsidRDefault="00A07800" w:rsidP="00674166">
    <w:pPr>
      <w:pStyle w:val="FooterRight"/>
    </w:pPr>
    <w:r>
      <w:fldChar w:fldCharType="begin"/>
    </w:r>
    <w:r>
      <w:instrText xml:space="preserve"> PAGE   \* MERGEFORMAT </w:instrText>
    </w:r>
    <w:r>
      <w:fldChar w:fldCharType="separate"/>
    </w:r>
    <w:r w:rsidR="0069676E">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B555F" w14:textId="77777777" w:rsidR="00E31321" w:rsidRDefault="00E31321">
      <w:pPr>
        <w:spacing w:after="0" w:line="240" w:lineRule="auto"/>
      </w:pPr>
      <w:r>
        <w:separator/>
      </w:r>
    </w:p>
  </w:footnote>
  <w:footnote w:type="continuationSeparator" w:id="0">
    <w:p w14:paraId="67636FE7" w14:textId="77777777" w:rsidR="00E31321" w:rsidRDefault="00E3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18A"/>
    <w:multiLevelType w:val="hybridMultilevel"/>
    <w:tmpl w:val="953CC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DB588C"/>
    <w:multiLevelType w:val="hybridMultilevel"/>
    <w:tmpl w:val="54360532"/>
    <w:lvl w:ilvl="0" w:tplc="0809000F">
      <w:start w:val="1"/>
      <w:numFmt w:val="decimal"/>
      <w:lvlText w:val="%1."/>
      <w:lvlJc w:val="left"/>
      <w:pPr>
        <w:ind w:left="928"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C3F31"/>
    <w:rsid w:val="002E2D7C"/>
    <w:rsid w:val="0039299B"/>
    <w:rsid w:val="003B607A"/>
    <w:rsid w:val="003C128F"/>
    <w:rsid w:val="003C71EB"/>
    <w:rsid w:val="003D58D9"/>
    <w:rsid w:val="00413433"/>
    <w:rsid w:val="00491146"/>
    <w:rsid w:val="004D21BF"/>
    <w:rsid w:val="005426EE"/>
    <w:rsid w:val="0069676E"/>
    <w:rsid w:val="007312A0"/>
    <w:rsid w:val="00767EB8"/>
    <w:rsid w:val="007758C1"/>
    <w:rsid w:val="007D0593"/>
    <w:rsid w:val="007F7CCC"/>
    <w:rsid w:val="00815E12"/>
    <w:rsid w:val="0088086A"/>
    <w:rsid w:val="00896DE1"/>
    <w:rsid w:val="008D3CCA"/>
    <w:rsid w:val="008E6BC8"/>
    <w:rsid w:val="00915FE2"/>
    <w:rsid w:val="009F5AC3"/>
    <w:rsid w:val="00A07800"/>
    <w:rsid w:val="00A752EE"/>
    <w:rsid w:val="00CA1B0F"/>
    <w:rsid w:val="00CA5C2E"/>
    <w:rsid w:val="00D83E1F"/>
    <w:rsid w:val="00E31321"/>
    <w:rsid w:val="00E523C4"/>
    <w:rsid w:val="00E550C0"/>
    <w:rsid w:val="00E7761B"/>
    <w:rsid w:val="00EA03B6"/>
    <w:rsid w:val="00EA0ED4"/>
    <w:rsid w:val="00F01548"/>
    <w:rsid w:val="00F14337"/>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qFormat/>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semiHidden/>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semiHidden/>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aliases w:val="Header Table Grid"/>
    <w:basedOn w:val="TableNormal"/>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customStyle="1" w:styleId="TableText">
    <w:name w:val="TableText"/>
    <w:uiPriority w:val="99"/>
    <w:rsid w:val="003C71EB"/>
    <w:pPr>
      <w:spacing w:before="40" w:after="40" w:line="260" w:lineRule="exact"/>
      <w:ind w:left="113"/>
    </w:pPr>
    <w:rPr>
      <w:rFonts w:ascii="Arial" w:eastAsia="Times New Roman" w:hAnsi="Arial" w:cs="Times New Roman"/>
      <w:szCs w:val="20"/>
    </w:rPr>
  </w:style>
  <w:style w:type="paragraph" w:customStyle="1" w:styleId="BodyIndent1">
    <w:name w:val="BodyIndent1"/>
    <w:basedOn w:val="Body"/>
    <w:next w:val="Body"/>
    <w:qFormat/>
    <w:rsid w:val="003C71EB"/>
    <w:pPr>
      <w:ind w:left="227"/>
    </w:pPr>
  </w:style>
  <w:style w:type="paragraph" w:customStyle="1" w:styleId="TableTextBold">
    <w:name w:val="TableTextBold"/>
    <w:uiPriority w:val="99"/>
    <w:rsid w:val="003C71EB"/>
    <w:pPr>
      <w:spacing w:before="40" w:after="40" w:line="260" w:lineRule="exact"/>
    </w:pPr>
    <w:rPr>
      <w:rFonts w:ascii="Arial" w:eastAsia="Arial" w:hAnsi="Arial" w:cs="Arial"/>
      <w:b/>
      <w:bCs/>
      <w:kern w:val="28"/>
      <w:sz w:val="20"/>
      <w:szCs w:val="32"/>
      <w:lang w:eastAsia="en-GB"/>
    </w:rPr>
  </w:style>
  <w:style w:type="paragraph" w:styleId="ListParagraph">
    <w:name w:val="List Paragraph"/>
    <w:basedOn w:val="Normal"/>
    <w:uiPriority w:val="34"/>
    <w:qFormat/>
    <w:rsid w:val="003C71EB"/>
    <w:pPr>
      <w:spacing w:after="0" w:line="240" w:lineRule="auto"/>
      <w:ind w:left="720"/>
      <w:contextualSpacing/>
    </w:pPr>
    <w:rPr>
      <w:rFonts w:eastAsia="Times New Roman" w:cs="Times New Roman"/>
      <w:sz w:val="24"/>
      <w:szCs w:val="24"/>
    </w:rPr>
  </w:style>
  <w:style w:type="paragraph" w:styleId="NormalWeb">
    <w:name w:val="Normal (Web)"/>
    <w:basedOn w:val="Normal"/>
    <w:uiPriority w:val="99"/>
    <w:semiHidden/>
    <w:unhideWhenUsed/>
    <w:rsid w:val="003C71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4948">
      <w:bodyDiv w:val="1"/>
      <w:marLeft w:val="0"/>
      <w:marRight w:val="0"/>
      <w:marTop w:val="0"/>
      <w:marBottom w:val="0"/>
      <w:divBdr>
        <w:top w:val="none" w:sz="0" w:space="0" w:color="auto"/>
        <w:left w:val="none" w:sz="0" w:space="0" w:color="auto"/>
        <w:bottom w:val="none" w:sz="0" w:space="0" w:color="auto"/>
        <w:right w:val="none" w:sz="0" w:space="0" w:color="auto"/>
      </w:divBdr>
    </w:div>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3.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4.xml><?xml version="1.0" encoding="utf-8"?>
<ds:datastoreItem xmlns:ds="http://schemas.openxmlformats.org/officeDocument/2006/customXml" ds:itemID="{C977E134-B0D1-41C0-BC99-E401B426185C}">
  <ds:schemaRefs>
    <ds:schemaRef ds:uri="http://purl.org/dc/elements/1.1/"/>
    <ds:schemaRef ds:uri="27de2167-70f8-47e2-931a-184d91a66223"/>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5D3F930-C429-4D33-91BA-77D74E68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3351</Words>
  <Characters>19101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Gemma Cuthbert</cp:lastModifiedBy>
  <cp:revision>2</cp:revision>
  <dcterms:created xsi:type="dcterms:W3CDTF">2017-04-06T13:24:00Z</dcterms:created>
  <dcterms:modified xsi:type="dcterms:W3CDTF">2017-04-06T13:24:00Z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