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E9AD3" w14:textId="65AC44DC" w:rsidR="003A05B7" w:rsidRPr="00DA7274" w:rsidRDefault="003A05B7" w:rsidP="00D45EDE">
      <w:pPr>
        <w:rPr>
          <w:b/>
          <w:bCs/>
          <w:sz w:val="24"/>
          <w:szCs w:val="24"/>
        </w:rPr>
      </w:pPr>
      <w:r w:rsidRPr="00DA7274">
        <w:rPr>
          <w:b/>
          <w:bCs/>
          <w:sz w:val="24"/>
          <w:szCs w:val="24"/>
        </w:rPr>
        <w:t>Specification for</w:t>
      </w:r>
      <w:r w:rsidR="008E0843" w:rsidRPr="00DA7274">
        <w:rPr>
          <w:b/>
          <w:bCs/>
          <w:sz w:val="24"/>
          <w:szCs w:val="24"/>
        </w:rPr>
        <w:t xml:space="preserve">: </w:t>
      </w:r>
      <w:r w:rsidR="004D02D8" w:rsidRPr="00DA7274">
        <w:rPr>
          <w:b/>
          <w:bCs/>
          <w:sz w:val="24"/>
          <w:szCs w:val="24"/>
        </w:rPr>
        <w:t xml:space="preserve">Residential </w:t>
      </w:r>
      <w:r w:rsidR="008E2ED1" w:rsidRPr="00DA7274">
        <w:rPr>
          <w:b/>
          <w:bCs/>
          <w:sz w:val="24"/>
          <w:szCs w:val="24"/>
        </w:rPr>
        <w:t>Buildings Assumptions</w:t>
      </w:r>
    </w:p>
    <w:p w14:paraId="6D16E84F" w14:textId="77777777" w:rsidR="00971DDB" w:rsidRPr="00DA7274" w:rsidRDefault="00971DDB" w:rsidP="00D45EDE">
      <w:pPr>
        <w:rPr>
          <w:b/>
          <w:bCs/>
          <w:sz w:val="24"/>
          <w:szCs w:val="24"/>
        </w:rPr>
      </w:pPr>
    </w:p>
    <w:p w14:paraId="662E3217" w14:textId="14BB355A" w:rsidR="003A05B7" w:rsidRPr="00DA7274" w:rsidRDefault="003A05B7" w:rsidP="00D45EDE">
      <w:pPr>
        <w:rPr>
          <w:b/>
          <w:bCs/>
          <w:color w:val="FF0000"/>
          <w:sz w:val="24"/>
          <w:szCs w:val="24"/>
        </w:rPr>
      </w:pPr>
      <w:r w:rsidRPr="00DA7274">
        <w:rPr>
          <w:b/>
          <w:bCs/>
          <w:sz w:val="24"/>
          <w:szCs w:val="24"/>
        </w:rPr>
        <w:t xml:space="preserve">Tender Reference Number: </w:t>
      </w:r>
      <w:r w:rsidR="00DE6B6C" w:rsidRPr="00DA7274">
        <w:rPr>
          <w:b/>
          <w:bCs/>
          <w:sz w:val="24"/>
          <w:szCs w:val="24"/>
        </w:rPr>
        <w:t xml:space="preserve"> </w:t>
      </w:r>
      <w:r w:rsidR="005A0C22">
        <w:rPr>
          <w:b/>
          <w:bCs/>
          <w:sz w:val="24"/>
          <w:szCs w:val="24"/>
        </w:rPr>
        <w:t>EH</w:t>
      </w:r>
      <w:r w:rsidR="008E2ED1" w:rsidRPr="00DA7274">
        <w:rPr>
          <w:b/>
          <w:bCs/>
          <w:sz w:val="24"/>
          <w:szCs w:val="24"/>
        </w:rPr>
        <w:t>-</w:t>
      </w:r>
      <w:r w:rsidR="005A0C22">
        <w:rPr>
          <w:b/>
          <w:bCs/>
          <w:sz w:val="24"/>
          <w:szCs w:val="24"/>
        </w:rPr>
        <w:t>0124</w:t>
      </w: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60A8E50C" w14:textId="77777777" w:rsidR="009F72F0" w:rsidRDefault="009F72F0">
      <w:pPr>
        <w:spacing w:after="200" w:line="276" w:lineRule="auto"/>
        <w:rPr>
          <w:rFonts w:eastAsia="Times New Roman" w:cs="Arial"/>
          <w:b/>
          <w:bCs/>
          <w:kern w:val="32"/>
          <w:szCs w:val="20"/>
        </w:rPr>
      </w:pPr>
      <w:r>
        <w:br w:type="page"/>
      </w:r>
    </w:p>
    <w:p w14:paraId="0A2C498B" w14:textId="2DF30F90" w:rsidR="003A05B7" w:rsidRPr="003A05B7" w:rsidRDefault="003A05B7" w:rsidP="00383916">
      <w:pPr>
        <w:pStyle w:val="Heading1"/>
        <w:numPr>
          <w:ilvl w:val="0"/>
          <w:numId w:val="0"/>
        </w:numPr>
      </w:pPr>
      <w:r w:rsidRPr="003A05B7">
        <w:lastRenderedPageBreak/>
        <w:t>Specification of Requirements</w:t>
      </w:r>
    </w:p>
    <w:p w14:paraId="78D8CE56" w14:textId="77777777" w:rsidR="009F72F0" w:rsidRDefault="009F72F0" w:rsidP="00D45EDE"/>
    <w:p w14:paraId="69C7AAEA" w14:textId="38922DC8" w:rsidR="003A05B7" w:rsidRPr="003A05B7" w:rsidRDefault="00B4717D" w:rsidP="005745F1">
      <w:pPr>
        <w:rPr>
          <w:color w:val="FF0000"/>
        </w:rPr>
      </w:pPr>
      <w:r w:rsidRPr="00E31069">
        <w:t>Specification</w:t>
      </w:r>
      <w:r w:rsidR="003A05B7" w:rsidRPr="003A05B7">
        <w:t xml:space="preserve"> for </w:t>
      </w:r>
      <w:r w:rsidR="004D02D8" w:rsidRPr="0083069F">
        <w:t xml:space="preserve">Residential </w:t>
      </w:r>
      <w:r w:rsidR="00A571D4">
        <w:t>Assumptions Dataset</w:t>
      </w:r>
    </w:p>
    <w:p w14:paraId="2BF4D589" w14:textId="69A6D239" w:rsidR="003A05B7" w:rsidRPr="003A05B7" w:rsidRDefault="003A05B7" w:rsidP="005745F1">
      <w:r w:rsidRPr="003A05B7">
        <w:t xml:space="preserve">Tender Reference Number: </w:t>
      </w:r>
      <w:r w:rsidR="005A0C22">
        <w:t>EH</w:t>
      </w:r>
      <w:r w:rsidR="00A571D4">
        <w:t>-</w:t>
      </w:r>
      <w:r w:rsidR="005A0C22">
        <w:t>0124</w:t>
      </w:r>
    </w:p>
    <w:p w14:paraId="6AB0AC47" w14:textId="222532D1" w:rsidR="003A05B7" w:rsidRPr="003A05B7" w:rsidRDefault="003A05B7" w:rsidP="005745F1">
      <w:r w:rsidRPr="003A05B7">
        <w:t xml:space="preserve">Deadline for Tender Responses: </w:t>
      </w:r>
      <w:r w:rsidR="005A0C22">
        <w:t>17:00, 9</w:t>
      </w:r>
      <w:r w:rsidR="005A0C22" w:rsidRPr="005A0C22">
        <w:rPr>
          <w:vertAlign w:val="superscript"/>
        </w:rPr>
        <w:t>th</w:t>
      </w:r>
      <w:r w:rsidR="005A0C22">
        <w:t xml:space="preserve"> February 2024</w:t>
      </w:r>
    </w:p>
    <w:p w14:paraId="165FB335" w14:textId="76F4CE9B" w:rsidR="00B04148" w:rsidRDefault="003A05B7" w:rsidP="008D3A85">
      <w:pPr>
        <w:pStyle w:val="Heading1"/>
        <w:numPr>
          <w:ilvl w:val="0"/>
          <w:numId w:val="0"/>
        </w:numPr>
      </w:pPr>
      <w:r w:rsidRPr="003A05B7">
        <w:t>Contents</w:t>
      </w:r>
    </w:p>
    <w:sdt>
      <w:sdtPr>
        <w:rPr>
          <w:b/>
          <w:bCs/>
        </w:rPr>
        <w:id w:val="1627423997"/>
        <w:docPartObj>
          <w:docPartGallery w:val="Table of Contents"/>
          <w:docPartUnique/>
        </w:docPartObj>
      </w:sdtPr>
      <w:sdtEndPr>
        <w:rPr>
          <w:b w:val="0"/>
          <w:bCs w:val="0"/>
          <w:noProof/>
        </w:rPr>
      </w:sdtEndPr>
      <w:sdtContent>
        <w:p w14:paraId="5B5659C9" w14:textId="404AF32C" w:rsidR="00D15F3A" w:rsidRPr="00D15F3A" w:rsidRDefault="00D15F3A" w:rsidP="00B04148"/>
        <w:p w14:paraId="2C37DB99" w14:textId="2BD7206E" w:rsidR="008D3A85" w:rsidRDefault="00D15F3A">
          <w:pPr>
            <w:pStyle w:val="TOC1"/>
            <w:rPr>
              <w:sz w:val="22"/>
            </w:rPr>
          </w:pPr>
          <w:r w:rsidRPr="00D15F3A">
            <w:rPr>
              <w:rFonts w:asciiTheme="majorHAnsi" w:eastAsia="Times New Roman" w:hAnsiTheme="majorHAnsi" w:cs="Times New Roman"/>
              <w:noProof w:val="0"/>
              <w:sz w:val="24"/>
              <w:szCs w:val="24"/>
            </w:rPr>
            <w:fldChar w:fldCharType="begin"/>
          </w:r>
          <w:r w:rsidRPr="00D15F3A">
            <w:rPr>
              <w:rFonts w:asciiTheme="majorHAnsi" w:hAnsiTheme="majorHAnsi"/>
            </w:rPr>
            <w:instrText xml:space="preserve"> TOC \o "1-3" \h \z \u </w:instrText>
          </w:r>
          <w:r w:rsidRPr="00D15F3A">
            <w:rPr>
              <w:rFonts w:asciiTheme="majorHAnsi" w:eastAsia="Times New Roman" w:hAnsiTheme="majorHAnsi" w:cs="Times New Roman"/>
              <w:noProof w:val="0"/>
              <w:sz w:val="24"/>
              <w:szCs w:val="24"/>
            </w:rPr>
            <w:fldChar w:fldCharType="separate"/>
          </w:r>
          <w:hyperlink w:anchor="_Toc144299450" w:history="1">
            <w:r w:rsidR="008D3A85" w:rsidRPr="002C1296">
              <w:rPr>
                <w:rStyle w:val="Hyperlink"/>
              </w:rPr>
              <w:t>1</w:t>
            </w:r>
            <w:r w:rsidR="008D3A85">
              <w:rPr>
                <w:sz w:val="22"/>
              </w:rPr>
              <w:tab/>
            </w:r>
            <w:r w:rsidR="008D3A85" w:rsidRPr="002C1296">
              <w:rPr>
                <w:rStyle w:val="Hyperlink"/>
              </w:rPr>
              <w:t>Preamble</w:t>
            </w:r>
            <w:r w:rsidR="008D3A85">
              <w:rPr>
                <w:webHidden/>
              </w:rPr>
              <w:tab/>
            </w:r>
            <w:r w:rsidR="008D3A85">
              <w:rPr>
                <w:webHidden/>
              </w:rPr>
              <w:fldChar w:fldCharType="begin"/>
            </w:r>
            <w:r w:rsidR="008D3A85">
              <w:rPr>
                <w:webHidden/>
              </w:rPr>
              <w:instrText xml:space="preserve"> PAGEREF _Toc144299450 \h </w:instrText>
            </w:r>
            <w:r w:rsidR="008D3A85">
              <w:rPr>
                <w:webHidden/>
              </w:rPr>
            </w:r>
            <w:r w:rsidR="008D3A85">
              <w:rPr>
                <w:webHidden/>
              </w:rPr>
              <w:fldChar w:fldCharType="separate"/>
            </w:r>
            <w:r w:rsidR="00E25F71">
              <w:rPr>
                <w:webHidden/>
              </w:rPr>
              <w:t>3</w:t>
            </w:r>
            <w:r w:rsidR="008D3A85">
              <w:rPr>
                <w:webHidden/>
              </w:rPr>
              <w:fldChar w:fldCharType="end"/>
            </w:r>
          </w:hyperlink>
        </w:p>
        <w:p w14:paraId="75F04363" w14:textId="41497DE0" w:rsidR="008D3A85" w:rsidRDefault="00C22BCD" w:rsidP="00AF3F74">
          <w:pPr>
            <w:pStyle w:val="TOC1"/>
          </w:pPr>
          <w:hyperlink w:anchor="_Toc144299451" w:history="1">
            <w:r w:rsidR="008D3A85" w:rsidRPr="002C1296">
              <w:rPr>
                <w:rStyle w:val="Hyperlink"/>
              </w:rPr>
              <w:t>2</w:t>
            </w:r>
            <w:r w:rsidR="008D3A85">
              <w:tab/>
            </w:r>
            <w:r w:rsidR="008D3A85" w:rsidRPr="002C1296">
              <w:rPr>
                <w:rStyle w:val="Hyperlink"/>
              </w:rPr>
              <w:t>Background</w:t>
            </w:r>
            <w:r w:rsidR="008D3A85">
              <w:rPr>
                <w:webHidden/>
              </w:rPr>
              <w:tab/>
            </w:r>
            <w:r w:rsidR="008D3A85">
              <w:rPr>
                <w:webHidden/>
              </w:rPr>
              <w:fldChar w:fldCharType="begin"/>
            </w:r>
            <w:r w:rsidR="008D3A85">
              <w:rPr>
                <w:webHidden/>
              </w:rPr>
              <w:instrText xml:space="preserve"> PAGEREF _Toc144299451 \h </w:instrText>
            </w:r>
            <w:r w:rsidR="008D3A85">
              <w:rPr>
                <w:webHidden/>
              </w:rPr>
            </w:r>
            <w:r w:rsidR="008D3A85">
              <w:rPr>
                <w:webHidden/>
              </w:rPr>
              <w:fldChar w:fldCharType="separate"/>
            </w:r>
            <w:r w:rsidR="00E25F71">
              <w:rPr>
                <w:webHidden/>
              </w:rPr>
              <w:t>3</w:t>
            </w:r>
            <w:r w:rsidR="008D3A85">
              <w:rPr>
                <w:webHidden/>
              </w:rPr>
              <w:fldChar w:fldCharType="end"/>
            </w:r>
          </w:hyperlink>
        </w:p>
        <w:p w14:paraId="1D561FC2" w14:textId="2825F8C1" w:rsidR="008D3A85" w:rsidRDefault="00C22BCD">
          <w:pPr>
            <w:pStyle w:val="TOC1"/>
            <w:rPr>
              <w:sz w:val="22"/>
            </w:rPr>
          </w:pPr>
          <w:hyperlink w:anchor="_Toc144299452" w:history="1">
            <w:r w:rsidR="008D3A85" w:rsidRPr="002C1296">
              <w:rPr>
                <w:rStyle w:val="Hyperlink"/>
              </w:rPr>
              <w:t>3</w:t>
            </w:r>
            <w:r w:rsidR="008D3A85">
              <w:rPr>
                <w:sz w:val="22"/>
              </w:rPr>
              <w:tab/>
            </w:r>
            <w:r w:rsidR="008D3A85" w:rsidRPr="002C1296">
              <w:rPr>
                <w:rStyle w:val="Hyperlink"/>
              </w:rPr>
              <w:t>Aims and Objectives</w:t>
            </w:r>
            <w:r w:rsidR="008D3A85">
              <w:rPr>
                <w:webHidden/>
              </w:rPr>
              <w:tab/>
            </w:r>
            <w:r w:rsidR="008D3A85">
              <w:rPr>
                <w:webHidden/>
              </w:rPr>
              <w:fldChar w:fldCharType="begin"/>
            </w:r>
            <w:r w:rsidR="008D3A85">
              <w:rPr>
                <w:webHidden/>
              </w:rPr>
              <w:instrText xml:space="preserve"> PAGEREF _Toc144299452 \h </w:instrText>
            </w:r>
            <w:r w:rsidR="008D3A85">
              <w:rPr>
                <w:webHidden/>
              </w:rPr>
            </w:r>
            <w:r w:rsidR="008D3A85">
              <w:rPr>
                <w:webHidden/>
              </w:rPr>
              <w:fldChar w:fldCharType="separate"/>
            </w:r>
            <w:r w:rsidR="00E25F71">
              <w:rPr>
                <w:webHidden/>
              </w:rPr>
              <w:t>3</w:t>
            </w:r>
            <w:r w:rsidR="008D3A85">
              <w:rPr>
                <w:webHidden/>
              </w:rPr>
              <w:fldChar w:fldCharType="end"/>
            </w:r>
          </w:hyperlink>
        </w:p>
        <w:p w14:paraId="0C0D1372" w14:textId="407882DA" w:rsidR="008D3A85" w:rsidRDefault="00C22BCD">
          <w:pPr>
            <w:pStyle w:val="TOC1"/>
            <w:rPr>
              <w:sz w:val="22"/>
            </w:rPr>
          </w:pPr>
          <w:hyperlink w:anchor="_Toc144299453" w:history="1">
            <w:r w:rsidR="008D3A85" w:rsidRPr="002C1296">
              <w:rPr>
                <w:rStyle w:val="Hyperlink"/>
              </w:rPr>
              <w:t>4</w:t>
            </w:r>
            <w:r w:rsidR="008D3A85">
              <w:rPr>
                <w:sz w:val="22"/>
              </w:rPr>
              <w:tab/>
            </w:r>
            <w:r w:rsidR="008D3A85" w:rsidRPr="002C1296">
              <w:rPr>
                <w:rStyle w:val="Hyperlink"/>
              </w:rPr>
              <w:t>Methodology</w:t>
            </w:r>
            <w:r w:rsidR="008D3A85">
              <w:rPr>
                <w:webHidden/>
              </w:rPr>
              <w:tab/>
            </w:r>
            <w:r w:rsidR="008D3A85">
              <w:rPr>
                <w:webHidden/>
              </w:rPr>
              <w:fldChar w:fldCharType="begin"/>
            </w:r>
            <w:r w:rsidR="008D3A85">
              <w:rPr>
                <w:webHidden/>
              </w:rPr>
              <w:instrText xml:space="preserve"> PAGEREF _Toc144299453 \h </w:instrText>
            </w:r>
            <w:r w:rsidR="008D3A85">
              <w:rPr>
                <w:webHidden/>
              </w:rPr>
            </w:r>
            <w:r w:rsidR="008D3A85">
              <w:rPr>
                <w:webHidden/>
              </w:rPr>
              <w:fldChar w:fldCharType="separate"/>
            </w:r>
            <w:r w:rsidR="00E25F71">
              <w:rPr>
                <w:webHidden/>
              </w:rPr>
              <w:t>4</w:t>
            </w:r>
            <w:r w:rsidR="008D3A85">
              <w:rPr>
                <w:webHidden/>
              </w:rPr>
              <w:fldChar w:fldCharType="end"/>
            </w:r>
          </w:hyperlink>
        </w:p>
        <w:p w14:paraId="6CAFB834" w14:textId="4E472C76" w:rsidR="008D3A85" w:rsidRDefault="00C22BCD">
          <w:pPr>
            <w:pStyle w:val="TOC1"/>
            <w:rPr>
              <w:sz w:val="22"/>
            </w:rPr>
          </w:pPr>
          <w:hyperlink w:anchor="_Toc144299454" w:history="1">
            <w:r w:rsidR="008D3A85" w:rsidRPr="002C1296">
              <w:rPr>
                <w:rStyle w:val="Hyperlink"/>
              </w:rPr>
              <w:t>5</w:t>
            </w:r>
            <w:r w:rsidR="008D3A85">
              <w:rPr>
                <w:sz w:val="22"/>
              </w:rPr>
              <w:tab/>
            </w:r>
            <w:r w:rsidR="008D3A85" w:rsidRPr="002C1296">
              <w:rPr>
                <w:rStyle w:val="Hyperlink"/>
              </w:rPr>
              <w:t>Outputs Required</w:t>
            </w:r>
            <w:r w:rsidR="008D3A85">
              <w:rPr>
                <w:webHidden/>
              </w:rPr>
              <w:tab/>
            </w:r>
            <w:r w:rsidR="008D3A85">
              <w:rPr>
                <w:webHidden/>
              </w:rPr>
              <w:fldChar w:fldCharType="begin"/>
            </w:r>
            <w:r w:rsidR="008D3A85">
              <w:rPr>
                <w:webHidden/>
              </w:rPr>
              <w:instrText xml:space="preserve"> PAGEREF _Toc144299454 \h </w:instrText>
            </w:r>
            <w:r w:rsidR="008D3A85">
              <w:rPr>
                <w:webHidden/>
              </w:rPr>
            </w:r>
            <w:r w:rsidR="008D3A85">
              <w:rPr>
                <w:webHidden/>
              </w:rPr>
              <w:fldChar w:fldCharType="separate"/>
            </w:r>
            <w:r w:rsidR="00E25F71">
              <w:rPr>
                <w:webHidden/>
              </w:rPr>
              <w:t>10</w:t>
            </w:r>
            <w:r w:rsidR="008D3A85">
              <w:rPr>
                <w:webHidden/>
              </w:rPr>
              <w:fldChar w:fldCharType="end"/>
            </w:r>
          </w:hyperlink>
        </w:p>
        <w:p w14:paraId="2C3AA125" w14:textId="54C10EEC" w:rsidR="008D3A85" w:rsidRDefault="00C22BCD">
          <w:pPr>
            <w:pStyle w:val="TOC1"/>
            <w:rPr>
              <w:sz w:val="22"/>
            </w:rPr>
          </w:pPr>
          <w:hyperlink w:anchor="_Toc144299455" w:history="1">
            <w:r w:rsidR="008D3A85" w:rsidRPr="002C1296">
              <w:rPr>
                <w:rStyle w:val="Hyperlink"/>
              </w:rPr>
              <w:t>6</w:t>
            </w:r>
            <w:r w:rsidR="008D3A85">
              <w:rPr>
                <w:sz w:val="22"/>
              </w:rPr>
              <w:tab/>
            </w:r>
            <w:r w:rsidR="008D3A85" w:rsidRPr="002C1296">
              <w:rPr>
                <w:rStyle w:val="Hyperlink"/>
              </w:rPr>
              <w:t>Ownership and Publication</w:t>
            </w:r>
            <w:r w:rsidR="008D3A85">
              <w:rPr>
                <w:webHidden/>
              </w:rPr>
              <w:tab/>
            </w:r>
            <w:r w:rsidR="008D3A85">
              <w:rPr>
                <w:webHidden/>
              </w:rPr>
              <w:fldChar w:fldCharType="begin"/>
            </w:r>
            <w:r w:rsidR="008D3A85">
              <w:rPr>
                <w:webHidden/>
              </w:rPr>
              <w:instrText xml:space="preserve"> PAGEREF _Toc144299455 \h </w:instrText>
            </w:r>
            <w:r w:rsidR="008D3A85">
              <w:rPr>
                <w:webHidden/>
              </w:rPr>
            </w:r>
            <w:r w:rsidR="008D3A85">
              <w:rPr>
                <w:webHidden/>
              </w:rPr>
              <w:fldChar w:fldCharType="separate"/>
            </w:r>
            <w:r w:rsidR="00E25F71">
              <w:rPr>
                <w:webHidden/>
              </w:rPr>
              <w:t>10</w:t>
            </w:r>
            <w:r w:rsidR="008D3A85">
              <w:rPr>
                <w:webHidden/>
              </w:rPr>
              <w:fldChar w:fldCharType="end"/>
            </w:r>
          </w:hyperlink>
        </w:p>
        <w:p w14:paraId="6044E4D4" w14:textId="2A6FBE6B" w:rsidR="008D3A85" w:rsidRDefault="00C22BCD">
          <w:pPr>
            <w:pStyle w:val="TOC1"/>
            <w:rPr>
              <w:sz w:val="22"/>
            </w:rPr>
          </w:pPr>
          <w:hyperlink w:anchor="_Toc144299456" w:history="1">
            <w:r w:rsidR="008D3A85" w:rsidRPr="002C1296">
              <w:rPr>
                <w:rStyle w:val="Hyperlink"/>
              </w:rPr>
              <w:t>7</w:t>
            </w:r>
            <w:r w:rsidR="008D3A85">
              <w:rPr>
                <w:sz w:val="22"/>
              </w:rPr>
              <w:tab/>
            </w:r>
            <w:r w:rsidR="008D3A85" w:rsidRPr="002C1296">
              <w:rPr>
                <w:rStyle w:val="Hyperlink"/>
              </w:rPr>
              <w:t>Quality Assurance</w:t>
            </w:r>
            <w:r w:rsidR="008D3A85">
              <w:rPr>
                <w:webHidden/>
              </w:rPr>
              <w:tab/>
            </w:r>
            <w:r w:rsidR="008D3A85">
              <w:rPr>
                <w:webHidden/>
              </w:rPr>
              <w:fldChar w:fldCharType="begin"/>
            </w:r>
            <w:r w:rsidR="008D3A85">
              <w:rPr>
                <w:webHidden/>
              </w:rPr>
              <w:instrText xml:space="preserve"> PAGEREF _Toc144299456 \h </w:instrText>
            </w:r>
            <w:r w:rsidR="008D3A85">
              <w:rPr>
                <w:webHidden/>
              </w:rPr>
            </w:r>
            <w:r w:rsidR="008D3A85">
              <w:rPr>
                <w:webHidden/>
              </w:rPr>
              <w:fldChar w:fldCharType="separate"/>
            </w:r>
            <w:r w:rsidR="00E25F71">
              <w:rPr>
                <w:webHidden/>
              </w:rPr>
              <w:t>10</w:t>
            </w:r>
            <w:r w:rsidR="008D3A85">
              <w:rPr>
                <w:webHidden/>
              </w:rPr>
              <w:fldChar w:fldCharType="end"/>
            </w:r>
          </w:hyperlink>
        </w:p>
        <w:p w14:paraId="4E0B716E" w14:textId="4F40364B" w:rsidR="008D3A85" w:rsidRDefault="00C22BCD">
          <w:pPr>
            <w:pStyle w:val="TOC1"/>
            <w:rPr>
              <w:sz w:val="22"/>
            </w:rPr>
          </w:pPr>
          <w:hyperlink w:anchor="_Toc144299457" w:history="1">
            <w:r w:rsidR="008D3A85" w:rsidRPr="002C1296">
              <w:rPr>
                <w:rStyle w:val="Hyperlink"/>
              </w:rPr>
              <w:t>8</w:t>
            </w:r>
            <w:r w:rsidR="008D3A85">
              <w:rPr>
                <w:sz w:val="22"/>
              </w:rPr>
              <w:tab/>
            </w:r>
            <w:r w:rsidR="008D3A85" w:rsidRPr="002C1296">
              <w:rPr>
                <w:rStyle w:val="Hyperlink"/>
              </w:rPr>
              <w:t>Timetable</w:t>
            </w:r>
            <w:r w:rsidR="008D3A85">
              <w:rPr>
                <w:webHidden/>
              </w:rPr>
              <w:tab/>
            </w:r>
            <w:r w:rsidR="008D3A85">
              <w:rPr>
                <w:webHidden/>
              </w:rPr>
              <w:fldChar w:fldCharType="begin"/>
            </w:r>
            <w:r w:rsidR="008D3A85">
              <w:rPr>
                <w:webHidden/>
              </w:rPr>
              <w:instrText xml:space="preserve"> PAGEREF _Toc144299457 \h </w:instrText>
            </w:r>
            <w:r w:rsidR="008D3A85">
              <w:rPr>
                <w:webHidden/>
              </w:rPr>
            </w:r>
            <w:r w:rsidR="008D3A85">
              <w:rPr>
                <w:webHidden/>
              </w:rPr>
              <w:fldChar w:fldCharType="separate"/>
            </w:r>
            <w:r w:rsidR="00E25F71">
              <w:rPr>
                <w:webHidden/>
              </w:rPr>
              <w:t>11</w:t>
            </w:r>
            <w:r w:rsidR="008D3A85">
              <w:rPr>
                <w:webHidden/>
              </w:rPr>
              <w:fldChar w:fldCharType="end"/>
            </w:r>
          </w:hyperlink>
        </w:p>
        <w:p w14:paraId="280B6FB0" w14:textId="6FAB73DF" w:rsidR="008D3A85" w:rsidRDefault="00C22BCD">
          <w:pPr>
            <w:pStyle w:val="TOC1"/>
            <w:rPr>
              <w:sz w:val="22"/>
            </w:rPr>
          </w:pPr>
          <w:hyperlink w:anchor="_Toc144299458" w:history="1">
            <w:r w:rsidR="008D3A85" w:rsidRPr="002C1296">
              <w:rPr>
                <w:rStyle w:val="Hyperlink"/>
              </w:rPr>
              <w:t>9</w:t>
            </w:r>
            <w:r w:rsidR="008D3A85">
              <w:rPr>
                <w:sz w:val="22"/>
              </w:rPr>
              <w:tab/>
            </w:r>
            <w:r w:rsidR="008D3A85" w:rsidRPr="002C1296">
              <w:rPr>
                <w:rStyle w:val="Hyperlink"/>
              </w:rPr>
              <w:t>Challenges</w:t>
            </w:r>
            <w:r w:rsidR="008D3A85">
              <w:rPr>
                <w:webHidden/>
              </w:rPr>
              <w:tab/>
            </w:r>
            <w:r w:rsidR="008D3A85">
              <w:rPr>
                <w:webHidden/>
              </w:rPr>
              <w:fldChar w:fldCharType="begin"/>
            </w:r>
            <w:r w:rsidR="008D3A85">
              <w:rPr>
                <w:webHidden/>
              </w:rPr>
              <w:instrText xml:space="preserve"> PAGEREF _Toc144299458 \h </w:instrText>
            </w:r>
            <w:r w:rsidR="008D3A85">
              <w:rPr>
                <w:webHidden/>
              </w:rPr>
            </w:r>
            <w:r w:rsidR="008D3A85">
              <w:rPr>
                <w:webHidden/>
              </w:rPr>
              <w:fldChar w:fldCharType="separate"/>
            </w:r>
            <w:r w:rsidR="00E25F71">
              <w:rPr>
                <w:webHidden/>
              </w:rPr>
              <w:t>11</w:t>
            </w:r>
            <w:r w:rsidR="008D3A85">
              <w:rPr>
                <w:webHidden/>
              </w:rPr>
              <w:fldChar w:fldCharType="end"/>
            </w:r>
          </w:hyperlink>
        </w:p>
        <w:p w14:paraId="59C88DE6" w14:textId="6B195397" w:rsidR="008D3A85" w:rsidRDefault="00C22BCD">
          <w:pPr>
            <w:pStyle w:val="TOC1"/>
            <w:tabs>
              <w:tab w:val="left" w:pos="660"/>
            </w:tabs>
            <w:rPr>
              <w:sz w:val="22"/>
            </w:rPr>
          </w:pPr>
          <w:hyperlink w:anchor="_Toc144299459" w:history="1">
            <w:r w:rsidR="008D3A85" w:rsidRPr="002C1296">
              <w:rPr>
                <w:rStyle w:val="Hyperlink"/>
              </w:rPr>
              <w:t>10</w:t>
            </w:r>
            <w:r w:rsidR="008D3A85">
              <w:rPr>
                <w:sz w:val="22"/>
              </w:rPr>
              <w:tab/>
            </w:r>
            <w:r w:rsidR="008D3A85" w:rsidRPr="002C1296">
              <w:rPr>
                <w:rStyle w:val="Hyperlink"/>
              </w:rPr>
              <w:t>Working Arrangements</w:t>
            </w:r>
            <w:r w:rsidR="008D3A85">
              <w:rPr>
                <w:webHidden/>
              </w:rPr>
              <w:tab/>
            </w:r>
            <w:r w:rsidR="008D3A85">
              <w:rPr>
                <w:webHidden/>
              </w:rPr>
              <w:fldChar w:fldCharType="begin"/>
            </w:r>
            <w:r w:rsidR="008D3A85">
              <w:rPr>
                <w:webHidden/>
              </w:rPr>
              <w:instrText xml:space="preserve"> PAGEREF _Toc144299459 \h </w:instrText>
            </w:r>
            <w:r w:rsidR="008D3A85">
              <w:rPr>
                <w:webHidden/>
              </w:rPr>
            </w:r>
            <w:r w:rsidR="008D3A85">
              <w:rPr>
                <w:webHidden/>
              </w:rPr>
              <w:fldChar w:fldCharType="separate"/>
            </w:r>
            <w:r w:rsidR="00E25F71">
              <w:rPr>
                <w:webHidden/>
              </w:rPr>
              <w:t>12</w:t>
            </w:r>
            <w:r w:rsidR="008D3A85">
              <w:rPr>
                <w:webHidden/>
              </w:rPr>
              <w:fldChar w:fldCharType="end"/>
            </w:r>
          </w:hyperlink>
        </w:p>
        <w:p w14:paraId="7DF89E05" w14:textId="7512F029" w:rsidR="008D3A85" w:rsidRDefault="00C22BCD">
          <w:pPr>
            <w:pStyle w:val="TOC1"/>
            <w:tabs>
              <w:tab w:val="left" w:pos="660"/>
            </w:tabs>
            <w:rPr>
              <w:sz w:val="22"/>
            </w:rPr>
          </w:pPr>
          <w:hyperlink w:anchor="_Toc144299460" w:history="1">
            <w:r w:rsidR="008D3A85" w:rsidRPr="002C1296">
              <w:rPr>
                <w:rStyle w:val="Hyperlink"/>
              </w:rPr>
              <w:t>11</w:t>
            </w:r>
            <w:r w:rsidR="008D3A85">
              <w:rPr>
                <w:sz w:val="22"/>
              </w:rPr>
              <w:tab/>
            </w:r>
            <w:r w:rsidR="008D3A85" w:rsidRPr="002C1296">
              <w:rPr>
                <w:rStyle w:val="Hyperlink"/>
              </w:rPr>
              <w:t>Skills and experience</w:t>
            </w:r>
            <w:r w:rsidR="008D3A85">
              <w:rPr>
                <w:webHidden/>
              </w:rPr>
              <w:tab/>
            </w:r>
            <w:r w:rsidR="008D3A85">
              <w:rPr>
                <w:webHidden/>
              </w:rPr>
              <w:fldChar w:fldCharType="begin"/>
            </w:r>
            <w:r w:rsidR="008D3A85">
              <w:rPr>
                <w:webHidden/>
              </w:rPr>
              <w:instrText xml:space="preserve"> PAGEREF _Toc144299460 \h </w:instrText>
            </w:r>
            <w:r w:rsidR="008D3A85">
              <w:rPr>
                <w:webHidden/>
              </w:rPr>
            </w:r>
            <w:r w:rsidR="008D3A85">
              <w:rPr>
                <w:webHidden/>
              </w:rPr>
              <w:fldChar w:fldCharType="separate"/>
            </w:r>
            <w:r w:rsidR="00E25F71">
              <w:rPr>
                <w:webHidden/>
              </w:rPr>
              <w:t>12</w:t>
            </w:r>
            <w:r w:rsidR="008D3A85">
              <w:rPr>
                <w:webHidden/>
              </w:rPr>
              <w:fldChar w:fldCharType="end"/>
            </w:r>
          </w:hyperlink>
        </w:p>
        <w:p w14:paraId="45D3347B" w14:textId="3BEB3BEF" w:rsidR="008D3A85" w:rsidRDefault="00C22BCD">
          <w:pPr>
            <w:pStyle w:val="TOC1"/>
            <w:tabs>
              <w:tab w:val="left" w:pos="660"/>
            </w:tabs>
            <w:rPr>
              <w:sz w:val="22"/>
            </w:rPr>
          </w:pPr>
          <w:hyperlink w:anchor="_Toc144299461" w:history="1">
            <w:r w:rsidR="008D3A85" w:rsidRPr="002C1296">
              <w:rPr>
                <w:rStyle w:val="Hyperlink"/>
              </w:rPr>
              <w:t>12</w:t>
            </w:r>
            <w:r w:rsidR="008D3A85">
              <w:rPr>
                <w:sz w:val="22"/>
              </w:rPr>
              <w:tab/>
            </w:r>
            <w:r w:rsidR="008D3A85" w:rsidRPr="002C1296">
              <w:rPr>
                <w:rStyle w:val="Hyperlink"/>
              </w:rPr>
              <w:t>Consortium Bids</w:t>
            </w:r>
            <w:r w:rsidR="008D3A85">
              <w:rPr>
                <w:webHidden/>
              </w:rPr>
              <w:tab/>
            </w:r>
            <w:r w:rsidR="008D3A85">
              <w:rPr>
                <w:webHidden/>
              </w:rPr>
              <w:fldChar w:fldCharType="begin"/>
            </w:r>
            <w:r w:rsidR="008D3A85">
              <w:rPr>
                <w:webHidden/>
              </w:rPr>
              <w:instrText xml:space="preserve"> PAGEREF _Toc144299461 \h </w:instrText>
            </w:r>
            <w:r w:rsidR="008D3A85">
              <w:rPr>
                <w:webHidden/>
              </w:rPr>
            </w:r>
            <w:r w:rsidR="008D3A85">
              <w:rPr>
                <w:webHidden/>
              </w:rPr>
              <w:fldChar w:fldCharType="separate"/>
            </w:r>
            <w:r w:rsidR="00E25F71">
              <w:rPr>
                <w:webHidden/>
              </w:rPr>
              <w:t>12</w:t>
            </w:r>
            <w:r w:rsidR="008D3A85">
              <w:rPr>
                <w:webHidden/>
              </w:rPr>
              <w:fldChar w:fldCharType="end"/>
            </w:r>
          </w:hyperlink>
        </w:p>
        <w:p w14:paraId="52912687" w14:textId="71D74ED7" w:rsidR="008D3A85" w:rsidRDefault="00C22BCD">
          <w:pPr>
            <w:pStyle w:val="TOC1"/>
            <w:tabs>
              <w:tab w:val="left" w:pos="660"/>
            </w:tabs>
            <w:rPr>
              <w:sz w:val="22"/>
            </w:rPr>
          </w:pPr>
          <w:hyperlink w:anchor="_Toc144299462" w:history="1">
            <w:r w:rsidR="008D3A85" w:rsidRPr="002C1296">
              <w:rPr>
                <w:rStyle w:val="Hyperlink"/>
              </w:rPr>
              <w:t>13</w:t>
            </w:r>
            <w:r w:rsidR="008D3A85">
              <w:rPr>
                <w:sz w:val="22"/>
              </w:rPr>
              <w:tab/>
            </w:r>
            <w:r w:rsidR="008D3A85" w:rsidRPr="002C1296">
              <w:rPr>
                <w:rStyle w:val="Hyperlink"/>
              </w:rPr>
              <w:t>Budget</w:t>
            </w:r>
            <w:r w:rsidR="008D3A85">
              <w:rPr>
                <w:webHidden/>
              </w:rPr>
              <w:tab/>
            </w:r>
            <w:r w:rsidR="008D3A85">
              <w:rPr>
                <w:webHidden/>
              </w:rPr>
              <w:fldChar w:fldCharType="begin"/>
            </w:r>
            <w:r w:rsidR="008D3A85">
              <w:rPr>
                <w:webHidden/>
              </w:rPr>
              <w:instrText xml:space="preserve"> PAGEREF _Toc144299462 \h </w:instrText>
            </w:r>
            <w:r w:rsidR="008D3A85">
              <w:rPr>
                <w:webHidden/>
              </w:rPr>
            </w:r>
            <w:r w:rsidR="008D3A85">
              <w:rPr>
                <w:webHidden/>
              </w:rPr>
              <w:fldChar w:fldCharType="separate"/>
            </w:r>
            <w:r w:rsidR="00E25F71">
              <w:rPr>
                <w:webHidden/>
              </w:rPr>
              <w:t>12</w:t>
            </w:r>
            <w:r w:rsidR="008D3A85">
              <w:rPr>
                <w:webHidden/>
              </w:rPr>
              <w:fldChar w:fldCharType="end"/>
            </w:r>
          </w:hyperlink>
        </w:p>
        <w:p w14:paraId="257FECB3" w14:textId="35E62793" w:rsidR="008D3A85" w:rsidRDefault="00C22BCD">
          <w:pPr>
            <w:pStyle w:val="TOC1"/>
            <w:tabs>
              <w:tab w:val="left" w:pos="660"/>
            </w:tabs>
            <w:rPr>
              <w:sz w:val="22"/>
            </w:rPr>
          </w:pPr>
          <w:hyperlink w:anchor="_Toc144299463" w:history="1">
            <w:r w:rsidR="008D3A85" w:rsidRPr="002C1296">
              <w:rPr>
                <w:rStyle w:val="Hyperlink"/>
              </w:rPr>
              <w:t>14</w:t>
            </w:r>
            <w:r w:rsidR="008D3A85">
              <w:rPr>
                <w:sz w:val="22"/>
              </w:rPr>
              <w:tab/>
            </w:r>
            <w:r w:rsidR="008D3A85" w:rsidRPr="002C1296">
              <w:rPr>
                <w:rStyle w:val="Hyperlink"/>
              </w:rPr>
              <w:t>Evaluation of Tenders</w:t>
            </w:r>
            <w:r w:rsidR="008D3A85">
              <w:rPr>
                <w:webHidden/>
              </w:rPr>
              <w:tab/>
            </w:r>
            <w:r w:rsidR="008D3A85">
              <w:rPr>
                <w:webHidden/>
              </w:rPr>
              <w:fldChar w:fldCharType="begin"/>
            </w:r>
            <w:r w:rsidR="008D3A85">
              <w:rPr>
                <w:webHidden/>
              </w:rPr>
              <w:instrText xml:space="preserve"> PAGEREF _Toc144299463 \h </w:instrText>
            </w:r>
            <w:r w:rsidR="008D3A85">
              <w:rPr>
                <w:webHidden/>
              </w:rPr>
            </w:r>
            <w:r w:rsidR="008D3A85">
              <w:rPr>
                <w:webHidden/>
              </w:rPr>
              <w:fldChar w:fldCharType="separate"/>
            </w:r>
            <w:r w:rsidR="00E25F71">
              <w:rPr>
                <w:webHidden/>
              </w:rPr>
              <w:t>13</w:t>
            </w:r>
            <w:r w:rsidR="008D3A85">
              <w:rPr>
                <w:webHidden/>
              </w:rPr>
              <w:fldChar w:fldCharType="end"/>
            </w:r>
          </w:hyperlink>
        </w:p>
        <w:p w14:paraId="1ABF6C95" w14:textId="37A858D5" w:rsidR="00D15F3A" w:rsidRDefault="00D15F3A">
          <w:r w:rsidRPr="00D15F3A">
            <w:rPr>
              <w:rFonts w:asciiTheme="majorHAnsi" w:hAnsiTheme="majorHAnsi"/>
              <w:b/>
              <w:bCs/>
              <w:noProof/>
            </w:rPr>
            <w:fldChar w:fldCharType="end"/>
          </w:r>
        </w:p>
      </w:sdtContent>
    </w:sdt>
    <w:p w14:paraId="46AFAE4D" w14:textId="77777777" w:rsidR="00D15F3A" w:rsidRPr="003A05B7" w:rsidRDefault="00D15F3A" w:rsidP="003A05B7">
      <w:pPr>
        <w:ind w:left="720" w:firstLine="720"/>
        <w:rPr>
          <w:b/>
          <w:szCs w:val="20"/>
        </w:rPr>
      </w:pPr>
    </w:p>
    <w:p w14:paraId="36A5EF3C" w14:textId="77777777" w:rsidR="003A05B7" w:rsidRPr="003A05B7" w:rsidRDefault="003A05B7" w:rsidP="00D45EDE">
      <w:pPr>
        <w:rPr>
          <w:lang w:val="en-US" w:eastAsia="ja-JP"/>
        </w:rPr>
      </w:pPr>
    </w:p>
    <w:p w14:paraId="5137A7E3" w14:textId="40EBA902" w:rsidR="003A05B7" w:rsidRDefault="003A05B7" w:rsidP="003A05B7">
      <w:pPr>
        <w:pStyle w:val="BodyText"/>
        <w:rPr>
          <w:rFonts w:cs="Arial"/>
          <w:color w:val="000000"/>
          <w:szCs w:val="20"/>
        </w:rPr>
      </w:pP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7090BA8D" w14:textId="77777777" w:rsidR="005745F1" w:rsidRDefault="005745F1">
      <w:pPr>
        <w:spacing w:after="200" w:line="276" w:lineRule="auto"/>
        <w:rPr>
          <w:rFonts w:eastAsia="Times New Roman" w:cs="Arial"/>
          <w:b/>
          <w:bCs/>
          <w:kern w:val="32"/>
          <w:szCs w:val="20"/>
        </w:rPr>
      </w:pPr>
      <w:bookmarkStart w:id="0" w:name="_Toc144299450"/>
      <w:r>
        <w:br w:type="page"/>
      </w:r>
    </w:p>
    <w:p w14:paraId="22C9591D" w14:textId="2EB8548F" w:rsidR="003A05B7" w:rsidRPr="00D63D72" w:rsidRDefault="001B1D10" w:rsidP="00907928">
      <w:pPr>
        <w:pStyle w:val="Heading1"/>
      </w:pPr>
      <w:r>
        <w:lastRenderedPageBreak/>
        <w:t>Preamble</w:t>
      </w:r>
      <w:bookmarkEnd w:id="0"/>
    </w:p>
    <w:p w14:paraId="56C11707" w14:textId="11B55026" w:rsidR="003A05B7" w:rsidRPr="00D63D72" w:rsidRDefault="00D63D72" w:rsidP="00292375">
      <w:r w:rsidRPr="00D63D72">
        <w:t xml:space="preserve">The Climate Change Committee (CCC) is an independent, statutory body established under the Climate Change Act 2008. </w:t>
      </w:r>
      <w:r w:rsidR="007E107F">
        <w:t>We</w:t>
      </w:r>
      <w:r w:rsidRPr="00D63D72">
        <w:t xml:space="preserve"> advise the UK and devolved governments on emissions targets</w:t>
      </w:r>
      <w:r w:rsidR="004C6EC3">
        <w:t>, including setting the five-yearly carbon budgets.</w:t>
      </w:r>
      <w:r w:rsidRPr="00D63D72">
        <w:t xml:space="preserve"> </w:t>
      </w:r>
      <w:r w:rsidR="004C6EC3">
        <w:t>We also</w:t>
      </w:r>
      <w:r w:rsidR="006E5439">
        <w:t xml:space="preserve"> have a duty to</w:t>
      </w:r>
      <w:r w:rsidR="004C6EC3">
        <w:t xml:space="preserve"> assess the UK and devolved governments’ </w:t>
      </w:r>
      <w:r w:rsidRPr="00D63D72">
        <w:t xml:space="preserve">progress </w:t>
      </w:r>
      <w:r w:rsidR="004C6EC3">
        <w:t>on</w:t>
      </w:r>
      <w:r w:rsidRPr="00D63D72">
        <w:t xml:space="preserve"> </w:t>
      </w:r>
      <w:r w:rsidR="004C6EC3">
        <w:t xml:space="preserve">climate goals and make reports to Parliament. This work covers both </w:t>
      </w:r>
      <w:r w:rsidRPr="00D63D72">
        <w:t>reducing greenhouse gas emissions and preparing for and adapting to the impacts of climate change.</w:t>
      </w:r>
    </w:p>
    <w:p w14:paraId="489D4427" w14:textId="014F0078" w:rsidR="003A05B7" w:rsidRPr="00880287" w:rsidRDefault="003A05B7" w:rsidP="00E960D9">
      <w:pPr>
        <w:pStyle w:val="Heading1"/>
      </w:pPr>
      <w:bookmarkStart w:id="1" w:name="_Ref357535668"/>
      <w:bookmarkStart w:id="2" w:name="_Toc381969507"/>
      <w:bookmarkStart w:id="3" w:name="_Toc405888456"/>
      <w:bookmarkStart w:id="4" w:name="_Toc144299451"/>
      <w:r w:rsidRPr="00E960D9">
        <w:t>Background</w:t>
      </w:r>
      <w:bookmarkEnd w:id="1"/>
      <w:bookmarkEnd w:id="2"/>
      <w:bookmarkEnd w:id="3"/>
      <w:bookmarkEnd w:id="4"/>
    </w:p>
    <w:p w14:paraId="40987745" w14:textId="63FFDB0E" w:rsidR="00D56913" w:rsidRDefault="00406E3E" w:rsidP="00F41190">
      <w:r>
        <w:t>We are</w:t>
      </w:r>
      <w:r w:rsidR="00961E71">
        <w:t xml:space="preserve"> currently preparing </w:t>
      </w:r>
      <w:r>
        <w:t>our</w:t>
      </w:r>
      <w:r w:rsidR="00961E71">
        <w:t xml:space="preserve"> advice for the Seventh Carbon Budget </w:t>
      </w:r>
      <w:r w:rsidR="005702A3">
        <w:t>(</w:t>
      </w:r>
      <w:r w:rsidR="00C33305">
        <w:t>CB7</w:t>
      </w:r>
      <w:r w:rsidR="005702A3">
        <w:t xml:space="preserve">) </w:t>
      </w:r>
      <w:r w:rsidR="00961E71">
        <w:t>and the Fourth Climate Change Risk Assessment</w:t>
      </w:r>
      <w:r w:rsidR="005702A3">
        <w:t xml:space="preserve"> (CCRA4)</w:t>
      </w:r>
      <w:r w:rsidR="00A74DF6">
        <w:t>, both due in 2025</w:t>
      </w:r>
      <w:r w:rsidR="00961E71">
        <w:t xml:space="preserve">. </w:t>
      </w:r>
    </w:p>
    <w:p w14:paraId="06F883A1" w14:textId="55130427" w:rsidR="00115629" w:rsidRPr="00067A85" w:rsidRDefault="00C33305" w:rsidP="005138FF">
      <w:pPr>
        <w:pStyle w:val="Bullet"/>
      </w:pPr>
      <w:r w:rsidRPr="00067A85">
        <w:t>CB7</w:t>
      </w:r>
      <w:r w:rsidR="008A4E8C" w:rsidRPr="00067A85">
        <w:t xml:space="preserve"> </w:t>
      </w:r>
      <w:r w:rsidR="00FB08D4" w:rsidRPr="00067A85">
        <w:t>will</w:t>
      </w:r>
      <w:r w:rsidR="00115629" w:rsidRPr="00067A85">
        <w:t xml:space="preserve"> set </w:t>
      </w:r>
      <w:r w:rsidR="00FC7C02" w:rsidRPr="00067A85">
        <w:t>a limit</w:t>
      </w:r>
      <w:r w:rsidR="00115629" w:rsidRPr="00067A85">
        <w:t xml:space="preserve"> </w:t>
      </w:r>
      <w:r w:rsidR="00FC7C02" w:rsidRPr="00067A85">
        <w:t>on</w:t>
      </w:r>
      <w:r w:rsidR="00115629" w:rsidRPr="00067A85">
        <w:t xml:space="preserve"> the UK’s territorial emissions over the years 2038 to 2042. Our advice will inform what that level should be; and the budget will then be voted on by Parliament to give it the force of law. </w:t>
      </w:r>
      <w:r w:rsidR="00051D95" w:rsidRPr="00067A85">
        <w:t>At the core</w:t>
      </w:r>
      <w:r w:rsidR="00775CCF" w:rsidRPr="00067A85">
        <w:t xml:space="preserve"> of our</w:t>
      </w:r>
      <w:r w:rsidR="00051D95" w:rsidRPr="00067A85">
        <w:t xml:space="preserve"> advice will be</w:t>
      </w:r>
      <w:r w:rsidR="00775CCF" w:rsidRPr="00067A85">
        <w:t xml:space="preserve"> a pathway </w:t>
      </w:r>
      <w:r w:rsidR="003D4638" w:rsidRPr="00067A85">
        <w:t xml:space="preserve">for </w:t>
      </w:r>
      <w:r w:rsidR="007E0557" w:rsidRPr="00067A85">
        <w:t xml:space="preserve">UK </w:t>
      </w:r>
      <w:r w:rsidR="003D4638" w:rsidRPr="00067A85">
        <w:t>emissions</w:t>
      </w:r>
      <w:r w:rsidR="008A1B3F">
        <w:t xml:space="preserve"> from now</w:t>
      </w:r>
      <w:r w:rsidR="003D4638" w:rsidRPr="00067A85">
        <w:t xml:space="preserve"> to 2050</w:t>
      </w:r>
      <w:r w:rsidR="00CB4936" w:rsidRPr="00067A85">
        <w:t xml:space="preserve">, based on </w:t>
      </w:r>
      <w:r w:rsidR="00DF0ADD" w:rsidRPr="00067A85">
        <w:t xml:space="preserve">modelling of realistic </w:t>
      </w:r>
      <w:r w:rsidR="00631EF3" w:rsidRPr="00067A85">
        <w:t>abatement strategies</w:t>
      </w:r>
      <w:r w:rsidR="00DF0ADD" w:rsidRPr="00067A85">
        <w:t xml:space="preserve"> across the economy.</w:t>
      </w:r>
      <w:r w:rsidR="00775CCF" w:rsidRPr="00067A85">
        <w:t xml:space="preserve"> </w:t>
      </w:r>
    </w:p>
    <w:p w14:paraId="4F83654D" w14:textId="17547712" w:rsidR="00B24363" w:rsidRPr="00CA34B9" w:rsidRDefault="005702A3" w:rsidP="005138FF">
      <w:pPr>
        <w:pStyle w:val="Bullet"/>
      </w:pPr>
      <w:r>
        <w:t>CCRA4</w:t>
      </w:r>
      <w:r w:rsidR="00115629">
        <w:t xml:space="preserve"> will </w:t>
      </w:r>
      <w:r w:rsidR="000B3860">
        <w:t xml:space="preserve">provide an update of </w:t>
      </w:r>
      <w:r w:rsidR="00115629">
        <w:t xml:space="preserve">the priority risks and opportunities for the UK as it experiences the effects of a changing climate </w:t>
      </w:r>
      <w:r w:rsidR="00891974">
        <w:t xml:space="preserve">today and </w:t>
      </w:r>
      <w:r w:rsidR="00115629">
        <w:t xml:space="preserve">in the years to come. </w:t>
      </w:r>
      <w:r w:rsidR="000B3860">
        <w:t xml:space="preserve">It will </w:t>
      </w:r>
      <w:r w:rsidR="00405F72">
        <w:t xml:space="preserve">set </w:t>
      </w:r>
      <w:r w:rsidR="000B3860">
        <w:t xml:space="preserve">out how these risks are linked across society and the benefits of actions that can be taken to reduce these risks. </w:t>
      </w:r>
      <w:r w:rsidR="00115629">
        <w:t>Our</w:t>
      </w:r>
      <w:r w:rsidR="000B3860">
        <w:t xml:space="preserve"> independent</w:t>
      </w:r>
      <w:r w:rsidR="00115629">
        <w:t xml:space="preserve"> advice </w:t>
      </w:r>
      <w:r w:rsidR="00115629" w:rsidDel="000B3860">
        <w:t xml:space="preserve">will </w:t>
      </w:r>
      <w:r w:rsidR="000B3860">
        <w:t xml:space="preserve">provide priority actions </w:t>
      </w:r>
      <w:r w:rsidR="00EB11DB">
        <w:t xml:space="preserve">for the Government and others </w:t>
      </w:r>
      <w:r w:rsidR="000B3860">
        <w:t>to build resilience in the UK.</w:t>
      </w:r>
    </w:p>
    <w:p w14:paraId="76AAFF83" w14:textId="042CB89F" w:rsidR="006B3F79" w:rsidRDefault="00CA34B9" w:rsidP="00B24363">
      <w:pPr>
        <w:rPr>
          <w:bCs/>
          <w:szCs w:val="20"/>
        </w:rPr>
      </w:pPr>
      <w:r>
        <w:rPr>
          <w:bCs/>
          <w:szCs w:val="20"/>
        </w:rPr>
        <w:t>Buildings are a</w:t>
      </w:r>
      <w:r w:rsidR="00090722">
        <w:rPr>
          <w:bCs/>
          <w:szCs w:val="20"/>
        </w:rPr>
        <w:t>n important</w:t>
      </w:r>
      <w:r>
        <w:rPr>
          <w:bCs/>
          <w:szCs w:val="20"/>
        </w:rPr>
        <w:t xml:space="preserve"> sector in both reports; they account for 17% of </w:t>
      </w:r>
      <w:r w:rsidR="003F539D">
        <w:rPr>
          <w:bCs/>
          <w:szCs w:val="20"/>
        </w:rPr>
        <w:t xml:space="preserve">direct emissions in </w:t>
      </w:r>
      <w:r>
        <w:rPr>
          <w:bCs/>
          <w:szCs w:val="20"/>
        </w:rPr>
        <w:t>the UK</w:t>
      </w:r>
      <w:r w:rsidR="001D666B">
        <w:rPr>
          <w:bCs/>
          <w:szCs w:val="20"/>
        </w:rPr>
        <w:t xml:space="preserve"> </w:t>
      </w:r>
      <w:r>
        <w:rPr>
          <w:bCs/>
          <w:szCs w:val="20"/>
        </w:rPr>
        <w:t xml:space="preserve">and face risks from a changing climate, such as flooding </w:t>
      </w:r>
      <w:r w:rsidR="003F539D">
        <w:rPr>
          <w:bCs/>
          <w:szCs w:val="20"/>
        </w:rPr>
        <w:t>and</w:t>
      </w:r>
      <w:r>
        <w:rPr>
          <w:bCs/>
          <w:szCs w:val="20"/>
        </w:rPr>
        <w:t xml:space="preserve"> overheating. </w:t>
      </w:r>
    </w:p>
    <w:p w14:paraId="6BE0C122" w14:textId="5237AD28" w:rsidR="00D20E34" w:rsidRDefault="00CA34B9" w:rsidP="00AB54C8">
      <w:pPr>
        <w:rPr>
          <w:bCs/>
          <w:szCs w:val="20"/>
        </w:rPr>
      </w:pPr>
      <w:r>
        <w:rPr>
          <w:bCs/>
          <w:szCs w:val="20"/>
        </w:rPr>
        <w:t>T</w:t>
      </w:r>
      <w:r w:rsidR="00115629">
        <w:rPr>
          <w:bCs/>
          <w:szCs w:val="20"/>
        </w:rPr>
        <w:t xml:space="preserve">o inform our </w:t>
      </w:r>
      <w:r w:rsidR="00A74DF6">
        <w:rPr>
          <w:bCs/>
          <w:szCs w:val="20"/>
        </w:rPr>
        <w:t>work</w:t>
      </w:r>
      <w:r w:rsidR="00115629">
        <w:rPr>
          <w:bCs/>
          <w:szCs w:val="20"/>
        </w:rPr>
        <w:t xml:space="preserve"> w</w:t>
      </w:r>
      <w:r w:rsidR="00961E71">
        <w:rPr>
          <w:bCs/>
          <w:szCs w:val="20"/>
        </w:rPr>
        <w:t>e</w:t>
      </w:r>
      <w:r w:rsidR="00E91276">
        <w:rPr>
          <w:bCs/>
          <w:szCs w:val="20"/>
        </w:rPr>
        <w:t xml:space="preserve"> intend to build </w:t>
      </w:r>
      <w:r w:rsidR="009B0E77">
        <w:rPr>
          <w:bCs/>
          <w:szCs w:val="20"/>
        </w:rPr>
        <w:t>models</w:t>
      </w:r>
      <w:r w:rsidR="00E91276">
        <w:rPr>
          <w:bCs/>
          <w:szCs w:val="20"/>
        </w:rPr>
        <w:t xml:space="preserve"> which </w:t>
      </w:r>
      <w:r w:rsidR="006D1A57">
        <w:rPr>
          <w:bCs/>
          <w:szCs w:val="20"/>
        </w:rPr>
        <w:t>enable</w:t>
      </w:r>
      <w:r w:rsidR="00E91276">
        <w:rPr>
          <w:bCs/>
          <w:szCs w:val="20"/>
        </w:rPr>
        <w:t xml:space="preserve"> us to </w:t>
      </w:r>
      <w:r w:rsidR="00FF0F7E">
        <w:rPr>
          <w:bCs/>
          <w:szCs w:val="20"/>
        </w:rPr>
        <w:t xml:space="preserve">generate credible pathways </w:t>
      </w:r>
      <w:r w:rsidR="002963FB">
        <w:rPr>
          <w:bCs/>
          <w:szCs w:val="20"/>
        </w:rPr>
        <w:t xml:space="preserve">for </w:t>
      </w:r>
      <w:r w:rsidR="002963FB" w:rsidRPr="00AB54C8">
        <w:t>eliminating</w:t>
      </w:r>
      <w:r w:rsidR="002963FB">
        <w:rPr>
          <w:bCs/>
          <w:szCs w:val="20"/>
        </w:rPr>
        <w:t xml:space="preserve"> emissions from homes</w:t>
      </w:r>
      <w:r w:rsidR="006D1A57">
        <w:rPr>
          <w:bCs/>
          <w:szCs w:val="20"/>
        </w:rPr>
        <w:t xml:space="preserve"> and </w:t>
      </w:r>
      <w:r w:rsidR="008B1046">
        <w:rPr>
          <w:bCs/>
          <w:szCs w:val="20"/>
        </w:rPr>
        <w:t>assess the scope for adapting homes to a changing climate.</w:t>
      </w:r>
    </w:p>
    <w:p w14:paraId="5211EF72" w14:textId="11E1B584" w:rsidR="00BB6859" w:rsidRDefault="005C5AB5" w:rsidP="00AB54C8">
      <w:r>
        <w:t xml:space="preserve">We require a </w:t>
      </w:r>
      <w:r w:rsidR="00F3062E">
        <w:t xml:space="preserve">contractor to produce the </w:t>
      </w:r>
      <w:r w:rsidR="00915235">
        <w:t xml:space="preserve">assumptions dataset to be used in these models. This dataset will be a key input into our models and will need to provide a valid representation of the costs and potential benefits of installing a range of energy efficiency and low carbon heating measures. </w:t>
      </w:r>
    </w:p>
    <w:p w14:paraId="71E6E594" w14:textId="1AC5ECB9" w:rsidR="00CA3437" w:rsidRDefault="00B9771D" w:rsidP="00CA3437">
      <w:pPr>
        <w:pStyle w:val="Heading1"/>
      </w:pPr>
      <w:bookmarkStart w:id="5" w:name="_Toc144299452"/>
      <w:r w:rsidRPr="00D63D72">
        <w:t>Aims and Objectives</w:t>
      </w:r>
      <w:bookmarkEnd w:id="5"/>
    </w:p>
    <w:p w14:paraId="239F2AFB" w14:textId="398379BB" w:rsidR="000B5118" w:rsidRDefault="000B5118" w:rsidP="000B5118">
      <w:r>
        <w:t xml:space="preserve">We require an update to our modelling assumptions that describe the </w:t>
      </w:r>
      <w:r w:rsidR="00607CD5">
        <w:t>characteristics of</w:t>
      </w:r>
      <w:r w:rsidR="00170B17">
        <w:t xml:space="preserve"> </w:t>
      </w:r>
      <w:r w:rsidR="00816843">
        <w:t xml:space="preserve">measures which may be retrofitted to homes to eliminate emissions and adapt to climate change. The dataset should include data on </w:t>
      </w:r>
      <w:r w:rsidR="00A86DAD">
        <w:t xml:space="preserve">existing fossil fuel heating systems, as well as </w:t>
      </w:r>
      <w:r>
        <w:t>energy efficiency</w:t>
      </w:r>
      <w:r w:rsidR="00816843">
        <w:t>,</w:t>
      </w:r>
      <w:r>
        <w:t xml:space="preserve"> low carbon heating</w:t>
      </w:r>
      <w:r w:rsidR="00816843">
        <w:t>, and adaptation</w:t>
      </w:r>
      <w:r>
        <w:t xml:space="preserve"> measures. </w:t>
      </w:r>
      <w:r w:rsidR="006C3209">
        <w:t>Th</w:t>
      </w:r>
      <w:r w:rsidR="00816843">
        <w:t>e</w:t>
      </w:r>
      <w:r w:rsidR="006C3209">
        <w:t xml:space="preserve"> dataset should capture the key </w:t>
      </w:r>
      <w:r w:rsidR="006C1D3A">
        <w:t>cost, performance</w:t>
      </w:r>
      <w:r w:rsidR="0062371E">
        <w:t>,</w:t>
      </w:r>
      <w:r w:rsidR="006C1D3A">
        <w:t xml:space="preserve"> and suitability data for measures</w:t>
      </w:r>
      <w:r w:rsidR="00816843">
        <w:t xml:space="preserve">. </w:t>
      </w:r>
      <w:r w:rsidR="00843C9C">
        <w:t>The dataset should cover the range of measures detailed in the methodology section</w:t>
      </w:r>
      <w:r w:rsidR="00170ABC">
        <w:t xml:space="preserve"> </w:t>
      </w:r>
      <w:r w:rsidR="00C6519B">
        <w:t xml:space="preserve">and should </w:t>
      </w:r>
      <w:r w:rsidR="005661A8">
        <w:t xml:space="preserve">quantify differing performance and costs for </w:t>
      </w:r>
      <w:r w:rsidR="00C6519B">
        <w:t>different property characteristics</w:t>
      </w:r>
      <w:r w:rsidR="005661A8">
        <w:t xml:space="preserve"> such as typology, size, and heritage status</w:t>
      </w:r>
      <w:r w:rsidR="00843C9C">
        <w:t xml:space="preserve">. </w:t>
      </w:r>
    </w:p>
    <w:p w14:paraId="0662FD7F" w14:textId="26B57095" w:rsidR="00843C9C" w:rsidRDefault="00546715" w:rsidP="000B5118">
      <w:r>
        <w:t xml:space="preserve">The </w:t>
      </w:r>
      <w:r w:rsidR="002911FA">
        <w:t xml:space="preserve">dataset </w:t>
      </w:r>
      <w:r>
        <w:t>should</w:t>
      </w:r>
      <w:r w:rsidR="002911FA">
        <w:t xml:space="preserve"> include</w:t>
      </w:r>
      <w:r w:rsidR="00002528">
        <w:t xml:space="preserve"> dat</w:t>
      </w:r>
      <w:r w:rsidR="00760B71">
        <w:t>a on</w:t>
      </w:r>
      <w:r w:rsidR="00162F58">
        <w:t>:</w:t>
      </w:r>
    </w:p>
    <w:p w14:paraId="3063F52E" w14:textId="1F0CDAE1" w:rsidR="00546715" w:rsidRDefault="00760B71" w:rsidP="005661A8">
      <w:pPr>
        <w:pStyle w:val="Bullet"/>
      </w:pPr>
      <w:r>
        <w:t>C</w:t>
      </w:r>
      <w:r w:rsidR="00162F58">
        <w:t xml:space="preserve">apital </w:t>
      </w:r>
      <w:r w:rsidR="00546715">
        <w:t>costs of measures</w:t>
      </w:r>
    </w:p>
    <w:p w14:paraId="4ED54655" w14:textId="02B36B21" w:rsidR="00162F58" w:rsidRDefault="00760B71" w:rsidP="005661A8">
      <w:pPr>
        <w:pStyle w:val="Bullet"/>
      </w:pPr>
      <w:r>
        <w:t>O</w:t>
      </w:r>
      <w:r w:rsidR="00162F58">
        <w:t>perational costs of measures</w:t>
      </w:r>
      <w:r w:rsidR="00546715">
        <w:t xml:space="preserve"> (excluding energy use or savings)</w:t>
      </w:r>
    </w:p>
    <w:p w14:paraId="4DB6AE5E" w14:textId="77777777" w:rsidR="008F12B8" w:rsidRDefault="008F12B8" w:rsidP="005661A8">
      <w:pPr>
        <w:pStyle w:val="Bullet"/>
      </w:pPr>
      <w:r>
        <w:t>Measure performance:</w:t>
      </w:r>
    </w:p>
    <w:p w14:paraId="433F8503" w14:textId="7D7589B3" w:rsidR="00F67B41" w:rsidRDefault="00EA6FC2" w:rsidP="00DA205E">
      <w:pPr>
        <w:pStyle w:val="Bullet"/>
        <w:numPr>
          <w:ilvl w:val="1"/>
          <w:numId w:val="6"/>
        </w:numPr>
      </w:pPr>
      <w:r>
        <w:t>E</w:t>
      </w:r>
      <w:r w:rsidR="00F67B41">
        <w:t xml:space="preserve">nergy savings delivered by efficiency </w:t>
      </w:r>
      <w:proofErr w:type="gramStart"/>
      <w:r w:rsidR="00F67B41">
        <w:t>measures</w:t>
      </w:r>
      <w:proofErr w:type="gramEnd"/>
    </w:p>
    <w:p w14:paraId="180CF12D" w14:textId="1FDDFC2E" w:rsidR="00162F58" w:rsidRDefault="008B266C" w:rsidP="00DA205E">
      <w:pPr>
        <w:pStyle w:val="Bullet"/>
        <w:numPr>
          <w:ilvl w:val="1"/>
          <w:numId w:val="6"/>
        </w:numPr>
      </w:pPr>
      <w:r>
        <w:t>Effic</w:t>
      </w:r>
      <w:r w:rsidR="00EA6FC2">
        <w:t xml:space="preserve">iencies and load factors </w:t>
      </w:r>
      <w:r w:rsidR="00DA205E">
        <w:t>for heating</w:t>
      </w:r>
      <w:r w:rsidR="00F67B41">
        <w:t xml:space="preserve"> technologies </w:t>
      </w:r>
      <w:r w:rsidR="00162F58">
        <w:t xml:space="preserve"> </w:t>
      </w:r>
    </w:p>
    <w:p w14:paraId="0E8BA884" w14:textId="6CE43FD9" w:rsidR="00F67B41" w:rsidRDefault="00EA6FC2" w:rsidP="00DA205E">
      <w:pPr>
        <w:pStyle w:val="Bullet"/>
        <w:numPr>
          <w:ilvl w:val="1"/>
          <w:numId w:val="6"/>
        </w:numPr>
      </w:pPr>
      <w:r>
        <w:t>T</w:t>
      </w:r>
      <w:r w:rsidR="00F67B41">
        <w:t>ypical lifetimes of measures</w:t>
      </w:r>
    </w:p>
    <w:p w14:paraId="3B23032F" w14:textId="77777777" w:rsidR="00683BBA" w:rsidRDefault="007A7514" w:rsidP="005661A8">
      <w:pPr>
        <w:pStyle w:val="Bullet"/>
      </w:pPr>
      <w:r>
        <w:t>Suitability constraints:</w:t>
      </w:r>
    </w:p>
    <w:p w14:paraId="6BB6D444" w14:textId="753CDA21" w:rsidR="00A24B15" w:rsidRDefault="00683BBA" w:rsidP="00683BBA">
      <w:pPr>
        <w:pStyle w:val="Bullet"/>
        <w:numPr>
          <w:ilvl w:val="1"/>
          <w:numId w:val="6"/>
        </w:numPr>
      </w:pPr>
      <w:r>
        <w:lastRenderedPageBreak/>
        <w:t xml:space="preserve">Limits on the </w:t>
      </w:r>
      <w:r w:rsidR="002911FA">
        <w:t xml:space="preserve">suitability of measures </w:t>
      </w:r>
      <w:r w:rsidR="002314EF">
        <w:t>to</w:t>
      </w:r>
      <w:r w:rsidR="002911FA">
        <w:t xml:space="preserve"> different property types, </w:t>
      </w:r>
    </w:p>
    <w:p w14:paraId="711609A4" w14:textId="16B6D538" w:rsidR="00F53ED2" w:rsidRDefault="00A24B15" w:rsidP="0094288D">
      <w:pPr>
        <w:pStyle w:val="Bullet"/>
        <w:numPr>
          <w:ilvl w:val="1"/>
          <w:numId w:val="6"/>
        </w:numPr>
      </w:pPr>
      <w:r>
        <w:t xml:space="preserve">Constraints </w:t>
      </w:r>
      <w:r w:rsidR="00775D8E">
        <w:t>on applying measures to heritage buildings, and any</w:t>
      </w:r>
      <w:r>
        <w:t xml:space="preserve"> </w:t>
      </w:r>
      <w:r w:rsidR="00775D8E">
        <w:t>additional costs</w:t>
      </w:r>
      <w:r w:rsidR="003B2EDE">
        <w:t xml:space="preserve"> associated </w:t>
      </w:r>
      <w:r w:rsidR="00A94223">
        <w:t>with</w:t>
      </w:r>
      <w:r w:rsidR="003B2EDE">
        <w:t xml:space="preserve"> doing so. </w:t>
      </w:r>
    </w:p>
    <w:p w14:paraId="3A9A1A5F" w14:textId="77777777" w:rsidR="00BA5B45" w:rsidRDefault="003B2EDE" w:rsidP="00D04171">
      <w:pPr>
        <w:pStyle w:val="Bullet"/>
      </w:pPr>
      <w:r>
        <w:t>Supply chain constraints</w:t>
      </w:r>
      <w:r w:rsidR="00BA5B45">
        <w:t>:</w:t>
      </w:r>
    </w:p>
    <w:p w14:paraId="326C8199" w14:textId="69FFA793" w:rsidR="00816843" w:rsidRDefault="00BA5B45" w:rsidP="0094288D">
      <w:pPr>
        <w:pStyle w:val="Bullet"/>
        <w:numPr>
          <w:ilvl w:val="1"/>
          <w:numId w:val="6"/>
        </w:numPr>
      </w:pPr>
      <w:r>
        <w:t xml:space="preserve">The </w:t>
      </w:r>
      <w:r w:rsidR="00584367">
        <w:t>changing</w:t>
      </w:r>
      <w:r>
        <w:t xml:space="preserve"> cap</w:t>
      </w:r>
      <w:r w:rsidR="00412758">
        <w:t>acity of supply chains to deliver</w:t>
      </w:r>
      <w:r w:rsidR="00584367">
        <w:t xml:space="preserve"> measures over time. </w:t>
      </w:r>
    </w:p>
    <w:p w14:paraId="29583CA0" w14:textId="6F0A9A60" w:rsidR="00CA3437" w:rsidRDefault="00F67B41" w:rsidP="0016284B">
      <w:r>
        <w:t xml:space="preserve">Further details of these requirements are provided in the methodology section below. </w:t>
      </w:r>
      <w:r w:rsidR="0016284B">
        <w:t>A full list of the measures</w:t>
      </w:r>
      <w:r w:rsidR="00423FAC">
        <w:t xml:space="preserve"> and the supplementary costs</w:t>
      </w:r>
      <w:r w:rsidR="0016284B">
        <w:t xml:space="preserve"> </w:t>
      </w:r>
      <w:r>
        <w:t>to be included is given</w:t>
      </w:r>
      <w:r w:rsidR="00D7226B">
        <w:t xml:space="preserve"> in Table</w:t>
      </w:r>
      <w:r w:rsidR="00766C0F">
        <w:t>s 1</w:t>
      </w:r>
      <w:r w:rsidR="00133E2D">
        <w:t>-4</w:t>
      </w:r>
      <w:r w:rsidR="00D7226B">
        <w:t xml:space="preserve">. A proposed </w:t>
      </w:r>
      <w:r w:rsidR="00B11416">
        <w:t>breakdown by property type is provided in Table</w:t>
      </w:r>
      <w:r w:rsidR="00133E2D">
        <w:t>s 5 and 6</w:t>
      </w:r>
      <w:r w:rsidR="00956172">
        <w:t xml:space="preserve">. </w:t>
      </w:r>
      <w:r w:rsidR="00303BC6">
        <w:t>We invite bidders to explore whether this captures sufficient variation in the application of measures, and to propose adjustments where</w:t>
      </w:r>
      <w:r w:rsidR="00A149C5">
        <w:t xml:space="preserve"> appropriate. </w:t>
      </w:r>
    </w:p>
    <w:p w14:paraId="1FA042B5" w14:textId="31654743" w:rsidR="00747CD1" w:rsidRDefault="006467AE" w:rsidP="0016284B">
      <w:r>
        <w:t xml:space="preserve">The dataset and the assumptions it </w:t>
      </w:r>
      <w:proofErr w:type="gramStart"/>
      <w:r>
        <w:t>contains</w:t>
      </w:r>
      <w:proofErr w:type="gramEnd"/>
      <w:r>
        <w:t xml:space="preserve"> should be based on the most up to date understanding of the market for energy efficiency and low carbon heating measures. </w:t>
      </w:r>
      <w:r w:rsidR="00747CD1">
        <w:t xml:space="preserve">The assumptions should be applicable for all homes within the UK, including Devolved Administrations. </w:t>
      </w:r>
    </w:p>
    <w:p w14:paraId="5146EEC4" w14:textId="209873C0" w:rsidR="00747CD1" w:rsidRPr="00CA3437" w:rsidRDefault="00F67B41" w:rsidP="0016284B">
      <w:r>
        <w:t>The data</w:t>
      </w:r>
      <w:r w:rsidR="00E318E5">
        <w:t>set</w:t>
      </w:r>
      <w:r>
        <w:t xml:space="preserve"> should be provided as a set of Excel tables, using prescribed structures</w:t>
      </w:r>
      <w:r w:rsidR="00E318E5">
        <w:t xml:space="preserve"> to enable us</w:t>
      </w:r>
      <w:r w:rsidR="009D4572">
        <w:t>e</w:t>
      </w:r>
      <w:r w:rsidR="00E318E5">
        <w:t xml:space="preserve"> as inputs into our model without further </w:t>
      </w:r>
      <w:r w:rsidR="00D02F87">
        <w:t>alteration</w:t>
      </w:r>
      <w:r w:rsidR="00E318E5">
        <w:t>. A template for these data structures will be provided by the CCC</w:t>
      </w:r>
      <w:r w:rsidR="007233FB">
        <w:t xml:space="preserve"> (a draft version can be found in Attachment </w:t>
      </w:r>
      <w:r w:rsidR="000F3759">
        <w:t>A</w:t>
      </w:r>
      <w:r w:rsidR="007233FB">
        <w:t xml:space="preserve">). </w:t>
      </w:r>
    </w:p>
    <w:p w14:paraId="7A3E4579" w14:textId="4C998598" w:rsidR="006A6DB9" w:rsidRDefault="006A6DB9" w:rsidP="00E960D9">
      <w:pPr>
        <w:pStyle w:val="Heading1"/>
      </w:pPr>
      <w:bookmarkStart w:id="6" w:name="_Toc144299453"/>
      <w:r w:rsidRPr="006758C2">
        <w:t>Methodology</w:t>
      </w:r>
      <w:bookmarkEnd w:id="6"/>
      <w:r w:rsidR="00B92AB7">
        <w:t xml:space="preserve"> and requirements</w:t>
      </w:r>
    </w:p>
    <w:p w14:paraId="7E9D684F" w14:textId="13ED2D85" w:rsidR="00747CD1" w:rsidRDefault="00747CD1" w:rsidP="00747CD1">
      <w:r>
        <w:t xml:space="preserve">Bidders should provide full details of each </w:t>
      </w:r>
      <w:r w:rsidR="00412CF2">
        <w:t>step of their proposed methodology for producing the dataset.</w:t>
      </w:r>
      <w:r w:rsidR="003E1B14">
        <w:t xml:space="preserve"> The methods which we expect to be used to generate the dataset are outlined below.</w:t>
      </w:r>
      <w:r w:rsidR="00412CF2">
        <w:t xml:space="preserve"> Bidders may suggest deviating from the below and should explain the advantages and disadvantages of doing so.</w:t>
      </w:r>
    </w:p>
    <w:p w14:paraId="40BA8661" w14:textId="6788C4DD" w:rsidR="00816843" w:rsidRDefault="00816843" w:rsidP="006174BE">
      <w:r>
        <w:t>The dataset should include data on the following categories of measures:</w:t>
      </w:r>
    </w:p>
    <w:p w14:paraId="79FA9996" w14:textId="625B6168" w:rsidR="0071599F" w:rsidRDefault="009B7569" w:rsidP="0071599F">
      <w:pPr>
        <w:pStyle w:val="Bullet"/>
      </w:pPr>
      <w:r>
        <w:t>Energy efficiency</w:t>
      </w:r>
    </w:p>
    <w:p w14:paraId="352B12BF" w14:textId="362BB007" w:rsidR="009B7569" w:rsidRDefault="009B7569" w:rsidP="0071599F">
      <w:pPr>
        <w:pStyle w:val="Bullet"/>
      </w:pPr>
      <w:r>
        <w:t>Low carbon heating</w:t>
      </w:r>
    </w:p>
    <w:p w14:paraId="546352B0" w14:textId="06D1D370" w:rsidR="009B7569" w:rsidRDefault="009B7569" w:rsidP="0071599F">
      <w:pPr>
        <w:pStyle w:val="Bullet"/>
      </w:pPr>
      <w:r>
        <w:t>Fossil fuel heating</w:t>
      </w:r>
    </w:p>
    <w:p w14:paraId="47AAE8A7" w14:textId="24C7D318" w:rsidR="009B7569" w:rsidRDefault="00B20390" w:rsidP="00133E2D">
      <w:pPr>
        <w:pStyle w:val="Bullet"/>
      </w:pPr>
      <w:r>
        <w:t>Climate change a</w:t>
      </w:r>
      <w:r w:rsidR="009B7569">
        <w:t>daptation</w:t>
      </w:r>
      <w:r w:rsidR="00CB3EF1">
        <w:t>*</w:t>
      </w:r>
    </w:p>
    <w:p w14:paraId="04342529" w14:textId="3BB8CDF5" w:rsidR="00BA24D8" w:rsidRPr="00C409EC" w:rsidRDefault="00BA24D8" w:rsidP="006174BE">
      <w:pPr>
        <w:rPr>
          <w:i/>
          <w:iCs/>
        </w:rPr>
      </w:pPr>
      <w:r w:rsidRPr="00C409EC">
        <w:rPr>
          <w:i/>
          <w:iCs/>
        </w:rPr>
        <w:t>*Bidders should provide itemised prices for these items, to give the option of including or omitting them from the contract.</w:t>
      </w:r>
    </w:p>
    <w:p w14:paraId="5E11E863" w14:textId="57AB04AA" w:rsidR="006174BE" w:rsidRDefault="00214616" w:rsidP="006174BE">
      <w:r>
        <w:t xml:space="preserve">The data should be based on the latest and </w:t>
      </w:r>
      <w:r w:rsidR="00E321A0">
        <w:t xml:space="preserve">best evidence. </w:t>
      </w:r>
      <w:r w:rsidR="006174BE">
        <w:t xml:space="preserve">All data </w:t>
      </w:r>
      <w:r w:rsidR="000E6EE1">
        <w:t>should</w:t>
      </w:r>
      <w:r w:rsidR="006174BE">
        <w:t xml:space="preserve"> be clearly referenced, and sources provided. We expect that much of the data around costs and heating system performance will come from industry </w:t>
      </w:r>
      <w:r w:rsidR="00994D36">
        <w:t>information</w:t>
      </w:r>
      <w:r w:rsidR="006174BE">
        <w:t xml:space="preserve">, whilst data around energy efficiency measure performance is likely to come from government sources. </w:t>
      </w:r>
      <w:r w:rsidR="004F13EA">
        <w:t xml:space="preserve">If there are differences between </w:t>
      </w:r>
      <w:r w:rsidR="00AC4FD8">
        <w:t xml:space="preserve">the </w:t>
      </w:r>
      <w:r w:rsidR="004F13EA">
        <w:t>data sources</w:t>
      </w:r>
      <w:r w:rsidR="00AC4FD8">
        <w:t xml:space="preserve"> used</w:t>
      </w:r>
      <w:r w:rsidR="004F13EA">
        <w:t>, a</w:t>
      </w:r>
      <w:r w:rsidR="006174BE">
        <w:t xml:space="preserve"> method should be developed to </w:t>
      </w:r>
      <w:r w:rsidR="004F13EA">
        <w:t>account for this</w:t>
      </w:r>
      <w:r w:rsidR="006174BE">
        <w:t xml:space="preserve">, resulting in a consistent set of assumptions that reflect the most up to date market understanding. </w:t>
      </w:r>
    </w:p>
    <w:p w14:paraId="249B58F7" w14:textId="42BFD8F5" w:rsidR="00B92AB7" w:rsidRDefault="00AD1B97" w:rsidP="00747CD1">
      <w:r>
        <w:t xml:space="preserve">The dataset should include </w:t>
      </w:r>
      <w:r w:rsidR="00E61025">
        <w:t xml:space="preserve">details of </w:t>
      </w:r>
      <w:r>
        <w:t>any relevant Green Book or other economic assumptions</w:t>
      </w:r>
      <w:r w:rsidR="00413850">
        <w:t>, for example inflation rates,</w:t>
      </w:r>
      <w:r>
        <w:t xml:space="preserve"> used in </w:t>
      </w:r>
      <w:r w:rsidR="00413850">
        <w:t xml:space="preserve">its </w:t>
      </w:r>
      <w:r>
        <w:t xml:space="preserve">development. </w:t>
      </w:r>
      <w:r w:rsidR="006174BE">
        <w:t xml:space="preserve">Full documentation of the methodological approach to produce the dataset </w:t>
      </w:r>
      <w:r w:rsidR="00E321A0">
        <w:t>sho</w:t>
      </w:r>
      <w:r w:rsidR="00E97A86">
        <w:t>uld be provided</w:t>
      </w:r>
      <w:r w:rsidR="006174BE">
        <w:t>, including detailed record</w:t>
      </w:r>
      <w:r w:rsidR="00E97A86">
        <w:t>s</w:t>
      </w:r>
      <w:r w:rsidR="006174BE">
        <w:t xml:space="preserve"> of all </w:t>
      </w:r>
      <w:r w:rsidR="00E97A86">
        <w:t>assumptions and calculation</w:t>
      </w:r>
      <w:r>
        <w:t>s.</w:t>
      </w:r>
      <w:r w:rsidR="006174BE">
        <w:t xml:space="preserve"> </w:t>
      </w:r>
    </w:p>
    <w:p w14:paraId="76EBD02C" w14:textId="77777777" w:rsidR="00AC4FD8" w:rsidRDefault="00AC4FD8" w:rsidP="00747CD1"/>
    <w:p w14:paraId="329883E7" w14:textId="5FBABD0E" w:rsidR="00412CF2" w:rsidRPr="00A55C6C" w:rsidRDefault="00412CF2" w:rsidP="00C7298A">
      <w:pPr>
        <w:pStyle w:val="Heading2"/>
      </w:pPr>
      <w:r w:rsidRPr="00A55C6C">
        <w:t xml:space="preserve">Capital </w:t>
      </w:r>
      <w:proofErr w:type="gramStart"/>
      <w:r w:rsidRPr="00A55C6C">
        <w:t>costs</w:t>
      </w:r>
      <w:proofErr w:type="gramEnd"/>
    </w:p>
    <w:p w14:paraId="07F5DB2F" w14:textId="30BB0C13" w:rsidR="00931B2F" w:rsidRPr="00261F98" w:rsidRDefault="007233FB" w:rsidP="00747CD1">
      <w:r>
        <w:t>Capital costs of measures should be provided</w:t>
      </w:r>
      <w:r w:rsidR="00931B2F">
        <w:t xml:space="preserve"> in </w:t>
      </w:r>
      <w:r w:rsidR="00261F98">
        <w:t>2023</w:t>
      </w:r>
      <w:r>
        <w:t xml:space="preserve"> prices.</w:t>
      </w:r>
      <w:r w:rsidR="00261F98">
        <w:t xml:space="preserve"> </w:t>
      </w:r>
      <w:r w:rsidR="00F4571B">
        <w:t>Consideration should be given to how capital costs may change over time out to 2050 (e</w:t>
      </w:r>
      <w:r w:rsidR="00C7298A">
        <w:t>.</w:t>
      </w:r>
      <w:r w:rsidR="00F4571B">
        <w:t>g</w:t>
      </w:r>
      <w:r w:rsidR="00C7298A">
        <w:t>.</w:t>
      </w:r>
      <w:r w:rsidR="00F4571B">
        <w:t xml:space="preserve"> due to reductions in technology costs or improvements in installer productivity), particularly for less mature markets</w:t>
      </w:r>
      <w:r w:rsidR="00C7298A">
        <w:t>,</w:t>
      </w:r>
      <w:r w:rsidR="00F4571B">
        <w:t xml:space="preserve"> such as those for heat pumps and batteries. For </w:t>
      </w:r>
      <w:r w:rsidR="00236341">
        <w:t>measures</w:t>
      </w:r>
      <w:r w:rsidR="00F4571B">
        <w:t xml:space="preserve"> where the capital costs are expected to change over time</w:t>
      </w:r>
      <w:r w:rsidR="00236341">
        <w:t>,</w:t>
      </w:r>
      <w:r w:rsidR="00F4571B">
        <w:t xml:space="preserve"> a time series should be provided which reflects the changes in cost at </w:t>
      </w:r>
      <w:r w:rsidR="00C7298A">
        <w:t xml:space="preserve">maximum of </w:t>
      </w:r>
      <w:r w:rsidR="00D02F87">
        <w:t>five-year</w:t>
      </w:r>
      <w:r w:rsidR="00F4571B">
        <w:t xml:space="preserve"> intervals. </w:t>
      </w:r>
    </w:p>
    <w:p w14:paraId="4C10B609" w14:textId="6C4AADAE" w:rsidR="00412CF2" w:rsidRPr="0000073E" w:rsidRDefault="0000073E" w:rsidP="00DA7274">
      <w:pPr>
        <w:pStyle w:val="Heading3"/>
      </w:pPr>
      <w:r w:rsidRPr="0000073E">
        <w:lastRenderedPageBreak/>
        <w:t>Energy efficiency measures</w:t>
      </w:r>
    </w:p>
    <w:p w14:paraId="51A4B779" w14:textId="0B795C22" w:rsidR="002563A2" w:rsidRDefault="00591DA0" w:rsidP="00327478">
      <w:r>
        <w:t>For each measure</w:t>
      </w:r>
      <w:r w:rsidR="00B92AB7">
        <w:t xml:space="preserve">, capital </w:t>
      </w:r>
      <w:r>
        <w:t>c</w:t>
      </w:r>
      <w:r w:rsidR="001A6AE4">
        <w:t xml:space="preserve">osts should be provided for each home typology and size (small, medium, large). </w:t>
      </w:r>
      <w:r>
        <w:t xml:space="preserve">These costs should include </w:t>
      </w:r>
      <w:r w:rsidR="0070163F">
        <w:t>all</w:t>
      </w:r>
      <w:r>
        <w:t xml:space="preserve"> the costs which can be attributed to installation of a single measure</w:t>
      </w:r>
      <w:r w:rsidR="00B92AB7">
        <w:t>, including materials, labour, design co</w:t>
      </w:r>
      <w:r w:rsidR="00131E96">
        <w:t>s</w:t>
      </w:r>
      <w:r w:rsidR="00B92AB7">
        <w:t>ts, and making good</w:t>
      </w:r>
      <w:r>
        <w:t xml:space="preserve">. </w:t>
      </w:r>
    </w:p>
    <w:p w14:paraId="630AB305" w14:textId="4118BBC4" w:rsidR="005B3AE0" w:rsidRDefault="00591DA0" w:rsidP="00327478">
      <w:r>
        <w:t xml:space="preserve">It should be assumed that energy efficiency measures are installed </w:t>
      </w:r>
      <w:r w:rsidR="00B92AB7">
        <w:t>simultaneously</w:t>
      </w:r>
      <w:r w:rsidR="00E77131">
        <w:t>, and thus d</w:t>
      </w:r>
      <w:r>
        <w:t>esign costs and preliminaries</w:t>
      </w:r>
      <w:r w:rsidR="00B92AB7">
        <w:t xml:space="preserve"> which can be shared across measures (such as retrofit surveys and scaffolding) should be excluded from individual measure</w:t>
      </w:r>
      <w:r w:rsidR="00701B61">
        <w:t xml:space="preserve"> costs</w:t>
      </w:r>
      <w:r w:rsidR="00347173">
        <w:t xml:space="preserve">. </w:t>
      </w:r>
      <w:r w:rsidR="00CC2F96">
        <w:t xml:space="preserve">Design costs and preliminaries that </w:t>
      </w:r>
      <w:r w:rsidR="00632D4E">
        <w:t>can be shared across measures</w:t>
      </w:r>
      <w:r w:rsidR="00327478">
        <w:t xml:space="preserve"> should be </w:t>
      </w:r>
      <w:r w:rsidR="00B92AB7">
        <w:t xml:space="preserve">listed </w:t>
      </w:r>
      <w:r w:rsidR="00FE4C14">
        <w:t>in a separate table of supplementary costs, calculated</w:t>
      </w:r>
      <w:r w:rsidR="00B92AB7">
        <w:t xml:space="preserve"> for each </w:t>
      </w:r>
      <w:r w:rsidR="00F73ED4">
        <w:t>property</w:t>
      </w:r>
      <w:r w:rsidR="00B92AB7">
        <w:t xml:space="preserve"> typology and size, so these can be applied for each archetype where the measure choices require them.</w:t>
      </w:r>
      <w:r>
        <w:t xml:space="preserve"> </w:t>
      </w:r>
    </w:p>
    <w:p w14:paraId="7F310775" w14:textId="0D67D3C7" w:rsidR="00731E8D" w:rsidRDefault="00790BE0" w:rsidP="00327478">
      <w:r>
        <w:t>Capital costs should be provided for</w:t>
      </w:r>
      <w:r w:rsidR="00731E8D">
        <w:t xml:space="preserve"> </w:t>
      </w:r>
      <w:r w:rsidR="00657F22">
        <w:t>the full range of</w:t>
      </w:r>
      <w:r w:rsidR="00731E8D">
        <w:t xml:space="preserve"> measures </w:t>
      </w:r>
      <w:r w:rsidR="00657F22">
        <w:t>detailed</w:t>
      </w:r>
      <w:r w:rsidR="00731E8D">
        <w:t xml:space="preserve"> in Table 1. </w:t>
      </w:r>
      <w:r w:rsidR="00657F22">
        <w:t>There is scope to include additional measures beyond those presented in Table 1, and bidders are invited to propose any additional measures that they think should be included.</w:t>
      </w:r>
    </w:p>
    <w:p w14:paraId="213BF173" w14:textId="4FC4F9CC" w:rsidR="00E762C4" w:rsidRPr="00D707F5" w:rsidRDefault="00E762C4" w:rsidP="00CA5308">
      <w:pPr>
        <w:pStyle w:val="Heading3"/>
      </w:pPr>
      <w:r w:rsidRPr="00D707F5">
        <w:t xml:space="preserve">Low carbon heating </w:t>
      </w:r>
      <w:r w:rsidR="00123A31" w:rsidRPr="00D707F5">
        <w:t>technologies</w:t>
      </w:r>
    </w:p>
    <w:p w14:paraId="4D8EB5AB" w14:textId="39B2FA8D" w:rsidR="002563A2" w:rsidRDefault="00FE4C14" w:rsidP="00924E33">
      <w:r>
        <w:t xml:space="preserve">Our model will calculate the required size of heating appliances for each archetype. Capital costs for heating systems should therefore be split into </w:t>
      </w:r>
      <w:r w:rsidR="00A94223">
        <w:t xml:space="preserve">a </w:t>
      </w:r>
      <w:r>
        <w:t>fixed cost</w:t>
      </w:r>
      <w:r w:rsidR="00A94223">
        <w:t xml:space="preserve"> per installation</w:t>
      </w:r>
      <w:r>
        <w:t xml:space="preserve"> </w:t>
      </w:r>
      <w:r w:rsidR="00A94223">
        <w:t>plus a</w:t>
      </w:r>
      <w:r>
        <w:t xml:space="preserve"> marginal cost/kW of installed capacity, to allow the total cost of the heating system to be calculated.</w:t>
      </w:r>
      <w:r w:rsidR="00D20D93">
        <w:t xml:space="preserve"> </w:t>
      </w:r>
      <w:r w:rsidR="00795585">
        <w:t xml:space="preserve">These costs should include </w:t>
      </w:r>
      <w:r w:rsidR="0075340E">
        <w:t>all</w:t>
      </w:r>
      <w:r w:rsidR="00795585">
        <w:t xml:space="preserve"> the c</w:t>
      </w:r>
      <w:r w:rsidR="00D20D93">
        <w:t>osts which can be attributed to installation of a heating system, including materials, labour, design co</w:t>
      </w:r>
      <w:r w:rsidR="00C91EE9">
        <w:t>s</w:t>
      </w:r>
      <w:r w:rsidR="00D20D93">
        <w:t>ts, and making good.</w:t>
      </w:r>
      <w:r>
        <w:t xml:space="preserve"> </w:t>
      </w:r>
    </w:p>
    <w:p w14:paraId="6EFD20E0" w14:textId="1A8A00EF" w:rsidR="00437327" w:rsidRDefault="00FE4C14" w:rsidP="00924E33">
      <w:r>
        <w:t>Where significant elements of a heating system are optional</w:t>
      </w:r>
      <w:r w:rsidR="00D20D93">
        <w:t>, depending on the existing system</w:t>
      </w:r>
      <w:r>
        <w:t xml:space="preserve"> (</w:t>
      </w:r>
      <w:r w:rsidR="002563A2">
        <w:t>such as</w:t>
      </w:r>
      <w:r w:rsidR="005B2010">
        <w:t xml:space="preserve"> installing a wet distribution system,</w:t>
      </w:r>
      <w:r>
        <w:t xml:space="preserve"> radiator upgrade</w:t>
      </w:r>
      <w:r w:rsidR="002563A2">
        <w:t>s</w:t>
      </w:r>
      <w:r w:rsidR="0064229D">
        <w:t>,</w:t>
      </w:r>
      <w:r w:rsidR="002563A2">
        <w:t xml:space="preserve"> and</w:t>
      </w:r>
      <w:r w:rsidR="00D20D93">
        <w:t xml:space="preserve"> hot water tanks</w:t>
      </w:r>
      <w:r>
        <w:t>)</w:t>
      </w:r>
      <w:r w:rsidR="00437327">
        <w:t>,</w:t>
      </w:r>
      <w:r>
        <w:t xml:space="preserve"> or have longer lifetimes than the heating appliance (</w:t>
      </w:r>
      <w:r w:rsidR="00437327">
        <w:t xml:space="preserve">such as </w:t>
      </w:r>
      <w:r>
        <w:t xml:space="preserve">ground source trenches and ground source boreholes) these costs should be </w:t>
      </w:r>
      <w:r w:rsidR="00A86DAD">
        <w:t xml:space="preserve">excluded from the heating system costs and included in the table of supplementary costs. </w:t>
      </w:r>
    </w:p>
    <w:p w14:paraId="7A7A155B" w14:textId="3868EA62" w:rsidR="00657F22" w:rsidRDefault="00FE4C14" w:rsidP="00924E33">
      <w:r>
        <w:t xml:space="preserve">For communal systems, </w:t>
      </w:r>
      <w:r w:rsidR="00A86DAD">
        <w:t>additional costs per dwelling of shared infrastructure should be included in the table of supplementary costs</w:t>
      </w:r>
      <w:r>
        <w:t xml:space="preserve">. </w:t>
      </w:r>
      <w:r w:rsidR="006D7E7C">
        <w:t>For low carbon heating measures, both the capital and operating costs</w:t>
      </w:r>
      <w:r w:rsidR="00657F22">
        <w:t xml:space="preserve"> (see below)</w:t>
      </w:r>
      <w:r w:rsidR="006D7E7C">
        <w:t xml:space="preserve"> </w:t>
      </w:r>
      <w:r w:rsidR="004D5102">
        <w:t>should</w:t>
      </w:r>
      <w:r w:rsidR="00EB3619">
        <w:t xml:space="preserve"> </w:t>
      </w:r>
      <w:r w:rsidR="006D7E7C">
        <w:t>accurately reflect the current market</w:t>
      </w:r>
      <w:r w:rsidR="00B266C1">
        <w:t xml:space="preserve">, including improvements to technologies since </w:t>
      </w:r>
      <w:r w:rsidR="00EB3619">
        <w:t xml:space="preserve">the Sixth </w:t>
      </w:r>
      <w:r w:rsidR="00B266C1">
        <w:t xml:space="preserve">Carbon Budget. </w:t>
      </w:r>
    </w:p>
    <w:p w14:paraId="78B60E9E" w14:textId="0B2113AD" w:rsidR="00123A31" w:rsidRDefault="00EB3619" w:rsidP="00657F22">
      <w:r>
        <w:t xml:space="preserve">Capital costs should be provided for </w:t>
      </w:r>
      <w:r w:rsidR="00123A31">
        <w:t xml:space="preserve">the full range of </w:t>
      </w:r>
      <w:r w:rsidR="00657F22">
        <w:t>measures</w:t>
      </w:r>
      <w:r w:rsidR="00123A31">
        <w:t xml:space="preserve"> detailed in Table </w:t>
      </w:r>
      <w:r w:rsidR="00CE6CD6">
        <w:t>3</w:t>
      </w:r>
      <w:r w:rsidR="00123A31">
        <w:t xml:space="preserve">. </w:t>
      </w:r>
      <w:r w:rsidR="00475842">
        <w:t xml:space="preserve">There is scope to include additional measures beyond those presented in Table </w:t>
      </w:r>
      <w:r w:rsidR="00CE6CD6">
        <w:t>3</w:t>
      </w:r>
      <w:r w:rsidR="00475842">
        <w:t>, and bidders are invite</w:t>
      </w:r>
      <w:r w:rsidR="00657F22">
        <w:t>d</w:t>
      </w:r>
      <w:r w:rsidR="00475842">
        <w:t xml:space="preserve"> to propose any additional measures that they think should be included. </w:t>
      </w:r>
    </w:p>
    <w:p w14:paraId="5AE6516B" w14:textId="16EE28C0" w:rsidR="00924E33" w:rsidRDefault="00924E33" w:rsidP="00657F22">
      <w:pPr>
        <w:pStyle w:val="Heading2"/>
      </w:pPr>
      <w:r>
        <w:t>Operating costs</w:t>
      </w:r>
    </w:p>
    <w:p w14:paraId="6DB5055C" w14:textId="152FE863" w:rsidR="00924E33" w:rsidRDefault="00924E33" w:rsidP="0006526A">
      <w:r>
        <w:t>The total annual</w:t>
      </w:r>
      <w:r w:rsidR="006E4CFB">
        <w:t>ised</w:t>
      </w:r>
      <w:r>
        <w:t xml:space="preserve"> operating costs (e</w:t>
      </w:r>
      <w:r w:rsidR="00657F22">
        <w:t>.</w:t>
      </w:r>
      <w:r>
        <w:t>g</w:t>
      </w:r>
      <w:r w:rsidR="00657F22">
        <w:t>.</w:t>
      </w:r>
      <w:r>
        <w:t xml:space="preserve"> for maintenance) </w:t>
      </w:r>
      <w:r w:rsidRPr="00511F8F">
        <w:rPr>
          <w:b/>
          <w:bCs/>
        </w:rPr>
        <w:t>excluding energy use</w:t>
      </w:r>
      <w:r>
        <w:t xml:space="preserve"> should be provided for each energy efficiency and heating measure.</w:t>
      </w:r>
      <w:r w:rsidR="00511F8F">
        <w:t xml:space="preserve"> A single figure can be provided for this per measure, u</w:t>
      </w:r>
      <w:r>
        <w:t>nless it is likely that these will vary substantially by property type or change significantly over time.</w:t>
      </w:r>
      <w:r w:rsidR="00511F8F">
        <w:t xml:space="preserve"> </w:t>
      </w:r>
    </w:p>
    <w:p w14:paraId="220B733C" w14:textId="054BDFAB" w:rsidR="00E77B65" w:rsidRPr="00A55C6C" w:rsidRDefault="00E77B65" w:rsidP="00CA5308">
      <w:pPr>
        <w:pStyle w:val="Heading2"/>
      </w:pPr>
      <w:r>
        <w:t>Measure performance</w:t>
      </w:r>
    </w:p>
    <w:p w14:paraId="2B4BB037" w14:textId="77777777" w:rsidR="00E77B65" w:rsidRPr="00FB668D" w:rsidRDefault="00E77B65" w:rsidP="00CA5308">
      <w:pPr>
        <w:pStyle w:val="Heading3"/>
      </w:pPr>
      <w:r w:rsidRPr="00FB668D">
        <w:t>Energy efficiency measures</w:t>
      </w:r>
    </w:p>
    <w:p w14:paraId="7402C1D5" w14:textId="77777777" w:rsidR="00F71617" w:rsidRDefault="00F11EA8" w:rsidP="00CF0B8E">
      <w:r>
        <w:t>Performance data for energy efficiency measures</w:t>
      </w:r>
      <w:r w:rsidR="00E17096">
        <w:t xml:space="preserve"> should include the following:</w:t>
      </w:r>
    </w:p>
    <w:p w14:paraId="1E22915E" w14:textId="7727A856" w:rsidR="00F71617" w:rsidRDefault="006F6B22" w:rsidP="00F71617">
      <w:pPr>
        <w:pStyle w:val="Bullet"/>
      </w:pPr>
      <w:r>
        <w:t>Typical e</w:t>
      </w:r>
      <w:r w:rsidR="00F71617">
        <w:t xml:space="preserve">nergy savings by </w:t>
      </w:r>
      <w:r>
        <w:t>home typology and size</w:t>
      </w:r>
    </w:p>
    <w:p w14:paraId="2CEF6DA3" w14:textId="503B8E09" w:rsidR="006F6B22" w:rsidRDefault="006F6B22" w:rsidP="00B6429E">
      <w:pPr>
        <w:pStyle w:val="Bullet"/>
      </w:pPr>
      <w:r>
        <w:t>Measure lifetimes</w:t>
      </w:r>
    </w:p>
    <w:p w14:paraId="7E73A602" w14:textId="157B7796" w:rsidR="00CF0B8E" w:rsidRDefault="00CF0B8E" w:rsidP="00CF0B8E">
      <w:r>
        <w:t xml:space="preserve">The CCC holds data on the expected energy savings from the installation of energy efficiency measures based on the National Energy Efficiency Data (NEED) Framework. This </w:t>
      </w:r>
      <w:r w:rsidR="008B529D">
        <w:t>should</w:t>
      </w:r>
      <w:r>
        <w:t xml:space="preserve"> be updated and validated for the purposes of the Residential </w:t>
      </w:r>
      <w:r w:rsidR="00DC1AC7">
        <w:t xml:space="preserve">Buildings </w:t>
      </w:r>
      <w:r>
        <w:t xml:space="preserve">Assumptions for CB7. These savings should represent the energy reduction achieved by measure installation, as a proportion of </w:t>
      </w:r>
      <w:r w:rsidR="00D02F87">
        <w:t xml:space="preserve">the relevant component of energy demand, either space heating or hot water. </w:t>
      </w:r>
    </w:p>
    <w:p w14:paraId="35B49490" w14:textId="4464DF2F" w:rsidR="00CF0B8E" w:rsidRDefault="00CF0B8E" w:rsidP="00CF0B8E">
      <w:r>
        <w:lastRenderedPageBreak/>
        <w:t xml:space="preserve">The </w:t>
      </w:r>
      <w:r w:rsidR="00534894">
        <w:t>energy savings</w:t>
      </w:r>
      <w:r>
        <w:t xml:space="preserve"> data </w:t>
      </w:r>
      <w:r w:rsidR="00D02F87">
        <w:t>should</w:t>
      </w:r>
      <w:r>
        <w:t xml:space="preserve"> reflect the differences in savings between property types and therefore will need to be disaggregated by property </w:t>
      </w:r>
      <w:r w:rsidR="0053405B">
        <w:t xml:space="preserve">typology </w:t>
      </w:r>
      <w:r w:rsidR="00BB1A39">
        <w:t>and size</w:t>
      </w:r>
      <w:r>
        <w:t xml:space="preserve">. </w:t>
      </w:r>
    </w:p>
    <w:p w14:paraId="3C9EF49E" w14:textId="5BEC8363" w:rsidR="00E77B65" w:rsidRDefault="00CF1DD0" w:rsidP="00DA6CD0">
      <w:r>
        <w:t xml:space="preserve">Bidders should consider the </w:t>
      </w:r>
      <w:r w:rsidR="0013794A">
        <w:t xml:space="preserve">additivity of savings for measures installed as part of a package, and the </w:t>
      </w:r>
      <w:r>
        <w:t>evidence</w:t>
      </w:r>
      <w:r w:rsidR="00E307E6">
        <w:t xml:space="preserve"> for behavioural impacts</w:t>
      </w:r>
      <w:r w:rsidR="00283343">
        <w:t xml:space="preserve"> on the savings delivered</w:t>
      </w:r>
      <w:r w:rsidR="0013794A">
        <w:t>. Savings should be</w:t>
      </w:r>
      <w:r w:rsidR="00283343">
        <w:t xml:space="preserve"> adjust</w:t>
      </w:r>
      <w:r w:rsidR="0013794A">
        <w:t>ed</w:t>
      </w:r>
      <w:r w:rsidR="00283343">
        <w:t xml:space="preserve"> </w:t>
      </w:r>
      <w:r w:rsidR="00694E26">
        <w:t xml:space="preserve">to reflect these </w:t>
      </w:r>
      <w:r w:rsidR="004A51D6">
        <w:t>effects</w:t>
      </w:r>
      <w:r w:rsidR="00694E26">
        <w:t xml:space="preserve">. </w:t>
      </w:r>
    </w:p>
    <w:p w14:paraId="0BE6CE8F" w14:textId="77777777" w:rsidR="00E77B65" w:rsidRDefault="00E77B65" w:rsidP="00CA5308">
      <w:pPr>
        <w:pStyle w:val="Heading3"/>
      </w:pPr>
      <w:r w:rsidRPr="00FB668D">
        <w:t>Heating systems</w:t>
      </w:r>
    </w:p>
    <w:p w14:paraId="4D233697" w14:textId="77777777" w:rsidR="00F2680C" w:rsidRDefault="00E315AB" w:rsidP="00DA6CD0">
      <w:r>
        <w:t>Performance</w:t>
      </w:r>
      <w:r w:rsidR="00C62A12">
        <w:t xml:space="preserve"> data for heating systems should in</w:t>
      </w:r>
      <w:r w:rsidR="00E12554">
        <w:t>clude the following:</w:t>
      </w:r>
    </w:p>
    <w:p w14:paraId="0BC44339" w14:textId="3CEB9344" w:rsidR="00800E2A" w:rsidRDefault="00800E2A" w:rsidP="00F2680C">
      <w:pPr>
        <w:pStyle w:val="Bullet"/>
      </w:pPr>
      <w:r>
        <w:t>Space heating efficiency</w:t>
      </w:r>
      <w:r w:rsidR="00A94223">
        <w:t xml:space="preserve"> or </w:t>
      </w:r>
      <w:r>
        <w:t>SPF</w:t>
      </w:r>
    </w:p>
    <w:p w14:paraId="144A9AE9" w14:textId="104DB397" w:rsidR="00800E2A" w:rsidRDefault="00800E2A" w:rsidP="00F2680C">
      <w:pPr>
        <w:pStyle w:val="Bullet"/>
      </w:pPr>
      <w:r>
        <w:t>Hot water efficiency</w:t>
      </w:r>
      <w:r w:rsidR="00A94223">
        <w:t xml:space="preserve"> or </w:t>
      </w:r>
      <w:r>
        <w:t>SPF</w:t>
      </w:r>
    </w:p>
    <w:p w14:paraId="692CF3AD" w14:textId="15EB26CC" w:rsidR="00DA6CD0" w:rsidRDefault="00D11A68" w:rsidP="00F2680C">
      <w:pPr>
        <w:pStyle w:val="Bullet"/>
      </w:pPr>
      <w:r>
        <w:t>Typical space heating load factors (for heating appliance sizing)</w:t>
      </w:r>
    </w:p>
    <w:p w14:paraId="4CCFC69E" w14:textId="29B651DD" w:rsidR="00931736" w:rsidRDefault="00931736" w:rsidP="00F2680C">
      <w:pPr>
        <w:pStyle w:val="Bullet"/>
      </w:pPr>
      <w:r>
        <w:t>System lifetimes</w:t>
      </w:r>
    </w:p>
    <w:p w14:paraId="12FEB2E0" w14:textId="7C0CCD8A" w:rsidR="00931736" w:rsidRDefault="00931736" w:rsidP="00F2680C">
      <w:pPr>
        <w:pStyle w:val="Bullet"/>
      </w:pPr>
      <w:r>
        <w:t>Minimum system sizes and sizing increments</w:t>
      </w:r>
    </w:p>
    <w:p w14:paraId="6D0D4EFB" w14:textId="597AC08D" w:rsidR="00D20D93" w:rsidRDefault="00D02F87" w:rsidP="00D02F87">
      <w:r>
        <w:t>For hybrid systems</w:t>
      </w:r>
      <w:r w:rsidR="00716953">
        <w:t>,</w:t>
      </w:r>
      <w:r>
        <w:t xml:space="preserve"> the percentage of space heating and hot water demand delivered by each component of the hybrid system should be identified.</w:t>
      </w:r>
      <w:r w:rsidR="00386770">
        <w:t xml:space="preserve"> The format of performance assumptions will be agreed during project kick off</w:t>
      </w:r>
      <w:r w:rsidR="00AF45B7">
        <w:t xml:space="preserve"> to ensure alignment with CCC models</w:t>
      </w:r>
      <w:r w:rsidR="00140828">
        <w:t>.</w:t>
      </w:r>
    </w:p>
    <w:p w14:paraId="43682FEC" w14:textId="75AF458A" w:rsidR="00767D6B" w:rsidRDefault="00767D6B" w:rsidP="00D02F87">
      <w:r>
        <w:t>For temperature</w:t>
      </w:r>
      <w:r w:rsidR="00B22501">
        <w:t>-</w:t>
      </w:r>
      <w:r>
        <w:t xml:space="preserve">dependent technologies (where the </w:t>
      </w:r>
      <w:r w:rsidR="008F4779">
        <w:t>flow temperature significantly impacts efficiency) such as ASHPs and GSHPs</w:t>
      </w:r>
      <w:r w:rsidR="00B22501">
        <w:t>,</w:t>
      </w:r>
      <w:r w:rsidR="00034D07">
        <w:t xml:space="preserve"> SPFs should be given for flow temperatures </w:t>
      </w:r>
      <w:r w:rsidR="002560D2">
        <w:t>from 35°C to 70°C, at 5°C intervals.</w:t>
      </w:r>
      <w:r w:rsidR="003D2958">
        <w:t xml:space="preserve"> Consideration should be given for the potential for technological improvements to deliver improved efficiencies. </w:t>
      </w:r>
      <w:r w:rsidR="00360734">
        <w:t>For technologies where this is likely</w:t>
      </w:r>
      <w:r w:rsidR="00DA3661">
        <w:t>,</w:t>
      </w:r>
      <w:r w:rsidR="00360734">
        <w:t xml:space="preserve"> estimates </w:t>
      </w:r>
      <w:r w:rsidR="00DA3661">
        <w:t xml:space="preserve">should be made </w:t>
      </w:r>
      <w:r w:rsidR="00360734">
        <w:t xml:space="preserve">of the </w:t>
      </w:r>
      <w:r w:rsidR="00DA3661">
        <w:t>improved efficiencies which may be delivered in 2030 and 2040</w:t>
      </w:r>
      <w:r w:rsidR="006D5BF8">
        <w:t>.</w:t>
      </w:r>
    </w:p>
    <w:p w14:paraId="7323C7A7" w14:textId="6723812B" w:rsidR="00A55C6C" w:rsidRPr="00A55C6C" w:rsidRDefault="00A55C6C" w:rsidP="00CA5308">
      <w:pPr>
        <w:pStyle w:val="Heading2"/>
      </w:pPr>
      <w:r w:rsidRPr="00A55C6C">
        <w:t>Measure suitability and property-specific assumptions</w:t>
      </w:r>
      <w:r w:rsidR="00F14C38">
        <w:t xml:space="preserve"> </w:t>
      </w:r>
    </w:p>
    <w:p w14:paraId="4ACC1FB3" w14:textId="5B6DEDBA" w:rsidR="00A55C6C" w:rsidRDefault="002E0662" w:rsidP="00747CD1">
      <w:r>
        <w:t>Some</w:t>
      </w:r>
      <w:r w:rsidR="001B1D69">
        <w:t xml:space="preserve"> measures are </w:t>
      </w:r>
      <w:r>
        <w:t>likely to be unsuited to</w:t>
      </w:r>
      <w:r w:rsidR="001B1D69">
        <w:t xml:space="preserve"> </w:t>
      </w:r>
      <w:r w:rsidR="004B74C5">
        <w:t xml:space="preserve">certain </w:t>
      </w:r>
      <w:r w:rsidR="001B1D69">
        <w:t>property typ</w:t>
      </w:r>
      <w:r w:rsidR="004B74C5">
        <w:t>ologies.</w:t>
      </w:r>
      <w:r w:rsidR="001B1D69">
        <w:t xml:space="preserve"> </w:t>
      </w:r>
      <w:r w:rsidR="00DC6ED4">
        <w:t xml:space="preserve">As part of the dataset, a measure suitability table </w:t>
      </w:r>
      <w:r w:rsidR="00B57C29">
        <w:t xml:space="preserve">should be provided </w:t>
      </w:r>
      <w:r w:rsidR="000E31FA">
        <w:t>which</w:t>
      </w:r>
      <w:r w:rsidR="00DC6ED4">
        <w:t xml:space="preserve"> highlight</w:t>
      </w:r>
      <w:r w:rsidR="00B57C29">
        <w:t>s</w:t>
      </w:r>
      <w:r w:rsidR="00DC6ED4">
        <w:t xml:space="preserve"> key technical barriers </w:t>
      </w:r>
      <w:r w:rsidR="00A17DC5">
        <w:t xml:space="preserve">to installing measures. This </w:t>
      </w:r>
      <w:r w:rsidR="00B57C29">
        <w:t>should</w:t>
      </w:r>
      <w:r w:rsidR="00FC6000">
        <w:t xml:space="preserve"> </w:t>
      </w:r>
      <w:r w:rsidR="00A17DC5">
        <w:t xml:space="preserve">look across different property </w:t>
      </w:r>
      <w:r w:rsidR="00B57C29">
        <w:t>typologies</w:t>
      </w:r>
      <w:r w:rsidR="00640736">
        <w:t>, including Park Homes,</w:t>
      </w:r>
      <w:r w:rsidR="00D15157">
        <w:t xml:space="preserve"> and sizes</w:t>
      </w:r>
      <w:r w:rsidR="00A17DC5">
        <w:t xml:space="preserve"> to determine where a measure or technology c</w:t>
      </w:r>
      <w:r w:rsidR="000E31FA">
        <w:t>an</w:t>
      </w:r>
      <w:r w:rsidR="00A17DC5">
        <w:t xml:space="preserve">not be installed, for example a </w:t>
      </w:r>
      <w:r w:rsidR="005137E6">
        <w:t>property without outdoor space would not be deemed suitable for an Air Source Heat Pump.</w:t>
      </w:r>
      <w:r w:rsidR="00FC6000">
        <w:t xml:space="preserve"> </w:t>
      </w:r>
    </w:p>
    <w:p w14:paraId="48626BD0" w14:textId="21C607CB" w:rsidR="00FC6000" w:rsidRDefault="007A74C5" w:rsidP="00747CD1">
      <w:r>
        <w:t>M</w:t>
      </w:r>
      <w:r w:rsidR="00FC6000">
        <w:t>easure suitability should also reflect where there are difficulties with installation, but that ma</w:t>
      </w:r>
      <w:r w:rsidR="001841F2">
        <w:t xml:space="preserve">y not prohibit installation for the entire property type, for example due to space constraints. Reasonable assumptions should be made about the proportion of properties within each type that would be suitable for installation. </w:t>
      </w:r>
    </w:p>
    <w:p w14:paraId="1BE31996" w14:textId="7A42515B" w:rsidR="001841F2" w:rsidRDefault="001841F2" w:rsidP="00747CD1">
      <w:r>
        <w:t xml:space="preserve">Additionally, specific detail is required on heritage buildings and the suitability of measures in properties with conservation limitations. </w:t>
      </w:r>
      <w:r w:rsidR="006943B7">
        <w:t>Consideration of the additional costs associated with installation of both energy efficiency and</w:t>
      </w:r>
      <w:r w:rsidR="003B0F8D">
        <w:t xml:space="preserve"> </w:t>
      </w:r>
      <w:r w:rsidR="006943B7">
        <w:t xml:space="preserve">heating systems </w:t>
      </w:r>
      <w:r w:rsidR="007E0553">
        <w:t xml:space="preserve">should be clearly considered. </w:t>
      </w:r>
    </w:p>
    <w:p w14:paraId="2451068D" w14:textId="37F6DD8F" w:rsidR="005D7A6B" w:rsidRDefault="005D7A6B" w:rsidP="00CA5308">
      <w:pPr>
        <w:pStyle w:val="Heading2"/>
      </w:pPr>
      <w:r w:rsidRPr="005D7A6B">
        <w:t>Supply chain capacity and capability</w:t>
      </w:r>
      <w:r w:rsidR="00D04171">
        <w:t xml:space="preserve"> </w:t>
      </w:r>
    </w:p>
    <w:p w14:paraId="4A699799" w14:textId="7C00AC13" w:rsidR="00D04171" w:rsidRDefault="005D7A6B" w:rsidP="00CE354A">
      <w:pPr>
        <w:pStyle w:val="Bullet"/>
        <w:numPr>
          <w:ilvl w:val="0"/>
          <w:numId w:val="0"/>
        </w:numPr>
      </w:pPr>
      <w:r>
        <w:t>There are</w:t>
      </w:r>
      <w:r w:rsidR="00F1016F">
        <w:t xml:space="preserve"> limits to delivery based on supply chain capacity and capabili</w:t>
      </w:r>
      <w:r w:rsidR="00D04171">
        <w:t>ty. The dataset should include consideration of</w:t>
      </w:r>
      <w:r w:rsidR="000B4032">
        <w:t xml:space="preserve"> these limits, </w:t>
      </w:r>
      <w:r w:rsidR="00CE354A">
        <w:t>including how t</w:t>
      </w:r>
      <w:r w:rsidR="000B4032">
        <w:t xml:space="preserve">he </w:t>
      </w:r>
      <w:r w:rsidR="00CE354A">
        <w:t xml:space="preserve">capacity of </w:t>
      </w:r>
      <w:r w:rsidR="000B4032">
        <w:t xml:space="preserve">supply chains to deliver measures </w:t>
      </w:r>
      <w:r w:rsidR="00CE354A">
        <w:t xml:space="preserve">changes </w:t>
      </w:r>
      <w:r w:rsidR="000B4032">
        <w:t xml:space="preserve">over time. </w:t>
      </w:r>
      <w:r w:rsidR="00D04171">
        <w:t xml:space="preserve">This analysis should consider both the workforce and skills limits, as well as the materials and supply limits. </w:t>
      </w:r>
      <w:r w:rsidR="00676100">
        <w:t>The data should be broken down by measure</w:t>
      </w:r>
      <w:r w:rsidR="007A001E">
        <w:t xml:space="preserve">, demonstrating the differences between </w:t>
      </w:r>
      <w:r w:rsidR="00221DFD">
        <w:t xml:space="preserve">the supply of materials and labour. </w:t>
      </w:r>
    </w:p>
    <w:p w14:paraId="5FF89CF5" w14:textId="565BAA52" w:rsidR="005D7A6B" w:rsidRDefault="00D04171" w:rsidP="00747CD1">
      <w:r>
        <w:t>This should consider both a likely scenario for delivery, i.e. where the supply chain operates at the expected level, and a technical maximum option, i.e. the limit above which the supply chain is unlikely to be able to deliver</w:t>
      </w:r>
      <w:r w:rsidR="00CF07AF">
        <w:t>, at a maximum of 5-year intervals.</w:t>
      </w:r>
      <w:r>
        <w:t xml:space="preserve"> </w:t>
      </w:r>
    </w:p>
    <w:p w14:paraId="662D0528" w14:textId="77777777" w:rsidR="0052028F" w:rsidRDefault="0052028F" w:rsidP="00E960D9">
      <w:pPr>
        <w:pStyle w:val="Heading1"/>
      </w:pPr>
      <w:bookmarkStart w:id="7" w:name="_Toc144299454"/>
      <w:r w:rsidRPr="00F46909">
        <w:t>Outputs Required</w:t>
      </w:r>
      <w:bookmarkEnd w:id="7"/>
    </w:p>
    <w:p w14:paraId="0D425784" w14:textId="4B6717B2" w:rsidR="001F64B1" w:rsidRDefault="001F64B1" w:rsidP="00A77C15">
      <w:r>
        <w:t xml:space="preserve">Attachment </w:t>
      </w:r>
      <w:r w:rsidR="000F3759">
        <w:t>A</w:t>
      </w:r>
      <w:r w:rsidR="003A0859">
        <w:t xml:space="preserve"> is a template for the required outputs for this project.</w:t>
      </w:r>
      <w:r w:rsidR="00A56C0C">
        <w:t xml:space="preserve"> The final output tables will be shared by the CCC during project kick off, and this </w:t>
      </w:r>
      <w:r w:rsidR="00A56C0C">
        <w:lastRenderedPageBreak/>
        <w:t>template is provided as a guide.</w:t>
      </w:r>
      <w:r w:rsidR="003A0859">
        <w:t xml:space="preserve"> Bidders may suggest amendments to this as appropriate. </w:t>
      </w:r>
      <w:r w:rsidR="00282D20">
        <w:t>A summary of the key outputs</w:t>
      </w:r>
      <w:r w:rsidR="00C71223">
        <w:t xml:space="preserve"> required, including desirable and essential elements, </w:t>
      </w:r>
      <w:r w:rsidR="00282D20">
        <w:t>is detailed below.</w:t>
      </w:r>
    </w:p>
    <w:p w14:paraId="6FF97176" w14:textId="7E2548AB" w:rsidR="00282D20" w:rsidRDefault="00C71223" w:rsidP="00282D20">
      <w:pPr>
        <w:pStyle w:val="ListParagraph"/>
        <w:numPr>
          <w:ilvl w:val="0"/>
          <w:numId w:val="30"/>
        </w:numPr>
      </w:pPr>
      <w:r>
        <w:t xml:space="preserve">Cost </w:t>
      </w:r>
      <w:r w:rsidR="00282D20">
        <w:t>trajectories over time for heating systems and energy efficiency measures</w:t>
      </w:r>
      <w:r w:rsidR="003C76BA">
        <w:t xml:space="preserve">, considering both capital and operational </w:t>
      </w:r>
      <w:proofErr w:type="gramStart"/>
      <w:r w:rsidR="003C76BA">
        <w:t>costs</w:t>
      </w:r>
      <w:proofErr w:type="gramEnd"/>
    </w:p>
    <w:p w14:paraId="3FBA0D72" w14:textId="5A34EA90" w:rsidR="00C71223" w:rsidRDefault="003C76BA" w:rsidP="00282D20">
      <w:pPr>
        <w:pStyle w:val="ListParagraph"/>
        <w:numPr>
          <w:ilvl w:val="0"/>
          <w:numId w:val="30"/>
        </w:numPr>
      </w:pPr>
      <w:r>
        <w:t xml:space="preserve">Cost trajectories over time for the additional materials and </w:t>
      </w:r>
      <w:r w:rsidR="00CA467A">
        <w:t>measures required for installation</w:t>
      </w:r>
      <w:r w:rsidR="002650EB">
        <w:t xml:space="preserve">, i.e. the </w:t>
      </w:r>
      <w:proofErr w:type="gramStart"/>
      <w:r w:rsidR="002650EB">
        <w:t>preliminaries</w:t>
      </w:r>
      <w:proofErr w:type="gramEnd"/>
    </w:p>
    <w:p w14:paraId="49B2968A" w14:textId="764A6B7F" w:rsidR="002650EB" w:rsidRDefault="00BC2099" w:rsidP="00282D20">
      <w:pPr>
        <w:pStyle w:val="ListParagraph"/>
        <w:numPr>
          <w:ilvl w:val="0"/>
          <w:numId w:val="30"/>
        </w:numPr>
      </w:pPr>
      <w:r>
        <w:t>Measure</w:t>
      </w:r>
      <w:r w:rsidR="002650EB">
        <w:t xml:space="preserve"> performance assumptions</w:t>
      </w:r>
    </w:p>
    <w:p w14:paraId="113A849B" w14:textId="71849751" w:rsidR="00702770" w:rsidRDefault="00702770" w:rsidP="00ED45C9">
      <w:pPr>
        <w:pStyle w:val="ListParagraph"/>
        <w:numPr>
          <w:ilvl w:val="0"/>
          <w:numId w:val="30"/>
        </w:numPr>
      </w:pPr>
      <w:r>
        <w:t>Measure suitability table, detailing where there are limitations on which measures and technologies can be installe</w:t>
      </w:r>
      <w:r w:rsidR="000B4032">
        <w:t>d</w:t>
      </w:r>
      <w:r w:rsidR="00ED45C9">
        <w:t xml:space="preserve"> and including the a</w:t>
      </w:r>
      <w:r w:rsidR="002379A2">
        <w:t xml:space="preserve">dditional costs associated with </w:t>
      </w:r>
      <w:r w:rsidR="00C815CF">
        <w:t xml:space="preserve">heritage </w:t>
      </w:r>
      <w:proofErr w:type="gramStart"/>
      <w:r w:rsidR="00C815CF">
        <w:t>buildings</w:t>
      </w:r>
      <w:proofErr w:type="gramEnd"/>
    </w:p>
    <w:p w14:paraId="60A41F17" w14:textId="5A4D4DAB" w:rsidR="00C815CF" w:rsidRDefault="00922556" w:rsidP="00282D20">
      <w:pPr>
        <w:pStyle w:val="ListParagraph"/>
        <w:numPr>
          <w:ilvl w:val="0"/>
          <w:numId w:val="30"/>
        </w:numPr>
      </w:pPr>
      <w:r>
        <w:t>Updated performance of energy efficiency measures</w:t>
      </w:r>
      <w:r w:rsidR="009F4697">
        <w:t xml:space="preserve"> based on data validation of CCC </w:t>
      </w:r>
      <w:proofErr w:type="gramStart"/>
      <w:r w:rsidR="009F4697">
        <w:t>data</w:t>
      </w:r>
      <w:proofErr w:type="gramEnd"/>
      <w:r w:rsidR="009F4697">
        <w:t xml:space="preserve"> </w:t>
      </w:r>
    </w:p>
    <w:p w14:paraId="0EA3696B" w14:textId="31F10497" w:rsidR="000B4032" w:rsidRDefault="000B4032" w:rsidP="00282D20">
      <w:pPr>
        <w:pStyle w:val="ListParagraph"/>
        <w:numPr>
          <w:ilvl w:val="0"/>
          <w:numId w:val="30"/>
        </w:numPr>
      </w:pPr>
      <w:r>
        <w:t xml:space="preserve">Limitations of the supply chain to </w:t>
      </w:r>
      <w:proofErr w:type="gramStart"/>
      <w:r>
        <w:t>deliver</w:t>
      </w:r>
      <w:proofErr w:type="gramEnd"/>
    </w:p>
    <w:p w14:paraId="5A0C82D5" w14:textId="1C446690" w:rsidR="00CB16C5" w:rsidRDefault="00BE214E" w:rsidP="00A77C15">
      <w:r>
        <w:t xml:space="preserve">Alongside the dataset, the successful bidder will be required to provide </w:t>
      </w:r>
      <w:r w:rsidR="00CB16C5">
        <w:t xml:space="preserve">a report documenting the methodological approach taken to produce the dataset, including a record of all underpinning assumptions and sources used. </w:t>
      </w:r>
    </w:p>
    <w:p w14:paraId="77E71A08" w14:textId="4E314B69" w:rsidR="00CB16C5" w:rsidRDefault="00CB16C5" w:rsidP="00CB16C5">
      <w:r>
        <w:t>Table</w:t>
      </w:r>
      <w:r w:rsidR="000732EB">
        <w:t>s</w:t>
      </w:r>
      <w:r>
        <w:t xml:space="preserve"> 1 </w:t>
      </w:r>
      <w:r w:rsidR="000732EB">
        <w:t xml:space="preserve">and 2 </w:t>
      </w:r>
      <w:r>
        <w:t>sh</w:t>
      </w:r>
      <w:r w:rsidR="000732EB">
        <w:t>ow</w:t>
      </w:r>
      <w:r>
        <w:t xml:space="preserve"> the key energy efficiency measures required for the dataset, </w:t>
      </w:r>
      <w:r w:rsidR="000732EB">
        <w:t xml:space="preserve">and the supplementary data that </w:t>
      </w:r>
      <w:r w:rsidR="00556AB0">
        <w:t xml:space="preserve">is required to support this. </w:t>
      </w:r>
      <w:r>
        <w:t>Table</w:t>
      </w:r>
      <w:r w:rsidR="00556AB0">
        <w:t>s 3 and 4</w:t>
      </w:r>
      <w:r>
        <w:t xml:space="preserve"> show</w:t>
      </w:r>
      <w:r w:rsidR="00556AB0">
        <w:t xml:space="preserve"> the equivalent for </w:t>
      </w:r>
      <w:r>
        <w:t>heating measures</w:t>
      </w:r>
      <w:r w:rsidR="00556AB0">
        <w:t xml:space="preserve">. </w:t>
      </w:r>
      <w:r>
        <w:t xml:space="preserve">Tables </w:t>
      </w:r>
      <w:r w:rsidR="00556AB0">
        <w:t>5</w:t>
      </w:r>
      <w:r>
        <w:t xml:space="preserve"> and </w:t>
      </w:r>
      <w:r w:rsidR="00556AB0">
        <w:t>6</w:t>
      </w:r>
      <w:r>
        <w:t xml:space="preserve"> show the required property types to be considered in terms of granularity.</w:t>
      </w:r>
    </w:p>
    <w:p w14:paraId="20CEF260" w14:textId="6C8AC87D" w:rsidR="00CB16C5" w:rsidRDefault="00CB16C5" w:rsidP="00A77C15"/>
    <w:p w14:paraId="010159E0" w14:textId="252B7AA4" w:rsidR="002B69B8" w:rsidRPr="00D969C1" w:rsidRDefault="002B69B8" w:rsidP="00CA5308">
      <w:pPr>
        <w:pStyle w:val="Heading3"/>
      </w:pPr>
      <w:r w:rsidRPr="00D969C1">
        <w:t>Table 1</w:t>
      </w:r>
      <w:r w:rsidR="00EB4C38">
        <w:t xml:space="preserve"> – Required energy efficiency </w:t>
      </w:r>
      <w:proofErr w:type="gramStart"/>
      <w:r w:rsidR="00EB4C38">
        <w:t>measures</w:t>
      </w:r>
      <w:proofErr w:type="gramEnd"/>
    </w:p>
    <w:tbl>
      <w:tblPr>
        <w:tblStyle w:val="TableGrid"/>
        <w:tblW w:w="5000" w:type="pct"/>
        <w:tblLook w:val="04A0" w:firstRow="1" w:lastRow="0" w:firstColumn="1" w:lastColumn="0" w:noHBand="0" w:noVBand="1"/>
      </w:tblPr>
      <w:tblGrid>
        <w:gridCol w:w="3927"/>
        <w:gridCol w:w="3927"/>
      </w:tblGrid>
      <w:tr w:rsidR="00EB4C38" w14:paraId="457E6971" w14:textId="77777777" w:rsidTr="00BA24D8">
        <w:tc>
          <w:tcPr>
            <w:tcW w:w="2500" w:type="pct"/>
          </w:tcPr>
          <w:p w14:paraId="4C873E82" w14:textId="17E01EA3" w:rsidR="00EB4C38" w:rsidRPr="002B69B8" w:rsidRDefault="00EB4C38" w:rsidP="00A77C15">
            <w:pPr>
              <w:rPr>
                <w:b/>
                <w:bCs/>
              </w:rPr>
            </w:pPr>
            <w:r w:rsidRPr="002B69B8">
              <w:rPr>
                <w:b/>
                <w:bCs/>
              </w:rPr>
              <w:t>Measure name</w:t>
            </w:r>
          </w:p>
        </w:tc>
        <w:tc>
          <w:tcPr>
            <w:tcW w:w="2500" w:type="pct"/>
          </w:tcPr>
          <w:p w14:paraId="75F14F5C" w14:textId="09F40BB4" w:rsidR="00EB4C38" w:rsidRPr="002B69B8" w:rsidRDefault="006274CD" w:rsidP="00A77C15">
            <w:pPr>
              <w:rPr>
                <w:b/>
                <w:bCs/>
              </w:rPr>
            </w:pPr>
            <w:r>
              <w:rPr>
                <w:b/>
                <w:bCs/>
              </w:rPr>
              <w:t>Notes</w:t>
            </w:r>
          </w:p>
        </w:tc>
      </w:tr>
      <w:tr w:rsidR="00EB4C38" w14:paraId="07315F11" w14:textId="77777777" w:rsidTr="00BA24D8">
        <w:tc>
          <w:tcPr>
            <w:tcW w:w="2500" w:type="pct"/>
          </w:tcPr>
          <w:p w14:paraId="1D9FF8FB" w14:textId="7271C125" w:rsidR="00EB4C38" w:rsidRDefault="006274CD" w:rsidP="00A77C15">
            <w:r>
              <w:t>EWI</w:t>
            </w:r>
          </w:p>
        </w:tc>
        <w:tc>
          <w:tcPr>
            <w:tcW w:w="2500" w:type="pct"/>
          </w:tcPr>
          <w:p w14:paraId="5CD8E0B5" w14:textId="3D03B184" w:rsidR="00EB4C38" w:rsidRDefault="00EF0745" w:rsidP="00A77C15">
            <w:r>
              <w:t xml:space="preserve">External wall insulation to solid walls. </w:t>
            </w:r>
            <w:r w:rsidR="006274CD">
              <w:t>Record insulation thickness assumed.</w:t>
            </w:r>
          </w:p>
        </w:tc>
      </w:tr>
      <w:tr w:rsidR="00EB4C38" w14:paraId="7D8805BA" w14:textId="77777777" w:rsidTr="00BA24D8">
        <w:tc>
          <w:tcPr>
            <w:tcW w:w="2500" w:type="pct"/>
          </w:tcPr>
          <w:p w14:paraId="0C18C474" w14:textId="110B9098" w:rsidR="00EB4C38" w:rsidRDefault="006274CD" w:rsidP="00A77C15">
            <w:r>
              <w:t>IWI</w:t>
            </w:r>
          </w:p>
        </w:tc>
        <w:tc>
          <w:tcPr>
            <w:tcW w:w="2500" w:type="pct"/>
          </w:tcPr>
          <w:p w14:paraId="712D9A5E" w14:textId="45983056" w:rsidR="00EB4C38" w:rsidRDefault="00EF0745" w:rsidP="00A77C15">
            <w:r>
              <w:t xml:space="preserve">Internal wall insulation to solid walls. </w:t>
            </w:r>
            <w:r w:rsidR="006274CD">
              <w:t>Record insulation thickness assumed.</w:t>
            </w:r>
          </w:p>
        </w:tc>
      </w:tr>
      <w:tr w:rsidR="00EB4C38" w14:paraId="06484E27" w14:textId="77777777" w:rsidTr="00BA24D8">
        <w:tc>
          <w:tcPr>
            <w:tcW w:w="2500" w:type="pct"/>
          </w:tcPr>
          <w:p w14:paraId="66509AE4" w14:textId="03B6DD48" w:rsidR="00EB4C38" w:rsidRDefault="006274CD" w:rsidP="00A77C15">
            <w:r>
              <w:t>CWI</w:t>
            </w:r>
          </w:p>
        </w:tc>
        <w:tc>
          <w:tcPr>
            <w:tcW w:w="2500" w:type="pct"/>
          </w:tcPr>
          <w:p w14:paraId="371D9E22" w14:textId="7A831FF7" w:rsidR="00EB4C38" w:rsidRDefault="00EF0745" w:rsidP="00A77C15">
            <w:r>
              <w:t>Cavity wall insulation to uninsulated cavities.</w:t>
            </w:r>
          </w:p>
        </w:tc>
      </w:tr>
      <w:tr w:rsidR="006274CD" w14:paraId="104D2D4F" w14:textId="77777777" w:rsidTr="00BA24D8">
        <w:tc>
          <w:tcPr>
            <w:tcW w:w="2500" w:type="pct"/>
          </w:tcPr>
          <w:p w14:paraId="784EC2AC" w14:textId="66F48794" w:rsidR="006274CD" w:rsidRDefault="006274CD" w:rsidP="00A77C15">
            <w:r>
              <w:t>CWI (HTT)</w:t>
            </w:r>
          </w:p>
        </w:tc>
        <w:tc>
          <w:tcPr>
            <w:tcW w:w="2500" w:type="pct"/>
          </w:tcPr>
          <w:p w14:paraId="008F30BB" w14:textId="5203B069" w:rsidR="006274CD" w:rsidRDefault="00EF0745" w:rsidP="00A77C15">
            <w:r>
              <w:t>Cavity wall insulation to hard-to-treat uninsulated cavities.</w:t>
            </w:r>
          </w:p>
        </w:tc>
      </w:tr>
      <w:tr w:rsidR="00EB4C38" w14:paraId="1B4F4A42" w14:textId="77777777" w:rsidTr="00BA24D8">
        <w:tc>
          <w:tcPr>
            <w:tcW w:w="2500" w:type="pct"/>
          </w:tcPr>
          <w:p w14:paraId="1EEAF2CE" w14:textId="36FB07D3" w:rsidR="00EB4C38" w:rsidRDefault="00EB4C38" w:rsidP="00A77C15">
            <w:r>
              <w:t>Loft insulation</w:t>
            </w:r>
          </w:p>
        </w:tc>
        <w:tc>
          <w:tcPr>
            <w:tcW w:w="2500" w:type="pct"/>
          </w:tcPr>
          <w:p w14:paraId="3CEE4163" w14:textId="2C10E457" w:rsidR="00EB4C38" w:rsidRDefault="00EF0745" w:rsidP="00A77C15">
            <w:r>
              <w:t>Loft insulation to uninsulated lofts.</w:t>
            </w:r>
          </w:p>
        </w:tc>
      </w:tr>
      <w:tr w:rsidR="00EF0745" w14:paraId="17F1D7B7" w14:textId="77777777" w:rsidTr="00BA24D8">
        <w:tc>
          <w:tcPr>
            <w:tcW w:w="2500" w:type="pct"/>
          </w:tcPr>
          <w:p w14:paraId="4A107333" w14:textId="1EBFE308" w:rsidR="00EF0745" w:rsidRDefault="00EF0745" w:rsidP="00A77C15">
            <w:r>
              <w:t>Loft top-up</w:t>
            </w:r>
          </w:p>
        </w:tc>
        <w:tc>
          <w:tcPr>
            <w:tcW w:w="2500" w:type="pct"/>
          </w:tcPr>
          <w:p w14:paraId="7420588C" w14:textId="050C29E4" w:rsidR="00EF0745" w:rsidRDefault="00EF0745" w:rsidP="00A77C15">
            <w:r>
              <w:t>Loft insulation to lofts with &lt;200mm of existing insulation</w:t>
            </w:r>
          </w:p>
        </w:tc>
      </w:tr>
      <w:tr w:rsidR="00EB4C38" w14:paraId="435C4A55" w14:textId="77777777" w:rsidTr="00BA24D8">
        <w:tc>
          <w:tcPr>
            <w:tcW w:w="2500" w:type="pct"/>
          </w:tcPr>
          <w:p w14:paraId="4BE090E8" w14:textId="1F149641" w:rsidR="00EB4C38" w:rsidRDefault="00EF0745" w:rsidP="00A77C15">
            <w:r>
              <w:t>Solid f</w:t>
            </w:r>
            <w:r w:rsidR="00EB4C38">
              <w:t>loor insulation</w:t>
            </w:r>
          </w:p>
        </w:tc>
        <w:tc>
          <w:tcPr>
            <w:tcW w:w="2500" w:type="pct"/>
          </w:tcPr>
          <w:p w14:paraId="586204BA" w14:textId="73D4FB60" w:rsidR="00EB4C38" w:rsidRDefault="00EF0745" w:rsidP="00A77C15">
            <w:r>
              <w:t>Insulation to uninsulated solid floors.</w:t>
            </w:r>
          </w:p>
        </w:tc>
      </w:tr>
      <w:tr w:rsidR="00EF0745" w14:paraId="7D95DA09" w14:textId="77777777" w:rsidTr="00BA24D8">
        <w:tc>
          <w:tcPr>
            <w:tcW w:w="2500" w:type="pct"/>
          </w:tcPr>
          <w:p w14:paraId="3F0A77A2" w14:textId="04C51D45" w:rsidR="00EF0745" w:rsidRDefault="00EF0745" w:rsidP="00A77C15">
            <w:r>
              <w:t>Suspended floor insulation</w:t>
            </w:r>
          </w:p>
        </w:tc>
        <w:tc>
          <w:tcPr>
            <w:tcW w:w="2500" w:type="pct"/>
          </w:tcPr>
          <w:p w14:paraId="0F9C6330" w14:textId="61CDDEFD" w:rsidR="00EF0745" w:rsidRDefault="00EF0745" w:rsidP="00A77C15">
            <w:r>
              <w:t>Insulation to uninsulated suspended floors.</w:t>
            </w:r>
          </w:p>
        </w:tc>
      </w:tr>
      <w:tr w:rsidR="00BD5AAB" w14:paraId="659B4BF3" w14:textId="77777777" w:rsidTr="008B04BE">
        <w:tc>
          <w:tcPr>
            <w:tcW w:w="2500" w:type="pct"/>
          </w:tcPr>
          <w:p w14:paraId="469C805C" w14:textId="4CBC81D1" w:rsidR="00BD5AAB" w:rsidRPr="00BD5AAB" w:rsidRDefault="00BD5AAB" w:rsidP="00BD5AAB">
            <w:r w:rsidRPr="00BD5AAB">
              <w:rPr>
                <w:u w:val="single"/>
              </w:rPr>
              <w:t>Secondary glazing</w:t>
            </w:r>
          </w:p>
        </w:tc>
        <w:tc>
          <w:tcPr>
            <w:tcW w:w="2500" w:type="pct"/>
            <w:shd w:val="clear" w:color="auto" w:fill="F2F2F2" w:themeFill="background2" w:themeFillShade="F2"/>
          </w:tcPr>
          <w:p w14:paraId="65255E30" w14:textId="76CD1726" w:rsidR="00BD5AAB" w:rsidRDefault="00BD5AAB" w:rsidP="00BD5AAB"/>
        </w:tc>
      </w:tr>
      <w:tr w:rsidR="00BD5AAB" w14:paraId="30E69A07" w14:textId="77777777" w:rsidTr="00BA24D8">
        <w:tc>
          <w:tcPr>
            <w:tcW w:w="2500" w:type="pct"/>
          </w:tcPr>
          <w:p w14:paraId="11BD946E" w14:textId="7C9993C6" w:rsidR="00BD5AAB" w:rsidRPr="00BD5AAB" w:rsidRDefault="00BD5AAB" w:rsidP="00BD5AAB">
            <w:r w:rsidRPr="00BD5AAB">
              <w:rPr>
                <w:u w:val="single"/>
              </w:rPr>
              <w:t>Double glazing</w:t>
            </w:r>
          </w:p>
        </w:tc>
        <w:tc>
          <w:tcPr>
            <w:tcW w:w="2500" w:type="pct"/>
            <w:shd w:val="clear" w:color="auto" w:fill="F2F2F2" w:themeFill="background2" w:themeFillShade="F2"/>
          </w:tcPr>
          <w:p w14:paraId="1859322D" w14:textId="34FE000C" w:rsidR="00BD5AAB" w:rsidRDefault="00BD5AAB" w:rsidP="00BD5AAB"/>
        </w:tc>
      </w:tr>
      <w:tr w:rsidR="00BD5AAB" w14:paraId="5B534043" w14:textId="77777777" w:rsidTr="00BA24D8">
        <w:tc>
          <w:tcPr>
            <w:tcW w:w="2500" w:type="pct"/>
          </w:tcPr>
          <w:p w14:paraId="3AA232F0" w14:textId="2AC6FD54" w:rsidR="00BD5AAB" w:rsidRPr="00BD5AAB" w:rsidRDefault="00BD5AAB" w:rsidP="00BD5AAB">
            <w:r w:rsidRPr="00BD5AAB">
              <w:rPr>
                <w:u w:val="single"/>
              </w:rPr>
              <w:t xml:space="preserve">Double </w:t>
            </w:r>
            <w:r w:rsidR="00816843">
              <w:rPr>
                <w:u w:val="single"/>
              </w:rPr>
              <w:t>g</w:t>
            </w:r>
            <w:r w:rsidRPr="00BD5AAB">
              <w:rPr>
                <w:u w:val="single"/>
              </w:rPr>
              <w:t>lazing</w:t>
            </w:r>
            <w:r w:rsidR="00E72600">
              <w:rPr>
                <w:u w:val="single"/>
              </w:rPr>
              <w:t xml:space="preserve"> </w:t>
            </w:r>
            <w:r w:rsidRPr="00BD5AAB">
              <w:rPr>
                <w:u w:val="single"/>
              </w:rPr>
              <w:t xml:space="preserve">- </w:t>
            </w:r>
            <w:r w:rsidR="00816843">
              <w:rPr>
                <w:u w:val="single"/>
              </w:rPr>
              <w:t>s</w:t>
            </w:r>
            <w:r w:rsidRPr="00BD5AAB">
              <w:rPr>
                <w:u w:val="single"/>
              </w:rPr>
              <w:t>lim profile</w:t>
            </w:r>
          </w:p>
        </w:tc>
        <w:tc>
          <w:tcPr>
            <w:tcW w:w="2500" w:type="pct"/>
            <w:shd w:val="clear" w:color="auto" w:fill="F2F2F2" w:themeFill="background2" w:themeFillShade="F2"/>
          </w:tcPr>
          <w:p w14:paraId="4F751FD6" w14:textId="0F548DED" w:rsidR="00BD5AAB" w:rsidRDefault="00BD5AAB" w:rsidP="00BD5AAB"/>
        </w:tc>
      </w:tr>
      <w:tr w:rsidR="00BD5AAB" w14:paraId="5D16647B" w14:textId="77777777" w:rsidTr="00BA24D8">
        <w:tc>
          <w:tcPr>
            <w:tcW w:w="2500" w:type="pct"/>
          </w:tcPr>
          <w:p w14:paraId="5861D46D" w14:textId="6E11A1E5" w:rsidR="00BD5AAB" w:rsidRPr="00BD5AAB" w:rsidRDefault="00BD5AAB" w:rsidP="00BD5AAB">
            <w:r w:rsidRPr="00BD5AAB">
              <w:rPr>
                <w:u w:val="single"/>
              </w:rPr>
              <w:t xml:space="preserve">Triple </w:t>
            </w:r>
            <w:r w:rsidR="00E72600">
              <w:rPr>
                <w:u w:val="single"/>
              </w:rPr>
              <w:t>g</w:t>
            </w:r>
            <w:r w:rsidRPr="00BD5AAB">
              <w:rPr>
                <w:u w:val="single"/>
              </w:rPr>
              <w:t>lazing</w:t>
            </w:r>
          </w:p>
        </w:tc>
        <w:tc>
          <w:tcPr>
            <w:tcW w:w="2500" w:type="pct"/>
            <w:shd w:val="clear" w:color="auto" w:fill="F2F2F2" w:themeFill="background2" w:themeFillShade="F2"/>
          </w:tcPr>
          <w:p w14:paraId="1355C940" w14:textId="39D56E1A" w:rsidR="00BD5AAB" w:rsidRDefault="00BD5AAB" w:rsidP="00BD5AAB"/>
        </w:tc>
      </w:tr>
      <w:tr w:rsidR="00BD5AAB" w14:paraId="3E55395D" w14:textId="77777777" w:rsidTr="008B04BE">
        <w:tc>
          <w:tcPr>
            <w:tcW w:w="2500" w:type="pct"/>
          </w:tcPr>
          <w:p w14:paraId="09E844C4" w14:textId="357CBD16" w:rsidR="00BD5AAB" w:rsidRPr="00BD5AAB" w:rsidRDefault="00BD5AAB" w:rsidP="00BD5AAB">
            <w:r w:rsidRPr="00BD5AAB">
              <w:rPr>
                <w:u w:val="single"/>
              </w:rPr>
              <w:t>Insulated doors</w:t>
            </w:r>
          </w:p>
        </w:tc>
        <w:tc>
          <w:tcPr>
            <w:tcW w:w="2500" w:type="pct"/>
            <w:shd w:val="clear" w:color="auto" w:fill="F2F2F2" w:themeFill="background2" w:themeFillShade="F2"/>
          </w:tcPr>
          <w:p w14:paraId="34DDDC32" w14:textId="0D6EC83E" w:rsidR="00BD5AAB" w:rsidRDefault="00BD5AAB" w:rsidP="00BD5AAB"/>
        </w:tc>
      </w:tr>
      <w:tr w:rsidR="00BD5AAB" w14:paraId="3BFF8F4D" w14:textId="77777777" w:rsidTr="008B04BE">
        <w:tc>
          <w:tcPr>
            <w:tcW w:w="2500" w:type="pct"/>
          </w:tcPr>
          <w:p w14:paraId="3DB5C41E" w14:textId="0F8F69F8" w:rsidR="00BD5AAB" w:rsidRPr="00BD5AAB" w:rsidRDefault="00BD5AAB" w:rsidP="00BD5AAB">
            <w:r w:rsidRPr="00BD5AAB">
              <w:rPr>
                <w:u w:val="single"/>
              </w:rPr>
              <w:t xml:space="preserve">Draught proofing </w:t>
            </w:r>
          </w:p>
        </w:tc>
        <w:tc>
          <w:tcPr>
            <w:tcW w:w="2500" w:type="pct"/>
            <w:shd w:val="clear" w:color="auto" w:fill="F2F2F2" w:themeFill="background2" w:themeFillShade="F2"/>
          </w:tcPr>
          <w:p w14:paraId="646CC647" w14:textId="02AA3D17" w:rsidR="00BD5AAB" w:rsidRDefault="00BD5AAB" w:rsidP="00BD5AAB"/>
        </w:tc>
      </w:tr>
      <w:tr w:rsidR="00BD5AAB" w14:paraId="50403573" w14:textId="052DD92C" w:rsidTr="00BA24D8">
        <w:tc>
          <w:tcPr>
            <w:tcW w:w="2500" w:type="pct"/>
          </w:tcPr>
          <w:p w14:paraId="136D7B06" w14:textId="4BC4DCBB" w:rsidR="00BD5AAB" w:rsidRPr="00BD5AAB" w:rsidRDefault="00BD5AAB" w:rsidP="00BD5AAB">
            <w:r w:rsidRPr="00BD5AAB">
              <w:t>Solar photovoltaic panels</w:t>
            </w:r>
          </w:p>
        </w:tc>
        <w:tc>
          <w:tcPr>
            <w:tcW w:w="2500" w:type="pct"/>
          </w:tcPr>
          <w:p w14:paraId="6A155A90" w14:textId="5F0F2595" w:rsidR="00BD5AAB" w:rsidRDefault="00DC3E84" w:rsidP="00BD5AAB">
            <w:r>
              <w:t>Typical size</w:t>
            </w:r>
            <w:r w:rsidR="00446019">
              <w:t>s of arrays should be estimated for each home typology/size</w:t>
            </w:r>
            <w:r w:rsidR="004F549C">
              <w:t>, potentially for a range of regions</w:t>
            </w:r>
            <w:r w:rsidR="00730648">
              <w:t>. Energy savings should equal the estimated annual output,</w:t>
            </w:r>
            <w:r w:rsidR="00DE228B">
              <w:t xml:space="preserve"> and be</w:t>
            </w:r>
            <w:r w:rsidR="00730648">
              <w:t xml:space="preserve"> expressed in kWh</w:t>
            </w:r>
          </w:p>
        </w:tc>
      </w:tr>
      <w:tr w:rsidR="00BD5AAB" w:rsidRPr="0066199F" w14:paraId="7F7E4C89" w14:textId="77777777" w:rsidTr="0066199F">
        <w:tc>
          <w:tcPr>
            <w:tcW w:w="2500" w:type="pct"/>
            <w:shd w:val="clear" w:color="auto" w:fill="auto"/>
          </w:tcPr>
          <w:p w14:paraId="2BE97FB4" w14:textId="0096AF44" w:rsidR="00BD5AAB" w:rsidRPr="0066199F" w:rsidRDefault="00BD5AAB" w:rsidP="00BD5AAB">
            <w:pPr>
              <w:rPr>
                <w:u w:val="single"/>
              </w:rPr>
            </w:pPr>
            <w:r w:rsidRPr="0066199F">
              <w:rPr>
                <w:u w:val="single"/>
              </w:rPr>
              <w:t xml:space="preserve">HW </w:t>
            </w:r>
            <w:r w:rsidR="00DE228B" w:rsidRPr="0066199F">
              <w:rPr>
                <w:u w:val="single"/>
              </w:rPr>
              <w:t>t</w:t>
            </w:r>
            <w:r w:rsidRPr="0066199F">
              <w:rPr>
                <w:u w:val="single"/>
              </w:rPr>
              <w:t>ank insulation</w:t>
            </w:r>
          </w:p>
        </w:tc>
        <w:tc>
          <w:tcPr>
            <w:tcW w:w="2500" w:type="pct"/>
            <w:shd w:val="clear" w:color="auto" w:fill="auto"/>
          </w:tcPr>
          <w:p w14:paraId="37D4F315" w14:textId="77777777" w:rsidR="00BD5AAB" w:rsidRPr="0066199F" w:rsidRDefault="00BD5AAB" w:rsidP="00BD5AAB"/>
        </w:tc>
      </w:tr>
      <w:tr w:rsidR="00BD5AAB" w:rsidRPr="0066199F" w14:paraId="497FE1A0" w14:textId="77777777" w:rsidTr="0066199F">
        <w:tc>
          <w:tcPr>
            <w:tcW w:w="2500" w:type="pct"/>
            <w:shd w:val="clear" w:color="auto" w:fill="auto"/>
          </w:tcPr>
          <w:p w14:paraId="56F0AD98" w14:textId="37AB5F20" w:rsidR="00BD5AAB" w:rsidRPr="0066199F" w:rsidRDefault="007613BC" w:rsidP="00BD5AAB">
            <w:pPr>
              <w:rPr>
                <w:u w:val="single"/>
              </w:rPr>
            </w:pPr>
            <w:r w:rsidRPr="0066199F">
              <w:rPr>
                <w:u w:val="single"/>
              </w:rPr>
              <w:lastRenderedPageBreak/>
              <w:t>Mechanical v</w:t>
            </w:r>
            <w:r w:rsidR="00BD5AAB" w:rsidRPr="0066199F">
              <w:rPr>
                <w:u w:val="single"/>
              </w:rPr>
              <w:t>entilation</w:t>
            </w:r>
          </w:p>
        </w:tc>
        <w:tc>
          <w:tcPr>
            <w:tcW w:w="2500" w:type="pct"/>
            <w:shd w:val="clear" w:color="auto" w:fill="auto"/>
          </w:tcPr>
          <w:p w14:paraId="6A408D76" w14:textId="62C005DB" w:rsidR="00BD5AAB" w:rsidRPr="0066199F" w:rsidRDefault="002368A6" w:rsidP="00BD5AAB">
            <w:r w:rsidRPr="0066199F">
              <w:t>Costs</w:t>
            </w:r>
            <w:r w:rsidR="0085427F" w:rsidRPr="0066199F">
              <w:t xml:space="preserve"> of installing mechanical extract ventilation to kitchens and bathrooms which do not currently meet Building Regulations.</w:t>
            </w:r>
          </w:p>
        </w:tc>
      </w:tr>
      <w:tr w:rsidR="00816843" w:rsidRPr="0066199F" w14:paraId="5FA35068" w14:textId="77777777" w:rsidTr="0066199F">
        <w:tc>
          <w:tcPr>
            <w:tcW w:w="2500" w:type="pct"/>
            <w:shd w:val="clear" w:color="auto" w:fill="auto"/>
          </w:tcPr>
          <w:p w14:paraId="13037592" w14:textId="32F1872B" w:rsidR="00816843" w:rsidRPr="0066199F" w:rsidRDefault="007613BC" w:rsidP="00BD5AAB">
            <w:pPr>
              <w:rPr>
                <w:u w:val="single"/>
              </w:rPr>
            </w:pPr>
            <w:r w:rsidRPr="0066199F">
              <w:rPr>
                <w:u w:val="single"/>
              </w:rPr>
              <w:t>Air-conditioning*</w:t>
            </w:r>
          </w:p>
        </w:tc>
        <w:tc>
          <w:tcPr>
            <w:tcW w:w="2500" w:type="pct"/>
            <w:shd w:val="clear" w:color="auto" w:fill="auto"/>
          </w:tcPr>
          <w:p w14:paraId="06C21B70" w14:textId="02935413" w:rsidR="00816843" w:rsidRPr="0066199F" w:rsidRDefault="006232C3" w:rsidP="00BD5AAB">
            <w:r w:rsidRPr="0066199F">
              <w:t xml:space="preserve">Typical </w:t>
            </w:r>
            <w:r w:rsidR="00E04C06" w:rsidRPr="0066199F">
              <w:t>annual energy consumption should be estimated</w:t>
            </w:r>
            <w:r w:rsidR="007B2D51" w:rsidRPr="0066199F">
              <w:t xml:space="preserve"> for each home typology/size for a range of</w:t>
            </w:r>
            <w:r w:rsidR="00377194" w:rsidRPr="0066199F">
              <w:t xml:space="preserve"> regions and</w:t>
            </w:r>
            <w:r w:rsidR="007B2D51" w:rsidRPr="0066199F">
              <w:t xml:space="preserve"> future warming scenarios</w:t>
            </w:r>
            <w:r w:rsidR="00377194" w:rsidRPr="0066199F">
              <w:t>.</w:t>
            </w:r>
          </w:p>
        </w:tc>
      </w:tr>
      <w:tr w:rsidR="00BD5AAB" w:rsidRPr="0066199F" w14:paraId="32CD9881" w14:textId="77777777" w:rsidTr="008B04BE">
        <w:tc>
          <w:tcPr>
            <w:tcW w:w="2500" w:type="pct"/>
            <w:shd w:val="clear" w:color="auto" w:fill="auto"/>
          </w:tcPr>
          <w:p w14:paraId="1957A9D0" w14:textId="72C238AD" w:rsidR="00BD5AAB" w:rsidRPr="0066199F" w:rsidRDefault="00BD5AAB" w:rsidP="00BD5AAB">
            <w:pPr>
              <w:rPr>
                <w:u w:val="single"/>
              </w:rPr>
            </w:pPr>
            <w:r w:rsidRPr="0066199F">
              <w:rPr>
                <w:u w:val="single"/>
              </w:rPr>
              <w:t xml:space="preserve">Internal shading (curtains/low </w:t>
            </w:r>
            <w:proofErr w:type="gramStart"/>
            <w:r w:rsidRPr="0066199F">
              <w:rPr>
                <w:u w:val="single"/>
              </w:rPr>
              <w:t>spec)</w:t>
            </w:r>
            <w:r w:rsidR="007613BC" w:rsidRPr="0066199F">
              <w:rPr>
                <w:u w:val="single"/>
              </w:rPr>
              <w:t>*</w:t>
            </w:r>
            <w:proofErr w:type="gramEnd"/>
          </w:p>
        </w:tc>
        <w:tc>
          <w:tcPr>
            <w:tcW w:w="2500" w:type="pct"/>
            <w:shd w:val="clear" w:color="auto" w:fill="F2F2F2" w:themeFill="background2" w:themeFillShade="F2"/>
          </w:tcPr>
          <w:p w14:paraId="531A4B75" w14:textId="77777777" w:rsidR="00BD5AAB" w:rsidRPr="0066199F" w:rsidRDefault="00BD5AAB" w:rsidP="00BD5AAB"/>
        </w:tc>
      </w:tr>
      <w:tr w:rsidR="00BD5AAB" w:rsidRPr="0066199F" w14:paraId="6C26B79C" w14:textId="77777777" w:rsidTr="008B04BE">
        <w:tc>
          <w:tcPr>
            <w:tcW w:w="2500" w:type="pct"/>
            <w:shd w:val="clear" w:color="auto" w:fill="auto"/>
          </w:tcPr>
          <w:p w14:paraId="5EFC2A00" w14:textId="245EDCB3" w:rsidR="00BD5AAB" w:rsidRPr="0066199F" w:rsidRDefault="00BD5AAB" w:rsidP="00BD5AAB">
            <w:pPr>
              <w:rPr>
                <w:u w:val="single"/>
              </w:rPr>
            </w:pPr>
            <w:r w:rsidRPr="0066199F">
              <w:rPr>
                <w:u w:val="single"/>
              </w:rPr>
              <w:t xml:space="preserve">Internal shading (high </w:t>
            </w:r>
            <w:proofErr w:type="gramStart"/>
            <w:r w:rsidRPr="0066199F">
              <w:rPr>
                <w:u w:val="single"/>
              </w:rPr>
              <w:t>spec)*</w:t>
            </w:r>
            <w:proofErr w:type="gramEnd"/>
          </w:p>
        </w:tc>
        <w:tc>
          <w:tcPr>
            <w:tcW w:w="2500" w:type="pct"/>
            <w:shd w:val="clear" w:color="auto" w:fill="F2F2F2" w:themeFill="background2" w:themeFillShade="F2"/>
          </w:tcPr>
          <w:p w14:paraId="0AE41C84" w14:textId="77777777" w:rsidR="00BD5AAB" w:rsidRPr="0066199F" w:rsidRDefault="00BD5AAB" w:rsidP="00BD5AAB"/>
        </w:tc>
      </w:tr>
      <w:tr w:rsidR="00BD5AAB" w:rsidRPr="0066199F" w14:paraId="2E8C9217" w14:textId="77777777" w:rsidTr="008B04BE">
        <w:tc>
          <w:tcPr>
            <w:tcW w:w="2500" w:type="pct"/>
            <w:shd w:val="clear" w:color="auto" w:fill="auto"/>
          </w:tcPr>
          <w:p w14:paraId="6242CCFC" w14:textId="7256A22B" w:rsidR="00BD5AAB" w:rsidRPr="0066199F" w:rsidRDefault="00BD5AAB" w:rsidP="00BD5AAB">
            <w:pPr>
              <w:rPr>
                <w:u w:val="single"/>
              </w:rPr>
            </w:pPr>
            <w:r w:rsidRPr="0066199F">
              <w:rPr>
                <w:u w:val="single"/>
              </w:rPr>
              <w:t>External shading</w:t>
            </w:r>
            <w:r w:rsidR="007613BC" w:rsidRPr="0066199F">
              <w:rPr>
                <w:u w:val="single"/>
              </w:rPr>
              <w:t>*</w:t>
            </w:r>
          </w:p>
        </w:tc>
        <w:tc>
          <w:tcPr>
            <w:tcW w:w="2500" w:type="pct"/>
            <w:shd w:val="clear" w:color="auto" w:fill="F2F2F2" w:themeFill="background2" w:themeFillShade="F2"/>
          </w:tcPr>
          <w:p w14:paraId="37BED20A" w14:textId="77777777" w:rsidR="00BD5AAB" w:rsidRPr="0066199F" w:rsidRDefault="00BD5AAB" w:rsidP="00BD5AAB"/>
        </w:tc>
      </w:tr>
    </w:tbl>
    <w:p w14:paraId="6945B2F2" w14:textId="477E5633" w:rsidR="00BD5AAB" w:rsidRDefault="001F518A" w:rsidP="00A77C15">
      <w:pPr>
        <w:rPr>
          <w:u w:val="single"/>
        </w:rPr>
      </w:pPr>
      <w:r>
        <w:rPr>
          <w:u w:val="single"/>
        </w:rPr>
        <w:t>*</w:t>
      </w:r>
      <w:r w:rsidR="003C30BC">
        <w:rPr>
          <w:u w:val="single"/>
        </w:rPr>
        <w:t>Bidders should</w:t>
      </w:r>
      <w:r w:rsidR="0009052D">
        <w:rPr>
          <w:u w:val="single"/>
        </w:rPr>
        <w:t xml:space="preserve"> provide itemised prices for these</w:t>
      </w:r>
      <w:r w:rsidR="00CA0BBF">
        <w:rPr>
          <w:u w:val="single"/>
        </w:rPr>
        <w:t xml:space="preserve"> items, to give the option of including or omitting them from the </w:t>
      </w:r>
      <w:r w:rsidR="00CB3EF1">
        <w:rPr>
          <w:u w:val="single"/>
        </w:rPr>
        <w:t>contract.</w:t>
      </w:r>
    </w:p>
    <w:p w14:paraId="16C2CA89" w14:textId="77777777" w:rsidR="00BD5AAB" w:rsidRPr="003E77EA" w:rsidRDefault="00BD5AAB" w:rsidP="00A77C15">
      <w:pPr>
        <w:rPr>
          <w:u w:val="single"/>
        </w:rPr>
      </w:pPr>
    </w:p>
    <w:p w14:paraId="5F51E0D5" w14:textId="679B7525" w:rsidR="00D20D93" w:rsidRDefault="00D20D93" w:rsidP="00CA5308">
      <w:pPr>
        <w:pStyle w:val="Heading3"/>
      </w:pPr>
      <w:r w:rsidRPr="003E77EA">
        <w:t>Table 2: Supplementary energy efficiency measure costs</w:t>
      </w:r>
    </w:p>
    <w:tbl>
      <w:tblPr>
        <w:tblStyle w:val="TableGrid"/>
        <w:tblW w:w="5000" w:type="pct"/>
        <w:tblLook w:val="04A0" w:firstRow="1" w:lastRow="0" w:firstColumn="1" w:lastColumn="0" w:noHBand="0" w:noVBand="1"/>
      </w:tblPr>
      <w:tblGrid>
        <w:gridCol w:w="3927"/>
        <w:gridCol w:w="3927"/>
      </w:tblGrid>
      <w:tr w:rsidR="00BA24D8" w14:paraId="3F10884C" w14:textId="0342187D" w:rsidTr="00BA24D8">
        <w:tc>
          <w:tcPr>
            <w:tcW w:w="2500" w:type="pct"/>
          </w:tcPr>
          <w:p w14:paraId="4E055EBE" w14:textId="77777777" w:rsidR="00BA24D8" w:rsidRPr="003E77EA" w:rsidRDefault="00BA24D8" w:rsidP="00841A4E">
            <w:pPr>
              <w:rPr>
                <w:b/>
                <w:bCs/>
              </w:rPr>
            </w:pPr>
            <w:r w:rsidRPr="003E77EA">
              <w:rPr>
                <w:b/>
                <w:bCs/>
              </w:rPr>
              <w:t>Cost element</w:t>
            </w:r>
          </w:p>
        </w:tc>
        <w:tc>
          <w:tcPr>
            <w:tcW w:w="2500" w:type="pct"/>
          </w:tcPr>
          <w:p w14:paraId="19B22E62" w14:textId="65C73B3A" w:rsidR="00BA24D8" w:rsidRPr="003E77EA" w:rsidRDefault="0079530C" w:rsidP="00841A4E">
            <w:pPr>
              <w:rPr>
                <w:b/>
                <w:bCs/>
              </w:rPr>
            </w:pPr>
            <w:r>
              <w:rPr>
                <w:b/>
                <w:bCs/>
              </w:rPr>
              <w:t>Notes</w:t>
            </w:r>
          </w:p>
        </w:tc>
      </w:tr>
      <w:tr w:rsidR="00BA24D8" w14:paraId="3D8AD0DF" w14:textId="0364229D" w:rsidTr="008B04BE">
        <w:tc>
          <w:tcPr>
            <w:tcW w:w="2500" w:type="pct"/>
          </w:tcPr>
          <w:p w14:paraId="7849AD50" w14:textId="6FC8A721" w:rsidR="00BA24D8" w:rsidRDefault="00BA24D8" w:rsidP="00841A4E">
            <w:r>
              <w:t>Scaffolding</w:t>
            </w:r>
          </w:p>
        </w:tc>
        <w:tc>
          <w:tcPr>
            <w:tcW w:w="2500" w:type="pct"/>
            <w:shd w:val="clear" w:color="auto" w:fill="F2F2F2" w:themeFill="background2" w:themeFillShade="F2"/>
          </w:tcPr>
          <w:p w14:paraId="3390805B" w14:textId="77777777" w:rsidR="00BA24D8" w:rsidRDefault="00BA24D8" w:rsidP="00841A4E"/>
        </w:tc>
      </w:tr>
      <w:tr w:rsidR="00BA24D8" w14:paraId="54F81402" w14:textId="60CF339D" w:rsidTr="008B04BE">
        <w:tc>
          <w:tcPr>
            <w:tcW w:w="2500" w:type="pct"/>
          </w:tcPr>
          <w:p w14:paraId="117BC9C4" w14:textId="0A03C35D" w:rsidR="00BA24D8" w:rsidRDefault="00BA24D8" w:rsidP="00841A4E">
            <w:r>
              <w:t>Retrofit survey</w:t>
            </w:r>
          </w:p>
        </w:tc>
        <w:tc>
          <w:tcPr>
            <w:tcW w:w="2500" w:type="pct"/>
            <w:shd w:val="clear" w:color="auto" w:fill="F2F2F2" w:themeFill="background2" w:themeFillShade="F2"/>
          </w:tcPr>
          <w:p w14:paraId="07FBF464" w14:textId="77777777" w:rsidR="00BA24D8" w:rsidRDefault="00BA24D8" w:rsidP="00841A4E"/>
        </w:tc>
      </w:tr>
      <w:tr w:rsidR="007E2AB9" w14:paraId="1E0AF7CF" w14:textId="77777777" w:rsidTr="008B04BE">
        <w:tc>
          <w:tcPr>
            <w:tcW w:w="2500" w:type="pct"/>
          </w:tcPr>
          <w:p w14:paraId="34AF4AA9" w14:textId="4D661B01" w:rsidR="007E2AB9" w:rsidRDefault="007E2AB9" w:rsidP="007E2AB9">
            <w:r>
              <w:t>Retrofit design</w:t>
            </w:r>
          </w:p>
        </w:tc>
        <w:tc>
          <w:tcPr>
            <w:tcW w:w="2500" w:type="pct"/>
            <w:shd w:val="clear" w:color="auto" w:fill="F2F2F2" w:themeFill="background2" w:themeFillShade="F2"/>
          </w:tcPr>
          <w:p w14:paraId="43D002DF" w14:textId="77777777" w:rsidR="007E2AB9" w:rsidRDefault="007E2AB9" w:rsidP="007E2AB9"/>
        </w:tc>
      </w:tr>
      <w:tr w:rsidR="007E2AB9" w14:paraId="4C7E21A9" w14:textId="77777777" w:rsidTr="008B04BE">
        <w:tc>
          <w:tcPr>
            <w:tcW w:w="2500" w:type="pct"/>
          </w:tcPr>
          <w:p w14:paraId="2A9D4AA4" w14:textId="6126E215" w:rsidR="007E2AB9" w:rsidRDefault="007E2AB9" w:rsidP="007E2AB9">
            <w:r>
              <w:t>Project management</w:t>
            </w:r>
          </w:p>
        </w:tc>
        <w:tc>
          <w:tcPr>
            <w:tcW w:w="2500" w:type="pct"/>
            <w:shd w:val="clear" w:color="auto" w:fill="F2F2F2" w:themeFill="background2" w:themeFillShade="F2"/>
          </w:tcPr>
          <w:p w14:paraId="6F453138" w14:textId="77777777" w:rsidR="007E2AB9" w:rsidRDefault="007E2AB9" w:rsidP="007E2AB9"/>
        </w:tc>
      </w:tr>
      <w:tr w:rsidR="007E2AB9" w14:paraId="2B7255DA" w14:textId="0FA814D7" w:rsidTr="008B04BE">
        <w:tc>
          <w:tcPr>
            <w:tcW w:w="2500" w:type="pct"/>
          </w:tcPr>
          <w:p w14:paraId="4C246638" w14:textId="77EF1842" w:rsidR="007E2AB9" w:rsidRDefault="007E2AB9" w:rsidP="007E2AB9">
            <w:r>
              <w:t>EPC assessment</w:t>
            </w:r>
          </w:p>
        </w:tc>
        <w:tc>
          <w:tcPr>
            <w:tcW w:w="2500" w:type="pct"/>
            <w:shd w:val="clear" w:color="auto" w:fill="F2F2F2" w:themeFill="background2" w:themeFillShade="F2"/>
          </w:tcPr>
          <w:p w14:paraId="3E343B32" w14:textId="77777777" w:rsidR="007E2AB9" w:rsidRDefault="007E2AB9" w:rsidP="007E2AB9"/>
        </w:tc>
      </w:tr>
      <w:tr w:rsidR="007E2AB9" w14:paraId="285D6CAC" w14:textId="056220F1" w:rsidTr="008B04BE">
        <w:tc>
          <w:tcPr>
            <w:tcW w:w="2500" w:type="pct"/>
          </w:tcPr>
          <w:p w14:paraId="5C544810" w14:textId="2552EE9E" w:rsidR="007E2AB9" w:rsidRDefault="007E2AB9" w:rsidP="007E2AB9">
            <w:r>
              <w:t>Damp remediation</w:t>
            </w:r>
          </w:p>
        </w:tc>
        <w:tc>
          <w:tcPr>
            <w:tcW w:w="2500" w:type="pct"/>
            <w:shd w:val="clear" w:color="auto" w:fill="F2F2F2" w:themeFill="background2" w:themeFillShade="F2"/>
          </w:tcPr>
          <w:p w14:paraId="2096808A" w14:textId="77777777" w:rsidR="007E2AB9" w:rsidRDefault="007E2AB9" w:rsidP="007E2AB9"/>
        </w:tc>
      </w:tr>
    </w:tbl>
    <w:p w14:paraId="4856B044" w14:textId="77777777" w:rsidR="00CB16C5" w:rsidRDefault="00CB16C5" w:rsidP="00A77C15"/>
    <w:p w14:paraId="12FF2DDF" w14:textId="6849AF0F" w:rsidR="00F3139A" w:rsidRPr="00F3139A" w:rsidRDefault="00F3139A" w:rsidP="00CA5308">
      <w:pPr>
        <w:pStyle w:val="Heading3"/>
      </w:pPr>
      <w:r w:rsidRPr="00F3139A">
        <w:t xml:space="preserve">Table </w:t>
      </w:r>
      <w:r w:rsidR="00D20D93">
        <w:t>3:</w:t>
      </w:r>
      <w:r w:rsidR="00EB4C38">
        <w:t xml:space="preserve"> Required heating </w:t>
      </w:r>
      <w:proofErr w:type="gramStart"/>
      <w:r w:rsidR="00D34B90">
        <w:t>measures</w:t>
      </w:r>
      <w:proofErr w:type="gramEnd"/>
    </w:p>
    <w:tbl>
      <w:tblPr>
        <w:tblStyle w:val="TableGrid"/>
        <w:tblW w:w="5000" w:type="pct"/>
        <w:tblLook w:val="04A0" w:firstRow="1" w:lastRow="0" w:firstColumn="1" w:lastColumn="0" w:noHBand="0" w:noVBand="1"/>
      </w:tblPr>
      <w:tblGrid>
        <w:gridCol w:w="3927"/>
        <w:gridCol w:w="3927"/>
      </w:tblGrid>
      <w:tr w:rsidR="00EB4C38" w:rsidRPr="002B69B8" w14:paraId="30FFF64C" w14:textId="77777777" w:rsidTr="00BA24D8">
        <w:tc>
          <w:tcPr>
            <w:tcW w:w="2500" w:type="pct"/>
          </w:tcPr>
          <w:p w14:paraId="1A4736DA" w14:textId="1D280B38" w:rsidR="00EB4C38" w:rsidRPr="002B69B8" w:rsidRDefault="003E77EA" w:rsidP="00841A4E">
            <w:pPr>
              <w:rPr>
                <w:b/>
                <w:bCs/>
              </w:rPr>
            </w:pPr>
            <w:r>
              <w:rPr>
                <w:b/>
                <w:bCs/>
              </w:rPr>
              <w:t>Measure</w:t>
            </w:r>
            <w:r w:rsidR="00EB4C38" w:rsidRPr="002B69B8">
              <w:rPr>
                <w:b/>
                <w:bCs/>
              </w:rPr>
              <w:t xml:space="preserve"> name</w:t>
            </w:r>
          </w:p>
        </w:tc>
        <w:tc>
          <w:tcPr>
            <w:tcW w:w="2500" w:type="pct"/>
          </w:tcPr>
          <w:p w14:paraId="39D8108E" w14:textId="428074AB" w:rsidR="00EB4C38" w:rsidRPr="002B69B8" w:rsidRDefault="0079530C" w:rsidP="00841A4E">
            <w:pPr>
              <w:rPr>
                <w:b/>
                <w:bCs/>
              </w:rPr>
            </w:pPr>
            <w:r>
              <w:rPr>
                <w:b/>
                <w:bCs/>
              </w:rPr>
              <w:t>Notes</w:t>
            </w:r>
          </w:p>
        </w:tc>
      </w:tr>
      <w:tr w:rsidR="00EB4C38" w14:paraId="6661F2AB" w14:textId="77777777" w:rsidTr="00BA24D8">
        <w:tc>
          <w:tcPr>
            <w:tcW w:w="2500" w:type="pct"/>
          </w:tcPr>
          <w:p w14:paraId="66988BDC" w14:textId="7919CDE5" w:rsidR="00EB4C38" w:rsidRDefault="00EB4C38" w:rsidP="00841A4E">
            <w:r>
              <w:t>Electric resistive heating</w:t>
            </w:r>
          </w:p>
        </w:tc>
        <w:tc>
          <w:tcPr>
            <w:tcW w:w="2500" w:type="pct"/>
          </w:tcPr>
          <w:p w14:paraId="2F0177E9" w14:textId="49111178" w:rsidR="00EB4C38" w:rsidRDefault="00EB4C38" w:rsidP="00841A4E">
            <w:r>
              <w:t>Hybrid combinations required</w:t>
            </w:r>
          </w:p>
        </w:tc>
      </w:tr>
      <w:tr w:rsidR="00EB4C38" w14:paraId="13AAEF47" w14:textId="77777777" w:rsidTr="00BA24D8">
        <w:tc>
          <w:tcPr>
            <w:tcW w:w="2500" w:type="pct"/>
          </w:tcPr>
          <w:p w14:paraId="4194E608" w14:textId="7426D5BE" w:rsidR="00EB4C38" w:rsidRDefault="00910D27" w:rsidP="00841A4E">
            <w:r>
              <w:t>Electric s</w:t>
            </w:r>
            <w:r w:rsidR="00EB4C38">
              <w:t>torage heaters</w:t>
            </w:r>
          </w:p>
        </w:tc>
        <w:tc>
          <w:tcPr>
            <w:tcW w:w="2500" w:type="pct"/>
          </w:tcPr>
          <w:p w14:paraId="09FEEBDB" w14:textId="2ED8014F" w:rsidR="00EB4C38" w:rsidRDefault="00EB4C38" w:rsidP="00841A4E">
            <w:r>
              <w:t>Hybrid combinations required</w:t>
            </w:r>
          </w:p>
        </w:tc>
      </w:tr>
      <w:tr w:rsidR="00EB4C38" w14:paraId="2402FB9D" w14:textId="77777777" w:rsidTr="00BA24D8">
        <w:tc>
          <w:tcPr>
            <w:tcW w:w="2500" w:type="pct"/>
          </w:tcPr>
          <w:p w14:paraId="30764A65" w14:textId="14E46DE5" w:rsidR="00EB4C38" w:rsidRDefault="00910D27" w:rsidP="00841A4E">
            <w:r>
              <w:t>Heat networks</w:t>
            </w:r>
          </w:p>
        </w:tc>
        <w:tc>
          <w:tcPr>
            <w:tcW w:w="2500" w:type="pct"/>
            <w:shd w:val="clear" w:color="auto" w:fill="F2F2F2" w:themeFill="background2" w:themeFillShade="F2"/>
          </w:tcPr>
          <w:p w14:paraId="33A0344B" w14:textId="37970703" w:rsidR="00EB4C38" w:rsidRDefault="00EB4C38" w:rsidP="00841A4E"/>
        </w:tc>
      </w:tr>
      <w:tr w:rsidR="00EB4C38" w14:paraId="34A51E74" w14:textId="77777777" w:rsidTr="00BA24D8">
        <w:tc>
          <w:tcPr>
            <w:tcW w:w="2500" w:type="pct"/>
          </w:tcPr>
          <w:p w14:paraId="65EF093D" w14:textId="72EC4089" w:rsidR="00EB4C38" w:rsidRDefault="00EB4C38" w:rsidP="00841A4E">
            <w:r>
              <w:t>Gas boiler</w:t>
            </w:r>
          </w:p>
        </w:tc>
        <w:tc>
          <w:tcPr>
            <w:tcW w:w="2500" w:type="pct"/>
            <w:shd w:val="clear" w:color="auto" w:fill="F2F2F2" w:themeFill="background2" w:themeFillShade="F2"/>
          </w:tcPr>
          <w:p w14:paraId="74246E37" w14:textId="26A22BF4" w:rsidR="00EB4C38" w:rsidRDefault="00EB4C38" w:rsidP="00841A4E"/>
        </w:tc>
      </w:tr>
      <w:tr w:rsidR="00910D27" w14:paraId="1D4D0DB0" w14:textId="77777777" w:rsidTr="00BA24D8">
        <w:tc>
          <w:tcPr>
            <w:tcW w:w="2500" w:type="pct"/>
          </w:tcPr>
          <w:p w14:paraId="6E55609B" w14:textId="4A87B8E7" w:rsidR="00910D27" w:rsidRDefault="00910D27" w:rsidP="00841A4E">
            <w:r>
              <w:t>Gas boiler warm air</w:t>
            </w:r>
          </w:p>
        </w:tc>
        <w:tc>
          <w:tcPr>
            <w:tcW w:w="2500" w:type="pct"/>
            <w:shd w:val="clear" w:color="auto" w:fill="F2F2F2" w:themeFill="background2" w:themeFillShade="F2"/>
          </w:tcPr>
          <w:p w14:paraId="5C680322" w14:textId="77777777" w:rsidR="00910D27" w:rsidRDefault="00910D27" w:rsidP="00841A4E"/>
        </w:tc>
      </w:tr>
      <w:tr w:rsidR="00EB4C38" w14:paraId="386AD2B7" w14:textId="77777777" w:rsidTr="00BA24D8">
        <w:tc>
          <w:tcPr>
            <w:tcW w:w="2500" w:type="pct"/>
          </w:tcPr>
          <w:p w14:paraId="19AB2944" w14:textId="2C7D2003" w:rsidR="00EB4C38" w:rsidRDefault="00EB4C38" w:rsidP="00841A4E">
            <w:r>
              <w:t>Oil boiler</w:t>
            </w:r>
          </w:p>
        </w:tc>
        <w:tc>
          <w:tcPr>
            <w:tcW w:w="2500" w:type="pct"/>
            <w:shd w:val="clear" w:color="auto" w:fill="F2F2F2" w:themeFill="background2" w:themeFillShade="F2"/>
          </w:tcPr>
          <w:p w14:paraId="75AAE6F2" w14:textId="367D0882" w:rsidR="00EB4C38" w:rsidRDefault="00EB4C38" w:rsidP="00841A4E"/>
        </w:tc>
      </w:tr>
      <w:tr w:rsidR="00CF0B8E" w14:paraId="007A0E8F" w14:textId="77777777" w:rsidTr="00BA24D8">
        <w:tc>
          <w:tcPr>
            <w:tcW w:w="2500" w:type="pct"/>
          </w:tcPr>
          <w:p w14:paraId="6755E7BD" w14:textId="6788CF18" w:rsidR="00CF0B8E" w:rsidRDefault="00CF0B8E" w:rsidP="00841A4E">
            <w:r>
              <w:t>LPG boiler</w:t>
            </w:r>
          </w:p>
        </w:tc>
        <w:tc>
          <w:tcPr>
            <w:tcW w:w="2500" w:type="pct"/>
            <w:shd w:val="clear" w:color="auto" w:fill="F2F2F2" w:themeFill="background2" w:themeFillShade="F2"/>
          </w:tcPr>
          <w:p w14:paraId="65A83159" w14:textId="77777777" w:rsidR="00CF0B8E" w:rsidRDefault="00CF0B8E" w:rsidP="00841A4E"/>
        </w:tc>
      </w:tr>
      <w:tr w:rsidR="00CF0B8E" w14:paraId="4C6775D0" w14:textId="77777777" w:rsidTr="00BA24D8">
        <w:tc>
          <w:tcPr>
            <w:tcW w:w="2500" w:type="pct"/>
          </w:tcPr>
          <w:p w14:paraId="5F7012C2" w14:textId="1782B247" w:rsidR="00CF0B8E" w:rsidRDefault="00CF0B8E" w:rsidP="00841A4E">
            <w:r>
              <w:t>Biofuel boiler</w:t>
            </w:r>
          </w:p>
        </w:tc>
        <w:tc>
          <w:tcPr>
            <w:tcW w:w="2500" w:type="pct"/>
            <w:shd w:val="clear" w:color="auto" w:fill="F2F2F2" w:themeFill="background2" w:themeFillShade="F2"/>
          </w:tcPr>
          <w:p w14:paraId="698C74BD" w14:textId="77777777" w:rsidR="00CF0B8E" w:rsidRDefault="00CF0B8E" w:rsidP="00841A4E"/>
        </w:tc>
      </w:tr>
      <w:tr w:rsidR="00CF0B8E" w14:paraId="14CB6C96" w14:textId="77777777" w:rsidTr="00BA24D8">
        <w:tc>
          <w:tcPr>
            <w:tcW w:w="2500" w:type="pct"/>
          </w:tcPr>
          <w:p w14:paraId="1D923B19" w14:textId="65A02DEB" w:rsidR="00CF0B8E" w:rsidRDefault="00CF0B8E" w:rsidP="00841A4E">
            <w:r>
              <w:t>Coal boiler</w:t>
            </w:r>
          </w:p>
        </w:tc>
        <w:tc>
          <w:tcPr>
            <w:tcW w:w="2500" w:type="pct"/>
            <w:shd w:val="clear" w:color="auto" w:fill="F2F2F2" w:themeFill="background2" w:themeFillShade="F2"/>
          </w:tcPr>
          <w:p w14:paraId="0DF1EADA" w14:textId="77777777" w:rsidR="00CF0B8E" w:rsidRDefault="00CF0B8E" w:rsidP="00841A4E"/>
        </w:tc>
      </w:tr>
      <w:tr w:rsidR="00DA462D" w14:paraId="67950037" w14:textId="77777777" w:rsidTr="008B04BE">
        <w:tc>
          <w:tcPr>
            <w:tcW w:w="2500" w:type="pct"/>
          </w:tcPr>
          <w:p w14:paraId="2B740E7E" w14:textId="3BF2FB13" w:rsidR="00DA462D" w:rsidRDefault="00DA462D" w:rsidP="00841A4E">
            <w:r>
              <w:t>Communal</w:t>
            </w:r>
          </w:p>
        </w:tc>
        <w:tc>
          <w:tcPr>
            <w:tcW w:w="2500" w:type="pct"/>
            <w:shd w:val="clear" w:color="auto" w:fill="auto"/>
          </w:tcPr>
          <w:p w14:paraId="1E5CC241" w14:textId="560216E7" w:rsidR="00DA462D" w:rsidRDefault="00793EBB" w:rsidP="00841A4E">
            <w:r>
              <w:t xml:space="preserve">Bidders should </w:t>
            </w:r>
            <w:r w:rsidR="00EE0F78">
              <w:t>consider</w:t>
            </w:r>
            <w:r>
              <w:t xml:space="preserve"> </w:t>
            </w:r>
            <w:r w:rsidR="0039259B">
              <w:t xml:space="preserve">how to account for </w:t>
            </w:r>
            <w:r w:rsidR="001D478C">
              <w:t xml:space="preserve">the Capex and </w:t>
            </w:r>
            <w:proofErr w:type="spellStart"/>
            <w:r w:rsidR="001D478C">
              <w:t>Opex</w:t>
            </w:r>
            <w:proofErr w:type="spellEnd"/>
            <w:r w:rsidR="001D478C">
              <w:t xml:space="preserve"> for </w:t>
            </w:r>
            <w:r w:rsidR="008E5BA8">
              <w:t xml:space="preserve">shared and individual </w:t>
            </w:r>
            <w:r w:rsidR="004167FF">
              <w:t>elements of system</w:t>
            </w:r>
            <w:r w:rsidR="00CC1FEE">
              <w:t>, and differing lifetimes of these elements.</w:t>
            </w:r>
          </w:p>
        </w:tc>
      </w:tr>
      <w:tr w:rsidR="00CF0B8E" w14:paraId="59CF3BED" w14:textId="77777777" w:rsidTr="008B04BE">
        <w:tc>
          <w:tcPr>
            <w:tcW w:w="2500" w:type="pct"/>
          </w:tcPr>
          <w:p w14:paraId="03AE0061" w14:textId="486C22B5" w:rsidR="00CF0B8E" w:rsidRDefault="00CF0B8E" w:rsidP="00841A4E">
            <w:r>
              <w:t>Heat network</w:t>
            </w:r>
          </w:p>
        </w:tc>
        <w:tc>
          <w:tcPr>
            <w:tcW w:w="2500" w:type="pct"/>
            <w:shd w:val="clear" w:color="auto" w:fill="auto"/>
          </w:tcPr>
          <w:p w14:paraId="455144F5" w14:textId="6554053C" w:rsidR="00CF0B8E" w:rsidRDefault="00EE0F78" w:rsidP="00841A4E">
            <w:r>
              <w:t xml:space="preserve">Bidders should consider how to account for the Capex and </w:t>
            </w:r>
            <w:proofErr w:type="spellStart"/>
            <w:r>
              <w:t>Opex</w:t>
            </w:r>
            <w:proofErr w:type="spellEnd"/>
            <w:r>
              <w:t xml:space="preserve"> for shared and individual elements of system, and differing lifetimes of these elements.</w:t>
            </w:r>
          </w:p>
        </w:tc>
      </w:tr>
      <w:tr w:rsidR="00EB4C38" w14:paraId="2F5E8225" w14:textId="77777777" w:rsidTr="00BA24D8">
        <w:tc>
          <w:tcPr>
            <w:tcW w:w="2500" w:type="pct"/>
          </w:tcPr>
          <w:p w14:paraId="052CB617" w14:textId="67CC2CDB" w:rsidR="00EB4C38" w:rsidRDefault="00EB4C38" w:rsidP="00841A4E">
            <w:r>
              <w:t>Hydrogen boiler</w:t>
            </w:r>
          </w:p>
        </w:tc>
        <w:tc>
          <w:tcPr>
            <w:tcW w:w="2500" w:type="pct"/>
          </w:tcPr>
          <w:p w14:paraId="3234D1B9" w14:textId="2FB70FF0" w:rsidR="00EB4C38" w:rsidRDefault="00EB4C38" w:rsidP="00841A4E">
            <w:r>
              <w:t>Hybrid combinations required</w:t>
            </w:r>
          </w:p>
        </w:tc>
      </w:tr>
      <w:tr w:rsidR="00EB4C38" w14:paraId="0DEB4C3E" w14:textId="77777777" w:rsidTr="00BA24D8">
        <w:tc>
          <w:tcPr>
            <w:tcW w:w="2500" w:type="pct"/>
          </w:tcPr>
          <w:p w14:paraId="33173AD4" w14:textId="3D6BC8F3" w:rsidR="00EB4C38" w:rsidRDefault="00EB4C38" w:rsidP="00841A4E">
            <w:r>
              <w:t>Air source heat pumps</w:t>
            </w:r>
            <w:r w:rsidR="008B04BE">
              <w:t xml:space="preserve"> (ASHP)</w:t>
            </w:r>
          </w:p>
        </w:tc>
        <w:tc>
          <w:tcPr>
            <w:tcW w:w="2500" w:type="pct"/>
          </w:tcPr>
          <w:p w14:paraId="20984DBF" w14:textId="7A7233C7" w:rsidR="00EB4C38" w:rsidRDefault="00EB4C38" w:rsidP="00841A4E">
            <w:r>
              <w:t>Hybrid combinations required</w:t>
            </w:r>
            <w:r w:rsidR="00D15157">
              <w:t>, as below</w:t>
            </w:r>
            <w:r>
              <w:t xml:space="preserve">. Heat pump systems should be </w:t>
            </w:r>
            <w:r>
              <w:lastRenderedPageBreak/>
              <w:t xml:space="preserve">split by size and temperature where appropriate. </w:t>
            </w:r>
          </w:p>
        </w:tc>
      </w:tr>
      <w:tr w:rsidR="00EB4C38" w14:paraId="3ED660CB" w14:textId="77777777" w:rsidTr="00BA24D8">
        <w:tc>
          <w:tcPr>
            <w:tcW w:w="2500" w:type="pct"/>
          </w:tcPr>
          <w:p w14:paraId="00313A48" w14:textId="2735DEB6" w:rsidR="00EB4C38" w:rsidRDefault="00EB4C38" w:rsidP="00841A4E">
            <w:r>
              <w:lastRenderedPageBreak/>
              <w:t>Ground source heat pumps</w:t>
            </w:r>
            <w:r w:rsidR="008B04BE">
              <w:t xml:space="preserve"> (GSHP)</w:t>
            </w:r>
          </w:p>
        </w:tc>
        <w:tc>
          <w:tcPr>
            <w:tcW w:w="2500" w:type="pct"/>
          </w:tcPr>
          <w:p w14:paraId="328BF8D9" w14:textId="57CCA89F" w:rsidR="00EB4C38" w:rsidRDefault="00EB4C38" w:rsidP="00841A4E">
            <w:r>
              <w:t>Hybrid combinations required</w:t>
            </w:r>
            <w:r w:rsidR="00D15157">
              <w:t>, as below</w:t>
            </w:r>
            <w:r>
              <w:t>. Heat pump systems should be split by size and temperature where appropriate.</w:t>
            </w:r>
          </w:p>
        </w:tc>
      </w:tr>
      <w:tr w:rsidR="008631BB" w14:paraId="6AD76619" w14:textId="77777777" w:rsidTr="00BA24D8">
        <w:tc>
          <w:tcPr>
            <w:tcW w:w="2500" w:type="pct"/>
          </w:tcPr>
          <w:p w14:paraId="327EE407" w14:textId="33E6453C" w:rsidR="008631BB" w:rsidRDefault="00262E77" w:rsidP="00841A4E">
            <w:r>
              <w:t>Communal ASHP</w:t>
            </w:r>
          </w:p>
        </w:tc>
        <w:tc>
          <w:tcPr>
            <w:tcW w:w="2500" w:type="pct"/>
          </w:tcPr>
          <w:p w14:paraId="48FE9CEF" w14:textId="1067DAD4" w:rsidR="008631BB" w:rsidRDefault="00D376C7" w:rsidP="00841A4E">
            <w:r>
              <w:t xml:space="preserve">Large centralised ASHP with ambient loop to small individual HPs in dwellings. </w:t>
            </w:r>
            <w:r w:rsidR="007960AB">
              <w:t xml:space="preserve">Bidders should consider how to account for the Capex and </w:t>
            </w:r>
            <w:proofErr w:type="spellStart"/>
            <w:r w:rsidR="007960AB">
              <w:t>Opex</w:t>
            </w:r>
            <w:proofErr w:type="spellEnd"/>
            <w:r w:rsidR="007960AB">
              <w:t xml:space="preserve"> for shared and individual elements of system, and differing lifetimes of these elements.</w:t>
            </w:r>
          </w:p>
        </w:tc>
      </w:tr>
      <w:tr w:rsidR="008631BB" w14:paraId="3A0D0562" w14:textId="77777777" w:rsidTr="00BA24D8">
        <w:tc>
          <w:tcPr>
            <w:tcW w:w="2500" w:type="pct"/>
          </w:tcPr>
          <w:p w14:paraId="3F603F89" w14:textId="2B1F67C5" w:rsidR="008631BB" w:rsidRDefault="00262E77" w:rsidP="00841A4E">
            <w:r>
              <w:t>Communal GSHP</w:t>
            </w:r>
          </w:p>
        </w:tc>
        <w:tc>
          <w:tcPr>
            <w:tcW w:w="2500" w:type="pct"/>
          </w:tcPr>
          <w:p w14:paraId="6A7232A0" w14:textId="613BE306" w:rsidR="008631BB" w:rsidRDefault="00CE00C4" w:rsidP="00841A4E">
            <w:r>
              <w:t>Larg</w:t>
            </w:r>
            <w:r w:rsidR="00824F5F">
              <w:t>e centralised</w:t>
            </w:r>
            <w:r w:rsidR="00321E9E">
              <w:t xml:space="preserve"> GSHP with ambient loop to small individual HPs </w:t>
            </w:r>
            <w:r w:rsidR="00D376C7">
              <w:t xml:space="preserve">in dwellings. </w:t>
            </w:r>
            <w:r w:rsidR="007960AB">
              <w:t xml:space="preserve">Bidders should consider how to account for the Capex and </w:t>
            </w:r>
            <w:proofErr w:type="spellStart"/>
            <w:r w:rsidR="007960AB">
              <w:t>Opex</w:t>
            </w:r>
            <w:proofErr w:type="spellEnd"/>
            <w:r w:rsidR="007960AB">
              <w:t xml:space="preserve"> for shared and individual elements of system, and differing lifetimes of these elements.</w:t>
            </w:r>
          </w:p>
        </w:tc>
      </w:tr>
      <w:tr w:rsidR="00511E7D" w14:paraId="405BE575" w14:textId="77777777" w:rsidTr="00BA24D8">
        <w:tc>
          <w:tcPr>
            <w:tcW w:w="2500" w:type="pct"/>
          </w:tcPr>
          <w:p w14:paraId="1619A692" w14:textId="405C7F41" w:rsidR="00511E7D" w:rsidRDefault="00511E7D" w:rsidP="00841A4E">
            <w:r>
              <w:t>GSHP with shared</w:t>
            </w:r>
            <w:r w:rsidR="00BC09F2">
              <w:t xml:space="preserve"> loop</w:t>
            </w:r>
          </w:p>
        </w:tc>
        <w:tc>
          <w:tcPr>
            <w:tcW w:w="2500" w:type="pct"/>
          </w:tcPr>
          <w:p w14:paraId="7117FD43" w14:textId="51B8A517" w:rsidR="00511E7D" w:rsidRDefault="00D376C7" w:rsidP="00841A4E">
            <w:r>
              <w:t>Shared ground loop</w:t>
            </w:r>
            <w:r w:rsidR="001A15ED">
              <w:t xml:space="preserve"> linked to individual GSHPs in dwellings.</w:t>
            </w:r>
            <w:r w:rsidR="0015468E">
              <w:t xml:space="preserve"> Bidders should consider how to account for the Capex and </w:t>
            </w:r>
            <w:proofErr w:type="spellStart"/>
            <w:r w:rsidR="0015468E">
              <w:t>Opex</w:t>
            </w:r>
            <w:proofErr w:type="spellEnd"/>
            <w:r w:rsidR="0015468E">
              <w:t xml:space="preserve"> for shared and individual elements of system, and differing lifetimes of these elements.</w:t>
            </w:r>
          </w:p>
        </w:tc>
      </w:tr>
      <w:tr w:rsidR="0089071A" w14:paraId="42723F09" w14:textId="77777777" w:rsidTr="008B04BE">
        <w:tc>
          <w:tcPr>
            <w:tcW w:w="2500" w:type="pct"/>
          </w:tcPr>
          <w:p w14:paraId="2A373A7A" w14:textId="0154585C" w:rsidR="0089071A" w:rsidRDefault="0089071A" w:rsidP="00841A4E">
            <w:r>
              <w:t>Hyb</w:t>
            </w:r>
            <w:r w:rsidR="00744E00">
              <w:t>rid ASHP hydrogen boiler</w:t>
            </w:r>
          </w:p>
        </w:tc>
        <w:tc>
          <w:tcPr>
            <w:tcW w:w="2500" w:type="pct"/>
            <w:shd w:val="clear" w:color="auto" w:fill="F2F2F2" w:themeFill="background2" w:themeFillShade="F2"/>
          </w:tcPr>
          <w:p w14:paraId="23CB1F08" w14:textId="77777777" w:rsidR="0089071A" w:rsidRDefault="0089071A" w:rsidP="00841A4E"/>
        </w:tc>
      </w:tr>
      <w:tr w:rsidR="0089071A" w14:paraId="1748DE09" w14:textId="77777777" w:rsidTr="008B04BE">
        <w:tc>
          <w:tcPr>
            <w:tcW w:w="2500" w:type="pct"/>
          </w:tcPr>
          <w:p w14:paraId="53130190" w14:textId="46DCE7AF" w:rsidR="0089071A" w:rsidRDefault="00744E00" w:rsidP="00841A4E">
            <w:r>
              <w:t>Hybrid ASHP biofuel boiler</w:t>
            </w:r>
          </w:p>
        </w:tc>
        <w:tc>
          <w:tcPr>
            <w:tcW w:w="2500" w:type="pct"/>
            <w:shd w:val="clear" w:color="auto" w:fill="F2F2F2" w:themeFill="background2" w:themeFillShade="F2"/>
          </w:tcPr>
          <w:p w14:paraId="1B2FE3F5" w14:textId="77777777" w:rsidR="0089071A" w:rsidRDefault="0089071A" w:rsidP="00841A4E"/>
        </w:tc>
      </w:tr>
      <w:tr w:rsidR="0089071A" w14:paraId="0B2CCD53" w14:textId="77777777" w:rsidTr="008B04BE">
        <w:tc>
          <w:tcPr>
            <w:tcW w:w="2500" w:type="pct"/>
          </w:tcPr>
          <w:p w14:paraId="68C0E1E6" w14:textId="7116C033" w:rsidR="0089071A" w:rsidRDefault="00744E00" w:rsidP="00841A4E">
            <w:r>
              <w:t xml:space="preserve">Hybrid ASHP electric </w:t>
            </w:r>
            <w:r w:rsidR="0017099B">
              <w:t>boiler</w:t>
            </w:r>
          </w:p>
        </w:tc>
        <w:tc>
          <w:tcPr>
            <w:tcW w:w="2500" w:type="pct"/>
            <w:shd w:val="clear" w:color="auto" w:fill="F2F2F2" w:themeFill="background2" w:themeFillShade="F2"/>
          </w:tcPr>
          <w:p w14:paraId="4AA731C2" w14:textId="77777777" w:rsidR="0089071A" w:rsidRDefault="0089071A" w:rsidP="00841A4E"/>
        </w:tc>
      </w:tr>
      <w:tr w:rsidR="003E596B" w14:paraId="761F2BCD" w14:textId="77777777" w:rsidTr="008B04BE">
        <w:tc>
          <w:tcPr>
            <w:tcW w:w="2500" w:type="pct"/>
          </w:tcPr>
          <w:p w14:paraId="1D3B0406" w14:textId="7C9E0E68" w:rsidR="003E596B" w:rsidRDefault="003E596B" w:rsidP="003E596B">
            <w:r>
              <w:t>Hybrid GSHP hydrogen boiler</w:t>
            </w:r>
          </w:p>
        </w:tc>
        <w:tc>
          <w:tcPr>
            <w:tcW w:w="2500" w:type="pct"/>
            <w:shd w:val="clear" w:color="auto" w:fill="F2F2F2" w:themeFill="background2" w:themeFillShade="F2"/>
          </w:tcPr>
          <w:p w14:paraId="7C16148C" w14:textId="77777777" w:rsidR="003E596B" w:rsidRDefault="003E596B" w:rsidP="003E596B"/>
        </w:tc>
      </w:tr>
      <w:tr w:rsidR="003E596B" w14:paraId="60121F58" w14:textId="77777777" w:rsidTr="008B04BE">
        <w:tc>
          <w:tcPr>
            <w:tcW w:w="2500" w:type="pct"/>
          </w:tcPr>
          <w:p w14:paraId="1C40E810" w14:textId="582AAEB9" w:rsidR="003E596B" w:rsidRDefault="003E596B" w:rsidP="003E596B">
            <w:r>
              <w:t>Hybrid GSHP biofuel boiler</w:t>
            </w:r>
          </w:p>
        </w:tc>
        <w:tc>
          <w:tcPr>
            <w:tcW w:w="2500" w:type="pct"/>
            <w:shd w:val="clear" w:color="auto" w:fill="F2F2F2" w:themeFill="background2" w:themeFillShade="F2"/>
          </w:tcPr>
          <w:p w14:paraId="011364E4" w14:textId="77777777" w:rsidR="003E596B" w:rsidRDefault="003E596B" w:rsidP="003E596B"/>
        </w:tc>
      </w:tr>
      <w:tr w:rsidR="003E596B" w14:paraId="3E727F6F" w14:textId="77777777" w:rsidTr="008B04BE">
        <w:tc>
          <w:tcPr>
            <w:tcW w:w="2500" w:type="pct"/>
          </w:tcPr>
          <w:p w14:paraId="403BB13C" w14:textId="460EDFC0" w:rsidR="003E596B" w:rsidRDefault="003E596B" w:rsidP="003E596B">
            <w:r>
              <w:t>Hybrid GSHP electric boiler</w:t>
            </w:r>
          </w:p>
        </w:tc>
        <w:tc>
          <w:tcPr>
            <w:tcW w:w="2500" w:type="pct"/>
            <w:shd w:val="clear" w:color="auto" w:fill="F2F2F2" w:themeFill="background2" w:themeFillShade="F2"/>
          </w:tcPr>
          <w:p w14:paraId="4D0B1D5E" w14:textId="77777777" w:rsidR="003E596B" w:rsidRDefault="003E596B" w:rsidP="003E596B"/>
        </w:tc>
      </w:tr>
      <w:tr w:rsidR="003E596B" w14:paraId="38E5BCDB" w14:textId="77777777" w:rsidTr="00BA24D8">
        <w:tc>
          <w:tcPr>
            <w:tcW w:w="2500" w:type="pct"/>
          </w:tcPr>
          <w:p w14:paraId="269F97DC" w14:textId="5020113A" w:rsidR="003E596B" w:rsidRDefault="003E596B" w:rsidP="003E596B">
            <w:r>
              <w:t>Solar thermal</w:t>
            </w:r>
          </w:p>
        </w:tc>
        <w:tc>
          <w:tcPr>
            <w:tcW w:w="2500" w:type="pct"/>
          </w:tcPr>
          <w:p w14:paraId="1250980C" w14:textId="58ADB6BF" w:rsidR="003E596B" w:rsidRDefault="00B71C89" w:rsidP="003E596B">
            <w:r>
              <w:t>Costs for suitably sized solar thermal required to calculate costs of heating systems incorporating solar thermal.</w:t>
            </w:r>
          </w:p>
        </w:tc>
      </w:tr>
      <w:tr w:rsidR="00102BC4" w14:paraId="09A18F30" w14:textId="77777777" w:rsidTr="008B04BE">
        <w:tc>
          <w:tcPr>
            <w:tcW w:w="2500" w:type="pct"/>
          </w:tcPr>
          <w:p w14:paraId="2844A350" w14:textId="294C3442" w:rsidR="00102BC4" w:rsidRDefault="00102BC4" w:rsidP="003E596B">
            <w:r>
              <w:t>ASHP solar thermal HW</w:t>
            </w:r>
          </w:p>
        </w:tc>
        <w:tc>
          <w:tcPr>
            <w:tcW w:w="2500" w:type="pct"/>
            <w:shd w:val="clear" w:color="auto" w:fill="F2F2F2" w:themeFill="background2" w:themeFillShade="F2"/>
          </w:tcPr>
          <w:p w14:paraId="6C3A0A14" w14:textId="77777777" w:rsidR="00102BC4" w:rsidRDefault="00102BC4" w:rsidP="003E596B"/>
        </w:tc>
      </w:tr>
      <w:tr w:rsidR="00102BC4" w14:paraId="3E6F1469" w14:textId="77777777" w:rsidTr="008B04BE">
        <w:tc>
          <w:tcPr>
            <w:tcW w:w="2500" w:type="pct"/>
          </w:tcPr>
          <w:p w14:paraId="1301DEC8" w14:textId="58D55E8D" w:rsidR="00102BC4" w:rsidRDefault="00102BC4" w:rsidP="003E596B">
            <w:r>
              <w:t>ASHP solar thermal HW/SH</w:t>
            </w:r>
          </w:p>
        </w:tc>
        <w:tc>
          <w:tcPr>
            <w:tcW w:w="2500" w:type="pct"/>
            <w:shd w:val="clear" w:color="auto" w:fill="F2F2F2" w:themeFill="background2" w:themeFillShade="F2"/>
          </w:tcPr>
          <w:p w14:paraId="49CC51E8" w14:textId="77777777" w:rsidR="00102BC4" w:rsidRDefault="00102BC4" w:rsidP="003E596B"/>
        </w:tc>
      </w:tr>
      <w:tr w:rsidR="00102BC4" w14:paraId="0D3C6C01" w14:textId="77777777" w:rsidTr="008B04BE">
        <w:tc>
          <w:tcPr>
            <w:tcW w:w="2500" w:type="pct"/>
          </w:tcPr>
          <w:p w14:paraId="09FAB565" w14:textId="1C5147CC" w:rsidR="00102BC4" w:rsidRDefault="00955626" w:rsidP="003E596B">
            <w:r>
              <w:t>Elect</w:t>
            </w:r>
            <w:r w:rsidR="000513A5">
              <w:t>ric stor</w:t>
            </w:r>
            <w:r w:rsidR="006D722F">
              <w:t>age solar thermal HW</w:t>
            </w:r>
          </w:p>
        </w:tc>
        <w:tc>
          <w:tcPr>
            <w:tcW w:w="2500" w:type="pct"/>
            <w:shd w:val="clear" w:color="auto" w:fill="F2F2F2" w:themeFill="background2" w:themeFillShade="F2"/>
          </w:tcPr>
          <w:p w14:paraId="720D8F39" w14:textId="77777777" w:rsidR="00102BC4" w:rsidRDefault="00102BC4" w:rsidP="003E596B"/>
        </w:tc>
      </w:tr>
      <w:tr w:rsidR="006D722F" w14:paraId="2DF8C7F5" w14:textId="77777777" w:rsidTr="008B04BE">
        <w:tc>
          <w:tcPr>
            <w:tcW w:w="2500" w:type="pct"/>
          </w:tcPr>
          <w:p w14:paraId="544859C1" w14:textId="0262C020" w:rsidR="006D722F" w:rsidRDefault="006D722F" w:rsidP="003E596B">
            <w:r>
              <w:t xml:space="preserve">Electric </w:t>
            </w:r>
            <w:r w:rsidR="00AA5000">
              <w:t>resistive</w:t>
            </w:r>
            <w:r>
              <w:t xml:space="preserve"> solar thermal HW</w:t>
            </w:r>
          </w:p>
        </w:tc>
        <w:tc>
          <w:tcPr>
            <w:tcW w:w="2500" w:type="pct"/>
            <w:shd w:val="clear" w:color="auto" w:fill="F2F2F2" w:themeFill="background2" w:themeFillShade="F2"/>
          </w:tcPr>
          <w:p w14:paraId="76A834A6" w14:textId="77777777" w:rsidR="006D722F" w:rsidRDefault="006D722F" w:rsidP="003E596B"/>
        </w:tc>
      </w:tr>
      <w:tr w:rsidR="00EA0F48" w14:paraId="0A0A7173" w14:textId="77777777" w:rsidTr="00EA0F48">
        <w:tc>
          <w:tcPr>
            <w:tcW w:w="2500" w:type="pct"/>
          </w:tcPr>
          <w:p w14:paraId="6C2069E0" w14:textId="3FC06532" w:rsidR="00EA0F48" w:rsidRDefault="00EA0F48" w:rsidP="003E596B">
            <w:r>
              <w:t>Infrared heating systems</w:t>
            </w:r>
          </w:p>
        </w:tc>
        <w:tc>
          <w:tcPr>
            <w:tcW w:w="2500" w:type="pct"/>
            <w:shd w:val="clear" w:color="auto" w:fill="F2F2F2" w:themeFill="background2" w:themeFillShade="F2"/>
          </w:tcPr>
          <w:p w14:paraId="328A9888" w14:textId="65DDBD6F" w:rsidR="00EA0F48" w:rsidRDefault="00EA0F48" w:rsidP="003E596B"/>
        </w:tc>
      </w:tr>
    </w:tbl>
    <w:p w14:paraId="7B872082" w14:textId="77777777" w:rsidR="00A77C15" w:rsidRDefault="00A77C15" w:rsidP="00A77C15"/>
    <w:p w14:paraId="0B395426" w14:textId="28C5EA34" w:rsidR="00924E33" w:rsidRPr="003E77EA" w:rsidRDefault="00924E33" w:rsidP="00CA5308">
      <w:pPr>
        <w:pStyle w:val="Heading3"/>
      </w:pPr>
      <w:r w:rsidRPr="003E77EA">
        <w:t xml:space="preserve">Table 4: Additional heating </w:t>
      </w:r>
      <w:r w:rsidR="003E77EA" w:rsidRPr="003E77EA">
        <w:t>measure</w:t>
      </w:r>
      <w:r w:rsidRPr="003E77EA">
        <w:t xml:space="preserve"> costs</w:t>
      </w:r>
    </w:p>
    <w:tbl>
      <w:tblPr>
        <w:tblStyle w:val="TableGrid"/>
        <w:tblW w:w="5000" w:type="pct"/>
        <w:tblLook w:val="04A0" w:firstRow="1" w:lastRow="0" w:firstColumn="1" w:lastColumn="0" w:noHBand="0" w:noVBand="1"/>
      </w:tblPr>
      <w:tblGrid>
        <w:gridCol w:w="3927"/>
        <w:gridCol w:w="3927"/>
      </w:tblGrid>
      <w:tr w:rsidR="00BA24D8" w14:paraId="3FA12E07" w14:textId="69160582" w:rsidTr="00BA24D8">
        <w:tc>
          <w:tcPr>
            <w:tcW w:w="2500" w:type="pct"/>
          </w:tcPr>
          <w:p w14:paraId="1E3E2D1F" w14:textId="67D33E01" w:rsidR="00BA24D8" w:rsidRPr="003E77EA" w:rsidRDefault="00BA24D8" w:rsidP="00841A4E">
            <w:pPr>
              <w:rPr>
                <w:b/>
                <w:bCs/>
              </w:rPr>
            </w:pPr>
            <w:r w:rsidRPr="003E77EA">
              <w:rPr>
                <w:b/>
                <w:bCs/>
              </w:rPr>
              <w:t>Cost element</w:t>
            </w:r>
          </w:p>
        </w:tc>
        <w:tc>
          <w:tcPr>
            <w:tcW w:w="2500" w:type="pct"/>
          </w:tcPr>
          <w:p w14:paraId="0CDE2F49" w14:textId="618AA077" w:rsidR="00BA24D8" w:rsidRPr="003E77EA" w:rsidRDefault="0079530C" w:rsidP="00841A4E">
            <w:pPr>
              <w:rPr>
                <w:b/>
                <w:bCs/>
              </w:rPr>
            </w:pPr>
            <w:r>
              <w:rPr>
                <w:b/>
                <w:bCs/>
              </w:rPr>
              <w:t>Notes</w:t>
            </w:r>
          </w:p>
        </w:tc>
      </w:tr>
      <w:tr w:rsidR="00BA24D8" w14:paraId="21D738A3" w14:textId="65EECADF" w:rsidTr="005B1439">
        <w:tc>
          <w:tcPr>
            <w:tcW w:w="2500" w:type="pct"/>
          </w:tcPr>
          <w:p w14:paraId="77067CF6" w14:textId="0AD52C9A" w:rsidR="00BA24D8" w:rsidRDefault="00BA24D8" w:rsidP="00841A4E">
            <w:r>
              <w:t>Radiator upgrades</w:t>
            </w:r>
          </w:p>
        </w:tc>
        <w:tc>
          <w:tcPr>
            <w:tcW w:w="2500" w:type="pct"/>
            <w:shd w:val="clear" w:color="auto" w:fill="F2F2F2" w:themeFill="background2" w:themeFillShade="F2"/>
          </w:tcPr>
          <w:p w14:paraId="14E9B3F7" w14:textId="77777777" w:rsidR="00BA24D8" w:rsidRDefault="00BA24D8" w:rsidP="00841A4E"/>
        </w:tc>
      </w:tr>
      <w:tr w:rsidR="00BA24D8" w14:paraId="69B8F3FF" w14:textId="47F0A158" w:rsidTr="005B1439">
        <w:tc>
          <w:tcPr>
            <w:tcW w:w="2500" w:type="pct"/>
          </w:tcPr>
          <w:p w14:paraId="297161B1" w14:textId="74F22B07" w:rsidR="00BA24D8" w:rsidRDefault="00BA24D8" w:rsidP="00841A4E">
            <w:r>
              <w:t>Heat battery</w:t>
            </w:r>
          </w:p>
        </w:tc>
        <w:tc>
          <w:tcPr>
            <w:tcW w:w="2500" w:type="pct"/>
            <w:shd w:val="clear" w:color="auto" w:fill="F2F2F2" w:themeFill="background2" w:themeFillShade="F2"/>
          </w:tcPr>
          <w:p w14:paraId="756A763F" w14:textId="77777777" w:rsidR="00BA24D8" w:rsidRDefault="00BA24D8" w:rsidP="00841A4E"/>
        </w:tc>
      </w:tr>
      <w:tr w:rsidR="00BA24D8" w14:paraId="6CF372A9" w14:textId="525238B4" w:rsidTr="00BA24D8">
        <w:tc>
          <w:tcPr>
            <w:tcW w:w="2500" w:type="pct"/>
          </w:tcPr>
          <w:p w14:paraId="756719CE" w14:textId="56FA52B8" w:rsidR="00BA24D8" w:rsidRDefault="00BA24D8" w:rsidP="00841A4E">
            <w:r>
              <w:t>Electric battery</w:t>
            </w:r>
          </w:p>
        </w:tc>
        <w:tc>
          <w:tcPr>
            <w:tcW w:w="2500" w:type="pct"/>
          </w:tcPr>
          <w:p w14:paraId="3756240A" w14:textId="2AA32542" w:rsidR="00BA24D8" w:rsidRDefault="00B71C89" w:rsidP="00841A4E">
            <w:r>
              <w:t>We require</w:t>
            </w:r>
            <w:r w:rsidR="0033434E">
              <w:t xml:space="preserve"> advice on the siz</w:t>
            </w:r>
            <w:r w:rsidR="005E145C">
              <w:t>es and costs of batteries required to deliver demand flexibility</w:t>
            </w:r>
            <w:r w:rsidR="00F13D4B">
              <w:t xml:space="preserve"> and the impacts this will have on peak </w:t>
            </w:r>
            <w:r w:rsidR="00DC79FB">
              <w:t>demand.</w:t>
            </w:r>
          </w:p>
        </w:tc>
      </w:tr>
      <w:tr w:rsidR="00BA24D8" w14:paraId="6BE980B2" w14:textId="65A5185C" w:rsidTr="00BA24D8">
        <w:tc>
          <w:tcPr>
            <w:tcW w:w="2500" w:type="pct"/>
          </w:tcPr>
          <w:p w14:paraId="649BBBE2" w14:textId="5C57A82E" w:rsidR="00BA24D8" w:rsidRDefault="00BA24D8" w:rsidP="00841A4E">
            <w:r>
              <w:lastRenderedPageBreak/>
              <w:t>Hot water cylinder</w:t>
            </w:r>
          </w:p>
        </w:tc>
        <w:tc>
          <w:tcPr>
            <w:tcW w:w="2500" w:type="pct"/>
          </w:tcPr>
          <w:p w14:paraId="09A47364" w14:textId="2BDFE5B5" w:rsidR="00BA24D8" w:rsidRDefault="00DC79FB" w:rsidP="00841A4E">
            <w:r>
              <w:t xml:space="preserve">Costs </w:t>
            </w:r>
            <w:r w:rsidR="00CA3E16">
              <w:t>should be provided for a range of tank sizes,</w:t>
            </w:r>
            <w:r w:rsidR="00191813">
              <w:t xml:space="preserve"> for use in different home typology/size combinations</w:t>
            </w:r>
          </w:p>
        </w:tc>
      </w:tr>
      <w:tr w:rsidR="00BA24D8" w14:paraId="46C08845" w14:textId="6FE53D32" w:rsidTr="00BA24D8">
        <w:tc>
          <w:tcPr>
            <w:tcW w:w="2500" w:type="pct"/>
          </w:tcPr>
          <w:p w14:paraId="211B3246" w14:textId="641486B8" w:rsidR="00BA24D8" w:rsidRDefault="00BA24D8" w:rsidP="00841A4E">
            <w:r>
              <w:t>Buffer tank</w:t>
            </w:r>
          </w:p>
        </w:tc>
        <w:tc>
          <w:tcPr>
            <w:tcW w:w="2500" w:type="pct"/>
          </w:tcPr>
          <w:p w14:paraId="4869AA37" w14:textId="589C5D81" w:rsidR="00BA24D8" w:rsidRDefault="0099490F" w:rsidP="00841A4E">
            <w:r>
              <w:t>Costs should be provided for a range of tank sizes, for use in different home typology/size combinations</w:t>
            </w:r>
          </w:p>
        </w:tc>
      </w:tr>
      <w:tr w:rsidR="00E26A95" w14:paraId="39681317" w14:textId="77777777" w:rsidTr="00BA24D8">
        <w:tc>
          <w:tcPr>
            <w:tcW w:w="2500" w:type="pct"/>
          </w:tcPr>
          <w:p w14:paraId="0B197C10" w14:textId="6E7B0EA8" w:rsidR="00E26A95" w:rsidRDefault="00E26A95" w:rsidP="00841A4E">
            <w:r>
              <w:t>Thermal store</w:t>
            </w:r>
          </w:p>
        </w:tc>
        <w:tc>
          <w:tcPr>
            <w:tcW w:w="2500" w:type="pct"/>
          </w:tcPr>
          <w:p w14:paraId="6BB92908" w14:textId="0CCCFE86" w:rsidR="00E26A95" w:rsidRDefault="00E26A95" w:rsidP="00841A4E">
            <w:r>
              <w:t>Thermal store for use as alternative to hot water cylinder in space-constrained homes.</w:t>
            </w:r>
            <w:r w:rsidR="008C6CA4">
              <w:t xml:space="preserve"> Costs should be provided for a range of sizes, for use in different home typology/size combinations</w:t>
            </w:r>
          </w:p>
        </w:tc>
      </w:tr>
      <w:tr w:rsidR="00BA24D8" w14:paraId="3B1DA98C" w14:textId="11134209" w:rsidTr="00BA24D8">
        <w:tc>
          <w:tcPr>
            <w:tcW w:w="2500" w:type="pct"/>
          </w:tcPr>
          <w:p w14:paraId="5BE77050" w14:textId="1FCDF396" w:rsidR="00BA24D8" w:rsidRDefault="00BA24D8" w:rsidP="00841A4E">
            <w:r>
              <w:t>Additional thermal store</w:t>
            </w:r>
          </w:p>
        </w:tc>
        <w:tc>
          <w:tcPr>
            <w:tcW w:w="2500" w:type="pct"/>
          </w:tcPr>
          <w:p w14:paraId="2AD90CAB" w14:textId="6DBFF6D4" w:rsidR="00BA24D8" w:rsidRDefault="00E36DF6" w:rsidP="00841A4E">
            <w:r>
              <w:t>Additional thermal store to allow some use of off-peak electricity for heating</w:t>
            </w:r>
          </w:p>
        </w:tc>
      </w:tr>
      <w:tr w:rsidR="00BA24D8" w14:paraId="618F6C1D" w14:textId="41A95559" w:rsidTr="00BA24D8">
        <w:tc>
          <w:tcPr>
            <w:tcW w:w="2500" w:type="pct"/>
          </w:tcPr>
          <w:p w14:paraId="0997CFDF" w14:textId="38FE89D5" w:rsidR="00BA24D8" w:rsidRDefault="00BA24D8" w:rsidP="00841A4E">
            <w:r>
              <w:t>Installation of wet distribution system</w:t>
            </w:r>
          </w:p>
        </w:tc>
        <w:tc>
          <w:tcPr>
            <w:tcW w:w="2500" w:type="pct"/>
          </w:tcPr>
          <w:p w14:paraId="183C1FDC" w14:textId="72749F51" w:rsidR="00BA24D8" w:rsidRDefault="00920C17" w:rsidP="00841A4E">
            <w:r>
              <w:t>Costs should be provided for a range of sizes, for use in different home typology/size combinations</w:t>
            </w:r>
          </w:p>
        </w:tc>
      </w:tr>
      <w:tr w:rsidR="00BA24D8" w14:paraId="69F132F1" w14:textId="7A755933" w:rsidTr="005B1439">
        <w:tc>
          <w:tcPr>
            <w:tcW w:w="2500" w:type="pct"/>
          </w:tcPr>
          <w:p w14:paraId="09BE1CE8" w14:textId="7E537812" w:rsidR="00BA24D8" w:rsidRDefault="00BA24D8" w:rsidP="00841A4E">
            <w:r>
              <w:t>Removal of wet heating system</w:t>
            </w:r>
          </w:p>
        </w:tc>
        <w:tc>
          <w:tcPr>
            <w:tcW w:w="2500" w:type="pct"/>
            <w:shd w:val="clear" w:color="auto" w:fill="F2F2F2" w:themeFill="background2" w:themeFillShade="F2"/>
          </w:tcPr>
          <w:p w14:paraId="02EBEBF2" w14:textId="77777777" w:rsidR="00BA24D8" w:rsidRDefault="00BA24D8" w:rsidP="00841A4E"/>
        </w:tc>
      </w:tr>
      <w:tr w:rsidR="00BA24D8" w14:paraId="40002A75" w14:textId="68710FD6" w:rsidTr="005B1439">
        <w:tc>
          <w:tcPr>
            <w:tcW w:w="2500" w:type="pct"/>
          </w:tcPr>
          <w:p w14:paraId="6B759D88" w14:textId="2E69B9C8" w:rsidR="00BA24D8" w:rsidRDefault="00BA24D8" w:rsidP="00841A4E">
            <w:r>
              <w:t>Boiler decommissioning</w:t>
            </w:r>
          </w:p>
        </w:tc>
        <w:tc>
          <w:tcPr>
            <w:tcW w:w="2500" w:type="pct"/>
            <w:shd w:val="clear" w:color="auto" w:fill="F2F2F2" w:themeFill="background2" w:themeFillShade="F2"/>
          </w:tcPr>
          <w:p w14:paraId="547969F8" w14:textId="77777777" w:rsidR="00BA24D8" w:rsidRDefault="00BA24D8" w:rsidP="00841A4E"/>
        </w:tc>
      </w:tr>
      <w:tr w:rsidR="00F768D0" w14:paraId="313797C6" w14:textId="77777777" w:rsidTr="00BA24D8">
        <w:tc>
          <w:tcPr>
            <w:tcW w:w="2500" w:type="pct"/>
          </w:tcPr>
          <w:p w14:paraId="349BAE7D" w14:textId="2C9A662D" w:rsidR="00F768D0" w:rsidRDefault="00F768D0" w:rsidP="00841A4E">
            <w:r>
              <w:t>Hydrogen conversion costs</w:t>
            </w:r>
          </w:p>
        </w:tc>
        <w:tc>
          <w:tcPr>
            <w:tcW w:w="2500" w:type="pct"/>
          </w:tcPr>
          <w:p w14:paraId="5381AF86" w14:textId="0D696690" w:rsidR="00F768D0" w:rsidRDefault="00055F99" w:rsidP="00841A4E">
            <w:r>
              <w:t xml:space="preserve">Additional costs associated with </w:t>
            </w:r>
            <w:r w:rsidR="00663DD7">
              <w:t>initial replacement of natural gas boiler with hydrogen.</w:t>
            </w:r>
          </w:p>
        </w:tc>
      </w:tr>
      <w:tr w:rsidR="00BF4390" w14:paraId="091DA6B9" w14:textId="77777777" w:rsidTr="00BA24D8">
        <w:tc>
          <w:tcPr>
            <w:tcW w:w="2500" w:type="pct"/>
          </w:tcPr>
          <w:p w14:paraId="30DE0414" w14:textId="1CF39285" w:rsidR="00BF4390" w:rsidRDefault="00BF4390" w:rsidP="00841A4E">
            <w:r>
              <w:t>GSHP trench</w:t>
            </w:r>
          </w:p>
        </w:tc>
        <w:tc>
          <w:tcPr>
            <w:tcW w:w="2500" w:type="pct"/>
          </w:tcPr>
          <w:p w14:paraId="504F3128" w14:textId="5CDC3BF5" w:rsidR="00BF4390" w:rsidRDefault="004D5C9C" w:rsidP="00841A4E">
            <w:r>
              <w:t>Costs of GSHP trench for individual</w:t>
            </w:r>
            <w:r w:rsidR="000B11B3">
              <w:t xml:space="preserve"> homes, depending on heating system size.</w:t>
            </w:r>
          </w:p>
        </w:tc>
      </w:tr>
      <w:tr w:rsidR="00BF4390" w14:paraId="7DB9C4BF" w14:textId="77777777" w:rsidTr="00BA24D8">
        <w:tc>
          <w:tcPr>
            <w:tcW w:w="2500" w:type="pct"/>
          </w:tcPr>
          <w:p w14:paraId="79EE5EA8" w14:textId="273C1366" w:rsidR="00BF4390" w:rsidRDefault="00BF4390" w:rsidP="00841A4E">
            <w:r>
              <w:t>GSHP borehole</w:t>
            </w:r>
          </w:p>
        </w:tc>
        <w:tc>
          <w:tcPr>
            <w:tcW w:w="2500" w:type="pct"/>
          </w:tcPr>
          <w:p w14:paraId="48B25D80" w14:textId="0467F5D9" w:rsidR="00BF4390" w:rsidRDefault="000B11B3" w:rsidP="00841A4E">
            <w:r>
              <w:t>Costs of GSHP boreholes for individual homes, depending on heating system size.</w:t>
            </w:r>
          </w:p>
        </w:tc>
      </w:tr>
      <w:tr w:rsidR="00BF4390" w14:paraId="5214ED33" w14:textId="77777777" w:rsidTr="00BA24D8">
        <w:tc>
          <w:tcPr>
            <w:tcW w:w="2500" w:type="pct"/>
          </w:tcPr>
          <w:p w14:paraId="087C280F" w14:textId="7877ED38" w:rsidR="00BF4390" w:rsidRDefault="00BF4390" w:rsidP="00841A4E">
            <w:r>
              <w:t xml:space="preserve">GSHP </w:t>
            </w:r>
            <w:r w:rsidR="00770D11">
              <w:t>mixed groundworks</w:t>
            </w:r>
          </w:p>
        </w:tc>
        <w:tc>
          <w:tcPr>
            <w:tcW w:w="2500" w:type="pct"/>
          </w:tcPr>
          <w:p w14:paraId="1E1977C8" w14:textId="48CCBDEE" w:rsidR="00BF4390" w:rsidRDefault="009A112E" w:rsidP="00841A4E">
            <w:r>
              <w:t>Costs of GSHP mixed trench/boreholes for individual homes, depending on heating system size.</w:t>
            </w:r>
          </w:p>
        </w:tc>
      </w:tr>
      <w:tr w:rsidR="00E017AD" w14:paraId="0701935D" w14:textId="77777777" w:rsidTr="00BA24D8">
        <w:tc>
          <w:tcPr>
            <w:tcW w:w="2500" w:type="pct"/>
          </w:tcPr>
          <w:p w14:paraId="474BF404" w14:textId="49C06156" w:rsidR="00E017AD" w:rsidRDefault="00E017AD" w:rsidP="00841A4E">
            <w:r>
              <w:t>Commun</w:t>
            </w:r>
            <w:r w:rsidR="000B2C43">
              <w:t>al heat pump pipework</w:t>
            </w:r>
          </w:p>
        </w:tc>
        <w:tc>
          <w:tcPr>
            <w:tcW w:w="2500" w:type="pct"/>
          </w:tcPr>
          <w:p w14:paraId="47DD11D2" w14:textId="29CCFF25" w:rsidR="00E017AD" w:rsidRDefault="000B2C43" w:rsidP="00841A4E">
            <w:r>
              <w:t>Additional pipework for communal heat pump</w:t>
            </w:r>
            <w:r w:rsidR="00057449">
              <w:t xml:space="preserve"> </w:t>
            </w:r>
            <w:r w:rsidR="00F434BD">
              <w:t>for flats and terraces.</w:t>
            </w:r>
          </w:p>
        </w:tc>
      </w:tr>
      <w:tr w:rsidR="00BA24D8" w14:paraId="13AAD15C" w14:textId="348F1B55" w:rsidTr="005B1439">
        <w:tc>
          <w:tcPr>
            <w:tcW w:w="2500" w:type="pct"/>
          </w:tcPr>
          <w:p w14:paraId="7CBA5FAA" w14:textId="3A17E2B7" w:rsidR="00BA24D8" w:rsidRDefault="00BA24D8" w:rsidP="00841A4E">
            <w:r>
              <w:t>Additional wiring for electric resistive heating</w:t>
            </w:r>
          </w:p>
        </w:tc>
        <w:tc>
          <w:tcPr>
            <w:tcW w:w="2500" w:type="pct"/>
            <w:shd w:val="clear" w:color="auto" w:fill="F2F2F2" w:themeFill="background2" w:themeFillShade="F2"/>
          </w:tcPr>
          <w:p w14:paraId="7118596D" w14:textId="77777777" w:rsidR="00BA24D8" w:rsidRPr="005B1439" w:rsidRDefault="00BA24D8" w:rsidP="00841A4E"/>
        </w:tc>
      </w:tr>
      <w:tr w:rsidR="00BA24D8" w14:paraId="21433FFF" w14:textId="74E956AE" w:rsidTr="005B1439">
        <w:tc>
          <w:tcPr>
            <w:tcW w:w="2500" w:type="pct"/>
          </w:tcPr>
          <w:p w14:paraId="780B30DC" w14:textId="4D3B61B9" w:rsidR="00BA24D8" w:rsidRDefault="00BA24D8" w:rsidP="00841A4E">
            <w:r>
              <w:t>Additional wiring for electric storage heating</w:t>
            </w:r>
          </w:p>
        </w:tc>
        <w:tc>
          <w:tcPr>
            <w:tcW w:w="2500" w:type="pct"/>
            <w:shd w:val="clear" w:color="auto" w:fill="F2F2F2" w:themeFill="background2" w:themeFillShade="F2"/>
          </w:tcPr>
          <w:p w14:paraId="36AF3D55" w14:textId="77777777" w:rsidR="00BA24D8" w:rsidRPr="005B1439" w:rsidRDefault="00BA24D8" w:rsidP="00841A4E"/>
        </w:tc>
      </w:tr>
    </w:tbl>
    <w:p w14:paraId="337E5897" w14:textId="77777777" w:rsidR="00924E33" w:rsidRDefault="00924E33" w:rsidP="00A77C15"/>
    <w:p w14:paraId="6DC438F9" w14:textId="74A14EED" w:rsidR="00766C0F" w:rsidRDefault="00766C0F" w:rsidP="00CA5308">
      <w:pPr>
        <w:pStyle w:val="Heading3"/>
      </w:pPr>
      <w:r w:rsidRPr="00766C0F">
        <w:t xml:space="preserve">Table </w:t>
      </w:r>
      <w:r w:rsidR="003E77EA">
        <w:t>5</w:t>
      </w:r>
      <w:r w:rsidR="005847A3">
        <w:t>:</w:t>
      </w:r>
      <w:r w:rsidR="003E77EA">
        <w:t xml:space="preserve"> </w:t>
      </w:r>
      <w:r w:rsidR="005847A3">
        <w:t>Property typologies</w:t>
      </w:r>
    </w:p>
    <w:p w14:paraId="66E0F66A" w14:textId="707E7A02" w:rsidR="00CF0B8E" w:rsidRPr="00CF0B8E" w:rsidRDefault="00CF0B8E" w:rsidP="00CF0B8E"/>
    <w:tbl>
      <w:tblPr>
        <w:tblStyle w:val="TableGrid"/>
        <w:tblW w:w="5000" w:type="pct"/>
        <w:tblLook w:val="04A0" w:firstRow="1" w:lastRow="0" w:firstColumn="1" w:lastColumn="0" w:noHBand="0" w:noVBand="1"/>
      </w:tblPr>
      <w:tblGrid>
        <w:gridCol w:w="3927"/>
        <w:gridCol w:w="3927"/>
      </w:tblGrid>
      <w:tr w:rsidR="005847A3" w14:paraId="0012406E" w14:textId="684C920C" w:rsidTr="00BA24D8">
        <w:tc>
          <w:tcPr>
            <w:tcW w:w="2500" w:type="pct"/>
          </w:tcPr>
          <w:p w14:paraId="35107624" w14:textId="0A7929E6" w:rsidR="005847A3" w:rsidRDefault="005847A3" w:rsidP="00A77C15">
            <w:pPr>
              <w:rPr>
                <w:b/>
                <w:bCs/>
              </w:rPr>
            </w:pPr>
            <w:r>
              <w:rPr>
                <w:b/>
                <w:bCs/>
              </w:rPr>
              <w:t>Property type</w:t>
            </w:r>
          </w:p>
        </w:tc>
        <w:tc>
          <w:tcPr>
            <w:tcW w:w="2500" w:type="pct"/>
          </w:tcPr>
          <w:p w14:paraId="5C8BD5E3" w14:textId="63AF00EF" w:rsidR="005847A3" w:rsidRDefault="005847A3" w:rsidP="00A77C15">
            <w:pPr>
              <w:rPr>
                <w:b/>
                <w:bCs/>
              </w:rPr>
            </w:pPr>
            <w:r>
              <w:rPr>
                <w:b/>
                <w:bCs/>
              </w:rPr>
              <w:t>Notes</w:t>
            </w:r>
          </w:p>
        </w:tc>
      </w:tr>
      <w:tr w:rsidR="005847A3" w14:paraId="10057CB9" w14:textId="7B994525" w:rsidTr="00BA24D8">
        <w:tc>
          <w:tcPr>
            <w:tcW w:w="2500" w:type="pct"/>
          </w:tcPr>
          <w:p w14:paraId="573E5A02" w14:textId="422972D7" w:rsidR="005847A3" w:rsidRPr="00CD6EF2" w:rsidRDefault="005847A3" w:rsidP="00A77C15">
            <w:r w:rsidRPr="00CD6EF2">
              <w:t>Low rise flat</w:t>
            </w:r>
          </w:p>
        </w:tc>
        <w:tc>
          <w:tcPr>
            <w:tcW w:w="2500" w:type="pct"/>
          </w:tcPr>
          <w:p w14:paraId="41FE9AEC" w14:textId="220BACA2" w:rsidR="005847A3" w:rsidRPr="00CD6EF2" w:rsidRDefault="003E77EA" w:rsidP="00A77C15">
            <w:r>
              <w:t xml:space="preserve">Flat within block </w:t>
            </w:r>
            <w:r w:rsidR="000D69BA">
              <w:t>of</w:t>
            </w:r>
            <w:r>
              <w:t xml:space="preserve"> 6 storeys </w:t>
            </w:r>
            <w:r w:rsidR="000D69BA">
              <w:t>or less</w:t>
            </w:r>
          </w:p>
        </w:tc>
      </w:tr>
      <w:tr w:rsidR="005847A3" w14:paraId="2021A55B" w14:textId="5F8A1A96" w:rsidTr="00BA24D8">
        <w:tc>
          <w:tcPr>
            <w:tcW w:w="2500" w:type="pct"/>
          </w:tcPr>
          <w:p w14:paraId="3D8E7742" w14:textId="05B2E04C" w:rsidR="005847A3" w:rsidRPr="00CD6EF2" w:rsidRDefault="005847A3" w:rsidP="00A77C15">
            <w:r w:rsidRPr="00CD6EF2">
              <w:t>High rise flat</w:t>
            </w:r>
          </w:p>
        </w:tc>
        <w:tc>
          <w:tcPr>
            <w:tcW w:w="2500" w:type="pct"/>
          </w:tcPr>
          <w:p w14:paraId="502AD7F0" w14:textId="34EA8D7B" w:rsidR="005847A3" w:rsidRPr="00CD6EF2" w:rsidRDefault="005847A3" w:rsidP="00A77C15">
            <w:r>
              <w:t>Flat within block</w:t>
            </w:r>
            <w:r w:rsidR="000D69BA">
              <w:t xml:space="preserve"> of</w:t>
            </w:r>
            <w:r>
              <w:t xml:space="preserve"> more than 6 storeys</w:t>
            </w:r>
          </w:p>
        </w:tc>
      </w:tr>
      <w:tr w:rsidR="005847A3" w14:paraId="113D3BCC" w14:textId="16AAFE29" w:rsidTr="00BA24D8">
        <w:tc>
          <w:tcPr>
            <w:tcW w:w="2500" w:type="pct"/>
          </w:tcPr>
          <w:p w14:paraId="45D15B2A" w14:textId="5EDBDA84" w:rsidR="005847A3" w:rsidRPr="00CD6EF2" w:rsidRDefault="005847A3" w:rsidP="00A77C15">
            <w:r w:rsidRPr="00CD6EF2">
              <w:t>Mid terrace</w:t>
            </w:r>
          </w:p>
        </w:tc>
        <w:tc>
          <w:tcPr>
            <w:tcW w:w="2500" w:type="pct"/>
          </w:tcPr>
          <w:p w14:paraId="38E53AEB" w14:textId="77777777" w:rsidR="005847A3" w:rsidRPr="00CD6EF2" w:rsidRDefault="005847A3" w:rsidP="00A77C15"/>
        </w:tc>
      </w:tr>
      <w:tr w:rsidR="005847A3" w14:paraId="316A4466" w14:textId="4D1222E9" w:rsidTr="00BA24D8">
        <w:tc>
          <w:tcPr>
            <w:tcW w:w="2500" w:type="pct"/>
          </w:tcPr>
          <w:p w14:paraId="752BBE66" w14:textId="616F94B8" w:rsidR="005847A3" w:rsidRPr="00CD6EF2" w:rsidRDefault="005847A3" w:rsidP="00A77C15">
            <w:r w:rsidRPr="00CD6EF2">
              <w:t>End terrace</w:t>
            </w:r>
          </w:p>
        </w:tc>
        <w:tc>
          <w:tcPr>
            <w:tcW w:w="2500" w:type="pct"/>
          </w:tcPr>
          <w:p w14:paraId="4BD220CE" w14:textId="77777777" w:rsidR="005847A3" w:rsidRPr="00CD6EF2" w:rsidRDefault="005847A3" w:rsidP="00A77C15"/>
        </w:tc>
      </w:tr>
      <w:tr w:rsidR="005847A3" w14:paraId="5304D8D1" w14:textId="574168B5" w:rsidTr="00BA24D8">
        <w:tc>
          <w:tcPr>
            <w:tcW w:w="2500" w:type="pct"/>
          </w:tcPr>
          <w:p w14:paraId="54CEDCF6" w14:textId="48F7A13B" w:rsidR="005847A3" w:rsidRPr="00CD6EF2" w:rsidRDefault="005847A3" w:rsidP="00A77C15">
            <w:r w:rsidRPr="00CD6EF2">
              <w:t>Semi-detached</w:t>
            </w:r>
          </w:p>
        </w:tc>
        <w:tc>
          <w:tcPr>
            <w:tcW w:w="2500" w:type="pct"/>
          </w:tcPr>
          <w:p w14:paraId="035ADAD9" w14:textId="77777777" w:rsidR="005847A3" w:rsidRPr="00CD6EF2" w:rsidRDefault="005847A3" w:rsidP="00A77C15"/>
        </w:tc>
      </w:tr>
      <w:tr w:rsidR="005847A3" w14:paraId="63AA3E6E" w14:textId="4F8A6A4F" w:rsidTr="00BA24D8">
        <w:tc>
          <w:tcPr>
            <w:tcW w:w="2500" w:type="pct"/>
          </w:tcPr>
          <w:p w14:paraId="7BFEB67E" w14:textId="2F8D8E3A" w:rsidR="005847A3" w:rsidRPr="00CD6EF2" w:rsidRDefault="005847A3" w:rsidP="00A77C15">
            <w:r w:rsidRPr="00CD6EF2">
              <w:t>Detached</w:t>
            </w:r>
          </w:p>
        </w:tc>
        <w:tc>
          <w:tcPr>
            <w:tcW w:w="2500" w:type="pct"/>
          </w:tcPr>
          <w:p w14:paraId="0C1D2A60" w14:textId="77777777" w:rsidR="005847A3" w:rsidRPr="00CD6EF2" w:rsidRDefault="005847A3" w:rsidP="00A77C15"/>
        </w:tc>
      </w:tr>
      <w:tr w:rsidR="005847A3" w14:paraId="5DB941F5" w14:textId="55EF57E6" w:rsidTr="00BA24D8">
        <w:tc>
          <w:tcPr>
            <w:tcW w:w="2500" w:type="pct"/>
          </w:tcPr>
          <w:p w14:paraId="1529E133" w14:textId="447F2A64" w:rsidR="005847A3" w:rsidRPr="00CD6EF2" w:rsidRDefault="005847A3" w:rsidP="00A77C15">
            <w:r w:rsidRPr="00CD6EF2">
              <w:lastRenderedPageBreak/>
              <w:t>Bungalow</w:t>
            </w:r>
          </w:p>
        </w:tc>
        <w:tc>
          <w:tcPr>
            <w:tcW w:w="2500" w:type="pct"/>
          </w:tcPr>
          <w:p w14:paraId="5A0C0724" w14:textId="77777777" w:rsidR="005847A3" w:rsidRPr="00CD6EF2" w:rsidRDefault="005847A3" w:rsidP="00A77C15"/>
        </w:tc>
      </w:tr>
      <w:tr w:rsidR="000A1B30" w14:paraId="1FED17C8" w14:textId="77777777" w:rsidTr="00BA24D8">
        <w:tc>
          <w:tcPr>
            <w:tcW w:w="2500" w:type="pct"/>
          </w:tcPr>
          <w:p w14:paraId="49299D15" w14:textId="6B410703" w:rsidR="000A1B30" w:rsidRPr="00CD6EF2" w:rsidRDefault="000A1B30" w:rsidP="00A77C15">
            <w:r>
              <w:t>Park Homes</w:t>
            </w:r>
          </w:p>
        </w:tc>
        <w:tc>
          <w:tcPr>
            <w:tcW w:w="2500" w:type="pct"/>
          </w:tcPr>
          <w:p w14:paraId="5C7C198D" w14:textId="77777777" w:rsidR="000A1B30" w:rsidRPr="00CD6EF2" w:rsidRDefault="000A1B30" w:rsidP="00A77C15"/>
        </w:tc>
      </w:tr>
    </w:tbl>
    <w:p w14:paraId="78C2305C" w14:textId="16992C49" w:rsidR="005847A3" w:rsidRDefault="005847A3" w:rsidP="005847A3"/>
    <w:p w14:paraId="4C0B7BE8" w14:textId="4DAE2BF2" w:rsidR="005847A3" w:rsidRDefault="005847A3" w:rsidP="00CA5308">
      <w:pPr>
        <w:pStyle w:val="Heading3"/>
      </w:pPr>
      <w:r>
        <w:t xml:space="preserve">Table </w:t>
      </w:r>
      <w:r w:rsidR="003E77EA">
        <w:t>6</w:t>
      </w:r>
      <w:r>
        <w:t>: Property size variants</w:t>
      </w:r>
    </w:p>
    <w:p w14:paraId="3A0DB2E0" w14:textId="0A98FDE3" w:rsidR="005847A3" w:rsidRDefault="005847A3" w:rsidP="00A77C15">
      <w:r>
        <w:t xml:space="preserve">For each property type different costs should be provided for </w:t>
      </w:r>
      <w:proofErr w:type="gramStart"/>
      <w:r>
        <w:t>Small, Medium, and Large</w:t>
      </w:r>
      <w:proofErr w:type="gramEnd"/>
      <w:r>
        <w:t xml:space="preserve"> variants, as defined below.</w:t>
      </w:r>
    </w:p>
    <w:tbl>
      <w:tblPr>
        <w:tblStyle w:val="TableGrid"/>
        <w:tblW w:w="5000" w:type="pct"/>
        <w:tblLook w:val="04A0" w:firstRow="1" w:lastRow="0" w:firstColumn="1" w:lastColumn="0" w:noHBand="0" w:noVBand="1"/>
      </w:tblPr>
      <w:tblGrid>
        <w:gridCol w:w="3927"/>
        <w:gridCol w:w="3927"/>
      </w:tblGrid>
      <w:tr w:rsidR="005847A3" w14:paraId="3A947B5F" w14:textId="77777777" w:rsidTr="00BA24D8">
        <w:tc>
          <w:tcPr>
            <w:tcW w:w="2500" w:type="pct"/>
          </w:tcPr>
          <w:p w14:paraId="54ECEA4C" w14:textId="4FDBE5E5" w:rsidR="005847A3" w:rsidRPr="004C7566" w:rsidRDefault="005847A3" w:rsidP="00A77C15">
            <w:pPr>
              <w:rPr>
                <w:b/>
                <w:bCs/>
              </w:rPr>
            </w:pPr>
            <w:r w:rsidRPr="004C7566">
              <w:rPr>
                <w:b/>
                <w:bCs/>
              </w:rPr>
              <w:t>Variant</w:t>
            </w:r>
          </w:p>
        </w:tc>
        <w:tc>
          <w:tcPr>
            <w:tcW w:w="2500" w:type="pct"/>
          </w:tcPr>
          <w:p w14:paraId="1FE54BAA" w14:textId="22900827" w:rsidR="005847A3" w:rsidRPr="004C7566" w:rsidRDefault="005847A3" w:rsidP="00A77C15">
            <w:pPr>
              <w:rPr>
                <w:b/>
                <w:bCs/>
              </w:rPr>
            </w:pPr>
            <w:r w:rsidRPr="004C7566">
              <w:rPr>
                <w:b/>
                <w:bCs/>
              </w:rPr>
              <w:t>Size</w:t>
            </w:r>
          </w:p>
        </w:tc>
      </w:tr>
      <w:tr w:rsidR="005847A3" w14:paraId="0F4D81CF" w14:textId="77777777" w:rsidTr="00BA24D8">
        <w:tc>
          <w:tcPr>
            <w:tcW w:w="2500" w:type="pct"/>
          </w:tcPr>
          <w:p w14:paraId="6D4DB158" w14:textId="5C7778B2" w:rsidR="005847A3" w:rsidRDefault="005847A3" w:rsidP="00A77C15">
            <w:r>
              <w:t>Small</w:t>
            </w:r>
          </w:p>
        </w:tc>
        <w:tc>
          <w:tcPr>
            <w:tcW w:w="2500" w:type="pct"/>
          </w:tcPr>
          <w:p w14:paraId="589961E5" w14:textId="3C58B420" w:rsidR="005847A3" w:rsidRDefault="005847A3" w:rsidP="00A77C15">
            <w:r>
              <w:t>&lt;70% of the average size for the typology</w:t>
            </w:r>
          </w:p>
        </w:tc>
      </w:tr>
      <w:tr w:rsidR="005847A3" w14:paraId="291A4982" w14:textId="77777777" w:rsidTr="00BA24D8">
        <w:tc>
          <w:tcPr>
            <w:tcW w:w="2500" w:type="pct"/>
          </w:tcPr>
          <w:p w14:paraId="2B79A017" w14:textId="0732DFAE" w:rsidR="005847A3" w:rsidRDefault="005847A3" w:rsidP="00A77C15">
            <w:r>
              <w:t>Medium</w:t>
            </w:r>
          </w:p>
        </w:tc>
        <w:tc>
          <w:tcPr>
            <w:tcW w:w="2500" w:type="pct"/>
          </w:tcPr>
          <w:p w14:paraId="73FF6D8A" w14:textId="3653DB86" w:rsidR="005847A3" w:rsidRDefault="005847A3" w:rsidP="00A77C15">
            <w:r>
              <w:t>Average size for the typology</w:t>
            </w:r>
          </w:p>
        </w:tc>
      </w:tr>
      <w:tr w:rsidR="005847A3" w14:paraId="5EF2E64F" w14:textId="77777777" w:rsidTr="00BA24D8">
        <w:tc>
          <w:tcPr>
            <w:tcW w:w="2500" w:type="pct"/>
          </w:tcPr>
          <w:p w14:paraId="7082DC29" w14:textId="4B21BD1E" w:rsidR="005847A3" w:rsidRDefault="005847A3" w:rsidP="00A77C15">
            <w:r>
              <w:t>Large</w:t>
            </w:r>
          </w:p>
        </w:tc>
        <w:tc>
          <w:tcPr>
            <w:tcW w:w="2500" w:type="pct"/>
          </w:tcPr>
          <w:p w14:paraId="67450C39" w14:textId="0A259B87" w:rsidR="005847A3" w:rsidRDefault="005847A3" w:rsidP="00A77C15">
            <w:r>
              <w:t>&gt;130% of the average size for the typology</w:t>
            </w:r>
          </w:p>
        </w:tc>
      </w:tr>
    </w:tbl>
    <w:p w14:paraId="1E232E35" w14:textId="536875B4" w:rsidR="003A05B7" w:rsidRPr="00880287" w:rsidRDefault="003A05B7" w:rsidP="00766C0F">
      <w:pPr>
        <w:pStyle w:val="Heading1"/>
      </w:pPr>
      <w:bookmarkStart w:id="8" w:name="_Toc381969511"/>
      <w:bookmarkStart w:id="9" w:name="_Toc405888460"/>
      <w:bookmarkStart w:id="10" w:name="_Toc144299455"/>
      <w:bookmarkStart w:id="11" w:name="_Ref373505205"/>
      <w:bookmarkStart w:id="12" w:name="_Ref357541720"/>
      <w:r w:rsidRPr="00FA3C76">
        <w:t>Ownership and Publication</w:t>
      </w:r>
      <w:bookmarkEnd w:id="8"/>
      <w:bookmarkEnd w:id="9"/>
      <w:bookmarkEnd w:id="10"/>
    </w:p>
    <w:p w14:paraId="1E332327" w14:textId="0966F2D9" w:rsidR="00291F8C" w:rsidRPr="00291F8C" w:rsidRDefault="00291F8C" w:rsidP="00D45EDE">
      <w:r w:rsidRPr="00291F8C">
        <w:t xml:space="preserve">The key deliverables will be handed over to the CCC, who may choose to publish these as supporting evidence on their website. </w:t>
      </w:r>
      <w:r w:rsidR="00501461">
        <w:t xml:space="preserve">Excel workbooks should be </w:t>
      </w:r>
      <w:r w:rsidR="00F95DD2">
        <w:t xml:space="preserve">unrestricted, and the CCC should have </w:t>
      </w:r>
      <w:r w:rsidR="00B261F6">
        <w:t xml:space="preserve">full </w:t>
      </w:r>
      <w:r w:rsidR="00F95DD2">
        <w:t>access to all models</w:t>
      </w:r>
      <w:r w:rsidR="00B261F6">
        <w:t xml:space="preserve"> and analysis </w:t>
      </w:r>
      <w:r w:rsidRPr="00291F8C">
        <w:t>to enable full QA of results and assumptions.</w:t>
      </w:r>
    </w:p>
    <w:p w14:paraId="676267C8" w14:textId="77777777" w:rsidR="003A05B7" w:rsidRPr="000563DF" w:rsidRDefault="003A05B7" w:rsidP="00E960D9">
      <w:pPr>
        <w:pStyle w:val="Heading1"/>
      </w:pPr>
      <w:bookmarkStart w:id="13" w:name="_Toc144299456"/>
      <w:r w:rsidRPr="000563DF">
        <w:t>Quality Assurance</w:t>
      </w:r>
      <w:bookmarkEnd w:id="13"/>
      <w:r w:rsidRPr="000563DF">
        <w:t xml:space="preserve"> </w:t>
      </w:r>
      <w:bookmarkEnd w:id="11"/>
    </w:p>
    <w:p w14:paraId="3BBEC775" w14:textId="77777777" w:rsidR="008C6A62" w:rsidRDefault="000563DF" w:rsidP="00D45EDE">
      <w:r w:rsidRPr="00684B16">
        <w:t>All research tasks and modelling must be quality assured and documented.</w:t>
      </w:r>
    </w:p>
    <w:p w14:paraId="5920CD42" w14:textId="20F69811" w:rsidR="000563DF" w:rsidRPr="00684B16" w:rsidRDefault="000563DF" w:rsidP="00D45EDE">
      <w:r w:rsidRPr="00684B16">
        <w:t>Contractors should:</w:t>
      </w:r>
    </w:p>
    <w:p w14:paraId="5A6F3C36" w14:textId="77777777" w:rsidR="000563DF" w:rsidRPr="00684B16" w:rsidRDefault="000563DF" w:rsidP="005138FF">
      <w:pPr>
        <w:pStyle w:val="Bullet"/>
      </w:pPr>
      <w:r w:rsidRPr="00684B16">
        <w:t>Include a quality assurance (QA) plan that they will apply to the modelling.</w:t>
      </w:r>
    </w:p>
    <w:p w14:paraId="19E66495" w14:textId="77777777" w:rsidR="00321D3F" w:rsidRPr="00684B16" w:rsidRDefault="000563DF" w:rsidP="005138FF">
      <w:pPr>
        <w:pStyle w:val="Bullet"/>
      </w:pPr>
      <w:r w:rsidRPr="00684B16">
        <w:t>Specify who will take lead responsibility for ensuring quality assurance. This responsibility should rest with an individual not directly involved in the research or analysis.</w:t>
      </w:r>
    </w:p>
    <w:p w14:paraId="715BAC19" w14:textId="2A9E671C" w:rsidR="000563DF" w:rsidRPr="00684B16" w:rsidRDefault="000563DF" w:rsidP="005138FF">
      <w:pPr>
        <w:pStyle w:val="Bullet"/>
      </w:pPr>
      <w:r w:rsidRPr="00684B16">
        <w:t xml:space="preserve">Provide a QA log to demonstrate the QA undertaken, which must identify who undertook the QA and the scope, type, and level of QA that has been undertaken. </w:t>
      </w:r>
    </w:p>
    <w:p w14:paraId="6C0D98D6" w14:textId="77777777" w:rsidR="000563DF" w:rsidRPr="00684B16" w:rsidRDefault="000563DF" w:rsidP="005138FF">
      <w:pPr>
        <w:pStyle w:val="Bullet"/>
      </w:pPr>
      <w:r w:rsidRPr="00684B16">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off outputs which do not meet the required standard specified in this invitation to tender. </w:t>
      </w:r>
    </w:p>
    <w:p w14:paraId="7336F7DE" w14:textId="77777777" w:rsidR="000563DF" w:rsidRPr="00684B16" w:rsidRDefault="000563DF" w:rsidP="005138FF">
      <w:pPr>
        <w:pStyle w:val="Bullet"/>
      </w:pPr>
      <w:r w:rsidRPr="00684B16">
        <w:t xml:space="preserve">The successful tenderer will be responsible for any work supplied by sub-contractors and should therefore provide assurance that all work in the contact is undertaken in accordance with the quality assurance expectation agreed at the beginning of the project. </w:t>
      </w:r>
    </w:p>
    <w:p w14:paraId="2B0D51BC" w14:textId="77777777" w:rsidR="000563DF" w:rsidRPr="00684B16" w:rsidRDefault="000563DF" w:rsidP="00D45EDE">
      <w:r w:rsidRPr="00684B16">
        <w:t>The CCC expects that:</w:t>
      </w:r>
    </w:p>
    <w:p w14:paraId="390575C2" w14:textId="77777777" w:rsidR="000563DF" w:rsidRPr="00684B16" w:rsidRDefault="000563DF" w:rsidP="005138FF">
      <w:pPr>
        <w:pStyle w:val="Bullet"/>
      </w:pPr>
      <w:r w:rsidRPr="00684B16">
        <w:t xml:space="preserve">Analysis must be delivered in a simple, transparent Excel spreadsheet or set of spreadsheets, where key assumptions (agreed with the CCC) are clearly stated. All assumptions and figures should be adequately </w:t>
      </w:r>
      <w:proofErr w:type="gramStart"/>
      <w:r w:rsidRPr="00684B16">
        <w:t>referenced, and</w:t>
      </w:r>
      <w:proofErr w:type="gramEnd"/>
      <w:r w:rsidRPr="00684B16">
        <w:t xml:space="preserve"> include any supporting workings. Any such spreadsheets will be the property of the CCC.</w:t>
      </w:r>
    </w:p>
    <w:p w14:paraId="218372DD" w14:textId="77777777" w:rsidR="000563DF" w:rsidRPr="00684B16" w:rsidRDefault="000563DF" w:rsidP="005138FF">
      <w:pPr>
        <w:pStyle w:val="Bullet"/>
      </w:pPr>
      <w:r w:rsidRPr="00684B16">
        <w:t>Existing analysis and published research should be reviewed and considered in developing the scenarios and approaches to be analysed within this assignment.</w:t>
      </w:r>
    </w:p>
    <w:p w14:paraId="410352B9" w14:textId="701C8BBE" w:rsidR="003A05B7" w:rsidRPr="00321D3F" w:rsidRDefault="003A05B7" w:rsidP="00E960D9">
      <w:pPr>
        <w:pStyle w:val="Heading1"/>
      </w:pPr>
      <w:bookmarkStart w:id="14" w:name="_Ref373505215"/>
      <w:bookmarkStart w:id="15" w:name="_Toc381969513"/>
      <w:bookmarkStart w:id="16" w:name="_Toc405888462"/>
      <w:bookmarkStart w:id="17" w:name="_Toc144299457"/>
      <w:r w:rsidRPr="00321D3F">
        <w:lastRenderedPageBreak/>
        <w:t>Timetable</w:t>
      </w:r>
      <w:bookmarkEnd w:id="12"/>
      <w:bookmarkEnd w:id="14"/>
      <w:bookmarkEnd w:id="15"/>
      <w:bookmarkEnd w:id="16"/>
      <w:bookmarkEnd w:id="17"/>
    </w:p>
    <w:p w14:paraId="0DA8DF55" w14:textId="08745C3E" w:rsidR="001713EC" w:rsidRDefault="005258B3" w:rsidP="00D45EDE">
      <w:r>
        <w:t xml:space="preserve">The final outputs from the project are required for use </w:t>
      </w:r>
      <w:r w:rsidR="00734BBA">
        <w:t xml:space="preserve">in the CCC’s </w:t>
      </w:r>
      <w:r w:rsidR="00CF5994">
        <w:t xml:space="preserve">analysis no later than the </w:t>
      </w:r>
      <w:r w:rsidR="006A5111">
        <w:t xml:space="preserve">end of March. </w:t>
      </w:r>
      <w:r w:rsidR="00CF5994">
        <w:t xml:space="preserve"> </w:t>
      </w:r>
    </w:p>
    <w:p w14:paraId="281AE986" w14:textId="539CF568" w:rsidR="002479A5" w:rsidRDefault="001713EC" w:rsidP="00D45EDE">
      <w:r>
        <w:t xml:space="preserve">A suggested timetable </w:t>
      </w:r>
      <w:r w:rsidR="001F1ADA">
        <w:t>for</w:t>
      </w:r>
      <w:r>
        <w:t xml:space="preserve"> delivering the project is set out below.</w:t>
      </w:r>
      <w:r w:rsidR="00054FEC">
        <w:t xml:space="preserve"> The bidder should </w:t>
      </w:r>
      <w:r w:rsidR="00A13A69">
        <w:t xml:space="preserve">include a proposed timetable for </w:t>
      </w:r>
      <w:r w:rsidR="00AA7503">
        <w:t xml:space="preserve">the project as part of their tender submission. </w:t>
      </w:r>
      <w:r w:rsidR="00CF77CF" w:rsidRPr="002479A5">
        <w:t>The CCC is willing to be flexible and will consider alternative timetable proposals</w:t>
      </w:r>
      <w:r w:rsidR="00CF77CF">
        <w:t xml:space="preserve">. </w:t>
      </w:r>
    </w:p>
    <w:tbl>
      <w:tblPr>
        <w:tblStyle w:val="TableGrid"/>
        <w:tblW w:w="5000" w:type="pct"/>
        <w:tblLook w:val="04A0" w:firstRow="1" w:lastRow="0" w:firstColumn="1" w:lastColumn="0" w:noHBand="0" w:noVBand="1"/>
      </w:tblPr>
      <w:tblGrid>
        <w:gridCol w:w="1963"/>
        <w:gridCol w:w="5891"/>
      </w:tblGrid>
      <w:tr w:rsidR="002479A5" w:rsidRPr="00742474" w14:paraId="36C31540" w14:textId="77777777" w:rsidTr="00797025">
        <w:tc>
          <w:tcPr>
            <w:tcW w:w="1250" w:type="pct"/>
          </w:tcPr>
          <w:p w14:paraId="2B7D8E47" w14:textId="322DABD7" w:rsidR="002479A5" w:rsidRPr="00751EEF" w:rsidRDefault="002479A5" w:rsidP="005733E5">
            <w:pPr>
              <w:pStyle w:val="TableText"/>
              <w:rPr>
                <w:b/>
                <w:bCs/>
              </w:rPr>
            </w:pPr>
            <w:r w:rsidRPr="00751EEF">
              <w:rPr>
                <w:b/>
                <w:bCs/>
              </w:rPr>
              <w:t>Date</w:t>
            </w:r>
            <w:r w:rsidR="004F543B" w:rsidRPr="00751EEF">
              <w:rPr>
                <w:b/>
                <w:bCs/>
              </w:rPr>
              <w:t xml:space="preserve"> (w/c)</w:t>
            </w:r>
          </w:p>
        </w:tc>
        <w:tc>
          <w:tcPr>
            <w:tcW w:w="3593" w:type="pct"/>
          </w:tcPr>
          <w:p w14:paraId="0AC8070C" w14:textId="77777777" w:rsidR="002479A5" w:rsidRPr="00751EEF" w:rsidRDefault="002479A5" w:rsidP="005733E5">
            <w:pPr>
              <w:pStyle w:val="TableText"/>
              <w:rPr>
                <w:b/>
                <w:bCs/>
              </w:rPr>
            </w:pPr>
            <w:r w:rsidRPr="00751EEF">
              <w:rPr>
                <w:b/>
                <w:bCs/>
              </w:rPr>
              <w:t>Action/deliverable</w:t>
            </w:r>
          </w:p>
        </w:tc>
      </w:tr>
      <w:tr w:rsidR="002479A5" w:rsidRPr="00742474" w14:paraId="09452DF8" w14:textId="77777777" w:rsidTr="00797025">
        <w:tc>
          <w:tcPr>
            <w:tcW w:w="1250" w:type="pct"/>
          </w:tcPr>
          <w:p w14:paraId="7513136F" w14:textId="1FC3146B" w:rsidR="002479A5" w:rsidRPr="00751EEF" w:rsidRDefault="00C317F3" w:rsidP="005733E5">
            <w:pPr>
              <w:pStyle w:val="TableText"/>
            </w:pPr>
            <w:r>
              <w:t>1</w:t>
            </w:r>
            <w:r w:rsidR="00E7555C">
              <w:t>9</w:t>
            </w:r>
            <w:r w:rsidRPr="00C317F3">
              <w:rPr>
                <w:vertAlign w:val="superscript"/>
              </w:rPr>
              <w:t>th</w:t>
            </w:r>
            <w:r>
              <w:t xml:space="preserve"> February</w:t>
            </w:r>
          </w:p>
        </w:tc>
        <w:tc>
          <w:tcPr>
            <w:tcW w:w="3593" w:type="pct"/>
          </w:tcPr>
          <w:p w14:paraId="77DD8BB2" w14:textId="462B49BD" w:rsidR="002479A5" w:rsidRPr="00751EEF" w:rsidRDefault="00323436" w:rsidP="005733E5">
            <w:pPr>
              <w:pStyle w:val="TableText"/>
            </w:pPr>
            <w:r w:rsidRPr="00751EEF">
              <w:t>Commence project</w:t>
            </w:r>
          </w:p>
        </w:tc>
      </w:tr>
      <w:tr w:rsidR="002479A5" w:rsidRPr="00742474" w14:paraId="6965B681" w14:textId="77777777" w:rsidTr="00797025">
        <w:tc>
          <w:tcPr>
            <w:tcW w:w="1250" w:type="pct"/>
          </w:tcPr>
          <w:p w14:paraId="3E0131C6" w14:textId="2AD57852" w:rsidR="002479A5" w:rsidRPr="00751EEF" w:rsidRDefault="00C317F3" w:rsidP="005733E5">
            <w:pPr>
              <w:pStyle w:val="TableText"/>
            </w:pPr>
            <w:r>
              <w:t>26</w:t>
            </w:r>
            <w:r w:rsidRPr="00C317F3">
              <w:rPr>
                <w:vertAlign w:val="superscript"/>
              </w:rPr>
              <w:t>th</w:t>
            </w:r>
            <w:r>
              <w:t xml:space="preserve"> February</w:t>
            </w:r>
          </w:p>
        </w:tc>
        <w:tc>
          <w:tcPr>
            <w:tcW w:w="3750" w:type="pct"/>
          </w:tcPr>
          <w:p w14:paraId="4EDF58FD" w14:textId="52768A7A" w:rsidR="002479A5" w:rsidRPr="00751EEF" w:rsidRDefault="00A95D52" w:rsidP="005733E5">
            <w:pPr>
              <w:pStyle w:val="TableText"/>
            </w:pPr>
            <w:r>
              <w:t>Agree</w:t>
            </w:r>
            <w:r w:rsidR="00B62484">
              <w:t xml:space="preserve"> final</w:t>
            </w:r>
            <w:r w:rsidR="00323436" w:rsidRPr="00751EEF">
              <w:t xml:space="preserve"> methodology</w:t>
            </w:r>
            <w:r w:rsidR="006D2036" w:rsidRPr="00751EEF">
              <w:t xml:space="preserve"> and data sources</w:t>
            </w:r>
            <w:r w:rsidR="00323436" w:rsidRPr="00751EEF">
              <w:t xml:space="preserve"> </w:t>
            </w:r>
          </w:p>
        </w:tc>
      </w:tr>
      <w:tr w:rsidR="002479A5" w:rsidRPr="00742474" w14:paraId="2BA95FB1" w14:textId="77777777" w:rsidTr="00797025">
        <w:tc>
          <w:tcPr>
            <w:tcW w:w="1250" w:type="pct"/>
          </w:tcPr>
          <w:p w14:paraId="322F453C" w14:textId="32F1BAD3" w:rsidR="002479A5" w:rsidRPr="00751EEF" w:rsidRDefault="00C317F3" w:rsidP="005733E5">
            <w:pPr>
              <w:pStyle w:val="TableText"/>
            </w:pPr>
            <w:r>
              <w:t>5</w:t>
            </w:r>
            <w:r w:rsidRPr="00C317F3">
              <w:rPr>
                <w:vertAlign w:val="superscript"/>
              </w:rPr>
              <w:t>th</w:t>
            </w:r>
            <w:r>
              <w:t xml:space="preserve"> March</w:t>
            </w:r>
          </w:p>
        </w:tc>
        <w:tc>
          <w:tcPr>
            <w:tcW w:w="3750" w:type="pct"/>
          </w:tcPr>
          <w:p w14:paraId="7599E314" w14:textId="77D0151D" w:rsidR="002479A5" w:rsidRPr="00751EEF" w:rsidRDefault="00F91A07" w:rsidP="005733E5">
            <w:pPr>
              <w:pStyle w:val="TableText"/>
              <w:rPr>
                <w:rFonts w:ascii="Century Gothic" w:hAnsi="Century Gothic"/>
              </w:rPr>
            </w:pPr>
            <w:r>
              <w:rPr>
                <w:rFonts w:ascii="Century Gothic" w:hAnsi="Century Gothic"/>
              </w:rPr>
              <w:t>Con</w:t>
            </w:r>
            <w:r w:rsidR="000642B5">
              <w:rPr>
                <w:rFonts w:ascii="Century Gothic" w:hAnsi="Century Gothic"/>
              </w:rPr>
              <w:t>firm</w:t>
            </w:r>
            <w:r w:rsidR="006D2036" w:rsidRPr="00751EEF">
              <w:rPr>
                <w:rFonts w:ascii="Century Gothic" w:hAnsi="Century Gothic"/>
              </w:rPr>
              <w:t xml:space="preserve"> </w:t>
            </w:r>
            <w:r w:rsidR="00FE52B2" w:rsidRPr="00751EEF">
              <w:rPr>
                <w:rFonts w:ascii="Century Gothic" w:hAnsi="Century Gothic"/>
              </w:rPr>
              <w:t xml:space="preserve">access </w:t>
            </w:r>
            <w:r w:rsidR="00A95D52">
              <w:rPr>
                <w:rFonts w:ascii="Century Gothic" w:hAnsi="Century Gothic"/>
              </w:rPr>
              <w:t xml:space="preserve">has been obtained </w:t>
            </w:r>
            <w:r w:rsidR="00FE52B2" w:rsidRPr="00751EEF">
              <w:rPr>
                <w:rFonts w:ascii="Century Gothic" w:hAnsi="Century Gothic"/>
              </w:rPr>
              <w:t>to required datasets</w:t>
            </w:r>
          </w:p>
        </w:tc>
      </w:tr>
      <w:tr w:rsidR="002479A5" w:rsidRPr="00742474" w14:paraId="5D997831" w14:textId="77777777" w:rsidTr="00797025">
        <w:tc>
          <w:tcPr>
            <w:tcW w:w="1250" w:type="pct"/>
          </w:tcPr>
          <w:p w14:paraId="1BC8D2A8" w14:textId="579E2BD9" w:rsidR="002479A5" w:rsidRPr="00751EEF" w:rsidDel="00D62139" w:rsidRDefault="004F5EF6" w:rsidP="005733E5">
            <w:pPr>
              <w:pStyle w:val="TableText"/>
            </w:pPr>
            <w:r>
              <w:t>18</w:t>
            </w:r>
            <w:r w:rsidRPr="004F5EF6">
              <w:rPr>
                <w:vertAlign w:val="superscript"/>
              </w:rPr>
              <w:t>th</w:t>
            </w:r>
            <w:r>
              <w:t xml:space="preserve"> March</w:t>
            </w:r>
          </w:p>
        </w:tc>
        <w:tc>
          <w:tcPr>
            <w:tcW w:w="3750" w:type="pct"/>
          </w:tcPr>
          <w:p w14:paraId="02464A35" w14:textId="4A89CCEB" w:rsidR="002479A5" w:rsidRPr="00751EEF" w:rsidRDefault="00003215" w:rsidP="005733E5">
            <w:pPr>
              <w:pStyle w:val="TableText"/>
              <w:rPr>
                <w:rFonts w:ascii="Century Gothic" w:hAnsi="Century Gothic"/>
              </w:rPr>
            </w:pPr>
            <w:r w:rsidRPr="00751EEF">
              <w:rPr>
                <w:rFonts w:ascii="Century Gothic" w:hAnsi="Century Gothic"/>
              </w:rPr>
              <w:t>Pr</w:t>
            </w:r>
            <w:r w:rsidR="00E178E6" w:rsidRPr="00751EEF">
              <w:rPr>
                <w:rFonts w:ascii="Century Gothic" w:hAnsi="Century Gothic"/>
              </w:rPr>
              <w:t>ovide</w:t>
            </w:r>
            <w:r w:rsidRPr="00751EEF">
              <w:rPr>
                <w:rFonts w:ascii="Century Gothic" w:hAnsi="Century Gothic"/>
              </w:rPr>
              <w:t xml:space="preserve"> initial outputs</w:t>
            </w:r>
            <w:r w:rsidR="000642B5">
              <w:rPr>
                <w:rFonts w:ascii="Century Gothic" w:hAnsi="Century Gothic"/>
              </w:rPr>
              <w:t xml:space="preserve"> for review and comment</w:t>
            </w:r>
          </w:p>
        </w:tc>
      </w:tr>
      <w:tr w:rsidR="00742474" w:rsidRPr="00742474" w14:paraId="2A052F5B" w14:textId="77777777" w:rsidTr="00797025">
        <w:tc>
          <w:tcPr>
            <w:tcW w:w="1250" w:type="pct"/>
          </w:tcPr>
          <w:p w14:paraId="74C592AB" w14:textId="47BE537F" w:rsidR="00742474" w:rsidRPr="00751EEF" w:rsidRDefault="004F5EF6" w:rsidP="005733E5">
            <w:pPr>
              <w:pStyle w:val="TableText"/>
            </w:pPr>
            <w:r>
              <w:t>25</w:t>
            </w:r>
            <w:r w:rsidRPr="004F5EF6">
              <w:rPr>
                <w:vertAlign w:val="superscript"/>
              </w:rPr>
              <w:t>th</w:t>
            </w:r>
            <w:r>
              <w:t xml:space="preserve"> March</w:t>
            </w:r>
          </w:p>
        </w:tc>
        <w:tc>
          <w:tcPr>
            <w:tcW w:w="3750" w:type="pct"/>
          </w:tcPr>
          <w:p w14:paraId="5A989125" w14:textId="5227BA53" w:rsidR="00742474" w:rsidRPr="00751EEF" w:rsidRDefault="00581EEB" w:rsidP="005733E5">
            <w:pPr>
              <w:pStyle w:val="TableText"/>
            </w:pPr>
            <w:r w:rsidRPr="00751EEF">
              <w:t>Provide final outputs</w:t>
            </w:r>
          </w:p>
        </w:tc>
      </w:tr>
    </w:tbl>
    <w:p w14:paraId="43B9F87C" w14:textId="77777777" w:rsidR="00273481" w:rsidRDefault="00273481" w:rsidP="00D45EDE"/>
    <w:p w14:paraId="0F9065AF" w14:textId="51DDC421" w:rsidR="002479A5" w:rsidRPr="002479A5" w:rsidRDefault="002479A5" w:rsidP="00D45EDE">
      <w:r w:rsidRPr="002479A5">
        <w:t>In addition to the formal reporting points, the CCC would expect to have regular scheduled discussions (weekly meetings or calls) to ensure the work is progressing as expected.</w:t>
      </w:r>
    </w:p>
    <w:p w14:paraId="6A8AE529" w14:textId="02E98436" w:rsidR="003A05B7" w:rsidRPr="00321D3F" w:rsidRDefault="003A05B7" w:rsidP="00E960D9">
      <w:pPr>
        <w:pStyle w:val="Heading1"/>
      </w:pPr>
      <w:bookmarkStart w:id="18" w:name="_Ref357541731"/>
      <w:bookmarkStart w:id="19" w:name="_Toc381969514"/>
      <w:bookmarkStart w:id="20" w:name="_Toc405888463"/>
      <w:bookmarkStart w:id="21" w:name="_Toc144299458"/>
      <w:r w:rsidRPr="00321D3F">
        <w:t>Challenges</w:t>
      </w:r>
      <w:bookmarkEnd w:id="18"/>
      <w:bookmarkEnd w:id="19"/>
      <w:bookmarkEnd w:id="20"/>
      <w:bookmarkEnd w:id="21"/>
    </w:p>
    <w:p w14:paraId="4A96256E" w14:textId="215D6402" w:rsidR="00E11053" w:rsidRPr="00E11053" w:rsidRDefault="00BF4BA8" w:rsidP="00D45EDE">
      <w:r>
        <w:t>Bidders</w:t>
      </w:r>
      <w:r w:rsidR="00E11053" w:rsidRPr="00E11053">
        <w:t xml:space="preserve"> should highlight any challenges or risks that they envisage in delivering </w:t>
      </w:r>
      <w:r w:rsidR="00815698">
        <w:t>any</w:t>
      </w:r>
      <w:r w:rsidR="00E11053" w:rsidRPr="00E11053">
        <w:t xml:space="preserve"> outputs of the project, whether in terms of scope of the work, resources, or timelines. Alternative suggestions will be considered if the risks are such that the </w:t>
      </w:r>
      <w:r w:rsidR="00C240EA">
        <w:t xml:space="preserve">aspects of the </w:t>
      </w:r>
      <w:r w:rsidR="00E11053" w:rsidRPr="00E11053">
        <w:t xml:space="preserve">project </w:t>
      </w:r>
      <w:r w:rsidR="00C240EA">
        <w:t>as proposed are</w:t>
      </w:r>
      <w:r w:rsidR="00E11053" w:rsidRPr="00E11053">
        <w:t xml:space="preserve"> unlikely to be deliver</w:t>
      </w:r>
      <w:r w:rsidR="00C240EA">
        <w:t>able</w:t>
      </w:r>
      <w:r w:rsidR="00E11053" w:rsidRPr="00E11053">
        <w:t>.</w:t>
      </w:r>
    </w:p>
    <w:p w14:paraId="01C079ED" w14:textId="775A3DBF" w:rsidR="0038388A" w:rsidRPr="00880287" w:rsidRDefault="0038388A" w:rsidP="00E960D9">
      <w:pPr>
        <w:pStyle w:val="Heading1"/>
      </w:pPr>
      <w:bookmarkStart w:id="22" w:name="_Ref338852517"/>
      <w:bookmarkStart w:id="23" w:name="_Toc381969516"/>
      <w:bookmarkStart w:id="24" w:name="_Toc405888465"/>
      <w:bookmarkStart w:id="25" w:name="_Toc144299459"/>
      <w:r w:rsidRPr="00880287">
        <w:t>Working Arrangements</w:t>
      </w:r>
      <w:bookmarkEnd w:id="22"/>
      <w:bookmarkEnd w:id="23"/>
      <w:bookmarkEnd w:id="24"/>
      <w:bookmarkEnd w:id="25"/>
    </w:p>
    <w:p w14:paraId="7451F670" w14:textId="57881EB6" w:rsidR="00925232" w:rsidRPr="00925232" w:rsidRDefault="00925232" w:rsidP="00D45EDE">
      <w:r w:rsidRPr="00925232">
        <w:t xml:space="preserve">The successful contractor will be expected to identify one named point of contact through whom all enquiries can be filtered. A CCC project manager will be assigned to the project and will be the central point of contact. </w:t>
      </w:r>
    </w:p>
    <w:p w14:paraId="0859905F" w14:textId="3AB92602" w:rsidR="00925232" w:rsidRDefault="00925232" w:rsidP="00D45EDE">
      <w:r w:rsidRPr="00925232">
        <w:t xml:space="preserve">The CCC would expect the </w:t>
      </w:r>
      <w:r>
        <w:t xml:space="preserve">choice of </w:t>
      </w:r>
      <w:r w:rsidR="00BE0040">
        <w:t>variable</w:t>
      </w:r>
      <w:r w:rsidR="0089681C">
        <w:t>s and attributes,</w:t>
      </w:r>
      <w:r w:rsidR="004B2A1F">
        <w:t xml:space="preserve"> methodological </w:t>
      </w:r>
      <w:proofErr w:type="gramStart"/>
      <w:r w:rsidR="004B2A1F">
        <w:t>approaches</w:t>
      </w:r>
      <w:proofErr w:type="gramEnd"/>
      <w:r w:rsidR="004B2A1F">
        <w:t xml:space="preserve"> </w:t>
      </w:r>
      <w:r w:rsidRPr="00925232">
        <w:t>and underlying assumptions to be</w:t>
      </w:r>
      <w:r w:rsidR="004B2A1F">
        <w:t xml:space="preserve"> developed through</w:t>
      </w:r>
      <w:r w:rsidRPr="00925232">
        <w:t xml:space="preserve"> a collaborative process and as such expect regular contact and check-ins with the contractor</w:t>
      </w:r>
      <w:r w:rsidR="004B2A1F">
        <w:t>.</w:t>
      </w:r>
    </w:p>
    <w:p w14:paraId="4A8773AC" w14:textId="1FD70013" w:rsidR="0038388A" w:rsidRPr="00925232" w:rsidRDefault="0038388A" w:rsidP="00E960D9">
      <w:pPr>
        <w:pStyle w:val="Heading1"/>
      </w:pPr>
      <w:bookmarkStart w:id="26" w:name="_Toc144299460"/>
      <w:r w:rsidRPr="00925232">
        <w:t>Skills and experience</w:t>
      </w:r>
      <w:bookmarkEnd w:id="26"/>
    </w:p>
    <w:p w14:paraId="29DA31F2" w14:textId="77777777" w:rsidR="00E14A4A" w:rsidRPr="00E14A4A" w:rsidRDefault="00E14A4A" w:rsidP="00D45EDE">
      <w:bookmarkStart w:id="27" w:name="_Ref338852499"/>
      <w:r w:rsidRPr="00E14A4A">
        <w:t xml:space="preserve">The CCC would like you to demonstrate that you have the experience and capabilities to undertake the project. Your tender response should include a summary of each proposed team member’s experience and capabilities. </w:t>
      </w:r>
    </w:p>
    <w:p w14:paraId="436E9218" w14:textId="77777777" w:rsidR="00E14A4A" w:rsidRPr="00E14A4A" w:rsidRDefault="00E14A4A" w:rsidP="00D45EDE">
      <w:r w:rsidRPr="00E14A4A">
        <w:t xml:space="preserve">Contractors should propose named members of the project </w:t>
      </w:r>
      <w:proofErr w:type="gramStart"/>
      <w:r w:rsidRPr="00E14A4A">
        <w:t>team, and</w:t>
      </w:r>
      <w:proofErr w:type="gramEnd"/>
      <w:r w:rsidRPr="00E14A4A">
        <w:t xml:space="preserve"> include the tasks and responsibilities of each team member. This should be clearly linked to the work programme, indicating the grade/seniority of staff and number of days allocated to specific tasks.</w:t>
      </w:r>
    </w:p>
    <w:p w14:paraId="6157BA7E" w14:textId="77777777" w:rsidR="00E14A4A" w:rsidRPr="00E14A4A" w:rsidRDefault="00E14A4A" w:rsidP="00D45EDE">
      <w:r w:rsidRPr="00E14A4A">
        <w:t>Contractors should identify the individual(s) who will be responsible for managing the project.</w:t>
      </w:r>
    </w:p>
    <w:p w14:paraId="1568BF56" w14:textId="77777777" w:rsidR="0038388A" w:rsidRPr="00E14A4A" w:rsidRDefault="0038388A" w:rsidP="00E960D9">
      <w:pPr>
        <w:pStyle w:val="Heading1"/>
      </w:pPr>
      <w:bookmarkStart w:id="28" w:name="_Ref373505239"/>
      <w:bookmarkStart w:id="29" w:name="_Toc381969518"/>
      <w:bookmarkStart w:id="30" w:name="_Toc405888467"/>
      <w:bookmarkStart w:id="31" w:name="_Toc144299461"/>
      <w:r w:rsidRPr="00E14A4A">
        <w:t>Consortium Bids</w:t>
      </w:r>
      <w:bookmarkEnd w:id="28"/>
      <w:bookmarkEnd w:id="29"/>
      <w:bookmarkEnd w:id="30"/>
      <w:bookmarkEnd w:id="31"/>
    </w:p>
    <w:p w14:paraId="67F2973E" w14:textId="77777777" w:rsidR="0038388A" w:rsidRPr="0038388A" w:rsidRDefault="0038388A" w:rsidP="00D45EDE">
      <w:pPr>
        <w:rPr>
          <w:lang w:eastAsia="en-GB"/>
        </w:rPr>
      </w:pPr>
      <w:r w:rsidRPr="0038388A">
        <w:rPr>
          <w:lang w:eastAsia="en-GB"/>
        </w:rPr>
        <w:t xml:space="preserve">In the case of a consortium tender, only one submission covering </w:t>
      </w:r>
      <w:proofErr w:type="gramStart"/>
      <w:r w:rsidRPr="0038388A">
        <w:rPr>
          <w:lang w:eastAsia="en-GB"/>
        </w:rPr>
        <w:t>all of</w:t>
      </w:r>
      <w:proofErr w:type="gramEnd"/>
      <w:r w:rsidRPr="0038388A">
        <w:rPr>
          <w:lang w:eastAsia="en-GB"/>
        </w:rPr>
        <w:t xml:space="preserve"> the partners is required but consortia are advised to make clear the proposed role that each partner will play in performing the contract as per the requirements of the technical specification.  We </w:t>
      </w:r>
      <w:r w:rsidRPr="0038388A">
        <w:t xml:space="preserve">expect the bidder to indicate who in the consortium will be the </w:t>
      </w:r>
      <w:r w:rsidRPr="0038388A">
        <w:rPr>
          <w:lang w:eastAsia="en-GB"/>
        </w:rPr>
        <w:t>lead contact for this project, and the organisation and governance associated with the consortia.</w:t>
      </w:r>
    </w:p>
    <w:p w14:paraId="1E73C1CD" w14:textId="77777777" w:rsidR="0038388A" w:rsidRPr="0038388A" w:rsidRDefault="0038388A" w:rsidP="00D45EDE">
      <w:pPr>
        <w:rPr>
          <w:lang w:eastAsia="en-GB"/>
        </w:rPr>
      </w:pPr>
      <w:r w:rsidRPr="0038388A">
        <w:rPr>
          <w:lang w:eastAsia="en-GB"/>
        </w:rPr>
        <w:t>Contractors must provide details as to how they will manage any sub-contractors and what percentage of the tendered activity (in terms of monetary value) will be sub-contracted.</w:t>
      </w:r>
    </w:p>
    <w:p w14:paraId="4A5DD6C2" w14:textId="77777777" w:rsidR="0038388A" w:rsidRPr="0038388A" w:rsidRDefault="0038388A" w:rsidP="00D45EDE">
      <w:pPr>
        <w:rPr>
          <w:szCs w:val="20"/>
        </w:rPr>
      </w:pPr>
      <w:r w:rsidRPr="0038388A">
        <w:rPr>
          <w:szCs w:val="20"/>
        </w:rPr>
        <w:lastRenderedPageBreak/>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734B508" w14:textId="77777777" w:rsidR="0038388A" w:rsidRPr="0038388A" w:rsidRDefault="0038388A" w:rsidP="00D45EDE">
      <w:pPr>
        <w:rPr>
          <w:szCs w:val="20"/>
        </w:rPr>
      </w:pPr>
      <w:r w:rsidRPr="0038388A">
        <w:rPr>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77777777" w:rsidR="0038388A" w:rsidRPr="00E14A4A" w:rsidRDefault="0038388A" w:rsidP="00E960D9">
      <w:pPr>
        <w:pStyle w:val="Heading1"/>
      </w:pPr>
      <w:bookmarkStart w:id="32" w:name="_Ref357541811"/>
      <w:bookmarkStart w:id="33" w:name="_Toc381969519"/>
      <w:bookmarkStart w:id="34" w:name="_Toc405888468"/>
      <w:bookmarkStart w:id="35" w:name="_Toc144299462"/>
      <w:bookmarkStart w:id="36" w:name="_Toc246831559"/>
      <w:bookmarkStart w:id="37" w:name="_Toc271272917"/>
      <w:bookmarkStart w:id="38" w:name="_Ref338852577"/>
      <w:bookmarkEnd w:id="27"/>
      <w:r w:rsidRPr="00E14A4A">
        <w:t>Budget</w:t>
      </w:r>
      <w:bookmarkEnd w:id="32"/>
      <w:bookmarkEnd w:id="33"/>
      <w:bookmarkEnd w:id="34"/>
      <w:bookmarkEnd w:id="35"/>
      <w:r w:rsidRPr="00E14A4A">
        <w:t xml:space="preserve"> </w:t>
      </w:r>
    </w:p>
    <w:p w14:paraId="6748E65B" w14:textId="135D2EF2" w:rsidR="007A6F89" w:rsidRDefault="0038388A" w:rsidP="00D45EDE">
      <w:pPr>
        <w:rPr>
          <w:lang w:eastAsia="en-GB"/>
        </w:rPr>
      </w:pPr>
      <w:r w:rsidRPr="00817C9A">
        <w:rPr>
          <w:lang w:eastAsia="en-GB"/>
        </w:rPr>
        <w:t xml:space="preserve">The budget for </w:t>
      </w:r>
      <w:r w:rsidR="005250E1" w:rsidRPr="00817C9A">
        <w:rPr>
          <w:lang w:eastAsia="en-GB"/>
        </w:rPr>
        <w:t xml:space="preserve">meeting </w:t>
      </w:r>
      <w:r w:rsidR="00F11F0D" w:rsidRPr="00817C9A">
        <w:rPr>
          <w:lang w:eastAsia="en-GB"/>
        </w:rPr>
        <w:t xml:space="preserve">the </w:t>
      </w:r>
      <w:r w:rsidR="007A6F89" w:rsidRPr="00817C9A">
        <w:rPr>
          <w:lang w:eastAsia="en-GB"/>
        </w:rPr>
        <w:t>essential</w:t>
      </w:r>
      <w:r w:rsidR="00F11F0D" w:rsidRPr="00817C9A">
        <w:rPr>
          <w:lang w:eastAsia="en-GB"/>
        </w:rPr>
        <w:t xml:space="preserve"> elements</w:t>
      </w:r>
      <w:r w:rsidR="00534BE7">
        <w:rPr>
          <w:lang w:eastAsia="en-GB"/>
        </w:rPr>
        <w:t xml:space="preserve"> </w:t>
      </w:r>
      <w:r w:rsidR="00A3775F" w:rsidRPr="00817C9A">
        <w:rPr>
          <w:lang w:eastAsia="en-GB"/>
        </w:rPr>
        <w:t>of the project</w:t>
      </w:r>
      <w:r w:rsidR="00817C9A">
        <w:rPr>
          <w:lang w:eastAsia="en-GB"/>
        </w:rPr>
        <w:t xml:space="preserve"> </w:t>
      </w:r>
      <w:r w:rsidRPr="00817C9A">
        <w:rPr>
          <w:lang w:eastAsia="en-GB"/>
        </w:rPr>
        <w:t xml:space="preserve">is </w:t>
      </w:r>
      <w:r w:rsidR="00D51EB5" w:rsidRPr="00817C9A">
        <w:rPr>
          <w:lang w:eastAsia="en-GB"/>
        </w:rPr>
        <w:t>£</w:t>
      </w:r>
      <w:r w:rsidR="009E3BF4" w:rsidRPr="00817C9A">
        <w:rPr>
          <w:lang w:eastAsia="en-GB"/>
        </w:rPr>
        <w:t xml:space="preserve">30,000 </w:t>
      </w:r>
      <w:r w:rsidR="00284FBD" w:rsidRPr="00817C9A">
        <w:rPr>
          <w:lang w:eastAsia="en-GB"/>
        </w:rPr>
        <w:t>to £</w:t>
      </w:r>
      <w:r w:rsidR="00817C9A" w:rsidRPr="00817C9A">
        <w:rPr>
          <w:lang w:eastAsia="en-GB"/>
        </w:rPr>
        <w:t>4</w:t>
      </w:r>
      <w:r w:rsidR="0070243C">
        <w:rPr>
          <w:lang w:eastAsia="en-GB"/>
        </w:rPr>
        <w:t>1</w:t>
      </w:r>
      <w:r w:rsidR="00817C9A" w:rsidRPr="00817C9A">
        <w:rPr>
          <w:lang w:eastAsia="en-GB"/>
        </w:rPr>
        <w:t>,</w:t>
      </w:r>
      <w:r w:rsidR="0070243C">
        <w:rPr>
          <w:lang w:eastAsia="en-GB"/>
        </w:rPr>
        <w:t>5</w:t>
      </w:r>
      <w:r w:rsidR="00817C9A" w:rsidRPr="00817C9A">
        <w:rPr>
          <w:lang w:eastAsia="en-GB"/>
        </w:rPr>
        <w:t xml:space="preserve">00 </w:t>
      </w:r>
      <w:r w:rsidR="00FC0309" w:rsidRPr="00817C9A">
        <w:rPr>
          <w:u w:val="single"/>
          <w:lang w:eastAsia="en-GB"/>
        </w:rPr>
        <w:t>ex</w:t>
      </w:r>
      <w:r w:rsidR="00584821" w:rsidRPr="00817C9A">
        <w:rPr>
          <w:u w:val="single"/>
          <w:lang w:eastAsia="en-GB"/>
        </w:rPr>
        <w:t>cluding</w:t>
      </w:r>
      <w:r w:rsidRPr="00817C9A">
        <w:rPr>
          <w:lang w:eastAsia="en-GB"/>
        </w:rPr>
        <w:t xml:space="preserve"> VAT.</w:t>
      </w:r>
      <w:r w:rsidRPr="00E14A4A">
        <w:rPr>
          <w:lang w:eastAsia="en-GB"/>
        </w:rPr>
        <w:t xml:space="preserve"> </w:t>
      </w:r>
    </w:p>
    <w:p w14:paraId="2E5BF3D2" w14:textId="719615B2" w:rsidR="0038388A" w:rsidRPr="0038388A" w:rsidRDefault="0038388A" w:rsidP="00D45EDE">
      <w:pPr>
        <w:rPr>
          <w:lang w:eastAsia="en-GB"/>
        </w:rPr>
      </w:pPr>
      <w:r w:rsidRPr="0038388A">
        <w:rPr>
          <w:lang w:eastAsia="en-GB"/>
        </w:rPr>
        <w:t xml:space="preserve">Contractors should provide a full and detailed breakdown of costs (including options where appropriate). This should include staff (and day rate) allocated to specific tasks. </w:t>
      </w:r>
      <w:bookmarkEnd w:id="36"/>
      <w:bookmarkEnd w:id="37"/>
      <w:bookmarkEnd w:id="38"/>
    </w:p>
    <w:p w14:paraId="237D5DD6" w14:textId="4C2D779D" w:rsidR="0038388A" w:rsidRPr="00E14A4A" w:rsidRDefault="00F40B3E" w:rsidP="00D45EDE">
      <w:pPr>
        <w:rPr>
          <w:lang w:eastAsia="en-GB"/>
        </w:rPr>
      </w:pPr>
      <w:r>
        <w:rPr>
          <w:lang w:eastAsia="en-GB"/>
        </w:rPr>
        <w:t>Price</w:t>
      </w:r>
      <w:r w:rsidR="0038388A" w:rsidRPr="0038388A">
        <w:rPr>
          <w:lang w:eastAsia="en-GB"/>
        </w:rPr>
        <w:t xml:space="preserve"> will be a criterion against which bids which will be assessed.</w:t>
      </w:r>
      <w:r w:rsidR="00A1205F">
        <w:rPr>
          <w:lang w:eastAsia="en-GB"/>
        </w:rPr>
        <w:t xml:space="preserve"> The ass</w:t>
      </w:r>
      <w:r w:rsidR="00571E40">
        <w:rPr>
          <w:lang w:eastAsia="en-GB"/>
        </w:rPr>
        <w:t>essment will be made</w:t>
      </w:r>
      <w:r w:rsidR="001E5F60">
        <w:rPr>
          <w:lang w:eastAsia="en-GB"/>
        </w:rPr>
        <w:t xml:space="preserve"> </w:t>
      </w:r>
      <w:r w:rsidR="00D50872">
        <w:rPr>
          <w:lang w:eastAsia="en-GB"/>
        </w:rPr>
        <w:t xml:space="preserve">against the </w:t>
      </w:r>
      <w:r w:rsidR="00BC531E">
        <w:rPr>
          <w:lang w:eastAsia="en-GB"/>
        </w:rPr>
        <w:t>price quoted</w:t>
      </w:r>
      <w:r w:rsidR="003B1A35">
        <w:rPr>
          <w:lang w:eastAsia="en-GB"/>
        </w:rPr>
        <w:t xml:space="preserve"> for the</w:t>
      </w:r>
      <w:r w:rsidR="00754061">
        <w:rPr>
          <w:lang w:eastAsia="en-GB"/>
        </w:rPr>
        <w:t xml:space="preserve"> ‘</w:t>
      </w:r>
      <w:r w:rsidR="003B1F8D">
        <w:rPr>
          <w:lang w:eastAsia="en-GB"/>
        </w:rPr>
        <w:t>essential</w:t>
      </w:r>
      <w:r w:rsidR="00754061">
        <w:rPr>
          <w:lang w:eastAsia="en-GB"/>
        </w:rPr>
        <w:t xml:space="preserve"> elements’ of the project</w:t>
      </w:r>
      <w:r w:rsidR="00E07BCF">
        <w:rPr>
          <w:lang w:eastAsia="en-GB"/>
        </w:rPr>
        <w:t xml:space="preserve">. </w:t>
      </w:r>
      <w:r w:rsidR="005B337A">
        <w:rPr>
          <w:lang w:eastAsia="en-GB"/>
        </w:rPr>
        <w:t>The affordability of</w:t>
      </w:r>
      <w:r w:rsidR="00F4245C">
        <w:rPr>
          <w:lang w:eastAsia="en-GB"/>
        </w:rPr>
        <w:t xml:space="preserve"> </w:t>
      </w:r>
      <w:r w:rsidR="00000C5F">
        <w:rPr>
          <w:lang w:eastAsia="en-GB"/>
        </w:rPr>
        <w:t>the</w:t>
      </w:r>
      <w:r w:rsidR="00770D4F">
        <w:rPr>
          <w:lang w:eastAsia="en-GB"/>
        </w:rPr>
        <w:t xml:space="preserve"> ‘desirable variables’ </w:t>
      </w:r>
      <w:r w:rsidR="001861CA">
        <w:rPr>
          <w:lang w:eastAsia="en-GB"/>
        </w:rPr>
        <w:t xml:space="preserve">may also </w:t>
      </w:r>
      <w:r w:rsidR="00124163">
        <w:rPr>
          <w:lang w:eastAsia="en-GB"/>
        </w:rPr>
        <w:t xml:space="preserve">be a </w:t>
      </w:r>
      <w:r w:rsidR="00565393">
        <w:rPr>
          <w:lang w:eastAsia="en-GB"/>
        </w:rPr>
        <w:t>consideration</w:t>
      </w:r>
      <w:r w:rsidR="00586F9B">
        <w:rPr>
          <w:lang w:eastAsia="en-GB"/>
        </w:rPr>
        <w:t xml:space="preserve"> </w:t>
      </w:r>
      <w:r w:rsidR="00565393">
        <w:rPr>
          <w:lang w:eastAsia="en-GB"/>
        </w:rPr>
        <w:t xml:space="preserve">in assessing </w:t>
      </w:r>
      <w:r w:rsidR="008A1601">
        <w:rPr>
          <w:lang w:eastAsia="en-GB"/>
        </w:rPr>
        <w:t>bids (see below).</w:t>
      </w:r>
      <w:r w:rsidR="00565393">
        <w:rPr>
          <w:lang w:eastAsia="en-GB"/>
        </w:rPr>
        <w:t xml:space="preserve"> </w:t>
      </w:r>
      <w:r w:rsidR="0038388A" w:rsidRPr="0038388A">
        <w:rPr>
          <w:lang w:eastAsia="en-GB"/>
        </w:rPr>
        <w:t xml:space="preserve"> </w:t>
      </w:r>
    </w:p>
    <w:p w14:paraId="6F517922" w14:textId="402CDE09" w:rsidR="0038388A" w:rsidRPr="0038388A" w:rsidRDefault="0038388A" w:rsidP="00D45EDE">
      <w:pPr>
        <w:rPr>
          <w:lang w:eastAsia="en-GB"/>
        </w:rPr>
      </w:pPr>
      <w:r w:rsidRPr="0038388A">
        <w:rPr>
          <w:lang w:eastAsia="en-GB"/>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r w:rsidR="00624047">
        <w:rPr>
          <w:lang w:eastAsia="en-GB"/>
        </w:rPr>
        <w:t>.</w:t>
      </w:r>
    </w:p>
    <w:p w14:paraId="7092805F" w14:textId="77777777" w:rsidR="0038388A" w:rsidRPr="00E14A4A" w:rsidRDefault="0038388A" w:rsidP="00D45EDE">
      <w:pPr>
        <w:rPr>
          <w:lang w:eastAsia="en-GB"/>
        </w:rPr>
      </w:pPr>
      <w:r w:rsidRPr="00E14A4A">
        <w:rPr>
          <w:lang w:eastAsia="en-GB"/>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071A513C" w14:textId="77777777" w:rsidR="0038388A" w:rsidRPr="00E14A4A" w:rsidRDefault="0038388A" w:rsidP="00D45EDE">
      <w:pPr>
        <w:rPr>
          <w:lang w:eastAsia="en-GB"/>
        </w:rPr>
      </w:pPr>
      <w:r w:rsidRPr="00E14A4A">
        <w:rPr>
          <w:lang w:eastAsia="en-GB"/>
        </w:rPr>
        <w:t>The Committee on Climate Change aims to pay all correctly submitted invoices as soon as possible with a target of 10 days from the date of receipt and within 30 days at the latest in line with standard terms and conditions of contract.</w:t>
      </w:r>
    </w:p>
    <w:p w14:paraId="5A7A6770" w14:textId="77777777" w:rsidR="0038388A" w:rsidRPr="00805E4C" w:rsidRDefault="0038388A" w:rsidP="00E960D9">
      <w:pPr>
        <w:pStyle w:val="Heading1"/>
      </w:pPr>
      <w:bookmarkStart w:id="39" w:name="_Ref357541836"/>
      <w:bookmarkStart w:id="40" w:name="_Toc381969520"/>
      <w:bookmarkStart w:id="41" w:name="_Toc405888469"/>
      <w:bookmarkStart w:id="42" w:name="_Toc144299463"/>
      <w:r w:rsidRPr="00805E4C">
        <w:t>Evaluation of Tenders</w:t>
      </w:r>
      <w:bookmarkEnd w:id="39"/>
      <w:bookmarkEnd w:id="40"/>
      <w:bookmarkEnd w:id="41"/>
      <w:bookmarkEnd w:id="42"/>
    </w:p>
    <w:p w14:paraId="1CCEBD71" w14:textId="67FAD997" w:rsidR="0038388A" w:rsidRPr="0038388A" w:rsidRDefault="0038388A" w:rsidP="00D45EDE">
      <w:pPr>
        <w:rPr>
          <w:lang w:eastAsia="en-GB"/>
        </w:rPr>
      </w:pPr>
      <w:r w:rsidRPr="0038388A">
        <w:rPr>
          <w:lang w:eastAsia="en-GB"/>
        </w:rPr>
        <w:t>Contractors are invited to submit full tenders of no more than</w:t>
      </w:r>
      <w:r w:rsidRPr="00E14A4A">
        <w:rPr>
          <w:lang w:eastAsia="en-GB"/>
        </w:rPr>
        <w:t xml:space="preserve"> </w:t>
      </w:r>
      <w:r w:rsidR="00463ACC" w:rsidRPr="00C04FEE">
        <w:rPr>
          <w:lang w:eastAsia="en-GB"/>
        </w:rPr>
        <w:t>20</w:t>
      </w:r>
      <w:r w:rsidRPr="00C04FEE">
        <w:rPr>
          <w:lang w:eastAsia="en-GB"/>
        </w:rPr>
        <w:t xml:space="preserve"> pages</w:t>
      </w:r>
      <w:r w:rsidRPr="0064138C">
        <w:rPr>
          <w:lang w:eastAsia="en-GB"/>
        </w:rPr>
        <w:t>,</w:t>
      </w:r>
      <w:r w:rsidRPr="0038388A">
        <w:rPr>
          <w:lang w:eastAsia="en-GB"/>
        </w:rPr>
        <w:t xml:space="preserve"> excluding declarations and CV’s. Tenders will be evaluated by at least three CCC staff.</w:t>
      </w:r>
    </w:p>
    <w:p w14:paraId="1E730437" w14:textId="1EB4B758" w:rsidR="0038388A" w:rsidRDefault="0038388A" w:rsidP="00D45EDE">
      <w:pPr>
        <w:rPr>
          <w:lang w:eastAsia="en-GB"/>
        </w:rPr>
      </w:pPr>
      <w:r w:rsidRPr="0038388A">
        <w:rPr>
          <w:lang w:eastAsia="en-GB"/>
        </w:rPr>
        <w:t>CCC will select the bidder that scores highest against the criteria and weighting listed below, see the ITT for further information.</w:t>
      </w:r>
    </w:p>
    <w:p w14:paraId="56410EFC" w14:textId="77777777" w:rsidR="00797025" w:rsidRDefault="00797025" w:rsidP="00D45EDE">
      <w:pPr>
        <w:rPr>
          <w:u w:val="single"/>
        </w:rPr>
      </w:pPr>
    </w:p>
    <w:p w14:paraId="60EC1450" w14:textId="1C6127D0" w:rsidR="0038388A" w:rsidRPr="00FD5021" w:rsidRDefault="00FD5021" w:rsidP="00180A01">
      <w:pPr>
        <w:pStyle w:val="Heading2"/>
      </w:pPr>
      <w:r w:rsidRPr="00FD5021">
        <w:t xml:space="preserve">Evaluation Criteria </w:t>
      </w:r>
      <w:r>
        <w:t>a</w:t>
      </w:r>
      <w:r w:rsidRPr="00FD5021">
        <w:t>nd Scoring Methodology</w:t>
      </w:r>
    </w:p>
    <w:p w14:paraId="5BD42D8F" w14:textId="77777777" w:rsidR="0038388A" w:rsidRPr="0038388A" w:rsidRDefault="0038388A" w:rsidP="00D45EDE"/>
    <w:tbl>
      <w:tblPr>
        <w:tblStyle w:val="TableGrid"/>
        <w:tblW w:w="5000" w:type="pct"/>
        <w:tblLook w:val="04A0" w:firstRow="1" w:lastRow="0" w:firstColumn="1" w:lastColumn="0" w:noHBand="0" w:noVBand="1"/>
      </w:tblPr>
      <w:tblGrid>
        <w:gridCol w:w="1963"/>
        <w:gridCol w:w="3927"/>
        <w:gridCol w:w="1964"/>
      </w:tblGrid>
      <w:tr w:rsidR="0038388A" w:rsidRPr="0038388A" w14:paraId="5C806858" w14:textId="77777777" w:rsidTr="00797025">
        <w:tc>
          <w:tcPr>
            <w:tcW w:w="1250" w:type="pct"/>
          </w:tcPr>
          <w:p w14:paraId="5F103605" w14:textId="77777777" w:rsidR="0038388A" w:rsidRPr="00CC0B46" w:rsidRDefault="0038388A" w:rsidP="00797025">
            <w:pPr>
              <w:pStyle w:val="TableText"/>
              <w:rPr>
                <w:b/>
                <w:bCs/>
              </w:rPr>
            </w:pPr>
            <w:bookmarkStart w:id="43" w:name="p2"/>
            <w:r w:rsidRPr="00CC0B46">
              <w:rPr>
                <w:b/>
                <w:bCs/>
              </w:rPr>
              <w:t>Criterion</w:t>
            </w:r>
            <w:bookmarkEnd w:id="43"/>
          </w:p>
        </w:tc>
        <w:tc>
          <w:tcPr>
            <w:tcW w:w="2500" w:type="pct"/>
          </w:tcPr>
          <w:p w14:paraId="0BF53CC1" w14:textId="77777777" w:rsidR="0038388A" w:rsidRPr="00CC0B46" w:rsidRDefault="0038388A" w:rsidP="00797025">
            <w:pPr>
              <w:pStyle w:val="TableText"/>
              <w:rPr>
                <w:b/>
                <w:bCs/>
              </w:rPr>
            </w:pPr>
            <w:r w:rsidRPr="00CC0B46">
              <w:rPr>
                <w:b/>
                <w:bCs/>
              </w:rPr>
              <w:t>Description</w:t>
            </w:r>
          </w:p>
        </w:tc>
        <w:tc>
          <w:tcPr>
            <w:tcW w:w="1250" w:type="pct"/>
          </w:tcPr>
          <w:p w14:paraId="5A2870E8" w14:textId="360B4619" w:rsidR="0038388A" w:rsidRPr="00CC0B46" w:rsidRDefault="0038388A" w:rsidP="00CC0B46">
            <w:pPr>
              <w:pStyle w:val="TableText"/>
              <w:jc w:val="right"/>
              <w:rPr>
                <w:b/>
                <w:bCs/>
              </w:rPr>
            </w:pPr>
            <w:r w:rsidRPr="00CC0B46">
              <w:rPr>
                <w:b/>
                <w:bCs/>
              </w:rPr>
              <w:t>Weight</w:t>
            </w:r>
            <w:r w:rsidR="00CC0B46" w:rsidRPr="00CC0B46">
              <w:rPr>
                <w:b/>
                <w:bCs/>
              </w:rPr>
              <w:t>ed marks</w:t>
            </w:r>
          </w:p>
        </w:tc>
      </w:tr>
      <w:tr w:rsidR="0038388A" w:rsidRPr="0038388A" w14:paraId="0FC90228" w14:textId="77777777" w:rsidTr="00797025">
        <w:tc>
          <w:tcPr>
            <w:tcW w:w="1250" w:type="pct"/>
          </w:tcPr>
          <w:p w14:paraId="452FDFAB" w14:textId="77777777" w:rsidR="0038388A" w:rsidRPr="0038388A" w:rsidRDefault="0038388A" w:rsidP="00797025">
            <w:pPr>
              <w:pStyle w:val="TableText"/>
            </w:pPr>
            <w:r w:rsidRPr="0038388A">
              <w:t>1</w:t>
            </w:r>
          </w:p>
        </w:tc>
        <w:tc>
          <w:tcPr>
            <w:tcW w:w="2500" w:type="pct"/>
          </w:tcPr>
          <w:p w14:paraId="58A48BF2" w14:textId="6176A245" w:rsidR="0038388A" w:rsidRPr="0038388A" w:rsidRDefault="00696C93" w:rsidP="00797025">
            <w:pPr>
              <w:pStyle w:val="TableText"/>
            </w:pPr>
            <w:r w:rsidRPr="0038388A">
              <w:t>Relevant experience / demonstration of ca</w:t>
            </w:r>
            <w:r w:rsidR="0095024E">
              <w:t>p</w:t>
            </w:r>
            <w:r w:rsidRPr="0038388A">
              <w:t>ability</w:t>
            </w:r>
          </w:p>
        </w:tc>
        <w:tc>
          <w:tcPr>
            <w:tcW w:w="1250" w:type="pct"/>
          </w:tcPr>
          <w:p w14:paraId="3B99A12D" w14:textId="7198A0F0" w:rsidR="0038388A" w:rsidRPr="00C8733E" w:rsidRDefault="00D03E3F" w:rsidP="00CC0B46">
            <w:pPr>
              <w:pStyle w:val="TableText"/>
              <w:jc w:val="right"/>
            </w:pPr>
            <w:r w:rsidRPr="00C8733E">
              <w:t>15</w:t>
            </w:r>
          </w:p>
        </w:tc>
      </w:tr>
      <w:tr w:rsidR="0038388A" w:rsidRPr="0038388A" w14:paraId="156F3B2A" w14:textId="77777777" w:rsidTr="00797025">
        <w:tc>
          <w:tcPr>
            <w:tcW w:w="1250" w:type="pct"/>
          </w:tcPr>
          <w:p w14:paraId="2D6484F6" w14:textId="77777777" w:rsidR="0038388A" w:rsidRPr="0038388A" w:rsidRDefault="0038388A" w:rsidP="00797025">
            <w:pPr>
              <w:pStyle w:val="TableText"/>
            </w:pPr>
            <w:r w:rsidRPr="0038388A">
              <w:t>2</w:t>
            </w:r>
          </w:p>
        </w:tc>
        <w:tc>
          <w:tcPr>
            <w:tcW w:w="2500" w:type="pct"/>
          </w:tcPr>
          <w:p w14:paraId="044D8F56" w14:textId="61A4F26C" w:rsidR="0038388A" w:rsidRPr="0038388A" w:rsidRDefault="00696C93" w:rsidP="00797025">
            <w:pPr>
              <w:pStyle w:val="TableText"/>
            </w:pPr>
            <w:r w:rsidRPr="0038388A">
              <w:t xml:space="preserve">Managing your relationship with the </w:t>
            </w:r>
            <w:r w:rsidR="003B1F8D">
              <w:t>CCC</w:t>
            </w:r>
          </w:p>
        </w:tc>
        <w:tc>
          <w:tcPr>
            <w:tcW w:w="1250" w:type="pct"/>
          </w:tcPr>
          <w:p w14:paraId="2E809209" w14:textId="0762F959" w:rsidR="0038388A" w:rsidRPr="00C8733E" w:rsidRDefault="79B927A2" w:rsidP="00CC0B46">
            <w:pPr>
              <w:pStyle w:val="TableText"/>
              <w:jc w:val="right"/>
            </w:pPr>
            <w:r w:rsidRPr="00C8733E">
              <w:t>5</w:t>
            </w:r>
          </w:p>
        </w:tc>
      </w:tr>
      <w:tr w:rsidR="0038388A" w:rsidRPr="0038388A" w14:paraId="06E596F8" w14:textId="77777777" w:rsidTr="00797025">
        <w:tc>
          <w:tcPr>
            <w:tcW w:w="1250" w:type="pct"/>
          </w:tcPr>
          <w:p w14:paraId="673D7034" w14:textId="77777777" w:rsidR="0038388A" w:rsidRPr="0038388A" w:rsidRDefault="0038388A" w:rsidP="00797025">
            <w:pPr>
              <w:pStyle w:val="TableText"/>
            </w:pPr>
            <w:r w:rsidRPr="0038388A">
              <w:t>3</w:t>
            </w:r>
          </w:p>
        </w:tc>
        <w:tc>
          <w:tcPr>
            <w:tcW w:w="2500" w:type="pct"/>
          </w:tcPr>
          <w:p w14:paraId="3B0672B4" w14:textId="47A73CBB" w:rsidR="0038388A" w:rsidRPr="0038388A" w:rsidRDefault="00696C93" w:rsidP="00797025">
            <w:pPr>
              <w:pStyle w:val="TableText"/>
            </w:pPr>
            <w:r w:rsidRPr="0038388A">
              <w:t>Quality assuring the services you provide</w:t>
            </w:r>
          </w:p>
        </w:tc>
        <w:tc>
          <w:tcPr>
            <w:tcW w:w="1250" w:type="pct"/>
          </w:tcPr>
          <w:p w14:paraId="016B27E1" w14:textId="7B047D02" w:rsidR="0038388A" w:rsidRPr="00C8733E" w:rsidRDefault="0038388A" w:rsidP="00CC0B46">
            <w:pPr>
              <w:pStyle w:val="TableText"/>
              <w:jc w:val="right"/>
            </w:pPr>
            <w:r w:rsidRPr="00C8733E">
              <w:t>10</w:t>
            </w:r>
          </w:p>
        </w:tc>
      </w:tr>
      <w:tr w:rsidR="0038388A" w:rsidRPr="0038388A" w14:paraId="0D14FA83" w14:textId="77777777" w:rsidTr="00797025">
        <w:tc>
          <w:tcPr>
            <w:tcW w:w="1250" w:type="pct"/>
          </w:tcPr>
          <w:p w14:paraId="30DD4C5D" w14:textId="77777777" w:rsidR="0038388A" w:rsidRPr="0038388A" w:rsidRDefault="0038388A" w:rsidP="00797025">
            <w:pPr>
              <w:pStyle w:val="TableText"/>
            </w:pPr>
            <w:r w:rsidRPr="0038388A">
              <w:t>4</w:t>
            </w:r>
          </w:p>
        </w:tc>
        <w:tc>
          <w:tcPr>
            <w:tcW w:w="2500" w:type="pct"/>
          </w:tcPr>
          <w:p w14:paraId="34C74777" w14:textId="05F1710A" w:rsidR="0038388A" w:rsidRPr="0038388A" w:rsidRDefault="00696C93" w:rsidP="00797025">
            <w:pPr>
              <w:pStyle w:val="TableText"/>
            </w:pPr>
            <w:r w:rsidRPr="0038388A">
              <w:t>Management structure</w:t>
            </w:r>
          </w:p>
        </w:tc>
        <w:tc>
          <w:tcPr>
            <w:tcW w:w="1250" w:type="pct"/>
          </w:tcPr>
          <w:p w14:paraId="5C0D80D9" w14:textId="763C9FF9" w:rsidR="0038388A" w:rsidRPr="00C8733E" w:rsidRDefault="00D03E3F" w:rsidP="00CC0B46">
            <w:pPr>
              <w:pStyle w:val="TableText"/>
              <w:jc w:val="right"/>
            </w:pPr>
            <w:r w:rsidRPr="00C8733E">
              <w:t>5</w:t>
            </w:r>
          </w:p>
        </w:tc>
      </w:tr>
      <w:tr w:rsidR="0038388A" w:rsidRPr="0038388A" w14:paraId="5F86DEAC" w14:textId="77777777" w:rsidTr="00797025">
        <w:tc>
          <w:tcPr>
            <w:tcW w:w="1250" w:type="pct"/>
          </w:tcPr>
          <w:p w14:paraId="78DB1E25" w14:textId="77777777" w:rsidR="0038388A" w:rsidRPr="0038388A" w:rsidRDefault="0038388A" w:rsidP="00797025">
            <w:pPr>
              <w:pStyle w:val="TableText"/>
            </w:pPr>
            <w:r w:rsidRPr="0038388A">
              <w:t>5</w:t>
            </w:r>
          </w:p>
        </w:tc>
        <w:tc>
          <w:tcPr>
            <w:tcW w:w="2500" w:type="pct"/>
          </w:tcPr>
          <w:p w14:paraId="0920783E" w14:textId="4490C66E" w:rsidR="0038388A" w:rsidRPr="0038388A" w:rsidRDefault="00696C93" w:rsidP="00797025">
            <w:pPr>
              <w:pStyle w:val="TableText"/>
            </w:pPr>
            <w:r w:rsidRPr="0038388A">
              <w:t>Project team – skills and knowledge</w:t>
            </w:r>
          </w:p>
        </w:tc>
        <w:tc>
          <w:tcPr>
            <w:tcW w:w="1250" w:type="pct"/>
          </w:tcPr>
          <w:p w14:paraId="3DB18D4F" w14:textId="2065349F" w:rsidR="0038388A" w:rsidRPr="00C8733E" w:rsidRDefault="40EF7D3F" w:rsidP="00CC0B46">
            <w:pPr>
              <w:pStyle w:val="TableText"/>
              <w:jc w:val="right"/>
            </w:pPr>
            <w:r w:rsidRPr="00C8733E">
              <w:t>5</w:t>
            </w:r>
          </w:p>
        </w:tc>
      </w:tr>
      <w:tr w:rsidR="0038388A" w:rsidRPr="0038388A" w14:paraId="0A9581F0" w14:textId="77777777" w:rsidTr="00797025">
        <w:tc>
          <w:tcPr>
            <w:tcW w:w="1250" w:type="pct"/>
          </w:tcPr>
          <w:p w14:paraId="5419578E" w14:textId="77777777" w:rsidR="0038388A" w:rsidRPr="0038388A" w:rsidRDefault="0038388A" w:rsidP="00797025">
            <w:pPr>
              <w:pStyle w:val="TableText"/>
            </w:pPr>
            <w:r w:rsidRPr="0038388A">
              <w:t>6</w:t>
            </w:r>
          </w:p>
        </w:tc>
        <w:tc>
          <w:tcPr>
            <w:tcW w:w="2500" w:type="pct"/>
          </w:tcPr>
          <w:p w14:paraId="6B40D214" w14:textId="42141818" w:rsidR="0038388A" w:rsidRPr="0038388A" w:rsidRDefault="00696C93" w:rsidP="00797025">
            <w:pPr>
              <w:pStyle w:val="TableText"/>
            </w:pPr>
            <w:r w:rsidRPr="0038388A">
              <w:t xml:space="preserve">Method, </w:t>
            </w:r>
            <w:proofErr w:type="gramStart"/>
            <w:r w:rsidRPr="0038388A">
              <w:t>ability</w:t>
            </w:r>
            <w:proofErr w:type="gramEnd"/>
            <w:r w:rsidRPr="0038388A">
              <w:t xml:space="preserve"> and technical capacity</w:t>
            </w:r>
          </w:p>
        </w:tc>
        <w:tc>
          <w:tcPr>
            <w:tcW w:w="1250" w:type="pct"/>
          </w:tcPr>
          <w:p w14:paraId="30C82DE5" w14:textId="65A07B45" w:rsidR="0038388A" w:rsidRPr="00C8733E" w:rsidRDefault="00D03E3F" w:rsidP="00CC0B46">
            <w:pPr>
              <w:pStyle w:val="TableText"/>
              <w:jc w:val="right"/>
            </w:pPr>
            <w:r w:rsidRPr="00C8733E">
              <w:t>3</w:t>
            </w:r>
            <w:r w:rsidR="42A88B5E" w:rsidRPr="00C8733E">
              <w:t>5</w:t>
            </w:r>
          </w:p>
        </w:tc>
      </w:tr>
      <w:tr w:rsidR="0038388A" w:rsidRPr="0038388A" w14:paraId="77ECC2E5" w14:textId="77777777" w:rsidTr="00797025">
        <w:tc>
          <w:tcPr>
            <w:tcW w:w="1250" w:type="pct"/>
          </w:tcPr>
          <w:p w14:paraId="24A67C34" w14:textId="77777777" w:rsidR="0038388A" w:rsidRPr="0038388A" w:rsidRDefault="0038388A" w:rsidP="00797025">
            <w:pPr>
              <w:pStyle w:val="TableText"/>
            </w:pPr>
            <w:r w:rsidRPr="0038388A">
              <w:t>7</w:t>
            </w:r>
          </w:p>
        </w:tc>
        <w:tc>
          <w:tcPr>
            <w:tcW w:w="2500" w:type="pct"/>
          </w:tcPr>
          <w:p w14:paraId="21F78A38" w14:textId="7D78B042" w:rsidR="0038388A" w:rsidRPr="0038388A" w:rsidRDefault="00696C93" w:rsidP="00797025">
            <w:pPr>
              <w:pStyle w:val="TableText"/>
            </w:pPr>
            <w:r w:rsidRPr="0038388A">
              <w:t>Understanding of requirements</w:t>
            </w:r>
          </w:p>
        </w:tc>
        <w:tc>
          <w:tcPr>
            <w:tcW w:w="1250" w:type="pct"/>
          </w:tcPr>
          <w:p w14:paraId="307E4A15" w14:textId="5A69BA19" w:rsidR="0038388A" w:rsidRPr="00C8733E" w:rsidRDefault="0038388A" w:rsidP="00CC0B46">
            <w:pPr>
              <w:pStyle w:val="TableText"/>
              <w:jc w:val="right"/>
            </w:pPr>
            <w:r w:rsidRPr="00C8733E">
              <w:t>1</w:t>
            </w:r>
            <w:r w:rsidR="2380E63B" w:rsidRPr="00C8733E">
              <w:t>5</w:t>
            </w:r>
          </w:p>
        </w:tc>
      </w:tr>
      <w:tr w:rsidR="0038388A" w:rsidRPr="0038388A" w14:paraId="4EA53EE6" w14:textId="77777777" w:rsidTr="00797025">
        <w:tc>
          <w:tcPr>
            <w:tcW w:w="1250" w:type="pct"/>
          </w:tcPr>
          <w:p w14:paraId="50FDBF08" w14:textId="77777777" w:rsidR="0038388A" w:rsidRPr="0038388A" w:rsidRDefault="0038388A" w:rsidP="00797025">
            <w:pPr>
              <w:pStyle w:val="TableText"/>
            </w:pPr>
            <w:r w:rsidRPr="0038388A">
              <w:t>8</w:t>
            </w:r>
          </w:p>
        </w:tc>
        <w:tc>
          <w:tcPr>
            <w:tcW w:w="2500" w:type="pct"/>
          </w:tcPr>
          <w:p w14:paraId="319668DA" w14:textId="45EBDAA9" w:rsidR="0038388A" w:rsidRPr="0038388A" w:rsidRDefault="00696C93" w:rsidP="00797025">
            <w:pPr>
              <w:pStyle w:val="TableText"/>
            </w:pPr>
            <w:r w:rsidRPr="0038388A">
              <w:t>Risk and challenges</w:t>
            </w:r>
          </w:p>
        </w:tc>
        <w:tc>
          <w:tcPr>
            <w:tcW w:w="1250" w:type="pct"/>
          </w:tcPr>
          <w:p w14:paraId="72414FF4" w14:textId="2515490C" w:rsidR="0038388A" w:rsidRPr="00C8733E" w:rsidRDefault="00ED3906" w:rsidP="00CC0B46">
            <w:pPr>
              <w:pStyle w:val="TableText"/>
              <w:jc w:val="right"/>
            </w:pPr>
            <w:r w:rsidRPr="00C8733E">
              <w:t>10</w:t>
            </w:r>
          </w:p>
        </w:tc>
      </w:tr>
      <w:tr w:rsidR="00696C93" w:rsidRPr="0038388A" w14:paraId="276B816C" w14:textId="77777777" w:rsidTr="00797025">
        <w:tc>
          <w:tcPr>
            <w:tcW w:w="1250" w:type="pct"/>
          </w:tcPr>
          <w:p w14:paraId="3B77ADF5" w14:textId="355DEFCB" w:rsidR="00696C93" w:rsidRPr="0038388A" w:rsidRDefault="004C4F5C" w:rsidP="00797025">
            <w:pPr>
              <w:pStyle w:val="TableText"/>
            </w:pPr>
            <w:r>
              <w:lastRenderedPageBreak/>
              <w:t>Price</w:t>
            </w:r>
          </w:p>
        </w:tc>
        <w:tc>
          <w:tcPr>
            <w:tcW w:w="2500" w:type="pct"/>
          </w:tcPr>
          <w:p w14:paraId="79595828" w14:textId="433D3CEF" w:rsidR="00696C93" w:rsidRPr="0038388A" w:rsidRDefault="004077C6" w:rsidP="00797025">
            <w:pPr>
              <w:pStyle w:val="TableText"/>
            </w:pPr>
            <w:r>
              <w:t>Proportionate p</w:t>
            </w:r>
            <w:r w:rsidR="00696C93">
              <w:t>rice</w:t>
            </w:r>
            <w:r>
              <w:t xml:space="preserve"> score</w:t>
            </w:r>
          </w:p>
        </w:tc>
        <w:tc>
          <w:tcPr>
            <w:tcW w:w="1250" w:type="pct"/>
          </w:tcPr>
          <w:p w14:paraId="7397F3A9" w14:textId="5165D414" w:rsidR="00696C93" w:rsidRPr="00C8733E" w:rsidRDefault="00696C93" w:rsidP="00CC0B46">
            <w:pPr>
              <w:pStyle w:val="TableText"/>
              <w:jc w:val="right"/>
            </w:pPr>
            <w:r w:rsidRPr="00C8733E">
              <w:t>20</w:t>
            </w:r>
          </w:p>
        </w:tc>
      </w:tr>
      <w:tr w:rsidR="00CC0B46" w:rsidRPr="0038388A" w14:paraId="486163E4" w14:textId="77777777" w:rsidTr="00CC0B46">
        <w:tc>
          <w:tcPr>
            <w:tcW w:w="3750" w:type="pct"/>
            <w:gridSpan w:val="2"/>
          </w:tcPr>
          <w:p w14:paraId="00B0DC8F" w14:textId="1757721D" w:rsidR="00CC0B46" w:rsidRPr="00CC0B46" w:rsidRDefault="00CC0B46" w:rsidP="00797025">
            <w:pPr>
              <w:pStyle w:val="TableText"/>
              <w:rPr>
                <w:b/>
                <w:bCs/>
              </w:rPr>
            </w:pPr>
            <w:r w:rsidRPr="00CC0B46">
              <w:rPr>
                <w:b/>
                <w:bCs/>
              </w:rPr>
              <w:t>Total marks available</w:t>
            </w:r>
          </w:p>
        </w:tc>
        <w:tc>
          <w:tcPr>
            <w:tcW w:w="1250" w:type="pct"/>
          </w:tcPr>
          <w:p w14:paraId="1C0A0B54" w14:textId="41F1B0A0" w:rsidR="00CC0B46" w:rsidRPr="00C8733E" w:rsidRDefault="00CC0B46" w:rsidP="00CC0B46">
            <w:pPr>
              <w:pStyle w:val="TableText"/>
              <w:jc w:val="right"/>
              <w:rPr>
                <w:b/>
                <w:bCs/>
              </w:rPr>
            </w:pPr>
            <w:r w:rsidRPr="00C8733E">
              <w:rPr>
                <w:b/>
                <w:bCs/>
              </w:rPr>
              <w:t>120</w:t>
            </w:r>
          </w:p>
        </w:tc>
      </w:tr>
    </w:tbl>
    <w:p w14:paraId="0F141D3E" w14:textId="77777777" w:rsidR="0038388A" w:rsidRDefault="0038388A" w:rsidP="003A05B7">
      <w:pPr>
        <w:pStyle w:val="BodyText"/>
        <w:rPr>
          <w:szCs w:val="20"/>
        </w:rPr>
      </w:pPr>
    </w:p>
    <w:p w14:paraId="07D2699C" w14:textId="07E0CB95" w:rsidR="0038388A" w:rsidRPr="0038388A" w:rsidRDefault="0038388A" w:rsidP="00180A01">
      <w:pPr>
        <w:pStyle w:val="Heading2"/>
      </w:pPr>
      <w:r w:rsidRPr="005D0B84">
        <w:t>Scoring Method</w:t>
      </w:r>
    </w:p>
    <w:p w14:paraId="23528A53" w14:textId="7D0924BC" w:rsidR="0038388A" w:rsidRPr="0038388A" w:rsidRDefault="0038388A" w:rsidP="00D45EDE">
      <w:r w:rsidRPr="0038388A">
        <w:t xml:space="preserve">Tenders will be scored against each of the criteria above, according to the extent to which they meet the requirements of the tender. The meaning of each score is outlined in the table below. </w:t>
      </w:r>
    </w:p>
    <w:p w14:paraId="54D4CD5C" w14:textId="77B29BE9" w:rsidR="0038388A" w:rsidRPr="00CE0168" w:rsidRDefault="0038388A" w:rsidP="00D45EDE">
      <w:r w:rsidRPr="0038388A">
        <w:t>The total score will be calculated by applying the weighting set against each criterion, outlined above; the maximum number of marks possible will be 100.  Should any contractor score 1 in any of the criteria, they will be excluded from the tender competition.</w:t>
      </w:r>
    </w:p>
    <w:tbl>
      <w:tblPr>
        <w:tblStyle w:val="TableGrid"/>
        <w:tblW w:w="5000" w:type="pct"/>
        <w:tblLook w:val="04A0" w:firstRow="1" w:lastRow="0" w:firstColumn="1" w:lastColumn="0" w:noHBand="0" w:noVBand="1"/>
      </w:tblPr>
      <w:tblGrid>
        <w:gridCol w:w="1963"/>
        <w:gridCol w:w="5891"/>
      </w:tblGrid>
      <w:tr w:rsidR="004711FD" w14:paraId="1044D578" w14:textId="77777777" w:rsidTr="00F50079">
        <w:tc>
          <w:tcPr>
            <w:tcW w:w="1250" w:type="pct"/>
          </w:tcPr>
          <w:p w14:paraId="4B9A00E6" w14:textId="77777777" w:rsidR="004711FD" w:rsidRPr="00F50079" w:rsidRDefault="004711FD" w:rsidP="00C8733E">
            <w:pPr>
              <w:pStyle w:val="TableText"/>
              <w:keepNext/>
              <w:rPr>
                <w:b/>
                <w:bCs/>
              </w:rPr>
            </w:pPr>
            <w:r w:rsidRPr="00F50079">
              <w:rPr>
                <w:b/>
                <w:bCs/>
              </w:rPr>
              <w:t>Score</w:t>
            </w:r>
          </w:p>
        </w:tc>
        <w:tc>
          <w:tcPr>
            <w:tcW w:w="3750" w:type="pct"/>
          </w:tcPr>
          <w:p w14:paraId="6E215849" w14:textId="77777777" w:rsidR="004711FD" w:rsidRPr="00F50079" w:rsidRDefault="004711FD" w:rsidP="00C8733E">
            <w:pPr>
              <w:pStyle w:val="TableText"/>
              <w:keepNext/>
              <w:rPr>
                <w:b/>
                <w:bCs/>
              </w:rPr>
            </w:pPr>
            <w:r w:rsidRPr="00F50079">
              <w:rPr>
                <w:b/>
                <w:bCs/>
              </w:rPr>
              <w:t>Description</w:t>
            </w:r>
          </w:p>
        </w:tc>
      </w:tr>
      <w:tr w:rsidR="004711FD" w14:paraId="06C19EE3" w14:textId="77777777" w:rsidTr="00F50079">
        <w:tc>
          <w:tcPr>
            <w:tcW w:w="1250" w:type="pct"/>
          </w:tcPr>
          <w:p w14:paraId="3BBE1444" w14:textId="77777777" w:rsidR="004711FD" w:rsidRPr="004711FD" w:rsidRDefault="004711FD" w:rsidP="003F4EA4">
            <w:pPr>
              <w:pStyle w:val="TableText"/>
            </w:pPr>
            <w:r w:rsidRPr="004711FD">
              <w:t>1</w:t>
            </w:r>
          </w:p>
        </w:tc>
        <w:tc>
          <w:tcPr>
            <w:tcW w:w="3750" w:type="pct"/>
          </w:tcPr>
          <w:p w14:paraId="061C4CF9" w14:textId="77777777" w:rsidR="004711FD" w:rsidRPr="004711FD" w:rsidRDefault="004711FD" w:rsidP="003F4EA4">
            <w:pPr>
              <w:pStyle w:val="TableText"/>
            </w:pPr>
            <w:r w:rsidRPr="004711FD">
              <w:rPr>
                <w:szCs w:val="24"/>
              </w:rPr>
              <w:t>Not Satisfactory: Proposal contains significant shortcomings and does not meet the required standard</w:t>
            </w:r>
          </w:p>
        </w:tc>
      </w:tr>
      <w:tr w:rsidR="004711FD" w14:paraId="14B8B06F" w14:textId="77777777" w:rsidTr="00F50079">
        <w:tc>
          <w:tcPr>
            <w:tcW w:w="1250" w:type="pct"/>
          </w:tcPr>
          <w:p w14:paraId="4CF9274E" w14:textId="77777777" w:rsidR="004711FD" w:rsidRPr="004711FD" w:rsidRDefault="004711FD" w:rsidP="003F4EA4">
            <w:pPr>
              <w:pStyle w:val="TableText"/>
            </w:pPr>
            <w:r w:rsidRPr="004711FD">
              <w:t>2</w:t>
            </w:r>
          </w:p>
        </w:tc>
        <w:tc>
          <w:tcPr>
            <w:tcW w:w="3750" w:type="pct"/>
          </w:tcPr>
          <w:p w14:paraId="0D65C80F" w14:textId="77777777" w:rsidR="004711FD" w:rsidRPr="004711FD" w:rsidRDefault="004711FD" w:rsidP="003F4EA4">
            <w:pPr>
              <w:pStyle w:val="TableText"/>
            </w:pPr>
            <w:r w:rsidRPr="004711FD">
              <w:rPr>
                <w:szCs w:val="24"/>
              </w:rPr>
              <w:t xml:space="preserve">Partially Satisfactory: Proposal partially meets the required standard, with one or more moderate weaknesses or gaps </w:t>
            </w:r>
          </w:p>
        </w:tc>
      </w:tr>
      <w:tr w:rsidR="004711FD" w14:paraId="76B6546C" w14:textId="77777777" w:rsidTr="00F50079">
        <w:tc>
          <w:tcPr>
            <w:tcW w:w="1250" w:type="pct"/>
          </w:tcPr>
          <w:p w14:paraId="0C5542A8" w14:textId="77777777" w:rsidR="004711FD" w:rsidRPr="004711FD" w:rsidRDefault="004711FD" w:rsidP="003F4EA4">
            <w:pPr>
              <w:pStyle w:val="TableText"/>
            </w:pPr>
            <w:r w:rsidRPr="004711FD">
              <w:t>3</w:t>
            </w:r>
          </w:p>
        </w:tc>
        <w:tc>
          <w:tcPr>
            <w:tcW w:w="3750" w:type="pct"/>
          </w:tcPr>
          <w:p w14:paraId="3DEAE094" w14:textId="77777777" w:rsidR="004711FD" w:rsidRPr="004711FD" w:rsidRDefault="004711FD" w:rsidP="003F4EA4">
            <w:pPr>
              <w:pStyle w:val="TableText"/>
            </w:pPr>
            <w:r w:rsidRPr="004711FD">
              <w:rPr>
                <w:szCs w:val="24"/>
              </w:rPr>
              <w:t>Satisfactory: Proposal mostly meets the required standard, with one or more minor weaknesses or gaps.</w:t>
            </w:r>
          </w:p>
        </w:tc>
      </w:tr>
      <w:tr w:rsidR="004711FD" w14:paraId="0524E577" w14:textId="77777777" w:rsidTr="00F50079">
        <w:tc>
          <w:tcPr>
            <w:tcW w:w="1250" w:type="pct"/>
          </w:tcPr>
          <w:p w14:paraId="4BD19816" w14:textId="77777777" w:rsidR="004711FD" w:rsidRPr="004711FD" w:rsidRDefault="004711FD" w:rsidP="003F4EA4">
            <w:pPr>
              <w:pStyle w:val="TableText"/>
            </w:pPr>
            <w:r w:rsidRPr="004711FD">
              <w:t>4</w:t>
            </w:r>
          </w:p>
        </w:tc>
        <w:tc>
          <w:tcPr>
            <w:tcW w:w="3750" w:type="pct"/>
          </w:tcPr>
          <w:p w14:paraId="42C470B7" w14:textId="77777777" w:rsidR="004711FD" w:rsidRPr="004711FD" w:rsidRDefault="004711FD" w:rsidP="003F4EA4">
            <w:pPr>
              <w:pStyle w:val="TableText"/>
            </w:pPr>
            <w:r w:rsidRPr="004711FD">
              <w:rPr>
                <w:szCs w:val="24"/>
              </w:rPr>
              <w:t>Good: Proposal meets the required standard, with moderate levels of assurance</w:t>
            </w:r>
          </w:p>
        </w:tc>
      </w:tr>
      <w:tr w:rsidR="004711FD" w14:paraId="47D99D94" w14:textId="77777777" w:rsidTr="00F50079">
        <w:tc>
          <w:tcPr>
            <w:tcW w:w="1250" w:type="pct"/>
          </w:tcPr>
          <w:p w14:paraId="7383B68E" w14:textId="77777777" w:rsidR="004711FD" w:rsidRPr="004711FD" w:rsidRDefault="004711FD" w:rsidP="003F4EA4">
            <w:pPr>
              <w:pStyle w:val="TableText"/>
            </w:pPr>
            <w:r w:rsidRPr="004711FD">
              <w:t>5</w:t>
            </w:r>
          </w:p>
        </w:tc>
        <w:tc>
          <w:tcPr>
            <w:tcW w:w="3750" w:type="pct"/>
          </w:tcPr>
          <w:p w14:paraId="1EFF6BDC" w14:textId="77777777" w:rsidR="004711FD" w:rsidRPr="004711FD" w:rsidRDefault="004711FD" w:rsidP="003F4EA4">
            <w:pPr>
              <w:pStyle w:val="TableText"/>
            </w:pPr>
            <w:r w:rsidRPr="004711FD">
              <w:rPr>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57EED380" w14:textId="77777777" w:rsidR="004711FD" w:rsidRPr="00130E88" w:rsidRDefault="004711FD" w:rsidP="00180A01">
      <w:pPr>
        <w:pStyle w:val="Heading2"/>
      </w:pPr>
      <w:r w:rsidRPr="00130E88">
        <w:t>Scoring for Pricing Evaluation</w:t>
      </w:r>
    </w:p>
    <w:p w14:paraId="011728C6" w14:textId="1A141EA7" w:rsidR="006F109E" w:rsidRDefault="00725F2B" w:rsidP="00130E88">
      <w:r>
        <w:t xml:space="preserve">The total price </w:t>
      </w:r>
      <w:r w:rsidR="003807A0">
        <w:rPr>
          <w:lang w:eastAsia="en-GB"/>
        </w:rPr>
        <w:t>the ‘</w:t>
      </w:r>
      <w:r w:rsidR="00FF54F5">
        <w:rPr>
          <w:lang w:eastAsia="en-GB"/>
        </w:rPr>
        <w:t>essential</w:t>
      </w:r>
      <w:r w:rsidR="003807A0">
        <w:rPr>
          <w:lang w:eastAsia="en-GB"/>
        </w:rPr>
        <w:t xml:space="preserve"> elements’ of the project </w:t>
      </w:r>
      <w:r w:rsidR="004711FD" w:rsidRPr="004711FD">
        <w:t xml:space="preserve">will be marked using proportionate </w:t>
      </w:r>
      <w:r w:rsidR="00930153">
        <w:t>scoring</w:t>
      </w:r>
      <w:r w:rsidR="004711FD" w:rsidRPr="004711FD">
        <w:t>.</w:t>
      </w:r>
      <w:r w:rsidR="000912E9">
        <w:t xml:space="preserve"> </w:t>
      </w:r>
      <w:r w:rsidR="00757C32">
        <w:t xml:space="preserve">Each bid will be scored according to how </w:t>
      </w:r>
      <w:r w:rsidR="004C42B0">
        <w:t>it</w:t>
      </w:r>
      <w:r w:rsidR="005D561D">
        <w:t xml:space="preserve"> compare</w:t>
      </w:r>
      <w:r w:rsidR="00B3324F">
        <w:t>s</w:t>
      </w:r>
      <w:r w:rsidR="005D561D">
        <w:t xml:space="preserve"> to</w:t>
      </w:r>
      <w:r w:rsidR="00B3324F">
        <w:t xml:space="preserve"> the</w:t>
      </w:r>
      <w:r w:rsidR="005D561D">
        <w:t xml:space="preserve"> lowest bid rec</w:t>
      </w:r>
      <w:r w:rsidR="00057D49">
        <w:t>eived</w:t>
      </w:r>
      <w:r w:rsidR="00FA29BF">
        <w:t>, using the following formula:</w:t>
      </w:r>
    </w:p>
    <w:p w14:paraId="0034CB71" w14:textId="5E3ECC15" w:rsidR="004711FD" w:rsidRPr="004711FD" w:rsidRDefault="00B113FB" w:rsidP="00130E88">
      <w:r>
        <w:t xml:space="preserve">Score = </w:t>
      </w:r>
      <w:r w:rsidR="00916B3D">
        <w:t xml:space="preserve">Bid Price / Lowest Bid Price x </w:t>
      </w:r>
      <w:r>
        <w:t>Marks Available</w:t>
      </w:r>
    </w:p>
    <w:p w14:paraId="450A2A22" w14:textId="67D5F680" w:rsidR="004711FD" w:rsidRPr="00ED1B2A" w:rsidRDefault="00C20E9B" w:rsidP="00895994">
      <w:pPr>
        <w:rPr>
          <w:highlight w:val="yellow"/>
        </w:rPr>
      </w:pPr>
      <w:bookmarkStart w:id="44" w:name="OLE_LINK3"/>
      <w:r>
        <w:t>An example of th</w:t>
      </w:r>
      <w:r w:rsidR="003465D1">
        <w:t>e scoring m</w:t>
      </w:r>
      <w:r w:rsidR="003778DB">
        <w:t xml:space="preserve">ethod is set out below: </w:t>
      </w:r>
      <w:bookmarkEnd w:id="44"/>
    </w:p>
    <w:tbl>
      <w:tblPr>
        <w:tblStyle w:val="TableGrid"/>
        <w:tblW w:w="5000" w:type="pct"/>
        <w:tblLook w:val="04A0" w:firstRow="1" w:lastRow="0" w:firstColumn="1" w:lastColumn="0" w:noHBand="0" w:noVBand="1"/>
      </w:tblPr>
      <w:tblGrid>
        <w:gridCol w:w="2356"/>
        <w:gridCol w:w="3142"/>
        <w:gridCol w:w="2356"/>
      </w:tblGrid>
      <w:tr w:rsidR="004711FD" w:rsidRPr="00ED1B2A" w14:paraId="58F3558D" w14:textId="77777777" w:rsidTr="00431716">
        <w:tc>
          <w:tcPr>
            <w:tcW w:w="1500" w:type="pct"/>
          </w:tcPr>
          <w:p w14:paraId="31FF3EE8" w14:textId="4984C798" w:rsidR="004711FD" w:rsidRPr="00D43026" w:rsidRDefault="005A04F0" w:rsidP="00431716">
            <w:pPr>
              <w:pStyle w:val="TableText"/>
              <w:rPr>
                <w:b/>
                <w:bCs/>
              </w:rPr>
            </w:pPr>
            <w:r w:rsidRPr="00D43026">
              <w:rPr>
                <w:b/>
                <w:bCs/>
              </w:rPr>
              <w:t>Bidder</w:t>
            </w:r>
          </w:p>
        </w:tc>
        <w:tc>
          <w:tcPr>
            <w:tcW w:w="2000" w:type="pct"/>
          </w:tcPr>
          <w:p w14:paraId="281D1AFB" w14:textId="77777777" w:rsidR="004711FD" w:rsidRPr="00D43026" w:rsidRDefault="004711FD" w:rsidP="00431716">
            <w:pPr>
              <w:pStyle w:val="TableText"/>
              <w:rPr>
                <w:b/>
                <w:bCs/>
              </w:rPr>
            </w:pPr>
            <w:r w:rsidRPr="00D43026">
              <w:rPr>
                <w:b/>
                <w:bCs/>
              </w:rPr>
              <w:t>Price</w:t>
            </w:r>
          </w:p>
        </w:tc>
        <w:tc>
          <w:tcPr>
            <w:tcW w:w="1500" w:type="pct"/>
          </w:tcPr>
          <w:p w14:paraId="7FA0DAB5" w14:textId="77777777" w:rsidR="004711FD" w:rsidRPr="00D43026" w:rsidRDefault="004711FD" w:rsidP="007143AF">
            <w:pPr>
              <w:pStyle w:val="TableText"/>
              <w:jc w:val="right"/>
              <w:rPr>
                <w:b/>
                <w:bCs/>
              </w:rPr>
            </w:pPr>
            <w:r w:rsidRPr="00D43026">
              <w:rPr>
                <w:b/>
                <w:bCs/>
              </w:rPr>
              <w:t>Marks</w:t>
            </w:r>
          </w:p>
        </w:tc>
      </w:tr>
      <w:tr w:rsidR="004711FD" w:rsidRPr="00ED1B2A" w14:paraId="17887CB6" w14:textId="77777777" w:rsidTr="00431716">
        <w:tc>
          <w:tcPr>
            <w:tcW w:w="1500" w:type="pct"/>
          </w:tcPr>
          <w:p w14:paraId="0A25EF8C" w14:textId="77777777" w:rsidR="004711FD" w:rsidRPr="00D04653" w:rsidRDefault="004711FD" w:rsidP="00431716">
            <w:pPr>
              <w:pStyle w:val="TableText"/>
            </w:pPr>
            <w:r w:rsidRPr="00D04653">
              <w:t>1 (lowest bid)</w:t>
            </w:r>
          </w:p>
        </w:tc>
        <w:tc>
          <w:tcPr>
            <w:tcW w:w="2000" w:type="pct"/>
          </w:tcPr>
          <w:p w14:paraId="6C6381DB" w14:textId="77777777" w:rsidR="004711FD" w:rsidRPr="00D04653" w:rsidRDefault="004711FD" w:rsidP="00431716">
            <w:pPr>
              <w:pStyle w:val="TableText"/>
            </w:pPr>
            <w:r w:rsidRPr="00D04653">
              <w:t>£50,000</w:t>
            </w:r>
          </w:p>
        </w:tc>
        <w:tc>
          <w:tcPr>
            <w:tcW w:w="1500" w:type="pct"/>
          </w:tcPr>
          <w:p w14:paraId="4079B102" w14:textId="77777777" w:rsidR="004711FD" w:rsidRPr="00D04653" w:rsidRDefault="004711FD" w:rsidP="007143AF">
            <w:pPr>
              <w:pStyle w:val="TableText"/>
              <w:jc w:val="right"/>
            </w:pPr>
            <w:r w:rsidRPr="00D04653">
              <w:t>20</w:t>
            </w:r>
          </w:p>
        </w:tc>
      </w:tr>
      <w:tr w:rsidR="004711FD" w:rsidRPr="00ED1B2A" w14:paraId="3880A218" w14:textId="77777777" w:rsidTr="00431716">
        <w:tc>
          <w:tcPr>
            <w:tcW w:w="1500" w:type="pct"/>
          </w:tcPr>
          <w:p w14:paraId="6A250391" w14:textId="77777777" w:rsidR="004711FD" w:rsidRPr="00D04653" w:rsidRDefault="004711FD" w:rsidP="00431716">
            <w:pPr>
              <w:pStyle w:val="TableText"/>
            </w:pPr>
            <w:r w:rsidRPr="00D04653">
              <w:t>2</w:t>
            </w:r>
          </w:p>
        </w:tc>
        <w:tc>
          <w:tcPr>
            <w:tcW w:w="2000" w:type="pct"/>
          </w:tcPr>
          <w:p w14:paraId="2906CD62" w14:textId="77777777" w:rsidR="004711FD" w:rsidRPr="00D04653" w:rsidRDefault="004711FD" w:rsidP="00431716">
            <w:pPr>
              <w:pStyle w:val="TableText"/>
            </w:pPr>
            <w:r w:rsidRPr="00D04653">
              <w:t>£60,000</w:t>
            </w:r>
          </w:p>
        </w:tc>
        <w:tc>
          <w:tcPr>
            <w:tcW w:w="1500" w:type="pct"/>
          </w:tcPr>
          <w:p w14:paraId="0501FE2C" w14:textId="77777777" w:rsidR="004711FD" w:rsidRPr="00D04653" w:rsidRDefault="004711FD" w:rsidP="007143AF">
            <w:pPr>
              <w:pStyle w:val="TableText"/>
              <w:jc w:val="right"/>
            </w:pPr>
            <w:r w:rsidRPr="00D04653">
              <w:t>50/60 * 20 = 16.7</w:t>
            </w:r>
          </w:p>
        </w:tc>
      </w:tr>
      <w:tr w:rsidR="004711FD" w14:paraId="350C4DF4" w14:textId="77777777" w:rsidTr="007143AF">
        <w:trPr>
          <w:trHeight w:val="70"/>
        </w:trPr>
        <w:tc>
          <w:tcPr>
            <w:tcW w:w="1500" w:type="pct"/>
          </w:tcPr>
          <w:p w14:paraId="39D750D4" w14:textId="77777777" w:rsidR="004711FD" w:rsidRPr="00D04653" w:rsidRDefault="004711FD" w:rsidP="00431716">
            <w:pPr>
              <w:pStyle w:val="TableText"/>
            </w:pPr>
            <w:r w:rsidRPr="00D04653">
              <w:t>3</w:t>
            </w:r>
          </w:p>
        </w:tc>
        <w:tc>
          <w:tcPr>
            <w:tcW w:w="2000" w:type="pct"/>
          </w:tcPr>
          <w:p w14:paraId="1444B441" w14:textId="77777777" w:rsidR="004711FD" w:rsidRPr="00D04653" w:rsidRDefault="004711FD" w:rsidP="00431716">
            <w:pPr>
              <w:pStyle w:val="TableText"/>
            </w:pPr>
            <w:r w:rsidRPr="00D04653">
              <w:t>£75,000</w:t>
            </w:r>
          </w:p>
        </w:tc>
        <w:tc>
          <w:tcPr>
            <w:tcW w:w="1500" w:type="pct"/>
          </w:tcPr>
          <w:p w14:paraId="2AC3CFEC" w14:textId="77777777" w:rsidR="004711FD" w:rsidRPr="00D04653" w:rsidRDefault="004711FD" w:rsidP="007143AF">
            <w:pPr>
              <w:pStyle w:val="TableText"/>
              <w:jc w:val="right"/>
            </w:pPr>
            <w:r w:rsidRPr="00D04653">
              <w:t>50/75 * 20 = 13.3</w:t>
            </w:r>
          </w:p>
        </w:tc>
      </w:tr>
    </w:tbl>
    <w:p w14:paraId="092676DC" w14:textId="77777777" w:rsidR="00ED3906" w:rsidRDefault="00ED3906" w:rsidP="00410B5B">
      <w:pPr>
        <w:pStyle w:val="BodyText"/>
        <w:rPr>
          <w:szCs w:val="20"/>
        </w:rPr>
      </w:pPr>
    </w:p>
    <w:p w14:paraId="61F77B03" w14:textId="77777777" w:rsidR="004711FD" w:rsidRPr="00766BA4" w:rsidRDefault="004711FD" w:rsidP="00180A01">
      <w:pPr>
        <w:pStyle w:val="Heading2"/>
      </w:pPr>
      <w:r w:rsidRPr="00766BA4">
        <w:t>Structure of Tenders</w:t>
      </w:r>
    </w:p>
    <w:p w14:paraId="62929FFC" w14:textId="582C6696" w:rsidR="004711FD" w:rsidRPr="004711FD" w:rsidRDefault="00324B10" w:rsidP="00680076">
      <w:r>
        <w:t>Bidders</w:t>
      </w:r>
      <w:r w:rsidR="004711FD" w:rsidRPr="004711FD">
        <w:t xml:space="preserve"> are strongly advised to structure their tender submissions to cover each of the criteria above and supply a price </w:t>
      </w:r>
      <w:r w:rsidR="004711FD" w:rsidRPr="004711FD">
        <w:rPr>
          <w:rFonts w:eastAsia="Calibri"/>
        </w:rPr>
        <w:t xml:space="preserve">schedule specifying the daily rates (ex-VAT) you will charge for each level of your staff. </w:t>
      </w:r>
    </w:p>
    <w:p w14:paraId="2E106EA0" w14:textId="285AF295" w:rsidR="004711FD" w:rsidRPr="00766BA4" w:rsidRDefault="00766BA4" w:rsidP="00180A01">
      <w:pPr>
        <w:pStyle w:val="Heading2"/>
      </w:pPr>
      <w:r w:rsidRPr="00766BA4">
        <w:t>Interviews</w:t>
      </w:r>
    </w:p>
    <w:p w14:paraId="1008FC10" w14:textId="079415CD" w:rsidR="004711FD" w:rsidRPr="004711FD" w:rsidRDefault="004711FD" w:rsidP="00680076">
      <w:r w:rsidRPr="004711FD">
        <w:t xml:space="preserve">CCC reserves the right to award the contract based on </w:t>
      </w:r>
      <w:r w:rsidR="001C144D">
        <w:t>bidder</w:t>
      </w:r>
      <w:r w:rsidR="00D42583">
        <w:t>s’</w:t>
      </w:r>
      <w:r w:rsidRPr="004711FD">
        <w:t xml:space="preserve"> written </w:t>
      </w:r>
      <w:r w:rsidR="00D42583">
        <w:t>submissions</w:t>
      </w:r>
      <w:r w:rsidRPr="004711FD">
        <w:t xml:space="preserve"> only if one </w:t>
      </w:r>
      <w:r w:rsidR="00D42583">
        <w:t>bidder</w:t>
      </w:r>
      <w:r w:rsidRPr="004711FD">
        <w:t xml:space="preserve"> emerges from the evaluation stage as significantly stronger than the others.  </w:t>
      </w:r>
    </w:p>
    <w:p w14:paraId="6B7D8CE1" w14:textId="5DCB71EB" w:rsidR="004711FD" w:rsidRPr="004711FD" w:rsidRDefault="004711FD" w:rsidP="00680076">
      <w:r w:rsidRPr="004711FD">
        <w:t xml:space="preserve">Should interviews go ahead, CCC will shortlist the top three </w:t>
      </w:r>
      <w:r w:rsidR="00D42583">
        <w:t>bidder</w:t>
      </w:r>
      <w:r w:rsidR="007C5149">
        <w:t>s</w:t>
      </w:r>
      <w:r w:rsidRPr="004711FD">
        <w:t xml:space="preserve"> with the highest marks from the written </w:t>
      </w:r>
      <w:r w:rsidR="00571B01">
        <w:t>submission</w:t>
      </w:r>
      <w:r w:rsidRPr="004711FD">
        <w:t xml:space="preserve">s. Interviews are provisionally expected to be held on </w:t>
      </w:r>
      <w:r w:rsidR="008C1137">
        <w:t xml:space="preserve">w/c </w:t>
      </w:r>
      <w:r w:rsidR="00E7555C">
        <w:t>12</w:t>
      </w:r>
      <w:r w:rsidR="00742F5B" w:rsidRPr="00742F5B">
        <w:rPr>
          <w:vertAlign w:val="superscript"/>
        </w:rPr>
        <w:t>th</w:t>
      </w:r>
      <w:r w:rsidR="00742F5B">
        <w:t xml:space="preserve"> February</w:t>
      </w:r>
      <w:r w:rsidRPr="00DC2B58">
        <w:t>.</w:t>
      </w:r>
      <w:r w:rsidRPr="004711FD">
        <w:t xml:space="preserve"> If this date changes, </w:t>
      </w:r>
      <w:r w:rsidR="00343E09">
        <w:t xml:space="preserve">the </w:t>
      </w:r>
      <w:r w:rsidRPr="004711FD">
        <w:t xml:space="preserve">CCC will notify </w:t>
      </w:r>
      <w:r w:rsidR="00571B01">
        <w:t>bidders</w:t>
      </w:r>
      <w:r w:rsidRPr="004711FD">
        <w:t xml:space="preserve">. </w:t>
      </w:r>
    </w:p>
    <w:p w14:paraId="7128F9FD" w14:textId="7D05FAAE" w:rsidR="004711FD" w:rsidRPr="004711FD" w:rsidRDefault="004711FD" w:rsidP="00680076">
      <w:r w:rsidRPr="004711FD">
        <w:t xml:space="preserve">The areas to be covered in the interview, and markings allocated to each topic area will be sent to the shortlisted </w:t>
      </w:r>
      <w:r w:rsidR="00571B01">
        <w:t>bidder</w:t>
      </w:r>
      <w:r w:rsidRPr="004711FD">
        <w:t xml:space="preserve"> prior to interview.</w:t>
      </w:r>
    </w:p>
    <w:p w14:paraId="6A415962" w14:textId="74DCA607" w:rsidR="004711FD" w:rsidRPr="004711FD" w:rsidRDefault="004711FD" w:rsidP="00680076">
      <w:r w:rsidRPr="004711FD">
        <w:t xml:space="preserve">Further details of interviews will be sent to </w:t>
      </w:r>
      <w:r w:rsidR="00571B01">
        <w:t>shortlis</w:t>
      </w:r>
      <w:r w:rsidR="0014386E">
        <w:t>t</w:t>
      </w:r>
      <w:r w:rsidR="00571B01">
        <w:t>ed</w:t>
      </w:r>
      <w:r w:rsidRPr="004711FD">
        <w:t xml:space="preserve"> </w:t>
      </w:r>
      <w:r w:rsidR="00571B01">
        <w:t>bidder</w:t>
      </w:r>
      <w:r w:rsidRPr="004711FD">
        <w:t xml:space="preserve">s on selection. </w:t>
      </w:r>
    </w:p>
    <w:p w14:paraId="680EEB8D" w14:textId="77777777" w:rsidR="004711FD" w:rsidRPr="006A5FEC" w:rsidRDefault="004711FD" w:rsidP="00180A01">
      <w:pPr>
        <w:pStyle w:val="Heading2"/>
      </w:pPr>
      <w:r w:rsidRPr="006A5FEC">
        <w:t>Feedback</w:t>
      </w:r>
    </w:p>
    <w:p w14:paraId="112C0377" w14:textId="77777777" w:rsidR="004711FD" w:rsidRPr="004711FD" w:rsidRDefault="004711FD" w:rsidP="00680076">
      <w:r w:rsidRPr="004711FD">
        <w:lastRenderedPageBreak/>
        <w:t>Feedback will be given in the unsuccessful letters</w:t>
      </w:r>
      <w:r w:rsidRPr="004711FD" w:rsidDel="00AA6AF5">
        <w:t xml:space="preserve"> </w:t>
      </w:r>
      <w:r w:rsidRPr="004711FD">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2"/>
      <w:headerReference w:type="first" r:id="rId13"/>
      <w:footerReference w:type="first" r:id="rId14"/>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989E3" w14:textId="77777777" w:rsidR="00474789" w:rsidRDefault="00474789" w:rsidP="004E6806">
      <w:r>
        <w:separator/>
      </w:r>
    </w:p>
  </w:endnote>
  <w:endnote w:type="continuationSeparator" w:id="0">
    <w:p w14:paraId="582C0497" w14:textId="77777777" w:rsidR="00474789" w:rsidRDefault="00474789" w:rsidP="004E6806">
      <w:r>
        <w:continuationSeparator/>
      </w:r>
    </w:p>
  </w:endnote>
  <w:endnote w:type="continuationNotice" w:id="1">
    <w:p w14:paraId="71C0C7CA" w14:textId="77777777" w:rsidR="00474789" w:rsidRDefault="00474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D5494" w14:textId="77777777" w:rsidR="00474789" w:rsidRDefault="00474789" w:rsidP="004E6806">
      <w:r>
        <w:separator/>
      </w:r>
    </w:p>
  </w:footnote>
  <w:footnote w:type="continuationSeparator" w:id="0">
    <w:p w14:paraId="43ED8815" w14:textId="77777777" w:rsidR="00474789" w:rsidRDefault="00474789" w:rsidP="004E6806">
      <w:r>
        <w:continuationSeparator/>
      </w:r>
    </w:p>
  </w:footnote>
  <w:footnote w:type="continuationNotice" w:id="1">
    <w:p w14:paraId="7C11C85B" w14:textId="77777777" w:rsidR="00474789" w:rsidRDefault="00474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AC5E5F"/>
    <w:multiLevelType w:val="multilevel"/>
    <w:tmpl w:val="B1E89EC6"/>
    <w:lvl w:ilvl="0">
      <w:start w:val="1"/>
      <w:numFmt w:val="bullet"/>
      <w:pStyle w:val="Bullet"/>
      <w:lvlText w:val="•"/>
      <w:lvlJc w:val="left"/>
      <w:pPr>
        <w:ind w:left="1071" w:hanging="357"/>
      </w:pPr>
      <w:rPr>
        <w:rFonts w:ascii="Century Gothic" w:hAnsi="Century Gothic" w:hint="default"/>
        <w:sz w:val="20"/>
      </w:rPr>
    </w:lvl>
    <w:lvl w:ilvl="1">
      <w:start w:val="1"/>
      <w:numFmt w:val="bullet"/>
      <w:lvlText w:val="•"/>
      <w:lvlJc w:val="left"/>
      <w:pPr>
        <w:tabs>
          <w:tab w:val="num" w:pos="1349"/>
        </w:tabs>
        <w:ind w:left="1548" w:hanging="199"/>
      </w:pPr>
      <w:rPr>
        <w:rFonts w:ascii="Arial Nova Light" w:hAnsi="Arial Nova Light" w:hint="default"/>
        <w:sz w:val="20"/>
      </w:rPr>
    </w:lvl>
    <w:lvl w:ilvl="2">
      <w:start w:val="1"/>
      <w:numFmt w:val="bullet"/>
      <w:lvlText w:val="–"/>
      <w:lvlJc w:val="left"/>
      <w:pPr>
        <w:tabs>
          <w:tab w:val="num" w:pos="1349"/>
        </w:tabs>
        <w:ind w:left="1548" w:hanging="199"/>
      </w:pPr>
      <w:rPr>
        <w:rFonts w:ascii="Century Gothic" w:hAnsi="Century Gothic" w:hint="default"/>
        <w:sz w:val="20"/>
      </w:rPr>
    </w:lvl>
    <w:lvl w:ilvl="3">
      <w:start w:val="1"/>
      <w:numFmt w:val="bullet"/>
      <w:pStyle w:val="BulletLevel3"/>
      <w:lvlText w:val="•"/>
      <w:lvlJc w:val="left"/>
      <w:pPr>
        <w:ind w:left="1899" w:hanging="198"/>
      </w:pPr>
      <w:rPr>
        <w:rFonts w:ascii="Arial Nova Light" w:hAnsi="Arial Nova Light" w:hint="default"/>
        <w:sz w:val="20"/>
      </w:rPr>
    </w:lvl>
    <w:lvl w:ilvl="4">
      <w:start w:val="1"/>
      <w:numFmt w:val="bullet"/>
      <w:pStyle w:val="DashLevel3"/>
      <w:lvlText w:val="–"/>
      <w:lvlJc w:val="left"/>
      <w:pPr>
        <w:ind w:left="907" w:hanging="198"/>
      </w:pPr>
      <w:rPr>
        <w:rFonts w:ascii="Century Gothic" w:hAnsi="Century Gothic" w:hint="default"/>
        <w:sz w:val="20"/>
      </w:rPr>
    </w:lvl>
    <w:lvl w:ilvl="5">
      <w:start w:val="1"/>
      <w:numFmt w:val="none"/>
      <w:lvlText w:val=""/>
      <w:lvlJc w:val="left"/>
      <w:pPr>
        <w:ind w:left="4677" w:hanging="360"/>
      </w:pPr>
      <w:rPr>
        <w:rFonts w:hint="default"/>
      </w:rPr>
    </w:lvl>
    <w:lvl w:ilvl="6">
      <w:start w:val="1"/>
      <w:numFmt w:val="none"/>
      <w:lvlText w:val=""/>
      <w:lvlJc w:val="left"/>
      <w:pPr>
        <w:ind w:left="5397" w:hanging="360"/>
      </w:pPr>
      <w:rPr>
        <w:rFonts w:hint="default"/>
      </w:rPr>
    </w:lvl>
    <w:lvl w:ilvl="7">
      <w:start w:val="1"/>
      <w:numFmt w:val="none"/>
      <w:lvlText w:val=""/>
      <w:lvlJc w:val="left"/>
      <w:pPr>
        <w:ind w:left="6118" w:hanging="361"/>
      </w:pPr>
      <w:rPr>
        <w:rFonts w:hint="default"/>
      </w:rPr>
    </w:lvl>
    <w:lvl w:ilvl="8">
      <w:start w:val="1"/>
      <w:numFmt w:val="none"/>
      <w:lvlText w:val=""/>
      <w:lvlJc w:val="left"/>
      <w:pPr>
        <w:ind w:left="6837" w:hanging="360"/>
      </w:pPr>
      <w:rPr>
        <w:rFonts w:hint="default"/>
      </w:rPr>
    </w:lvl>
  </w:abstractNum>
  <w:abstractNum w:abstractNumId="2" w15:restartNumberingAfterBreak="0">
    <w:nsid w:val="167D73E4"/>
    <w:multiLevelType w:val="hybridMultilevel"/>
    <w:tmpl w:val="6FFED7D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B344A1C"/>
    <w:multiLevelType w:val="hybridMultilevel"/>
    <w:tmpl w:val="34BC71B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1909E5"/>
    <w:multiLevelType w:val="hybridMultilevel"/>
    <w:tmpl w:val="7D12A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1C0313"/>
    <w:multiLevelType w:val="hybridMultilevel"/>
    <w:tmpl w:val="FB50B056"/>
    <w:lvl w:ilvl="0" w:tplc="0809001B">
      <w:start w:val="1"/>
      <w:numFmt w:val="lowerRoman"/>
      <w:lvlText w:val="%1."/>
      <w:lvlJc w:val="right"/>
      <w:pPr>
        <w:ind w:left="1494" w:hanging="360"/>
      </w:pPr>
      <w:rPr>
        <w:b/>
        <w:bCs w:val="0"/>
      </w:rPr>
    </w:lvl>
    <w:lvl w:ilvl="1" w:tplc="08090001">
      <w:start w:val="1"/>
      <w:numFmt w:val="bullet"/>
      <w:lvlText w:val=""/>
      <w:lvlJc w:val="left"/>
      <w:pPr>
        <w:ind w:left="2214" w:hanging="360"/>
      </w:pPr>
      <w:rPr>
        <w:rFonts w:ascii="Symbol" w:hAnsi="Symbol" w:hint="default"/>
      </w:r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20993BCA"/>
    <w:multiLevelType w:val="hybridMultilevel"/>
    <w:tmpl w:val="D1BCB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ED90540"/>
    <w:multiLevelType w:val="hybridMultilevel"/>
    <w:tmpl w:val="564406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D63E6F"/>
    <w:multiLevelType w:val="hybridMultilevel"/>
    <w:tmpl w:val="86E46326"/>
    <w:lvl w:ilvl="0" w:tplc="51BE51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35A43D9"/>
    <w:multiLevelType w:val="hybridMultilevel"/>
    <w:tmpl w:val="36B087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5343A55"/>
    <w:multiLevelType w:val="hybridMultilevel"/>
    <w:tmpl w:val="2F7E4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2B40E4"/>
    <w:multiLevelType w:val="hybridMultilevel"/>
    <w:tmpl w:val="E9867598"/>
    <w:lvl w:ilvl="0" w:tplc="AF1668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C734E9A"/>
    <w:multiLevelType w:val="hybridMultilevel"/>
    <w:tmpl w:val="68A6033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43560378"/>
    <w:multiLevelType w:val="hybridMultilevel"/>
    <w:tmpl w:val="35C07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67CDF"/>
    <w:multiLevelType w:val="hybridMultilevel"/>
    <w:tmpl w:val="90848D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BA66A26"/>
    <w:multiLevelType w:val="hybridMultilevel"/>
    <w:tmpl w:val="E1B691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E6E23F1"/>
    <w:multiLevelType w:val="hybridMultilevel"/>
    <w:tmpl w:val="DA28C3B6"/>
    <w:lvl w:ilvl="0" w:tplc="6506256E">
      <w:start w:val="1"/>
      <w:numFmt w:val="decimal"/>
      <w:pStyle w:val="Heading1"/>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51C3658C"/>
    <w:multiLevelType w:val="hybridMultilevel"/>
    <w:tmpl w:val="98C425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DE71E2B"/>
    <w:multiLevelType w:val="hybridMultilevel"/>
    <w:tmpl w:val="412825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F492DB4"/>
    <w:multiLevelType w:val="hybridMultilevel"/>
    <w:tmpl w:val="3D0209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14A2C24"/>
    <w:multiLevelType w:val="hybridMultilevel"/>
    <w:tmpl w:val="BDF059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2470378"/>
    <w:multiLevelType w:val="hybridMultilevel"/>
    <w:tmpl w:val="8C3655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4AC5530"/>
    <w:multiLevelType w:val="hybridMultilevel"/>
    <w:tmpl w:val="C888C8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A200F69"/>
    <w:multiLevelType w:val="multilevel"/>
    <w:tmpl w:val="A81846EC"/>
    <w:lvl w:ilvl="0">
      <w:start w:val="1"/>
      <w:numFmt w:val="bullet"/>
      <w:pStyle w:val="TableBullet"/>
      <w:lvlText w:val="•"/>
      <w:lvlJc w:val="left"/>
      <w:pPr>
        <w:ind w:left="397" w:hanging="340"/>
      </w:pPr>
      <w:rPr>
        <w:rFonts w:ascii="Century Gothic" w:hAnsi="Century Gothic" w:hint="default"/>
      </w:rPr>
    </w:lvl>
    <w:lvl w:ilvl="1">
      <w:start w:val="1"/>
      <w:numFmt w:val="bullet"/>
      <w:pStyle w:val="TableBulletLevel2"/>
      <w:lvlText w:val="–"/>
      <w:lvlJc w:val="left"/>
      <w:pPr>
        <w:ind w:left="567" w:hanging="170"/>
      </w:pPr>
      <w:rPr>
        <w:rFonts w:ascii="Century Gothic" w:hAnsi="Century Gothic" w:hint="default"/>
      </w:rPr>
    </w:lvl>
    <w:lvl w:ilvl="2">
      <w:start w:val="1"/>
      <w:numFmt w:val="bullet"/>
      <w:lvlText w:val="•"/>
      <w:lvlJc w:val="left"/>
      <w:pPr>
        <w:ind w:left="737" w:hanging="170"/>
      </w:pPr>
      <w:rPr>
        <w:rFonts w:ascii="Century Gothic" w:hAnsi="Century Gothic" w:hint="default"/>
      </w:rPr>
    </w:lvl>
    <w:lvl w:ilvl="3">
      <w:start w:val="1"/>
      <w:numFmt w:val="bullet"/>
      <w:lvlText w:val="–"/>
      <w:lvlJc w:val="left"/>
      <w:pPr>
        <w:ind w:left="907" w:hanging="170"/>
      </w:pPr>
      <w:rPr>
        <w:rFonts w:ascii="Century Gothic" w:hAnsi="Century Gothic" w:hint="default"/>
      </w:rPr>
    </w:lvl>
    <w:lvl w:ilvl="4">
      <w:start w:val="1"/>
      <w:numFmt w:val="bullet"/>
      <w:lvlText w:val="•"/>
      <w:lvlJc w:val="left"/>
      <w:pPr>
        <w:ind w:left="1077" w:hanging="170"/>
      </w:pPr>
      <w:rPr>
        <w:rFonts w:ascii="Century Gothic" w:hAnsi="Century Gothic" w:hint="default"/>
      </w:rPr>
    </w:lvl>
    <w:lvl w:ilvl="5">
      <w:start w:val="1"/>
      <w:numFmt w:val="bullet"/>
      <w:lvlText w:val="–"/>
      <w:lvlJc w:val="left"/>
      <w:pPr>
        <w:ind w:left="1247" w:hanging="170"/>
      </w:pPr>
      <w:rPr>
        <w:rFonts w:ascii="Century Gothic" w:hAnsi="Century Gothic" w:hint="default"/>
      </w:rPr>
    </w:lvl>
    <w:lvl w:ilvl="6">
      <w:start w:val="1"/>
      <w:numFmt w:val="bullet"/>
      <w:lvlText w:val="•"/>
      <w:lvlJc w:val="left"/>
      <w:pPr>
        <w:ind w:left="1418" w:hanging="171"/>
      </w:pPr>
      <w:rPr>
        <w:rFonts w:ascii="Century Gothic" w:hAnsi="Century Gothic" w:hint="default"/>
      </w:rPr>
    </w:lvl>
    <w:lvl w:ilvl="7">
      <w:start w:val="1"/>
      <w:numFmt w:val="bullet"/>
      <w:lvlText w:val="–"/>
      <w:lvlJc w:val="left"/>
      <w:pPr>
        <w:ind w:left="1588" w:hanging="170"/>
      </w:pPr>
      <w:rPr>
        <w:rFonts w:ascii="Century Gothic" w:hAnsi="Century Gothic" w:hint="default"/>
      </w:rPr>
    </w:lvl>
    <w:lvl w:ilvl="8">
      <w:start w:val="1"/>
      <w:numFmt w:val="bullet"/>
      <w:lvlText w:val="•"/>
      <w:lvlJc w:val="left"/>
      <w:pPr>
        <w:ind w:left="1758" w:hanging="170"/>
      </w:pPr>
      <w:rPr>
        <w:rFonts w:ascii="Century Gothic" w:hAnsi="Century Gothic" w:hint="default"/>
      </w:rPr>
    </w:lvl>
  </w:abstractNum>
  <w:abstractNum w:abstractNumId="25" w15:restartNumberingAfterBreak="0">
    <w:nsid w:val="6DE7164A"/>
    <w:multiLevelType w:val="hybridMultilevel"/>
    <w:tmpl w:val="817E3414"/>
    <w:lvl w:ilvl="0" w:tplc="0809001B">
      <w:start w:val="1"/>
      <w:numFmt w:val="lowerRoman"/>
      <w:lvlText w:val="%1."/>
      <w:lvlJc w:val="right"/>
      <w:pPr>
        <w:ind w:left="1440" w:hanging="360"/>
      </w:pPr>
      <w:rPr>
        <w:b/>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0E006CB"/>
    <w:multiLevelType w:val="multilevel"/>
    <w:tmpl w:val="DA28C3B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73914FA3"/>
    <w:multiLevelType w:val="hybridMultilevel"/>
    <w:tmpl w:val="7CC4DD5E"/>
    <w:lvl w:ilvl="0" w:tplc="93467964">
      <w:start w:val="1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4E19E7"/>
    <w:multiLevelType w:val="hybridMultilevel"/>
    <w:tmpl w:val="CEBCAA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4DC771D"/>
    <w:multiLevelType w:val="hybridMultilevel"/>
    <w:tmpl w:val="D6F29A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78517679">
    <w:abstractNumId w:val="17"/>
  </w:num>
  <w:num w:numId="2" w16cid:durableId="1273703572">
    <w:abstractNumId w:val="13"/>
  </w:num>
  <w:num w:numId="3" w16cid:durableId="549806391">
    <w:abstractNumId w:val="0"/>
  </w:num>
  <w:num w:numId="4" w16cid:durableId="2130006228">
    <w:abstractNumId w:val="5"/>
  </w:num>
  <w:num w:numId="5" w16cid:durableId="1910076434">
    <w:abstractNumId w:val="28"/>
  </w:num>
  <w:num w:numId="6" w16cid:durableId="856846727">
    <w:abstractNumId w:val="1"/>
  </w:num>
  <w:num w:numId="7" w16cid:durableId="1877542015">
    <w:abstractNumId w:val="21"/>
  </w:num>
  <w:num w:numId="8" w16cid:durableId="1851794685">
    <w:abstractNumId w:val="29"/>
  </w:num>
  <w:num w:numId="9" w16cid:durableId="1312833319">
    <w:abstractNumId w:val="22"/>
  </w:num>
  <w:num w:numId="10" w16cid:durableId="604582913">
    <w:abstractNumId w:val="25"/>
  </w:num>
  <w:num w:numId="11" w16cid:durableId="907419889">
    <w:abstractNumId w:val="9"/>
  </w:num>
  <w:num w:numId="12" w16cid:durableId="1506243812">
    <w:abstractNumId w:val="8"/>
  </w:num>
  <w:num w:numId="13" w16cid:durableId="1786921396">
    <w:abstractNumId w:val="11"/>
  </w:num>
  <w:num w:numId="14" w16cid:durableId="1544170065">
    <w:abstractNumId w:val="4"/>
  </w:num>
  <w:num w:numId="15" w16cid:durableId="2141848444">
    <w:abstractNumId w:val="23"/>
  </w:num>
  <w:num w:numId="16" w16cid:durableId="1767730730">
    <w:abstractNumId w:val="3"/>
  </w:num>
  <w:num w:numId="17" w16cid:durableId="1605385774">
    <w:abstractNumId w:val="6"/>
  </w:num>
  <w:num w:numId="18" w16cid:durableId="1613975511">
    <w:abstractNumId w:val="7"/>
  </w:num>
  <w:num w:numId="19" w16cid:durableId="1179193873">
    <w:abstractNumId w:val="12"/>
  </w:num>
  <w:num w:numId="20" w16cid:durableId="266692974">
    <w:abstractNumId w:val="20"/>
  </w:num>
  <w:num w:numId="21" w16cid:durableId="1579824331">
    <w:abstractNumId w:val="15"/>
  </w:num>
  <w:num w:numId="22" w16cid:durableId="1177842054">
    <w:abstractNumId w:val="10"/>
  </w:num>
  <w:num w:numId="23" w16cid:durableId="1432433895">
    <w:abstractNumId w:val="18"/>
  </w:num>
  <w:num w:numId="24" w16cid:durableId="1411930113">
    <w:abstractNumId w:val="19"/>
  </w:num>
  <w:num w:numId="25" w16cid:durableId="1904291517">
    <w:abstractNumId w:val="16"/>
  </w:num>
  <w:num w:numId="26" w16cid:durableId="440882825">
    <w:abstractNumId w:val="2"/>
  </w:num>
  <w:num w:numId="27" w16cid:durableId="374281543">
    <w:abstractNumId w:val="24"/>
  </w:num>
  <w:num w:numId="28" w16cid:durableId="699861611">
    <w:abstractNumId w:val="24"/>
  </w:num>
  <w:num w:numId="29" w16cid:durableId="2008435845">
    <w:abstractNumId w:val="27"/>
  </w:num>
  <w:num w:numId="30" w16cid:durableId="81148615">
    <w:abstractNumId w:val="14"/>
  </w:num>
  <w:num w:numId="31" w16cid:durableId="12521980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0073E"/>
    <w:rsid w:val="000009F5"/>
    <w:rsid w:val="00000C5F"/>
    <w:rsid w:val="000014EF"/>
    <w:rsid w:val="00001A6E"/>
    <w:rsid w:val="00002528"/>
    <w:rsid w:val="00002B16"/>
    <w:rsid w:val="00003215"/>
    <w:rsid w:val="0000349B"/>
    <w:rsid w:val="00003C5D"/>
    <w:rsid w:val="0000569A"/>
    <w:rsid w:val="00005953"/>
    <w:rsid w:val="000062D8"/>
    <w:rsid w:val="000069A3"/>
    <w:rsid w:val="00007128"/>
    <w:rsid w:val="000111B9"/>
    <w:rsid w:val="00012127"/>
    <w:rsid w:val="0001289C"/>
    <w:rsid w:val="00012C9B"/>
    <w:rsid w:val="0001462A"/>
    <w:rsid w:val="00016978"/>
    <w:rsid w:val="00016C23"/>
    <w:rsid w:val="0001772F"/>
    <w:rsid w:val="0002013C"/>
    <w:rsid w:val="00020DB4"/>
    <w:rsid w:val="00021C09"/>
    <w:rsid w:val="00022890"/>
    <w:rsid w:val="00024231"/>
    <w:rsid w:val="00025270"/>
    <w:rsid w:val="00027D20"/>
    <w:rsid w:val="00027FBF"/>
    <w:rsid w:val="00030F1D"/>
    <w:rsid w:val="00032165"/>
    <w:rsid w:val="000327DF"/>
    <w:rsid w:val="0003440F"/>
    <w:rsid w:val="000344EE"/>
    <w:rsid w:val="00034577"/>
    <w:rsid w:val="00034D07"/>
    <w:rsid w:val="000358C7"/>
    <w:rsid w:val="0003622B"/>
    <w:rsid w:val="000379CC"/>
    <w:rsid w:val="000379E5"/>
    <w:rsid w:val="00040471"/>
    <w:rsid w:val="000404A8"/>
    <w:rsid w:val="00040A06"/>
    <w:rsid w:val="000411AD"/>
    <w:rsid w:val="00041410"/>
    <w:rsid w:val="00041580"/>
    <w:rsid w:val="00044F9B"/>
    <w:rsid w:val="00045045"/>
    <w:rsid w:val="000451BF"/>
    <w:rsid w:val="000452EB"/>
    <w:rsid w:val="0004677B"/>
    <w:rsid w:val="000507C6"/>
    <w:rsid w:val="000513A5"/>
    <w:rsid w:val="00051816"/>
    <w:rsid w:val="0005196A"/>
    <w:rsid w:val="00051D95"/>
    <w:rsid w:val="00054FEC"/>
    <w:rsid w:val="00055089"/>
    <w:rsid w:val="00055260"/>
    <w:rsid w:val="0005551B"/>
    <w:rsid w:val="0005585F"/>
    <w:rsid w:val="00055F99"/>
    <w:rsid w:val="000563DF"/>
    <w:rsid w:val="000567A5"/>
    <w:rsid w:val="00056B3F"/>
    <w:rsid w:val="00056E6F"/>
    <w:rsid w:val="00057449"/>
    <w:rsid w:val="00057D49"/>
    <w:rsid w:val="00057FB1"/>
    <w:rsid w:val="0006149B"/>
    <w:rsid w:val="000620D4"/>
    <w:rsid w:val="0006270B"/>
    <w:rsid w:val="00062C96"/>
    <w:rsid w:val="00063451"/>
    <w:rsid w:val="000642B5"/>
    <w:rsid w:val="00064679"/>
    <w:rsid w:val="00064AF8"/>
    <w:rsid w:val="0006526A"/>
    <w:rsid w:val="00066D22"/>
    <w:rsid w:val="00066DF2"/>
    <w:rsid w:val="00066E83"/>
    <w:rsid w:val="00067A85"/>
    <w:rsid w:val="000703B8"/>
    <w:rsid w:val="00070EAC"/>
    <w:rsid w:val="000732EB"/>
    <w:rsid w:val="000742D1"/>
    <w:rsid w:val="00074381"/>
    <w:rsid w:val="00074564"/>
    <w:rsid w:val="000746B0"/>
    <w:rsid w:val="00074B56"/>
    <w:rsid w:val="0007514E"/>
    <w:rsid w:val="00075774"/>
    <w:rsid w:val="0007730E"/>
    <w:rsid w:val="0007763F"/>
    <w:rsid w:val="000807E9"/>
    <w:rsid w:val="00081B3B"/>
    <w:rsid w:val="000828A9"/>
    <w:rsid w:val="00084B95"/>
    <w:rsid w:val="00084F74"/>
    <w:rsid w:val="00085293"/>
    <w:rsid w:val="000879F0"/>
    <w:rsid w:val="00087FB1"/>
    <w:rsid w:val="000901A3"/>
    <w:rsid w:val="0009052D"/>
    <w:rsid w:val="00090722"/>
    <w:rsid w:val="00090BB5"/>
    <w:rsid w:val="000912E9"/>
    <w:rsid w:val="00091A8F"/>
    <w:rsid w:val="0009269B"/>
    <w:rsid w:val="00093744"/>
    <w:rsid w:val="00093844"/>
    <w:rsid w:val="000948D0"/>
    <w:rsid w:val="00094DC2"/>
    <w:rsid w:val="00096CF4"/>
    <w:rsid w:val="00097598"/>
    <w:rsid w:val="00097897"/>
    <w:rsid w:val="00097D73"/>
    <w:rsid w:val="000A1B21"/>
    <w:rsid w:val="000A1B30"/>
    <w:rsid w:val="000A1EF2"/>
    <w:rsid w:val="000A208B"/>
    <w:rsid w:val="000A2AD5"/>
    <w:rsid w:val="000A2B47"/>
    <w:rsid w:val="000A30F0"/>
    <w:rsid w:val="000A3A69"/>
    <w:rsid w:val="000A40B5"/>
    <w:rsid w:val="000A4408"/>
    <w:rsid w:val="000A51CC"/>
    <w:rsid w:val="000A5444"/>
    <w:rsid w:val="000A56E3"/>
    <w:rsid w:val="000A6997"/>
    <w:rsid w:val="000A75E9"/>
    <w:rsid w:val="000B0C90"/>
    <w:rsid w:val="000B11B3"/>
    <w:rsid w:val="000B1DC0"/>
    <w:rsid w:val="000B1FD6"/>
    <w:rsid w:val="000B2C43"/>
    <w:rsid w:val="000B2C7E"/>
    <w:rsid w:val="000B2FFC"/>
    <w:rsid w:val="000B35B5"/>
    <w:rsid w:val="000B3828"/>
    <w:rsid w:val="000B3860"/>
    <w:rsid w:val="000B4032"/>
    <w:rsid w:val="000B5118"/>
    <w:rsid w:val="000B5B6F"/>
    <w:rsid w:val="000B7D63"/>
    <w:rsid w:val="000C0802"/>
    <w:rsid w:val="000C16A4"/>
    <w:rsid w:val="000C1995"/>
    <w:rsid w:val="000C2158"/>
    <w:rsid w:val="000C223A"/>
    <w:rsid w:val="000C2C26"/>
    <w:rsid w:val="000C437F"/>
    <w:rsid w:val="000C45B4"/>
    <w:rsid w:val="000C4A4D"/>
    <w:rsid w:val="000C4C7B"/>
    <w:rsid w:val="000C53DC"/>
    <w:rsid w:val="000C56F4"/>
    <w:rsid w:val="000C636D"/>
    <w:rsid w:val="000C67EE"/>
    <w:rsid w:val="000D10B7"/>
    <w:rsid w:val="000D1E61"/>
    <w:rsid w:val="000D23AE"/>
    <w:rsid w:val="000D2F79"/>
    <w:rsid w:val="000D3726"/>
    <w:rsid w:val="000D4186"/>
    <w:rsid w:val="000D41A0"/>
    <w:rsid w:val="000D4487"/>
    <w:rsid w:val="000D45B8"/>
    <w:rsid w:val="000D5955"/>
    <w:rsid w:val="000D69BA"/>
    <w:rsid w:val="000D79F9"/>
    <w:rsid w:val="000D7ECF"/>
    <w:rsid w:val="000E1243"/>
    <w:rsid w:val="000E27B1"/>
    <w:rsid w:val="000E27C1"/>
    <w:rsid w:val="000E29F4"/>
    <w:rsid w:val="000E31FA"/>
    <w:rsid w:val="000E3B50"/>
    <w:rsid w:val="000E4D66"/>
    <w:rsid w:val="000E616F"/>
    <w:rsid w:val="000E6EE1"/>
    <w:rsid w:val="000E6F50"/>
    <w:rsid w:val="000F2676"/>
    <w:rsid w:val="000F3759"/>
    <w:rsid w:val="000F5079"/>
    <w:rsid w:val="000F5915"/>
    <w:rsid w:val="000F64F9"/>
    <w:rsid w:val="000F66AB"/>
    <w:rsid w:val="000F678A"/>
    <w:rsid w:val="000F6ECA"/>
    <w:rsid w:val="000F7FC7"/>
    <w:rsid w:val="001007F3"/>
    <w:rsid w:val="0010091A"/>
    <w:rsid w:val="001011FC"/>
    <w:rsid w:val="001013B3"/>
    <w:rsid w:val="00101F6C"/>
    <w:rsid w:val="001022C3"/>
    <w:rsid w:val="00102BC4"/>
    <w:rsid w:val="0010322C"/>
    <w:rsid w:val="001033E9"/>
    <w:rsid w:val="00104EC8"/>
    <w:rsid w:val="0010512C"/>
    <w:rsid w:val="0010537E"/>
    <w:rsid w:val="0010567C"/>
    <w:rsid w:val="00106DD8"/>
    <w:rsid w:val="0010781E"/>
    <w:rsid w:val="00107981"/>
    <w:rsid w:val="00111027"/>
    <w:rsid w:val="001122C4"/>
    <w:rsid w:val="00112939"/>
    <w:rsid w:val="00113B7C"/>
    <w:rsid w:val="00114255"/>
    <w:rsid w:val="0011455D"/>
    <w:rsid w:val="00114EB5"/>
    <w:rsid w:val="0011535C"/>
    <w:rsid w:val="00115629"/>
    <w:rsid w:val="0011574B"/>
    <w:rsid w:val="0011615A"/>
    <w:rsid w:val="00116BCC"/>
    <w:rsid w:val="00116F82"/>
    <w:rsid w:val="001174E6"/>
    <w:rsid w:val="0012006F"/>
    <w:rsid w:val="001204E0"/>
    <w:rsid w:val="00122054"/>
    <w:rsid w:val="00122810"/>
    <w:rsid w:val="00123A31"/>
    <w:rsid w:val="00124163"/>
    <w:rsid w:val="001245E9"/>
    <w:rsid w:val="00127575"/>
    <w:rsid w:val="0013051A"/>
    <w:rsid w:val="00130E88"/>
    <w:rsid w:val="001311F2"/>
    <w:rsid w:val="0013147E"/>
    <w:rsid w:val="00131C7D"/>
    <w:rsid w:val="00131D79"/>
    <w:rsid w:val="00131E96"/>
    <w:rsid w:val="00132A34"/>
    <w:rsid w:val="00133917"/>
    <w:rsid w:val="00133E2D"/>
    <w:rsid w:val="00135D77"/>
    <w:rsid w:val="001365E4"/>
    <w:rsid w:val="001367F3"/>
    <w:rsid w:val="0013719A"/>
    <w:rsid w:val="00137224"/>
    <w:rsid w:val="0013794A"/>
    <w:rsid w:val="0014013C"/>
    <w:rsid w:val="00140828"/>
    <w:rsid w:val="00141BA4"/>
    <w:rsid w:val="00142953"/>
    <w:rsid w:val="00143458"/>
    <w:rsid w:val="0014386E"/>
    <w:rsid w:val="0014391E"/>
    <w:rsid w:val="0014414C"/>
    <w:rsid w:val="0014470E"/>
    <w:rsid w:val="00145AE5"/>
    <w:rsid w:val="001468A1"/>
    <w:rsid w:val="00147B18"/>
    <w:rsid w:val="00147BC3"/>
    <w:rsid w:val="001516C2"/>
    <w:rsid w:val="0015468E"/>
    <w:rsid w:val="00154BF7"/>
    <w:rsid w:val="00154C50"/>
    <w:rsid w:val="001553C6"/>
    <w:rsid w:val="001563BB"/>
    <w:rsid w:val="00156A6A"/>
    <w:rsid w:val="00156BA3"/>
    <w:rsid w:val="001571CC"/>
    <w:rsid w:val="00161864"/>
    <w:rsid w:val="0016284B"/>
    <w:rsid w:val="00162F58"/>
    <w:rsid w:val="00163688"/>
    <w:rsid w:val="00163FEE"/>
    <w:rsid w:val="00164FDC"/>
    <w:rsid w:val="001652B8"/>
    <w:rsid w:val="0016582E"/>
    <w:rsid w:val="00166056"/>
    <w:rsid w:val="00167A5F"/>
    <w:rsid w:val="001704A4"/>
    <w:rsid w:val="001704EB"/>
    <w:rsid w:val="0017099B"/>
    <w:rsid w:val="00170A4D"/>
    <w:rsid w:val="00170ABC"/>
    <w:rsid w:val="00170B17"/>
    <w:rsid w:val="00171289"/>
    <w:rsid w:val="001713EC"/>
    <w:rsid w:val="001715B6"/>
    <w:rsid w:val="001719FC"/>
    <w:rsid w:val="00172672"/>
    <w:rsid w:val="00172B3C"/>
    <w:rsid w:val="00173574"/>
    <w:rsid w:val="0017378B"/>
    <w:rsid w:val="00174C1F"/>
    <w:rsid w:val="00175046"/>
    <w:rsid w:val="00175098"/>
    <w:rsid w:val="00176E15"/>
    <w:rsid w:val="001803B2"/>
    <w:rsid w:val="00180A01"/>
    <w:rsid w:val="00180D8A"/>
    <w:rsid w:val="0018381C"/>
    <w:rsid w:val="001841F2"/>
    <w:rsid w:val="00184CD9"/>
    <w:rsid w:val="001851AF"/>
    <w:rsid w:val="00185521"/>
    <w:rsid w:val="00185B24"/>
    <w:rsid w:val="00185FA2"/>
    <w:rsid w:val="001861CA"/>
    <w:rsid w:val="00187B74"/>
    <w:rsid w:val="00190570"/>
    <w:rsid w:val="00190CFE"/>
    <w:rsid w:val="00191449"/>
    <w:rsid w:val="00191813"/>
    <w:rsid w:val="00192C04"/>
    <w:rsid w:val="00194F7C"/>
    <w:rsid w:val="001953E1"/>
    <w:rsid w:val="00195E3D"/>
    <w:rsid w:val="00196789"/>
    <w:rsid w:val="001970A1"/>
    <w:rsid w:val="001970DF"/>
    <w:rsid w:val="001A09FA"/>
    <w:rsid w:val="001A111E"/>
    <w:rsid w:val="001A15ED"/>
    <w:rsid w:val="001A1760"/>
    <w:rsid w:val="001A1B6A"/>
    <w:rsid w:val="001A1B8F"/>
    <w:rsid w:val="001A4A7D"/>
    <w:rsid w:val="001A5CB8"/>
    <w:rsid w:val="001A6AE4"/>
    <w:rsid w:val="001A7355"/>
    <w:rsid w:val="001B01CE"/>
    <w:rsid w:val="001B0375"/>
    <w:rsid w:val="001B15BD"/>
    <w:rsid w:val="001B1BA0"/>
    <w:rsid w:val="001B1D10"/>
    <w:rsid w:val="001B1D69"/>
    <w:rsid w:val="001B22CA"/>
    <w:rsid w:val="001B27B3"/>
    <w:rsid w:val="001B36EC"/>
    <w:rsid w:val="001B69D3"/>
    <w:rsid w:val="001B74BF"/>
    <w:rsid w:val="001C144D"/>
    <w:rsid w:val="001C2E9B"/>
    <w:rsid w:val="001C369E"/>
    <w:rsid w:val="001C4575"/>
    <w:rsid w:val="001C5083"/>
    <w:rsid w:val="001C5A53"/>
    <w:rsid w:val="001C5C2D"/>
    <w:rsid w:val="001C60C4"/>
    <w:rsid w:val="001D138A"/>
    <w:rsid w:val="001D1817"/>
    <w:rsid w:val="001D2F1B"/>
    <w:rsid w:val="001D2FD4"/>
    <w:rsid w:val="001D4672"/>
    <w:rsid w:val="001D478C"/>
    <w:rsid w:val="001D4BDF"/>
    <w:rsid w:val="001D5C63"/>
    <w:rsid w:val="001D5C6D"/>
    <w:rsid w:val="001D660A"/>
    <w:rsid w:val="001D666B"/>
    <w:rsid w:val="001E30F2"/>
    <w:rsid w:val="001E479B"/>
    <w:rsid w:val="001E58A2"/>
    <w:rsid w:val="001E5D03"/>
    <w:rsid w:val="001E5F60"/>
    <w:rsid w:val="001E605A"/>
    <w:rsid w:val="001F0AFC"/>
    <w:rsid w:val="001F147F"/>
    <w:rsid w:val="001F1ADA"/>
    <w:rsid w:val="001F1E28"/>
    <w:rsid w:val="001F244B"/>
    <w:rsid w:val="001F3DEF"/>
    <w:rsid w:val="001F4F01"/>
    <w:rsid w:val="001F518A"/>
    <w:rsid w:val="001F6319"/>
    <w:rsid w:val="001F64B1"/>
    <w:rsid w:val="001F6ABE"/>
    <w:rsid w:val="001F71B8"/>
    <w:rsid w:val="0020116E"/>
    <w:rsid w:val="00201853"/>
    <w:rsid w:val="0020203F"/>
    <w:rsid w:val="0020235D"/>
    <w:rsid w:val="00203077"/>
    <w:rsid w:val="002032E0"/>
    <w:rsid w:val="00203347"/>
    <w:rsid w:val="00203E65"/>
    <w:rsid w:val="00204347"/>
    <w:rsid w:val="00204865"/>
    <w:rsid w:val="002054D4"/>
    <w:rsid w:val="00205DA8"/>
    <w:rsid w:val="002068CA"/>
    <w:rsid w:val="00210CEB"/>
    <w:rsid w:val="0021104F"/>
    <w:rsid w:val="002115F4"/>
    <w:rsid w:val="00211CEB"/>
    <w:rsid w:val="00211D2F"/>
    <w:rsid w:val="00212088"/>
    <w:rsid w:val="002127B2"/>
    <w:rsid w:val="00214616"/>
    <w:rsid w:val="002150A1"/>
    <w:rsid w:val="0021527D"/>
    <w:rsid w:val="00215A81"/>
    <w:rsid w:val="00215B97"/>
    <w:rsid w:val="002160F3"/>
    <w:rsid w:val="00217B78"/>
    <w:rsid w:val="002202B6"/>
    <w:rsid w:val="002203BC"/>
    <w:rsid w:val="00220B95"/>
    <w:rsid w:val="00220F07"/>
    <w:rsid w:val="00221DFD"/>
    <w:rsid w:val="00222566"/>
    <w:rsid w:val="00222BBC"/>
    <w:rsid w:val="002231D9"/>
    <w:rsid w:val="0022344D"/>
    <w:rsid w:val="00223623"/>
    <w:rsid w:val="002237B4"/>
    <w:rsid w:val="00224F5B"/>
    <w:rsid w:val="002252AE"/>
    <w:rsid w:val="00225E1C"/>
    <w:rsid w:val="00226891"/>
    <w:rsid w:val="00226E66"/>
    <w:rsid w:val="002279C0"/>
    <w:rsid w:val="0023008B"/>
    <w:rsid w:val="00230F2F"/>
    <w:rsid w:val="002314EF"/>
    <w:rsid w:val="00231A2D"/>
    <w:rsid w:val="0023238D"/>
    <w:rsid w:val="00234030"/>
    <w:rsid w:val="00234B2C"/>
    <w:rsid w:val="00236341"/>
    <w:rsid w:val="002368A6"/>
    <w:rsid w:val="002379A2"/>
    <w:rsid w:val="0024006C"/>
    <w:rsid w:val="00240B14"/>
    <w:rsid w:val="00241E8D"/>
    <w:rsid w:val="00244A5E"/>
    <w:rsid w:val="00245864"/>
    <w:rsid w:val="00245D93"/>
    <w:rsid w:val="002470E6"/>
    <w:rsid w:val="002479A5"/>
    <w:rsid w:val="002479BF"/>
    <w:rsid w:val="002501FA"/>
    <w:rsid w:val="00250F1E"/>
    <w:rsid w:val="002519E6"/>
    <w:rsid w:val="00252AB8"/>
    <w:rsid w:val="002540AD"/>
    <w:rsid w:val="00254E87"/>
    <w:rsid w:val="0025555D"/>
    <w:rsid w:val="002555E1"/>
    <w:rsid w:val="002560D2"/>
    <w:rsid w:val="002563A2"/>
    <w:rsid w:val="002565BA"/>
    <w:rsid w:val="00256A09"/>
    <w:rsid w:val="0025728D"/>
    <w:rsid w:val="00257863"/>
    <w:rsid w:val="002606CD"/>
    <w:rsid w:val="0026162C"/>
    <w:rsid w:val="0026176B"/>
    <w:rsid w:val="00261842"/>
    <w:rsid w:val="00261BB6"/>
    <w:rsid w:val="00261C73"/>
    <w:rsid w:val="00261F98"/>
    <w:rsid w:val="00262E77"/>
    <w:rsid w:val="00263B7F"/>
    <w:rsid w:val="00263F2B"/>
    <w:rsid w:val="00264444"/>
    <w:rsid w:val="002650EB"/>
    <w:rsid w:val="00265A56"/>
    <w:rsid w:val="00267213"/>
    <w:rsid w:val="002677F1"/>
    <w:rsid w:val="00267FAD"/>
    <w:rsid w:val="00270CF7"/>
    <w:rsid w:val="00272942"/>
    <w:rsid w:val="00273481"/>
    <w:rsid w:val="002738A8"/>
    <w:rsid w:val="0027476A"/>
    <w:rsid w:val="00274E2B"/>
    <w:rsid w:val="002759A6"/>
    <w:rsid w:val="00275F31"/>
    <w:rsid w:val="00276B84"/>
    <w:rsid w:val="002770BC"/>
    <w:rsid w:val="00277B3F"/>
    <w:rsid w:val="00280695"/>
    <w:rsid w:val="0028105E"/>
    <w:rsid w:val="00281641"/>
    <w:rsid w:val="00281DA0"/>
    <w:rsid w:val="00282D20"/>
    <w:rsid w:val="00283343"/>
    <w:rsid w:val="0028337F"/>
    <w:rsid w:val="002833EA"/>
    <w:rsid w:val="00283798"/>
    <w:rsid w:val="002838EF"/>
    <w:rsid w:val="00284DFF"/>
    <w:rsid w:val="00284FBD"/>
    <w:rsid w:val="00285463"/>
    <w:rsid w:val="002861A3"/>
    <w:rsid w:val="00287755"/>
    <w:rsid w:val="00291123"/>
    <w:rsid w:val="002911FA"/>
    <w:rsid w:val="00291505"/>
    <w:rsid w:val="0029152B"/>
    <w:rsid w:val="00291663"/>
    <w:rsid w:val="0029169C"/>
    <w:rsid w:val="00291F8C"/>
    <w:rsid w:val="00292375"/>
    <w:rsid w:val="00292BCF"/>
    <w:rsid w:val="00293A25"/>
    <w:rsid w:val="00293AD1"/>
    <w:rsid w:val="00293CC1"/>
    <w:rsid w:val="00293F55"/>
    <w:rsid w:val="00295F8C"/>
    <w:rsid w:val="002963FB"/>
    <w:rsid w:val="0029669F"/>
    <w:rsid w:val="00297387"/>
    <w:rsid w:val="002A01B1"/>
    <w:rsid w:val="002A07AF"/>
    <w:rsid w:val="002A0B12"/>
    <w:rsid w:val="002A1111"/>
    <w:rsid w:val="002A2A41"/>
    <w:rsid w:val="002A2DD4"/>
    <w:rsid w:val="002A2F68"/>
    <w:rsid w:val="002A4811"/>
    <w:rsid w:val="002A4CAF"/>
    <w:rsid w:val="002A50BA"/>
    <w:rsid w:val="002A5190"/>
    <w:rsid w:val="002A5C8A"/>
    <w:rsid w:val="002A5E56"/>
    <w:rsid w:val="002A6942"/>
    <w:rsid w:val="002A7685"/>
    <w:rsid w:val="002A7B6F"/>
    <w:rsid w:val="002B0AC5"/>
    <w:rsid w:val="002B2E74"/>
    <w:rsid w:val="002B358C"/>
    <w:rsid w:val="002B4664"/>
    <w:rsid w:val="002B587D"/>
    <w:rsid w:val="002B6146"/>
    <w:rsid w:val="002B69B8"/>
    <w:rsid w:val="002B6AB7"/>
    <w:rsid w:val="002B7100"/>
    <w:rsid w:val="002B7480"/>
    <w:rsid w:val="002B7C24"/>
    <w:rsid w:val="002C0249"/>
    <w:rsid w:val="002C0A37"/>
    <w:rsid w:val="002C0D97"/>
    <w:rsid w:val="002C1253"/>
    <w:rsid w:val="002C14EC"/>
    <w:rsid w:val="002C1C58"/>
    <w:rsid w:val="002C2194"/>
    <w:rsid w:val="002C3513"/>
    <w:rsid w:val="002C36CD"/>
    <w:rsid w:val="002C3B33"/>
    <w:rsid w:val="002C40A8"/>
    <w:rsid w:val="002C4195"/>
    <w:rsid w:val="002C43DB"/>
    <w:rsid w:val="002C4B1C"/>
    <w:rsid w:val="002C5177"/>
    <w:rsid w:val="002C55DC"/>
    <w:rsid w:val="002C7569"/>
    <w:rsid w:val="002C7A65"/>
    <w:rsid w:val="002D0632"/>
    <w:rsid w:val="002D0FAD"/>
    <w:rsid w:val="002D1080"/>
    <w:rsid w:val="002D1B6D"/>
    <w:rsid w:val="002D1C90"/>
    <w:rsid w:val="002D419A"/>
    <w:rsid w:val="002D4956"/>
    <w:rsid w:val="002D515E"/>
    <w:rsid w:val="002D68E2"/>
    <w:rsid w:val="002D6B25"/>
    <w:rsid w:val="002D7226"/>
    <w:rsid w:val="002D74B9"/>
    <w:rsid w:val="002E0662"/>
    <w:rsid w:val="002E0692"/>
    <w:rsid w:val="002E0DD5"/>
    <w:rsid w:val="002E209E"/>
    <w:rsid w:val="002E25B3"/>
    <w:rsid w:val="002E294C"/>
    <w:rsid w:val="002E33C8"/>
    <w:rsid w:val="002E387C"/>
    <w:rsid w:val="002E4D77"/>
    <w:rsid w:val="002E5401"/>
    <w:rsid w:val="002E6118"/>
    <w:rsid w:val="002E66BC"/>
    <w:rsid w:val="002E7866"/>
    <w:rsid w:val="002F02FC"/>
    <w:rsid w:val="002F0579"/>
    <w:rsid w:val="002F09AF"/>
    <w:rsid w:val="002F0B66"/>
    <w:rsid w:val="002F3E34"/>
    <w:rsid w:val="002F3EE4"/>
    <w:rsid w:val="002F41A0"/>
    <w:rsid w:val="002F4773"/>
    <w:rsid w:val="002F4DF2"/>
    <w:rsid w:val="002F4FF0"/>
    <w:rsid w:val="002F512F"/>
    <w:rsid w:val="002F541B"/>
    <w:rsid w:val="002F58F1"/>
    <w:rsid w:val="002F6048"/>
    <w:rsid w:val="002F635D"/>
    <w:rsid w:val="002F6A55"/>
    <w:rsid w:val="002F793F"/>
    <w:rsid w:val="002F8118"/>
    <w:rsid w:val="00300946"/>
    <w:rsid w:val="00301200"/>
    <w:rsid w:val="00301B16"/>
    <w:rsid w:val="00302D53"/>
    <w:rsid w:val="0030350C"/>
    <w:rsid w:val="003037BB"/>
    <w:rsid w:val="00303BC6"/>
    <w:rsid w:val="003057FE"/>
    <w:rsid w:val="0030581F"/>
    <w:rsid w:val="00305BE6"/>
    <w:rsid w:val="00306834"/>
    <w:rsid w:val="00306A73"/>
    <w:rsid w:val="00307A05"/>
    <w:rsid w:val="00307A87"/>
    <w:rsid w:val="003107B5"/>
    <w:rsid w:val="0031317A"/>
    <w:rsid w:val="00313234"/>
    <w:rsid w:val="00314BDF"/>
    <w:rsid w:val="00315835"/>
    <w:rsid w:val="003158C7"/>
    <w:rsid w:val="00315FDF"/>
    <w:rsid w:val="00316008"/>
    <w:rsid w:val="00316D83"/>
    <w:rsid w:val="003172A1"/>
    <w:rsid w:val="003179C7"/>
    <w:rsid w:val="00317C79"/>
    <w:rsid w:val="00320496"/>
    <w:rsid w:val="00321642"/>
    <w:rsid w:val="00321869"/>
    <w:rsid w:val="00321D3F"/>
    <w:rsid w:val="00321E9E"/>
    <w:rsid w:val="00323436"/>
    <w:rsid w:val="00323EF3"/>
    <w:rsid w:val="003245FB"/>
    <w:rsid w:val="003247CB"/>
    <w:rsid w:val="00324B10"/>
    <w:rsid w:val="00324F34"/>
    <w:rsid w:val="003253FB"/>
    <w:rsid w:val="0032649D"/>
    <w:rsid w:val="003266A5"/>
    <w:rsid w:val="00326860"/>
    <w:rsid w:val="0032688F"/>
    <w:rsid w:val="00326AA7"/>
    <w:rsid w:val="00327478"/>
    <w:rsid w:val="00327C72"/>
    <w:rsid w:val="00330AAD"/>
    <w:rsid w:val="003314AB"/>
    <w:rsid w:val="003322D4"/>
    <w:rsid w:val="0033278C"/>
    <w:rsid w:val="00332D60"/>
    <w:rsid w:val="00333DD1"/>
    <w:rsid w:val="0033434E"/>
    <w:rsid w:val="00334476"/>
    <w:rsid w:val="003349AF"/>
    <w:rsid w:val="003352D6"/>
    <w:rsid w:val="0033591F"/>
    <w:rsid w:val="00335E34"/>
    <w:rsid w:val="00336375"/>
    <w:rsid w:val="0033671E"/>
    <w:rsid w:val="00340368"/>
    <w:rsid w:val="00342684"/>
    <w:rsid w:val="00342BC2"/>
    <w:rsid w:val="00343E09"/>
    <w:rsid w:val="003464FD"/>
    <w:rsid w:val="003465D1"/>
    <w:rsid w:val="00347054"/>
    <w:rsid w:val="00347173"/>
    <w:rsid w:val="003475A0"/>
    <w:rsid w:val="00347E15"/>
    <w:rsid w:val="003507CF"/>
    <w:rsid w:val="0035138A"/>
    <w:rsid w:val="00352904"/>
    <w:rsid w:val="00353D2D"/>
    <w:rsid w:val="0035462B"/>
    <w:rsid w:val="00354ACA"/>
    <w:rsid w:val="003564B7"/>
    <w:rsid w:val="00356B4B"/>
    <w:rsid w:val="00360734"/>
    <w:rsid w:val="00360B09"/>
    <w:rsid w:val="003615F6"/>
    <w:rsid w:val="00361803"/>
    <w:rsid w:val="00361F6C"/>
    <w:rsid w:val="0036208D"/>
    <w:rsid w:val="00363425"/>
    <w:rsid w:val="00363953"/>
    <w:rsid w:val="00364873"/>
    <w:rsid w:val="00365E1E"/>
    <w:rsid w:val="00366AE0"/>
    <w:rsid w:val="00367E7E"/>
    <w:rsid w:val="00370D9F"/>
    <w:rsid w:val="00371367"/>
    <w:rsid w:val="003714BD"/>
    <w:rsid w:val="00371547"/>
    <w:rsid w:val="00371817"/>
    <w:rsid w:val="00371AD1"/>
    <w:rsid w:val="0037284F"/>
    <w:rsid w:val="00372FC3"/>
    <w:rsid w:val="003736C0"/>
    <w:rsid w:val="00373C5D"/>
    <w:rsid w:val="00375684"/>
    <w:rsid w:val="00375A4B"/>
    <w:rsid w:val="00376097"/>
    <w:rsid w:val="00377194"/>
    <w:rsid w:val="003773F9"/>
    <w:rsid w:val="003778DB"/>
    <w:rsid w:val="003807A0"/>
    <w:rsid w:val="00381260"/>
    <w:rsid w:val="00382340"/>
    <w:rsid w:val="0038289B"/>
    <w:rsid w:val="00382A29"/>
    <w:rsid w:val="00382F45"/>
    <w:rsid w:val="0038388A"/>
    <w:rsid w:val="00383916"/>
    <w:rsid w:val="00385402"/>
    <w:rsid w:val="0038559D"/>
    <w:rsid w:val="00385A79"/>
    <w:rsid w:val="00386770"/>
    <w:rsid w:val="00387414"/>
    <w:rsid w:val="00387987"/>
    <w:rsid w:val="00387BCD"/>
    <w:rsid w:val="00387C75"/>
    <w:rsid w:val="00387EED"/>
    <w:rsid w:val="00390802"/>
    <w:rsid w:val="00391904"/>
    <w:rsid w:val="00391BA1"/>
    <w:rsid w:val="0039259B"/>
    <w:rsid w:val="00392DBA"/>
    <w:rsid w:val="00393F51"/>
    <w:rsid w:val="003942D2"/>
    <w:rsid w:val="003951B3"/>
    <w:rsid w:val="00395B8E"/>
    <w:rsid w:val="00395BA9"/>
    <w:rsid w:val="00395C1B"/>
    <w:rsid w:val="003969CE"/>
    <w:rsid w:val="003A05B7"/>
    <w:rsid w:val="003A0859"/>
    <w:rsid w:val="003A0B37"/>
    <w:rsid w:val="003A2172"/>
    <w:rsid w:val="003A30D9"/>
    <w:rsid w:val="003A3842"/>
    <w:rsid w:val="003A3A9E"/>
    <w:rsid w:val="003A3F67"/>
    <w:rsid w:val="003A4A57"/>
    <w:rsid w:val="003A4DD8"/>
    <w:rsid w:val="003A4EFC"/>
    <w:rsid w:val="003A516E"/>
    <w:rsid w:val="003B0466"/>
    <w:rsid w:val="003B07AB"/>
    <w:rsid w:val="003B0F8D"/>
    <w:rsid w:val="003B1A35"/>
    <w:rsid w:val="003B1DBD"/>
    <w:rsid w:val="003B1F8D"/>
    <w:rsid w:val="003B2277"/>
    <w:rsid w:val="003B25E1"/>
    <w:rsid w:val="003B28C4"/>
    <w:rsid w:val="003B2EDE"/>
    <w:rsid w:val="003B66BE"/>
    <w:rsid w:val="003C0907"/>
    <w:rsid w:val="003C0AB1"/>
    <w:rsid w:val="003C0C48"/>
    <w:rsid w:val="003C1568"/>
    <w:rsid w:val="003C1EBA"/>
    <w:rsid w:val="003C2052"/>
    <w:rsid w:val="003C3078"/>
    <w:rsid w:val="003C30BC"/>
    <w:rsid w:val="003C4926"/>
    <w:rsid w:val="003C4B1A"/>
    <w:rsid w:val="003C55A1"/>
    <w:rsid w:val="003C6716"/>
    <w:rsid w:val="003C76BA"/>
    <w:rsid w:val="003D000E"/>
    <w:rsid w:val="003D06E2"/>
    <w:rsid w:val="003D0BCF"/>
    <w:rsid w:val="003D0E32"/>
    <w:rsid w:val="003D0F2A"/>
    <w:rsid w:val="003D2958"/>
    <w:rsid w:val="003D3397"/>
    <w:rsid w:val="003D4638"/>
    <w:rsid w:val="003D4E4F"/>
    <w:rsid w:val="003D53B2"/>
    <w:rsid w:val="003D5BBF"/>
    <w:rsid w:val="003D7592"/>
    <w:rsid w:val="003D7DB4"/>
    <w:rsid w:val="003D7E2F"/>
    <w:rsid w:val="003D7F45"/>
    <w:rsid w:val="003E0B52"/>
    <w:rsid w:val="003E0B6B"/>
    <w:rsid w:val="003E1528"/>
    <w:rsid w:val="003E1B14"/>
    <w:rsid w:val="003E1B5F"/>
    <w:rsid w:val="003E226F"/>
    <w:rsid w:val="003E2D5F"/>
    <w:rsid w:val="003E31ED"/>
    <w:rsid w:val="003E358A"/>
    <w:rsid w:val="003E3CCA"/>
    <w:rsid w:val="003E3DED"/>
    <w:rsid w:val="003E5930"/>
    <w:rsid w:val="003E596B"/>
    <w:rsid w:val="003E5C8A"/>
    <w:rsid w:val="003E5EF0"/>
    <w:rsid w:val="003E63B8"/>
    <w:rsid w:val="003E77EA"/>
    <w:rsid w:val="003F04C3"/>
    <w:rsid w:val="003F073B"/>
    <w:rsid w:val="003F0FF9"/>
    <w:rsid w:val="003F216B"/>
    <w:rsid w:val="003F2410"/>
    <w:rsid w:val="003F29EC"/>
    <w:rsid w:val="003F2DAD"/>
    <w:rsid w:val="003F31BF"/>
    <w:rsid w:val="003F321D"/>
    <w:rsid w:val="003F38EA"/>
    <w:rsid w:val="003F4263"/>
    <w:rsid w:val="003F4CCA"/>
    <w:rsid w:val="003F4EA4"/>
    <w:rsid w:val="003F539D"/>
    <w:rsid w:val="003F582C"/>
    <w:rsid w:val="003F588E"/>
    <w:rsid w:val="003F66A0"/>
    <w:rsid w:val="003F6978"/>
    <w:rsid w:val="00402C83"/>
    <w:rsid w:val="00402FC6"/>
    <w:rsid w:val="00403709"/>
    <w:rsid w:val="004044DC"/>
    <w:rsid w:val="00405250"/>
    <w:rsid w:val="00405501"/>
    <w:rsid w:val="00405F72"/>
    <w:rsid w:val="00406808"/>
    <w:rsid w:val="00406E3E"/>
    <w:rsid w:val="004077C6"/>
    <w:rsid w:val="00407979"/>
    <w:rsid w:val="00410B5B"/>
    <w:rsid w:val="00411F8E"/>
    <w:rsid w:val="00412758"/>
    <w:rsid w:val="00412CF2"/>
    <w:rsid w:val="004137E1"/>
    <w:rsid w:val="00413850"/>
    <w:rsid w:val="00414520"/>
    <w:rsid w:val="00414C07"/>
    <w:rsid w:val="004167FF"/>
    <w:rsid w:val="00420686"/>
    <w:rsid w:val="00420FA9"/>
    <w:rsid w:val="00422035"/>
    <w:rsid w:val="00423887"/>
    <w:rsid w:val="00423FAC"/>
    <w:rsid w:val="00424D20"/>
    <w:rsid w:val="00425123"/>
    <w:rsid w:val="00425325"/>
    <w:rsid w:val="00426D1C"/>
    <w:rsid w:val="00426E82"/>
    <w:rsid w:val="00427ACC"/>
    <w:rsid w:val="00427B53"/>
    <w:rsid w:val="004300CB"/>
    <w:rsid w:val="00430499"/>
    <w:rsid w:val="00431407"/>
    <w:rsid w:val="00431716"/>
    <w:rsid w:val="0043229D"/>
    <w:rsid w:val="004339BD"/>
    <w:rsid w:val="00434220"/>
    <w:rsid w:val="0043553A"/>
    <w:rsid w:val="00435A29"/>
    <w:rsid w:val="00435F71"/>
    <w:rsid w:val="004369CC"/>
    <w:rsid w:val="00437327"/>
    <w:rsid w:val="004376F8"/>
    <w:rsid w:val="004407C5"/>
    <w:rsid w:val="00440AA6"/>
    <w:rsid w:val="004414C5"/>
    <w:rsid w:val="00442173"/>
    <w:rsid w:val="0044332C"/>
    <w:rsid w:val="00443D68"/>
    <w:rsid w:val="00443ED9"/>
    <w:rsid w:val="00444CCE"/>
    <w:rsid w:val="004456C0"/>
    <w:rsid w:val="00445A47"/>
    <w:rsid w:val="00445F62"/>
    <w:rsid w:val="00446019"/>
    <w:rsid w:val="004472DC"/>
    <w:rsid w:val="0044746F"/>
    <w:rsid w:val="00447802"/>
    <w:rsid w:val="00450036"/>
    <w:rsid w:val="00451AE3"/>
    <w:rsid w:val="004529FD"/>
    <w:rsid w:val="00452A68"/>
    <w:rsid w:val="004533BB"/>
    <w:rsid w:val="00454356"/>
    <w:rsid w:val="00455331"/>
    <w:rsid w:val="00455671"/>
    <w:rsid w:val="00455BC5"/>
    <w:rsid w:val="00457D1E"/>
    <w:rsid w:val="00457D61"/>
    <w:rsid w:val="004602C0"/>
    <w:rsid w:val="00460E46"/>
    <w:rsid w:val="00460F2E"/>
    <w:rsid w:val="004610A7"/>
    <w:rsid w:val="00461E86"/>
    <w:rsid w:val="0046231A"/>
    <w:rsid w:val="00462673"/>
    <w:rsid w:val="00463962"/>
    <w:rsid w:val="00463ACC"/>
    <w:rsid w:val="00463F6C"/>
    <w:rsid w:val="00464273"/>
    <w:rsid w:val="00464D73"/>
    <w:rsid w:val="0046583B"/>
    <w:rsid w:val="00465A08"/>
    <w:rsid w:val="00466E25"/>
    <w:rsid w:val="004700FF"/>
    <w:rsid w:val="004704D9"/>
    <w:rsid w:val="004711FD"/>
    <w:rsid w:val="00471854"/>
    <w:rsid w:val="004729A2"/>
    <w:rsid w:val="0047333E"/>
    <w:rsid w:val="00474789"/>
    <w:rsid w:val="0047527A"/>
    <w:rsid w:val="00475842"/>
    <w:rsid w:val="0047597F"/>
    <w:rsid w:val="0048075C"/>
    <w:rsid w:val="00480EAD"/>
    <w:rsid w:val="0048246B"/>
    <w:rsid w:val="0048253E"/>
    <w:rsid w:val="0048598A"/>
    <w:rsid w:val="004861C4"/>
    <w:rsid w:val="00486718"/>
    <w:rsid w:val="00486A22"/>
    <w:rsid w:val="0048708A"/>
    <w:rsid w:val="00487176"/>
    <w:rsid w:val="004928F4"/>
    <w:rsid w:val="00492BAF"/>
    <w:rsid w:val="004931F7"/>
    <w:rsid w:val="00493A41"/>
    <w:rsid w:val="00493ED8"/>
    <w:rsid w:val="0049459F"/>
    <w:rsid w:val="0049514D"/>
    <w:rsid w:val="00495667"/>
    <w:rsid w:val="004956D3"/>
    <w:rsid w:val="00495CAE"/>
    <w:rsid w:val="00496400"/>
    <w:rsid w:val="0049669A"/>
    <w:rsid w:val="00497BC9"/>
    <w:rsid w:val="004A2F1B"/>
    <w:rsid w:val="004A4888"/>
    <w:rsid w:val="004A51D6"/>
    <w:rsid w:val="004A7657"/>
    <w:rsid w:val="004A7F8E"/>
    <w:rsid w:val="004B09A8"/>
    <w:rsid w:val="004B1118"/>
    <w:rsid w:val="004B2A1F"/>
    <w:rsid w:val="004B306E"/>
    <w:rsid w:val="004B34D8"/>
    <w:rsid w:val="004B74C5"/>
    <w:rsid w:val="004B77F1"/>
    <w:rsid w:val="004B7ABC"/>
    <w:rsid w:val="004B7C90"/>
    <w:rsid w:val="004C0882"/>
    <w:rsid w:val="004C1984"/>
    <w:rsid w:val="004C2DDB"/>
    <w:rsid w:val="004C42B0"/>
    <w:rsid w:val="004C4637"/>
    <w:rsid w:val="004C4F5C"/>
    <w:rsid w:val="004C5C3C"/>
    <w:rsid w:val="004C6EC3"/>
    <w:rsid w:val="004C7566"/>
    <w:rsid w:val="004C7CD3"/>
    <w:rsid w:val="004D02D8"/>
    <w:rsid w:val="004D0FF0"/>
    <w:rsid w:val="004D112F"/>
    <w:rsid w:val="004D1573"/>
    <w:rsid w:val="004D1B50"/>
    <w:rsid w:val="004D1DA2"/>
    <w:rsid w:val="004D2796"/>
    <w:rsid w:val="004D2BAB"/>
    <w:rsid w:val="004D356C"/>
    <w:rsid w:val="004D356E"/>
    <w:rsid w:val="004D4389"/>
    <w:rsid w:val="004D4826"/>
    <w:rsid w:val="004D4DC2"/>
    <w:rsid w:val="004D5102"/>
    <w:rsid w:val="004D5310"/>
    <w:rsid w:val="004D541B"/>
    <w:rsid w:val="004D5641"/>
    <w:rsid w:val="004D5C9C"/>
    <w:rsid w:val="004D6396"/>
    <w:rsid w:val="004D7A9D"/>
    <w:rsid w:val="004E011D"/>
    <w:rsid w:val="004E08E0"/>
    <w:rsid w:val="004E0AC8"/>
    <w:rsid w:val="004E18E0"/>
    <w:rsid w:val="004E24CC"/>
    <w:rsid w:val="004E32FE"/>
    <w:rsid w:val="004E464F"/>
    <w:rsid w:val="004E4CD4"/>
    <w:rsid w:val="004E4EEC"/>
    <w:rsid w:val="004E5641"/>
    <w:rsid w:val="004E5F8B"/>
    <w:rsid w:val="004E6806"/>
    <w:rsid w:val="004E6C26"/>
    <w:rsid w:val="004E7162"/>
    <w:rsid w:val="004E7939"/>
    <w:rsid w:val="004E79A2"/>
    <w:rsid w:val="004F0849"/>
    <w:rsid w:val="004F0D6C"/>
    <w:rsid w:val="004F121A"/>
    <w:rsid w:val="004F13EA"/>
    <w:rsid w:val="004F2A5E"/>
    <w:rsid w:val="004F2DCA"/>
    <w:rsid w:val="004F3CA7"/>
    <w:rsid w:val="004F4B5C"/>
    <w:rsid w:val="004F503A"/>
    <w:rsid w:val="004F543B"/>
    <w:rsid w:val="004F549C"/>
    <w:rsid w:val="004F5EF6"/>
    <w:rsid w:val="004F61BE"/>
    <w:rsid w:val="004F61FE"/>
    <w:rsid w:val="00500619"/>
    <w:rsid w:val="00500B05"/>
    <w:rsid w:val="005012D6"/>
    <w:rsid w:val="00501408"/>
    <w:rsid w:val="00501461"/>
    <w:rsid w:val="005015AA"/>
    <w:rsid w:val="005019C2"/>
    <w:rsid w:val="005029E6"/>
    <w:rsid w:val="0050317B"/>
    <w:rsid w:val="00503DC8"/>
    <w:rsid w:val="00505950"/>
    <w:rsid w:val="00506390"/>
    <w:rsid w:val="00507A50"/>
    <w:rsid w:val="0051038E"/>
    <w:rsid w:val="00510F84"/>
    <w:rsid w:val="00511499"/>
    <w:rsid w:val="005117F1"/>
    <w:rsid w:val="00511E7D"/>
    <w:rsid w:val="00511F8F"/>
    <w:rsid w:val="0051212F"/>
    <w:rsid w:val="00513057"/>
    <w:rsid w:val="005137E6"/>
    <w:rsid w:val="005138FF"/>
    <w:rsid w:val="00515AA9"/>
    <w:rsid w:val="005162D0"/>
    <w:rsid w:val="005166FC"/>
    <w:rsid w:val="00516C5B"/>
    <w:rsid w:val="0051736D"/>
    <w:rsid w:val="005173D4"/>
    <w:rsid w:val="0051773E"/>
    <w:rsid w:val="00517A20"/>
    <w:rsid w:val="0052028F"/>
    <w:rsid w:val="005204BC"/>
    <w:rsid w:val="00520D1D"/>
    <w:rsid w:val="00520FAC"/>
    <w:rsid w:val="00521506"/>
    <w:rsid w:val="005238C3"/>
    <w:rsid w:val="005250E1"/>
    <w:rsid w:val="005258B3"/>
    <w:rsid w:val="00525AD0"/>
    <w:rsid w:val="0052664C"/>
    <w:rsid w:val="00526C84"/>
    <w:rsid w:val="00526E45"/>
    <w:rsid w:val="00526F32"/>
    <w:rsid w:val="00527FFB"/>
    <w:rsid w:val="00530AFF"/>
    <w:rsid w:val="005325CB"/>
    <w:rsid w:val="00533555"/>
    <w:rsid w:val="0053405B"/>
    <w:rsid w:val="00534894"/>
    <w:rsid w:val="00534BE7"/>
    <w:rsid w:val="0053568C"/>
    <w:rsid w:val="00536073"/>
    <w:rsid w:val="00540576"/>
    <w:rsid w:val="00540737"/>
    <w:rsid w:val="00541474"/>
    <w:rsid w:val="00541D93"/>
    <w:rsid w:val="00543C04"/>
    <w:rsid w:val="0054563B"/>
    <w:rsid w:val="005459C5"/>
    <w:rsid w:val="0054603D"/>
    <w:rsid w:val="00546715"/>
    <w:rsid w:val="00546FBC"/>
    <w:rsid w:val="005502CE"/>
    <w:rsid w:val="00550664"/>
    <w:rsid w:val="00553013"/>
    <w:rsid w:val="005531F0"/>
    <w:rsid w:val="00554437"/>
    <w:rsid w:val="005549F7"/>
    <w:rsid w:val="00554A22"/>
    <w:rsid w:val="00556AB0"/>
    <w:rsid w:val="005577A2"/>
    <w:rsid w:val="0056056A"/>
    <w:rsid w:val="00560F4B"/>
    <w:rsid w:val="00561318"/>
    <w:rsid w:val="005614DD"/>
    <w:rsid w:val="0056162A"/>
    <w:rsid w:val="00561F62"/>
    <w:rsid w:val="00562F08"/>
    <w:rsid w:val="0056333D"/>
    <w:rsid w:val="00563763"/>
    <w:rsid w:val="00563BED"/>
    <w:rsid w:val="00564573"/>
    <w:rsid w:val="0056497E"/>
    <w:rsid w:val="0056519F"/>
    <w:rsid w:val="00565393"/>
    <w:rsid w:val="005660F8"/>
    <w:rsid w:val="005661A8"/>
    <w:rsid w:val="0056646C"/>
    <w:rsid w:val="00566889"/>
    <w:rsid w:val="00566D89"/>
    <w:rsid w:val="005673AE"/>
    <w:rsid w:val="00567468"/>
    <w:rsid w:val="00567AFE"/>
    <w:rsid w:val="0057028C"/>
    <w:rsid w:val="005702A3"/>
    <w:rsid w:val="0057082F"/>
    <w:rsid w:val="00570E9E"/>
    <w:rsid w:val="005716BC"/>
    <w:rsid w:val="00571B01"/>
    <w:rsid w:val="00571E40"/>
    <w:rsid w:val="00572148"/>
    <w:rsid w:val="0057260E"/>
    <w:rsid w:val="005733E5"/>
    <w:rsid w:val="00573A55"/>
    <w:rsid w:val="005745F1"/>
    <w:rsid w:val="00576AED"/>
    <w:rsid w:val="0057710D"/>
    <w:rsid w:val="005777C3"/>
    <w:rsid w:val="005813A3"/>
    <w:rsid w:val="00581EEB"/>
    <w:rsid w:val="00583BE8"/>
    <w:rsid w:val="00584367"/>
    <w:rsid w:val="005847A3"/>
    <w:rsid w:val="00584821"/>
    <w:rsid w:val="00584BC9"/>
    <w:rsid w:val="00585E26"/>
    <w:rsid w:val="00585E43"/>
    <w:rsid w:val="00586418"/>
    <w:rsid w:val="00586F9B"/>
    <w:rsid w:val="0058717B"/>
    <w:rsid w:val="005876A3"/>
    <w:rsid w:val="005876C4"/>
    <w:rsid w:val="005904D3"/>
    <w:rsid w:val="00590E97"/>
    <w:rsid w:val="00591DA0"/>
    <w:rsid w:val="005923EF"/>
    <w:rsid w:val="00592EC1"/>
    <w:rsid w:val="005945EF"/>
    <w:rsid w:val="00594997"/>
    <w:rsid w:val="00594F81"/>
    <w:rsid w:val="005959FD"/>
    <w:rsid w:val="00595AA1"/>
    <w:rsid w:val="00595D09"/>
    <w:rsid w:val="005968CF"/>
    <w:rsid w:val="005969A8"/>
    <w:rsid w:val="005A04D6"/>
    <w:rsid w:val="005A04F0"/>
    <w:rsid w:val="005A0B7A"/>
    <w:rsid w:val="005A0C22"/>
    <w:rsid w:val="005A1B09"/>
    <w:rsid w:val="005A2B88"/>
    <w:rsid w:val="005A2E82"/>
    <w:rsid w:val="005A3C13"/>
    <w:rsid w:val="005A3C21"/>
    <w:rsid w:val="005A3E7D"/>
    <w:rsid w:val="005A4184"/>
    <w:rsid w:val="005A4A76"/>
    <w:rsid w:val="005A52B7"/>
    <w:rsid w:val="005A561F"/>
    <w:rsid w:val="005A65EB"/>
    <w:rsid w:val="005A67BA"/>
    <w:rsid w:val="005A6A44"/>
    <w:rsid w:val="005A6BF9"/>
    <w:rsid w:val="005B00C0"/>
    <w:rsid w:val="005B046E"/>
    <w:rsid w:val="005B0484"/>
    <w:rsid w:val="005B089B"/>
    <w:rsid w:val="005B0B66"/>
    <w:rsid w:val="005B1439"/>
    <w:rsid w:val="005B2010"/>
    <w:rsid w:val="005B2993"/>
    <w:rsid w:val="005B337A"/>
    <w:rsid w:val="005B3877"/>
    <w:rsid w:val="005B3AE0"/>
    <w:rsid w:val="005B5999"/>
    <w:rsid w:val="005B7645"/>
    <w:rsid w:val="005B7CB8"/>
    <w:rsid w:val="005C00A5"/>
    <w:rsid w:val="005C0620"/>
    <w:rsid w:val="005C0D7C"/>
    <w:rsid w:val="005C121B"/>
    <w:rsid w:val="005C1A82"/>
    <w:rsid w:val="005C3460"/>
    <w:rsid w:val="005C39A7"/>
    <w:rsid w:val="005C4223"/>
    <w:rsid w:val="005C519D"/>
    <w:rsid w:val="005C58DF"/>
    <w:rsid w:val="005C5AB5"/>
    <w:rsid w:val="005C6C7F"/>
    <w:rsid w:val="005C7C6B"/>
    <w:rsid w:val="005D0032"/>
    <w:rsid w:val="005D01EA"/>
    <w:rsid w:val="005D0B5B"/>
    <w:rsid w:val="005D0B84"/>
    <w:rsid w:val="005D1659"/>
    <w:rsid w:val="005D16C5"/>
    <w:rsid w:val="005D2D71"/>
    <w:rsid w:val="005D4B70"/>
    <w:rsid w:val="005D561D"/>
    <w:rsid w:val="005D59E3"/>
    <w:rsid w:val="005D5F64"/>
    <w:rsid w:val="005D6454"/>
    <w:rsid w:val="005D6B8E"/>
    <w:rsid w:val="005D7A6B"/>
    <w:rsid w:val="005E0619"/>
    <w:rsid w:val="005E145C"/>
    <w:rsid w:val="005E1F4B"/>
    <w:rsid w:val="005E3C5A"/>
    <w:rsid w:val="005E4AB1"/>
    <w:rsid w:val="005E57F7"/>
    <w:rsid w:val="005E5C44"/>
    <w:rsid w:val="005E5E3C"/>
    <w:rsid w:val="005E6CCE"/>
    <w:rsid w:val="005E7393"/>
    <w:rsid w:val="005E7E53"/>
    <w:rsid w:val="005F01AF"/>
    <w:rsid w:val="005F07D3"/>
    <w:rsid w:val="005F0AFD"/>
    <w:rsid w:val="005F0EAF"/>
    <w:rsid w:val="005F1718"/>
    <w:rsid w:val="005F1D1E"/>
    <w:rsid w:val="005F31B4"/>
    <w:rsid w:val="005F45AF"/>
    <w:rsid w:val="005F5106"/>
    <w:rsid w:val="005F708D"/>
    <w:rsid w:val="00600A4C"/>
    <w:rsid w:val="00600C18"/>
    <w:rsid w:val="00601029"/>
    <w:rsid w:val="006010A0"/>
    <w:rsid w:val="00601CED"/>
    <w:rsid w:val="006021E4"/>
    <w:rsid w:val="00602C46"/>
    <w:rsid w:val="00602E4E"/>
    <w:rsid w:val="0060338E"/>
    <w:rsid w:val="0060352B"/>
    <w:rsid w:val="0060507D"/>
    <w:rsid w:val="006062E3"/>
    <w:rsid w:val="006067AC"/>
    <w:rsid w:val="00606D4F"/>
    <w:rsid w:val="00607CD5"/>
    <w:rsid w:val="00610031"/>
    <w:rsid w:val="00610574"/>
    <w:rsid w:val="00613436"/>
    <w:rsid w:val="00613DBD"/>
    <w:rsid w:val="00614262"/>
    <w:rsid w:val="0061551F"/>
    <w:rsid w:val="006160CC"/>
    <w:rsid w:val="006174BE"/>
    <w:rsid w:val="006177B3"/>
    <w:rsid w:val="006210AA"/>
    <w:rsid w:val="00621A5B"/>
    <w:rsid w:val="00621BFD"/>
    <w:rsid w:val="006232C3"/>
    <w:rsid w:val="0062371E"/>
    <w:rsid w:val="0062384F"/>
    <w:rsid w:val="00624047"/>
    <w:rsid w:val="00624FB8"/>
    <w:rsid w:val="00625B85"/>
    <w:rsid w:val="00626CA5"/>
    <w:rsid w:val="006270C0"/>
    <w:rsid w:val="006274CD"/>
    <w:rsid w:val="00627F0D"/>
    <w:rsid w:val="00631EF3"/>
    <w:rsid w:val="00631F19"/>
    <w:rsid w:val="0063271E"/>
    <w:rsid w:val="00632C96"/>
    <w:rsid w:val="00632D4E"/>
    <w:rsid w:val="006350DC"/>
    <w:rsid w:val="00635430"/>
    <w:rsid w:val="00635D31"/>
    <w:rsid w:val="0063670A"/>
    <w:rsid w:val="00636942"/>
    <w:rsid w:val="00640736"/>
    <w:rsid w:val="00640B5A"/>
    <w:rsid w:val="00640EF3"/>
    <w:rsid w:val="00640F69"/>
    <w:rsid w:val="0064138C"/>
    <w:rsid w:val="006419BE"/>
    <w:rsid w:val="0064229D"/>
    <w:rsid w:val="006426D6"/>
    <w:rsid w:val="00642D70"/>
    <w:rsid w:val="00642D7D"/>
    <w:rsid w:val="00643111"/>
    <w:rsid w:val="00644401"/>
    <w:rsid w:val="00645993"/>
    <w:rsid w:val="006467AE"/>
    <w:rsid w:val="00646F2B"/>
    <w:rsid w:val="00646F58"/>
    <w:rsid w:val="0064752F"/>
    <w:rsid w:val="0064765A"/>
    <w:rsid w:val="006500A8"/>
    <w:rsid w:val="00651608"/>
    <w:rsid w:val="00653FEB"/>
    <w:rsid w:val="00654889"/>
    <w:rsid w:val="00654CBD"/>
    <w:rsid w:val="00655999"/>
    <w:rsid w:val="006566B4"/>
    <w:rsid w:val="00656703"/>
    <w:rsid w:val="00656740"/>
    <w:rsid w:val="00657F22"/>
    <w:rsid w:val="0066092C"/>
    <w:rsid w:val="0066199F"/>
    <w:rsid w:val="006622F8"/>
    <w:rsid w:val="006626BF"/>
    <w:rsid w:val="006630B9"/>
    <w:rsid w:val="00663255"/>
    <w:rsid w:val="00663733"/>
    <w:rsid w:val="00663B01"/>
    <w:rsid w:val="00663D36"/>
    <w:rsid w:val="00663DD7"/>
    <w:rsid w:val="006648B0"/>
    <w:rsid w:val="00665879"/>
    <w:rsid w:val="006658B0"/>
    <w:rsid w:val="00665C8D"/>
    <w:rsid w:val="00665F62"/>
    <w:rsid w:val="0066686A"/>
    <w:rsid w:val="00667AA1"/>
    <w:rsid w:val="00667E6F"/>
    <w:rsid w:val="00670D15"/>
    <w:rsid w:val="00671157"/>
    <w:rsid w:val="0067160B"/>
    <w:rsid w:val="00673265"/>
    <w:rsid w:val="00674234"/>
    <w:rsid w:val="00674BD8"/>
    <w:rsid w:val="006758C2"/>
    <w:rsid w:val="00675B55"/>
    <w:rsid w:val="00675F85"/>
    <w:rsid w:val="00676100"/>
    <w:rsid w:val="00676520"/>
    <w:rsid w:val="00676E5E"/>
    <w:rsid w:val="00677461"/>
    <w:rsid w:val="00680076"/>
    <w:rsid w:val="0068064F"/>
    <w:rsid w:val="00681644"/>
    <w:rsid w:val="00682EF8"/>
    <w:rsid w:val="00683A00"/>
    <w:rsid w:val="00683BBA"/>
    <w:rsid w:val="00684B16"/>
    <w:rsid w:val="00685F9E"/>
    <w:rsid w:val="00687BCC"/>
    <w:rsid w:val="00687CD7"/>
    <w:rsid w:val="00687F65"/>
    <w:rsid w:val="00690E93"/>
    <w:rsid w:val="006916B7"/>
    <w:rsid w:val="00692FA3"/>
    <w:rsid w:val="00693490"/>
    <w:rsid w:val="00693666"/>
    <w:rsid w:val="006943B7"/>
    <w:rsid w:val="0069471F"/>
    <w:rsid w:val="00694A40"/>
    <w:rsid w:val="00694E26"/>
    <w:rsid w:val="006958BA"/>
    <w:rsid w:val="0069618C"/>
    <w:rsid w:val="006966D3"/>
    <w:rsid w:val="00696C93"/>
    <w:rsid w:val="006978D4"/>
    <w:rsid w:val="00697B78"/>
    <w:rsid w:val="00697C64"/>
    <w:rsid w:val="006A0239"/>
    <w:rsid w:val="006A1EA9"/>
    <w:rsid w:val="006A2575"/>
    <w:rsid w:val="006A3421"/>
    <w:rsid w:val="006A3D42"/>
    <w:rsid w:val="006A3E58"/>
    <w:rsid w:val="006A5111"/>
    <w:rsid w:val="006A59D3"/>
    <w:rsid w:val="006A5C02"/>
    <w:rsid w:val="006A5FEC"/>
    <w:rsid w:val="006A6490"/>
    <w:rsid w:val="006A64E9"/>
    <w:rsid w:val="006A6DB9"/>
    <w:rsid w:val="006A6F3B"/>
    <w:rsid w:val="006A73CF"/>
    <w:rsid w:val="006A794F"/>
    <w:rsid w:val="006B22B9"/>
    <w:rsid w:val="006B2F52"/>
    <w:rsid w:val="006B30E9"/>
    <w:rsid w:val="006B3B8E"/>
    <w:rsid w:val="006B3F79"/>
    <w:rsid w:val="006B41B0"/>
    <w:rsid w:val="006B41D1"/>
    <w:rsid w:val="006B5C18"/>
    <w:rsid w:val="006C0E50"/>
    <w:rsid w:val="006C0EA1"/>
    <w:rsid w:val="006C1D3A"/>
    <w:rsid w:val="006C284D"/>
    <w:rsid w:val="006C3209"/>
    <w:rsid w:val="006C40B2"/>
    <w:rsid w:val="006C4FCB"/>
    <w:rsid w:val="006C4FD4"/>
    <w:rsid w:val="006C5014"/>
    <w:rsid w:val="006C54B8"/>
    <w:rsid w:val="006C5D5F"/>
    <w:rsid w:val="006C6D53"/>
    <w:rsid w:val="006C721D"/>
    <w:rsid w:val="006C7912"/>
    <w:rsid w:val="006D0772"/>
    <w:rsid w:val="006D0BBF"/>
    <w:rsid w:val="006D1A57"/>
    <w:rsid w:val="006D1BE6"/>
    <w:rsid w:val="006D1DD3"/>
    <w:rsid w:val="006D1E73"/>
    <w:rsid w:val="006D1E86"/>
    <w:rsid w:val="006D2036"/>
    <w:rsid w:val="006D3052"/>
    <w:rsid w:val="006D33BC"/>
    <w:rsid w:val="006D3DE1"/>
    <w:rsid w:val="006D55F6"/>
    <w:rsid w:val="006D585A"/>
    <w:rsid w:val="006D5BF8"/>
    <w:rsid w:val="006D6DED"/>
    <w:rsid w:val="006D722F"/>
    <w:rsid w:val="006D763E"/>
    <w:rsid w:val="006D7AA8"/>
    <w:rsid w:val="006D7AE9"/>
    <w:rsid w:val="006D7E7C"/>
    <w:rsid w:val="006E0464"/>
    <w:rsid w:val="006E0B98"/>
    <w:rsid w:val="006E1AF1"/>
    <w:rsid w:val="006E3977"/>
    <w:rsid w:val="006E420D"/>
    <w:rsid w:val="006E4224"/>
    <w:rsid w:val="006E4CFB"/>
    <w:rsid w:val="006E5439"/>
    <w:rsid w:val="006E55FB"/>
    <w:rsid w:val="006E57B7"/>
    <w:rsid w:val="006E5D14"/>
    <w:rsid w:val="006E62C8"/>
    <w:rsid w:val="006E685D"/>
    <w:rsid w:val="006E6AAE"/>
    <w:rsid w:val="006E6B8A"/>
    <w:rsid w:val="006E77A4"/>
    <w:rsid w:val="006F03AE"/>
    <w:rsid w:val="006F0483"/>
    <w:rsid w:val="006F082B"/>
    <w:rsid w:val="006F0AEC"/>
    <w:rsid w:val="006F109E"/>
    <w:rsid w:val="006F1FBD"/>
    <w:rsid w:val="006F2DF6"/>
    <w:rsid w:val="006F3648"/>
    <w:rsid w:val="006F3EF8"/>
    <w:rsid w:val="006F425B"/>
    <w:rsid w:val="006F44D5"/>
    <w:rsid w:val="006F4A29"/>
    <w:rsid w:val="006F683A"/>
    <w:rsid w:val="006F6A01"/>
    <w:rsid w:val="006F6B22"/>
    <w:rsid w:val="006F6EC6"/>
    <w:rsid w:val="006F7469"/>
    <w:rsid w:val="006F7D25"/>
    <w:rsid w:val="006F7EE5"/>
    <w:rsid w:val="007001F7"/>
    <w:rsid w:val="007012C7"/>
    <w:rsid w:val="0070163F"/>
    <w:rsid w:val="00701B61"/>
    <w:rsid w:val="00702077"/>
    <w:rsid w:val="0070243C"/>
    <w:rsid w:val="00702770"/>
    <w:rsid w:val="00702E6B"/>
    <w:rsid w:val="00703249"/>
    <w:rsid w:val="007032EF"/>
    <w:rsid w:val="0070386C"/>
    <w:rsid w:val="00703918"/>
    <w:rsid w:val="00707DAE"/>
    <w:rsid w:val="007102F6"/>
    <w:rsid w:val="007103F4"/>
    <w:rsid w:val="00711149"/>
    <w:rsid w:val="00713087"/>
    <w:rsid w:val="00713380"/>
    <w:rsid w:val="00713499"/>
    <w:rsid w:val="00713669"/>
    <w:rsid w:val="007143AF"/>
    <w:rsid w:val="00714707"/>
    <w:rsid w:val="00715852"/>
    <w:rsid w:val="0071599F"/>
    <w:rsid w:val="00716953"/>
    <w:rsid w:val="0071725A"/>
    <w:rsid w:val="007173B9"/>
    <w:rsid w:val="00717634"/>
    <w:rsid w:val="0071779D"/>
    <w:rsid w:val="0072063C"/>
    <w:rsid w:val="00722256"/>
    <w:rsid w:val="00722615"/>
    <w:rsid w:val="0072297C"/>
    <w:rsid w:val="00723254"/>
    <w:rsid w:val="007233FB"/>
    <w:rsid w:val="00724133"/>
    <w:rsid w:val="007253E4"/>
    <w:rsid w:val="00725944"/>
    <w:rsid w:val="00725F2B"/>
    <w:rsid w:val="0072677E"/>
    <w:rsid w:val="00726DEC"/>
    <w:rsid w:val="00727405"/>
    <w:rsid w:val="00730431"/>
    <w:rsid w:val="00730648"/>
    <w:rsid w:val="00731202"/>
    <w:rsid w:val="00731E8D"/>
    <w:rsid w:val="00732A4A"/>
    <w:rsid w:val="00732C67"/>
    <w:rsid w:val="007330F6"/>
    <w:rsid w:val="00733165"/>
    <w:rsid w:val="007335A3"/>
    <w:rsid w:val="00733AF9"/>
    <w:rsid w:val="007348EC"/>
    <w:rsid w:val="00734BBA"/>
    <w:rsid w:val="00735618"/>
    <w:rsid w:val="00735A1C"/>
    <w:rsid w:val="0073637D"/>
    <w:rsid w:val="007369AA"/>
    <w:rsid w:val="007373D9"/>
    <w:rsid w:val="00737548"/>
    <w:rsid w:val="00740BDE"/>
    <w:rsid w:val="0074121F"/>
    <w:rsid w:val="00741642"/>
    <w:rsid w:val="0074169C"/>
    <w:rsid w:val="00742199"/>
    <w:rsid w:val="00742474"/>
    <w:rsid w:val="007425ED"/>
    <w:rsid w:val="00742D87"/>
    <w:rsid w:val="00742F5B"/>
    <w:rsid w:val="0074300E"/>
    <w:rsid w:val="007433D1"/>
    <w:rsid w:val="00744E00"/>
    <w:rsid w:val="00745653"/>
    <w:rsid w:val="007477BB"/>
    <w:rsid w:val="00747CD1"/>
    <w:rsid w:val="00750E10"/>
    <w:rsid w:val="00751690"/>
    <w:rsid w:val="00751EEF"/>
    <w:rsid w:val="007524AE"/>
    <w:rsid w:val="0075340E"/>
    <w:rsid w:val="00754061"/>
    <w:rsid w:val="007540C9"/>
    <w:rsid w:val="007541D7"/>
    <w:rsid w:val="00757C32"/>
    <w:rsid w:val="00760343"/>
    <w:rsid w:val="00760B71"/>
    <w:rsid w:val="007612AB"/>
    <w:rsid w:val="007613BC"/>
    <w:rsid w:val="0076176D"/>
    <w:rsid w:val="0076275F"/>
    <w:rsid w:val="00762B25"/>
    <w:rsid w:val="00762B6D"/>
    <w:rsid w:val="007632A9"/>
    <w:rsid w:val="007633AE"/>
    <w:rsid w:val="00765582"/>
    <w:rsid w:val="00765A08"/>
    <w:rsid w:val="00765C6D"/>
    <w:rsid w:val="00765D77"/>
    <w:rsid w:val="0076630E"/>
    <w:rsid w:val="00766514"/>
    <w:rsid w:val="00766BA4"/>
    <w:rsid w:val="00766C0F"/>
    <w:rsid w:val="00766C9A"/>
    <w:rsid w:val="00767301"/>
    <w:rsid w:val="00767D6B"/>
    <w:rsid w:val="00770D11"/>
    <w:rsid w:val="00770D4F"/>
    <w:rsid w:val="00770DE4"/>
    <w:rsid w:val="0077124E"/>
    <w:rsid w:val="00771FCF"/>
    <w:rsid w:val="007749B2"/>
    <w:rsid w:val="00775CCF"/>
    <w:rsid w:val="00775D8E"/>
    <w:rsid w:val="00775F6E"/>
    <w:rsid w:val="00775F76"/>
    <w:rsid w:val="00776302"/>
    <w:rsid w:val="0077702D"/>
    <w:rsid w:val="0077717E"/>
    <w:rsid w:val="00777560"/>
    <w:rsid w:val="00785061"/>
    <w:rsid w:val="007854EA"/>
    <w:rsid w:val="00785E87"/>
    <w:rsid w:val="0079015E"/>
    <w:rsid w:val="00790BBA"/>
    <w:rsid w:val="00790BE0"/>
    <w:rsid w:val="00791438"/>
    <w:rsid w:val="00791F47"/>
    <w:rsid w:val="00792CE2"/>
    <w:rsid w:val="00792D43"/>
    <w:rsid w:val="007932B4"/>
    <w:rsid w:val="00793EBB"/>
    <w:rsid w:val="007945AA"/>
    <w:rsid w:val="0079530C"/>
    <w:rsid w:val="00795585"/>
    <w:rsid w:val="007959BE"/>
    <w:rsid w:val="007960AB"/>
    <w:rsid w:val="00797025"/>
    <w:rsid w:val="0079728D"/>
    <w:rsid w:val="007A001E"/>
    <w:rsid w:val="007A01BF"/>
    <w:rsid w:val="007A1076"/>
    <w:rsid w:val="007A18B9"/>
    <w:rsid w:val="007A1A80"/>
    <w:rsid w:val="007A2472"/>
    <w:rsid w:val="007A3A1A"/>
    <w:rsid w:val="007A4C54"/>
    <w:rsid w:val="007A5CC2"/>
    <w:rsid w:val="007A5CEB"/>
    <w:rsid w:val="007A66CE"/>
    <w:rsid w:val="007A6947"/>
    <w:rsid w:val="007A6F89"/>
    <w:rsid w:val="007A7323"/>
    <w:rsid w:val="007A74C5"/>
    <w:rsid w:val="007A7514"/>
    <w:rsid w:val="007A7538"/>
    <w:rsid w:val="007B0624"/>
    <w:rsid w:val="007B06AA"/>
    <w:rsid w:val="007B128D"/>
    <w:rsid w:val="007B177A"/>
    <w:rsid w:val="007B23C7"/>
    <w:rsid w:val="007B2D51"/>
    <w:rsid w:val="007B5093"/>
    <w:rsid w:val="007B75A2"/>
    <w:rsid w:val="007B7973"/>
    <w:rsid w:val="007C03FC"/>
    <w:rsid w:val="007C0666"/>
    <w:rsid w:val="007C195C"/>
    <w:rsid w:val="007C21B1"/>
    <w:rsid w:val="007C2EFB"/>
    <w:rsid w:val="007C4BA2"/>
    <w:rsid w:val="007C4EB4"/>
    <w:rsid w:val="007C5149"/>
    <w:rsid w:val="007C5970"/>
    <w:rsid w:val="007C6B4B"/>
    <w:rsid w:val="007C7E31"/>
    <w:rsid w:val="007C7ED0"/>
    <w:rsid w:val="007D1342"/>
    <w:rsid w:val="007D16E1"/>
    <w:rsid w:val="007D23F8"/>
    <w:rsid w:val="007D25DB"/>
    <w:rsid w:val="007D2D9D"/>
    <w:rsid w:val="007D4D9D"/>
    <w:rsid w:val="007D4FFD"/>
    <w:rsid w:val="007D7689"/>
    <w:rsid w:val="007D7797"/>
    <w:rsid w:val="007D7FD2"/>
    <w:rsid w:val="007E0425"/>
    <w:rsid w:val="007E0553"/>
    <w:rsid w:val="007E0557"/>
    <w:rsid w:val="007E07BD"/>
    <w:rsid w:val="007E107F"/>
    <w:rsid w:val="007E121D"/>
    <w:rsid w:val="007E1B8B"/>
    <w:rsid w:val="007E2727"/>
    <w:rsid w:val="007E2AB9"/>
    <w:rsid w:val="007E384C"/>
    <w:rsid w:val="007E3AA2"/>
    <w:rsid w:val="007E6A44"/>
    <w:rsid w:val="007F01B3"/>
    <w:rsid w:val="007F0572"/>
    <w:rsid w:val="007F15C7"/>
    <w:rsid w:val="007F3325"/>
    <w:rsid w:val="007F3E48"/>
    <w:rsid w:val="007F5141"/>
    <w:rsid w:val="007F5A3E"/>
    <w:rsid w:val="007F682B"/>
    <w:rsid w:val="007F68E9"/>
    <w:rsid w:val="007F6D7D"/>
    <w:rsid w:val="007F6F5B"/>
    <w:rsid w:val="00800AA2"/>
    <w:rsid w:val="00800E2A"/>
    <w:rsid w:val="00800E8B"/>
    <w:rsid w:val="00801407"/>
    <w:rsid w:val="0080213A"/>
    <w:rsid w:val="00802608"/>
    <w:rsid w:val="008028E6"/>
    <w:rsid w:val="00802E46"/>
    <w:rsid w:val="00803F1E"/>
    <w:rsid w:val="0080498E"/>
    <w:rsid w:val="00804C8B"/>
    <w:rsid w:val="00805E4C"/>
    <w:rsid w:val="00807239"/>
    <w:rsid w:val="00807B99"/>
    <w:rsid w:val="00810935"/>
    <w:rsid w:val="008110CE"/>
    <w:rsid w:val="008110DA"/>
    <w:rsid w:val="00811519"/>
    <w:rsid w:val="00812001"/>
    <w:rsid w:val="008122C0"/>
    <w:rsid w:val="00812404"/>
    <w:rsid w:val="0081293D"/>
    <w:rsid w:val="00812C0E"/>
    <w:rsid w:val="00813C42"/>
    <w:rsid w:val="00813D7C"/>
    <w:rsid w:val="00813EF5"/>
    <w:rsid w:val="0081423A"/>
    <w:rsid w:val="00814285"/>
    <w:rsid w:val="0081521A"/>
    <w:rsid w:val="00815698"/>
    <w:rsid w:val="00816843"/>
    <w:rsid w:val="00817296"/>
    <w:rsid w:val="00817334"/>
    <w:rsid w:val="00817C9A"/>
    <w:rsid w:val="00820013"/>
    <w:rsid w:val="0082078F"/>
    <w:rsid w:val="008209B9"/>
    <w:rsid w:val="00820AAA"/>
    <w:rsid w:val="00820BDD"/>
    <w:rsid w:val="00822490"/>
    <w:rsid w:val="00822E52"/>
    <w:rsid w:val="00823518"/>
    <w:rsid w:val="00823584"/>
    <w:rsid w:val="00824128"/>
    <w:rsid w:val="00824C75"/>
    <w:rsid w:val="00824F5F"/>
    <w:rsid w:val="00825718"/>
    <w:rsid w:val="00825B32"/>
    <w:rsid w:val="00826127"/>
    <w:rsid w:val="008263D7"/>
    <w:rsid w:val="00827F85"/>
    <w:rsid w:val="008302B3"/>
    <w:rsid w:val="00830508"/>
    <w:rsid w:val="0083069F"/>
    <w:rsid w:val="008313D5"/>
    <w:rsid w:val="008314AE"/>
    <w:rsid w:val="0083151A"/>
    <w:rsid w:val="0083192D"/>
    <w:rsid w:val="0083229B"/>
    <w:rsid w:val="008324B9"/>
    <w:rsid w:val="00832612"/>
    <w:rsid w:val="0083380A"/>
    <w:rsid w:val="00834162"/>
    <w:rsid w:val="008361B6"/>
    <w:rsid w:val="008368A2"/>
    <w:rsid w:val="00837B03"/>
    <w:rsid w:val="00841A4E"/>
    <w:rsid w:val="00841B40"/>
    <w:rsid w:val="008420CA"/>
    <w:rsid w:val="008426B8"/>
    <w:rsid w:val="008429E7"/>
    <w:rsid w:val="00843C9C"/>
    <w:rsid w:val="008476A9"/>
    <w:rsid w:val="00847949"/>
    <w:rsid w:val="00850475"/>
    <w:rsid w:val="008511B9"/>
    <w:rsid w:val="0085168E"/>
    <w:rsid w:val="008533E5"/>
    <w:rsid w:val="0085427F"/>
    <w:rsid w:val="00854F9B"/>
    <w:rsid w:val="00855093"/>
    <w:rsid w:val="0085570B"/>
    <w:rsid w:val="008570E5"/>
    <w:rsid w:val="00860650"/>
    <w:rsid w:val="00860EB2"/>
    <w:rsid w:val="008631BB"/>
    <w:rsid w:val="0086563C"/>
    <w:rsid w:val="00870825"/>
    <w:rsid w:val="00871095"/>
    <w:rsid w:val="00871D34"/>
    <w:rsid w:val="0087368B"/>
    <w:rsid w:val="00874B13"/>
    <w:rsid w:val="00877D05"/>
    <w:rsid w:val="00880287"/>
    <w:rsid w:val="0088281E"/>
    <w:rsid w:val="008835A1"/>
    <w:rsid w:val="008848C5"/>
    <w:rsid w:val="00886A72"/>
    <w:rsid w:val="008872A4"/>
    <w:rsid w:val="008879E4"/>
    <w:rsid w:val="0089071A"/>
    <w:rsid w:val="008908A9"/>
    <w:rsid w:val="0089133F"/>
    <w:rsid w:val="00891974"/>
    <w:rsid w:val="00891D69"/>
    <w:rsid w:val="00892EA3"/>
    <w:rsid w:val="00892FBB"/>
    <w:rsid w:val="008936EA"/>
    <w:rsid w:val="00893AFC"/>
    <w:rsid w:val="0089406B"/>
    <w:rsid w:val="00894A0B"/>
    <w:rsid w:val="00895598"/>
    <w:rsid w:val="00895898"/>
    <w:rsid w:val="00895994"/>
    <w:rsid w:val="008960A9"/>
    <w:rsid w:val="0089681C"/>
    <w:rsid w:val="00897554"/>
    <w:rsid w:val="00897B40"/>
    <w:rsid w:val="008A0988"/>
    <w:rsid w:val="008A0B3F"/>
    <w:rsid w:val="008A1601"/>
    <w:rsid w:val="008A1B3F"/>
    <w:rsid w:val="008A2514"/>
    <w:rsid w:val="008A251A"/>
    <w:rsid w:val="008A2A82"/>
    <w:rsid w:val="008A2D0D"/>
    <w:rsid w:val="008A2F4A"/>
    <w:rsid w:val="008A3190"/>
    <w:rsid w:val="008A333B"/>
    <w:rsid w:val="008A34FD"/>
    <w:rsid w:val="008A3BAA"/>
    <w:rsid w:val="008A4390"/>
    <w:rsid w:val="008A4512"/>
    <w:rsid w:val="008A4E56"/>
    <w:rsid w:val="008A4E8C"/>
    <w:rsid w:val="008A5188"/>
    <w:rsid w:val="008A532A"/>
    <w:rsid w:val="008A54D7"/>
    <w:rsid w:val="008A71AD"/>
    <w:rsid w:val="008A72B0"/>
    <w:rsid w:val="008B04BE"/>
    <w:rsid w:val="008B05C3"/>
    <w:rsid w:val="008B0679"/>
    <w:rsid w:val="008B0D02"/>
    <w:rsid w:val="008B1046"/>
    <w:rsid w:val="008B21DA"/>
    <w:rsid w:val="008B2229"/>
    <w:rsid w:val="008B24AA"/>
    <w:rsid w:val="008B266C"/>
    <w:rsid w:val="008B26E4"/>
    <w:rsid w:val="008B40C8"/>
    <w:rsid w:val="008B48CF"/>
    <w:rsid w:val="008B529D"/>
    <w:rsid w:val="008B5B92"/>
    <w:rsid w:val="008B5EFD"/>
    <w:rsid w:val="008B6754"/>
    <w:rsid w:val="008B7345"/>
    <w:rsid w:val="008B7C59"/>
    <w:rsid w:val="008C10C4"/>
    <w:rsid w:val="008C1137"/>
    <w:rsid w:val="008C20E9"/>
    <w:rsid w:val="008C446A"/>
    <w:rsid w:val="008C46AA"/>
    <w:rsid w:val="008C52A9"/>
    <w:rsid w:val="008C56A1"/>
    <w:rsid w:val="008C6097"/>
    <w:rsid w:val="008C63F9"/>
    <w:rsid w:val="008C650B"/>
    <w:rsid w:val="008C6A62"/>
    <w:rsid w:val="008C6C41"/>
    <w:rsid w:val="008C6CA4"/>
    <w:rsid w:val="008C7BEE"/>
    <w:rsid w:val="008D03F7"/>
    <w:rsid w:val="008D1A24"/>
    <w:rsid w:val="008D1FF7"/>
    <w:rsid w:val="008D3A85"/>
    <w:rsid w:val="008D3C88"/>
    <w:rsid w:val="008D51B0"/>
    <w:rsid w:val="008D53C1"/>
    <w:rsid w:val="008D56D6"/>
    <w:rsid w:val="008D57FB"/>
    <w:rsid w:val="008D63A9"/>
    <w:rsid w:val="008D65FF"/>
    <w:rsid w:val="008E0843"/>
    <w:rsid w:val="008E0E06"/>
    <w:rsid w:val="008E2908"/>
    <w:rsid w:val="008E2ED1"/>
    <w:rsid w:val="008E401D"/>
    <w:rsid w:val="008E449E"/>
    <w:rsid w:val="008E44AC"/>
    <w:rsid w:val="008E56BD"/>
    <w:rsid w:val="008E5AB5"/>
    <w:rsid w:val="008E5BA8"/>
    <w:rsid w:val="008E6319"/>
    <w:rsid w:val="008E764D"/>
    <w:rsid w:val="008F12B8"/>
    <w:rsid w:val="008F25D4"/>
    <w:rsid w:val="008F2EE2"/>
    <w:rsid w:val="008F3229"/>
    <w:rsid w:val="008F339A"/>
    <w:rsid w:val="008F3F42"/>
    <w:rsid w:val="008F4779"/>
    <w:rsid w:val="008F658E"/>
    <w:rsid w:val="008F65DD"/>
    <w:rsid w:val="008F6CCC"/>
    <w:rsid w:val="008F6D24"/>
    <w:rsid w:val="00900BD3"/>
    <w:rsid w:val="0090200E"/>
    <w:rsid w:val="00902F3A"/>
    <w:rsid w:val="00903835"/>
    <w:rsid w:val="009040B3"/>
    <w:rsid w:val="0090429B"/>
    <w:rsid w:val="009048AC"/>
    <w:rsid w:val="00904935"/>
    <w:rsid w:val="00905550"/>
    <w:rsid w:val="00906395"/>
    <w:rsid w:val="00906911"/>
    <w:rsid w:val="00907826"/>
    <w:rsid w:val="00907928"/>
    <w:rsid w:val="00910B0D"/>
    <w:rsid w:val="00910D27"/>
    <w:rsid w:val="00911F7F"/>
    <w:rsid w:val="00913039"/>
    <w:rsid w:val="00913DB2"/>
    <w:rsid w:val="00915235"/>
    <w:rsid w:val="00916A14"/>
    <w:rsid w:val="00916B3D"/>
    <w:rsid w:val="00916B74"/>
    <w:rsid w:val="00917EA9"/>
    <w:rsid w:val="0092089D"/>
    <w:rsid w:val="00920C17"/>
    <w:rsid w:val="00921527"/>
    <w:rsid w:val="0092223A"/>
    <w:rsid w:val="00922556"/>
    <w:rsid w:val="0092361D"/>
    <w:rsid w:val="00923719"/>
    <w:rsid w:val="00924E33"/>
    <w:rsid w:val="00924F81"/>
    <w:rsid w:val="00925232"/>
    <w:rsid w:val="00925F49"/>
    <w:rsid w:val="00926949"/>
    <w:rsid w:val="00926E39"/>
    <w:rsid w:val="00927679"/>
    <w:rsid w:val="00927A44"/>
    <w:rsid w:val="00927BC6"/>
    <w:rsid w:val="00930153"/>
    <w:rsid w:val="00931736"/>
    <w:rsid w:val="00931B2F"/>
    <w:rsid w:val="0093253B"/>
    <w:rsid w:val="00932810"/>
    <w:rsid w:val="00932D20"/>
    <w:rsid w:val="00932F38"/>
    <w:rsid w:val="009332F8"/>
    <w:rsid w:val="009346C7"/>
    <w:rsid w:val="00934A49"/>
    <w:rsid w:val="00935563"/>
    <w:rsid w:val="00935D4F"/>
    <w:rsid w:val="00935F61"/>
    <w:rsid w:val="00936EEC"/>
    <w:rsid w:val="00936FAF"/>
    <w:rsid w:val="0093734D"/>
    <w:rsid w:val="00937DB9"/>
    <w:rsid w:val="00937E3B"/>
    <w:rsid w:val="009418BA"/>
    <w:rsid w:val="0094288D"/>
    <w:rsid w:val="00942A73"/>
    <w:rsid w:val="00944AFF"/>
    <w:rsid w:val="00944D2D"/>
    <w:rsid w:val="00946654"/>
    <w:rsid w:val="00946B5A"/>
    <w:rsid w:val="0095024E"/>
    <w:rsid w:val="00950843"/>
    <w:rsid w:val="0095121D"/>
    <w:rsid w:val="0095152C"/>
    <w:rsid w:val="0095233B"/>
    <w:rsid w:val="00952358"/>
    <w:rsid w:val="0095246F"/>
    <w:rsid w:val="0095417E"/>
    <w:rsid w:val="00954343"/>
    <w:rsid w:val="00954475"/>
    <w:rsid w:val="00955626"/>
    <w:rsid w:val="009557A8"/>
    <w:rsid w:val="00955A8E"/>
    <w:rsid w:val="00955FD9"/>
    <w:rsid w:val="00956172"/>
    <w:rsid w:val="009572C4"/>
    <w:rsid w:val="0096101C"/>
    <w:rsid w:val="00961876"/>
    <w:rsid w:val="0096199A"/>
    <w:rsid w:val="00961E71"/>
    <w:rsid w:val="00962839"/>
    <w:rsid w:val="00967077"/>
    <w:rsid w:val="009713FE"/>
    <w:rsid w:val="00971DDB"/>
    <w:rsid w:val="009732E4"/>
    <w:rsid w:val="00974BE5"/>
    <w:rsid w:val="00977D6F"/>
    <w:rsid w:val="0098057C"/>
    <w:rsid w:val="0098081B"/>
    <w:rsid w:val="00982543"/>
    <w:rsid w:val="00982E59"/>
    <w:rsid w:val="009830A7"/>
    <w:rsid w:val="00983250"/>
    <w:rsid w:val="0098365B"/>
    <w:rsid w:val="00984063"/>
    <w:rsid w:val="00984953"/>
    <w:rsid w:val="00984FE7"/>
    <w:rsid w:val="009853D1"/>
    <w:rsid w:val="00985799"/>
    <w:rsid w:val="009863AC"/>
    <w:rsid w:val="009870B1"/>
    <w:rsid w:val="00987C55"/>
    <w:rsid w:val="00990E3B"/>
    <w:rsid w:val="00992DF1"/>
    <w:rsid w:val="009934C3"/>
    <w:rsid w:val="009935AF"/>
    <w:rsid w:val="0099490F"/>
    <w:rsid w:val="00994910"/>
    <w:rsid w:val="00994BA8"/>
    <w:rsid w:val="00994C96"/>
    <w:rsid w:val="00994D36"/>
    <w:rsid w:val="00995155"/>
    <w:rsid w:val="009958EC"/>
    <w:rsid w:val="009960BB"/>
    <w:rsid w:val="009960F8"/>
    <w:rsid w:val="0099611F"/>
    <w:rsid w:val="009968BD"/>
    <w:rsid w:val="00996A21"/>
    <w:rsid w:val="0099769B"/>
    <w:rsid w:val="009A0757"/>
    <w:rsid w:val="009A0EE2"/>
    <w:rsid w:val="009A112E"/>
    <w:rsid w:val="009A13D6"/>
    <w:rsid w:val="009A156D"/>
    <w:rsid w:val="009A278C"/>
    <w:rsid w:val="009A2A64"/>
    <w:rsid w:val="009A33A1"/>
    <w:rsid w:val="009A3499"/>
    <w:rsid w:val="009A4A9F"/>
    <w:rsid w:val="009A4ABA"/>
    <w:rsid w:val="009A61E9"/>
    <w:rsid w:val="009A6562"/>
    <w:rsid w:val="009A6FDD"/>
    <w:rsid w:val="009B0B82"/>
    <w:rsid w:val="009B0E77"/>
    <w:rsid w:val="009B1A9C"/>
    <w:rsid w:val="009B269D"/>
    <w:rsid w:val="009B2DA7"/>
    <w:rsid w:val="009B2E8B"/>
    <w:rsid w:val="009B2F1E"/>
    <w:rsid w:val="009B361A"/>
    <w:rsid w:val="009B386E"/>
    <w:rsid w:val="009B59A9"/>
    <w:rsid w:val="009B74F5"/>
    <w:rsid w:val="009B7569"/>
    <w:rsid w:val="009C0B1E"/>
    <w:rsid w:val="009C11BC"/>
    <w:rsid w:val="009C18CC"/>
    <w:rsid w:val="009C3725"/>
    <w:rsid w:val="009C599C"/>
    <w:rsid w:val="009C68AA"/>
    <w:rsid w:val="009C747D"/>
    <w:rsid w:val="009D071A"/>
    <w:rsid w:val="009D096E"/>
    <w:rsid w:val="009D0AE6"/>
    <w:rsid w:val="009D33BD"/>
    <w:rsid w:val="009D39FB"/>
    <w:rsid w:val="009D4488"/>
    <w:rsid w:val="009D4572"/>
    <w:rsid w:val="009D49A8"/>
    <w:rsid w:val="009D64BD"/>
    <w:rsid w:val="009D7A87"/>
    <w:rsid w:val="009D7BB3"/>
    <w:rsid w:val="009D7E71"/>
    <w:rsid w:val="009D7EAF"/>
    <w:rsid w:val="009E0284"/>
    <w:rsid w:val="009E0B2E"/>
    <w:rsid w:val="009E117E"/>
    <w:rsid w:val="009E20D1"/>
    <w:rsid w:val="009E2B90"/>
    <w:rsid w:val="009E2CA1"/>
    <w:rsid w:val="009E3BF4"/>
    <w:rsid w:val="009E3EEC"/>
    <w:rsid w:val="009E4418"/>
    <w:rsid w:val="009E6D1B"/>
    <w:rsid w:val="009F0FA8"/>
    <w:rsid w:val="009F165E"/>
    <w:rsid w:val="009F1C26"/>
    <w:rsid w:val="009F1F9A"/>
    <w:rsid w:val="009F4697"/>
    <w:rsid w:val="009F53AF"/>
    <w:rsid w:val="009F54AB"/>
    <w:rsid w:val="009F648C"/>
    <w:rsid w:val="009F72F0"/>
    <w:rsid w:val="00A0036F"/>
    <w:rsid w:val="00A00654"/>
    <w:rsid w:val="00A00867"/>
    <w:rsid w:val="00A028C3"/>
    <w:rsid w:val="00A02E20"/>
    <w:rsid w:val="00A032AF"/>
    <w:rsid w:val="00A03336"/>
    <w:rsid w:val="00A03683"/>
    <w:rsid w:val="00A03C43"/>
    <w:rsid w:val="00A048D6"/>
    <w:rsid w:val="00A04D70"/>
    <w:rsid w:val="00A04F7B"/>
    <w:rsid w:val="00A069B6"/>
    <w:rsid w:val="00A0711E"/>
    <w:rsid w:val="00A101A6"/>
    <w:rsid w:val="00A11C9D"/>
    <w:rsid w:val="00A1205F"/>
    <w:rsid w:val="00A1366E"/>
    <w:rsid w:val="00A13A69"/>
    <w:rsid w:val="00A140D5"/>
    <w:rsid w:val="00A149C5"/>
    <w:rsid w:val="00A15EB7"/>
    <w:rsid w:val="00A1645A"/>
    <w:rsid w:val="00A17C45"/>
    <w:rsid w:val="00A17DC5"/>
    <w:rsid w:val="00A218A9"/>
    <w:rsid w:val="00A227CC"/>
    <w:rsid w:val="00A2373E"/>
    <w:rsid w:val="00A2385A"/>
    <w:rsid w:val="00A23935"/>
    <w:rsid w:val="00A23A49"/>
    <w:rsid w:val="00A24B15"/>
    <w:rsid w:val="00A255FA"/>
    <w:rsid w:val="00A25AFF"/>
    <w:rsid w:val="00A27A1F"/>
    <w:rsid w:val="00A30251"/>
    <w:rsid w:val="00A30CBD"/>
    <w:rsid w:val="00A31358"/>
    <w:rsid w:val="00A31629"/>
    <w:rsid w:val="00A31678"/>
    <w:rsid w:val="00A318C4"/>
    <w:rsid w:val="00A3213B"/>
    <w:rsid w:val="00A32F8C"/>
    <w:rsid w:val="00A3340A"/>
    <w:rsid w:val="00A3450E"/>
    <w:rsid w:val="00A345A7"/>
    <w:rsid w:val="00A34A39"/>
    <w:rsid w:val="00A34F22"/>
    <w:rsid w:val="00A357BE"/>
    <w:rsid w:val="00A36387"/>
    <w:rsid w:val="00A374A1"/>
    <w:rsid w:val="00A3775F"/>
    <w:rsid w:val="00A42C19"/>
    <w:rsid w:val="00A4328E"/>
    <w:rsid w:val="00A43761"/>
    <w:rsid w:val="00A4460A"/>
    <w:rsid w:val="00A44DB9"/>
    <w:rsid w:val="00A4737B"/>
    <w:rsid w:val="00A512F5"/>
    <w:rsid w:val="00A517DB"/>
    <w:rsid w:val="00A519F2"/>
    <w:rsid w:val="00A51A24"/>
    <w:rsid w:val="00A51C62"/>
    <w:rsid w:val="00A51D68"/>
    <w:rsid w:val="00A52338"/>
    <w:rsid w:val="00A525E8"/>
    <w:rsid w:val="00A52625"/>
    <w:rsid w:val="00A5285E"/>
    <w:rsid w:val="00A54BD2"/>
    <w:rsid w:val="00A55B37"/>
    <w:rsid w:val="00A55C6C"/>
    <w:rsid w:val="00A56123"/>
    <w:rsid w:val="00A56C0C"/>
    <w:rsid w:val="00A571D4"/>
    <w:rsid w:val="00A609EC"/>
    <w:rsid w:val="00A60CF6"/>
    <w:rsid w:val="00A60DE4"/>
    <w:rsid w:val="00A60E44"/>
    <w:rsid w:val="00A6172B"/>
    <w:rsid w:val="00A6184D"/>
    <w:rsid w:val="00A62730"/>
    <w:rsid w:val="00A63322"/>
    <w:rsid w:val="00A63C6F"/>
    <w:rsid w:val="00A64016"/>
    <w:rsid w:val="00A64725"/>
    <w:rsid w:val="00A65A98"/>
    <w:rsid w:val="00A6758C"/>
    <w:rsid w:val="00A67B13"/>
    <w:rsid w:val="00A700F9"/>
    <w:rsid w:val="00A70774"/>
    <w:rsid w:val="00A70A18"/>
    <w:rsid w:val="00A7100F"/>
    <w:rsid w:val="00A71546"/>
    <w:rsid w:val="00A71622"/>
    <w:rsid w:val="00A71F4C"/>
    <w:rsid w:val="00A72687"/>
    <w:rsid w:val="00A72C87"/>
    <w:rsid w:val="00A72D2A"/>
    <w:rsid w:val="00A73B4F"/>
    <w:rsid w:val="00A74DF6"/>
    <w:rsid w:val="00A75145"/>
    <w:rsid w:val="00A75BF0"/>
    <w:rsid w:val="00A763FF"/>
    <w:rsid w:val="00A77C15"/>
    <w:rsid w:val="00A816AE"/>
    <w:rsid w:val="00A81B46"/>
    <w:rsid w:val="00A821F3"/>
    <w:rsid w:val="00A82647"/>
    <w:rsid w:val="00A82ABD"/>
    <w:rsid w:val="00A83CA5"/>
    <w:rsid w:val="00A841B9"/>
    <w:rsid w:val="00A84EC4"/>
    <w:rsid w:val="00A85194"/>
    <w:rsid w:val="00A85551"/>
    <w:rsid w:val="00A85DB9"/>
    <w:rsid w:val="00A867C4"/>
    <w:rsid w:val="00A8689C"/>
    <w:rsid w:val="00A86DAD"/>
    <w:rsid w:val="00A87729"/>
    <w:rsid w:val="00A9059F"/>
    <w:rsid w:val="00A91160"/>
    <w:rsid w:val="00A914A3"/>
    <w:rsid w:val="00A91C95"/>
    <w:rsid w:val="00A91FEB"/>
    <w:rsid w:val="00A92E7C"/>
    <w:rsid w:val="00A92F25"/>
    <w:rsid w:val="00A94223"/>
    <w:rsid w:val="00A9477D"/>
    <w:rsid w:val="00A94FFA"/>
    <w:rsid w:val="00A958F1"/>
    <w:rsid w:val="00A95D52"/>
    <w:rsid w:val="00A95FC2"/>
    <w:rsid w:val="00A9730B"/>
    <w:rsid w:val="00A9759F"/>
    <w:rsid w:val="00A97BF4"/>
    <w:rsid w:val="00A97E94"/>
    <w:rsid w:val="00AA0877"/>
    <w:rsid w:val="00AA0A7E"/>
    <w:rsid w:val="00AA0E78"/>
    <w:rsid w:val="00AA3647"/>
    <w:rsid w:val="00AA4275"/>
    <w:rsid w:val="00AA441F"/>
    <w:rsid w:val="00AA4582"/>
    <w:rsid w:val="00AA46F4"/>
    <w:rsid w:val="00AA5000"/>
    <w:rsid w:val="00AA62DC"/>
    <w:rsid w:val="00AA662D"/>
    <w:rsid w:val="00AA68E7"/>
    <w:rsid w:val="00AA70DF"/>
    <w:rsid w:val="00AA7503"/>
    <w:rsid w:val="00AB08EF"/>
    <w:rsid w:val="00AB10E2"/>
    <w:rsid w:val="00AB1584"/>
    <w:rsid w:val="00AB1D04"/>
    <w:rsid w:val="00AB35C3"/>
    <w:rsid w:val="00AB37E5"/>
    <w:rsid w:val="00AB382B"/>
    <w:rsid w:val="00AB3F8D"/>
    <w:rsid w:val="00AB54C8"/>
    <w:rsid w:val="00AB73F8"/>
    <w:rsid w:val="00AC1BB9"/>
    <w:rsid w:val="00AC1E0D"/>
    <w:rsid w:val="00AC20F7"/>
    <w:rsid w:val="00AC3728"/>
    <w:rsid w:val="00AC45BC"/>
    <w:rsid w:val="00AC4FD8"/>
    <w:rsid w:val="00AC5BDA"/>
    <w:rsid w:val="00AC6856"/>
    <w:rsid w:val="00AC7644"/>
    <w:rsid w:val="00AC79C0"/>
    <w:rsid w:val="00AC7B1E"/>
    <w:rsid w:val="00AD0C81"/>
    <w:rsid w:val="00AD1242"/>
    <w:rsid w:val="00AD1B97"/>
    <w:rsid w:val="00AD2616"/>
    <w:rsid w:val="00AD3E34"/>
    <w:rsid w:val="00AD6468"/>
    <w:rsid w:val="00AD68E1"/>
    <w:rsid w:val="00AD7873"/>
    <w:rsid w:val="00AE01D3"/>
    <w:rsid w:val="00AE039C"/>
    <w:rsid w:val="00AE0BCA"/>
    <w:rsid w:val="00AE159C"/>
    <w:rsid w:val="00AE1D6E"/>
    <w:rsid w:val="00AE24EB"/>
    <w:rsid w:val="00AE3268"/>
    <w:rsid w:val="00AE32AE"/>
    <w:rsid w:val="00AE6629"/>
    <w:rsid w:val="00AE6D11"/>
    <w:rsid w:val="00AE6D74"/>
    <w:rsid w:val="00AE7A39"/>
    <w:rsid w:val="00AF1124"/>
    <w:rsid w:val="00AF366F"/>
    <w:rsid w:val="00AF37C1"/>
    <w:rsid w:val="00AF3F74"/>
    <w:rsid w:val="00AF4010"/>
    <w:rsid w:val="00AF45B7"/>
    <w:rsid w:val="00AF5A71"/>
    <w:rsid w:val="00AF6925"/>
    <w:rsid w:val="00AF6E97"/>
    <w:rsid w:val="00AF6F43"/>
    <w:rsid w:val="00AF71DC"/>
    <w:rsid w:val="00AF729C"/>
    <w:rsid w:val="00AF7803"/>
    <w:rsid w:val="00B0105E"/>
    <w:rsid w:val="00B017C0"/>
    <w:rsid w:val="00B02F2E"/>
    <w:rsid w:val="00B0350B"/>
    <w:rsid w:val="00B03DAC"/>
    <w:rsid w:val="00B03E03"/>
    <w:rsid w:val="00B03E6C"/>
    <w:rsid w:val="00B04148"/>
    <w:rsid w:val="00B0419A"/>
    <w:rsid w:val="00B04218"/>
    <w:rsid w:val="00B04F96"/>
    <w:rsid w:val="00B05FA9"/>
    <w:rsid w:val="00B06212"/>
    <w:rsid w:val="00B06634"/>
    <w:rsid w:val="00B06A7D"/>
    <w:rsid w:val="00B07462"/>
    <w:rsid w:val="00B1072D"/>
    <w:rsid w:val="00B10A31"/>
    <w:rsid w:val="00B113FB"/>
    <w:rsid w:val="00B11416"/>
    <w:rsid w:val="00B1279D"/>
    <w:rsid w:val="00B135F1"/>
    <w:rsid w:val="00B13702"/>
    <w:rsid w:val="00B13A31"/>
    <w:rsid w:val="00B13C60"/>
    <w:rsid w:val="00B13EAD"/>
    <w:rsid w:val="00B13F3D"/>
    <w:rsid w:val="00B1415D"/>
    <w:rsid w:val="00B17EA0"/>
    <w:rsid w:val="00B20390"/>
    <w:rsid w:val="00B20E38"/>
    <w:rsid w:val="00B20F1C"/>
    <w:rsid w:val="00B21353"/>
    <w:rsid w:val="00B2170B"/>
    <w:rsid w:val="00B21C4C"/>
    <w:rsid w:val="00B22501"/>
    <w:rsid w:val="00B230B9"/>
    <w:rsid w:val="00B23C73"/>
    <w:rsid w:val="00B23CEF"/>
    <w:rsid w:val="00B24363"/>
    <w:rsid w:val="00B24CED"/>
    <w:rsid w:val="00B2531E"/>
    <w:rsid w:val="00B25854"/>
    <w:rsid w:val="00B261F6"/>
    <w:rsid w:val="00B262D9"/>
    <w:rsid w:val="00B266C1"/>
    <w:rsid w:val="00B27515"/>
    <w:rsid w:val="00B309BD"/>
    <w:rsid w:val="00B31FCD"/>
    <w:rsid w:val="00B32A98"/>
    <w:rsid w:val="00B32DBF"/>
    <w:rsid w:val="00B3324F"/>
    <w:rsid w:val="00B36028"/>
    <w:rsid w:val="00B36AE7"/>
    <w:rsid w:val="00B37201"/>
    <w:rsid w:val="00B40420"/>
    <w:rsid w:val="00B40E17"/>
    <w:rsid w:val="00B40E51"/>
    <w:rsid w:val="00B443C2"/>
    <w:rsid w:val="00B4661C"/>
    <w:rsid w:val="00B46953"/>
    <w:rsid w:val="00B469D5"/>
    <w:rsid w:val="00B46B57"/>
    <w:rsid w:val="00B46E14"/>
    <w:rsid w:val="00B470A5"/>
    <w:rsid w:val="00B4717D"/>
    <w:rsid w:val="00B47832"/>
    <w:rsid w:val="00B47893"/>
    <w:rsid w:val="00B50809"/>
    <w:rsid w:val="00B50B00"/>
    <w:rsid w:val="00B514BA"/>
    <w:rsid w:val="00B52F8B"/>
    <w:rsid w:val="00B52FEC"/>
    <w:rsid w:val="00B55ADA"/>
    <w:rsid w:val="00B5602B"/>
    <w:rsid w:val="00B56660"/>
    <w:rsid w:val="00B572B6"/>
    <w:rsid w:val="00B5734C"/>
    <w:rsid w:val="00B57C29"/>
    <w:rsid w:val="00B60448"/>
    <w:rsid w:val="00B60E28"/>
    <w:rsid w:val="00B61569"/>
    <w:rsid w:val="00B619CB"/>
    <w:rsid w:val="00B61AA6"/>
    <w:rsid w:val="00B62003"/>
    <w:rsid w:val="00B62484"/>
    <w:rsid w:val="00B62973"/>
    <w:rsid w:val="00B62F36"/>
    <w:rsid w:val="00B6351D"/>
    <w:rsid w:val="00B638D0"/>
    <w:rsid w:val="00B6429E"/>
    <w:rsid w:val="00B6601B"/>
    <w:rsid w:val="00B66511"/>
    <w:rsid w:val="00B669B2"/>
    <w:rsid w:val="00B671B4"/>
    <w:rsid w:val="00B6799B"/>
    <w:rsid w:val="00B67D54"/>
    <w:rsid w:val="00B70DAC"/>
    <w:rsid w:val="00B71C89"/>
    <w:rsid w:val="00B732DA"/>
    <w:rsid w:val="00B7484A"/>
    <w:rsid w:val="00B7540E"/>
    <w:rsid w:val="00B75F51"/>
    <w:rsid w:val="00B76A1D"/>
    <w:rsid w:val="00B77194"/>
    <w:rsid w:val="00B778F4"/>
    <w:rsid w:val="00B8091B"/>
    <w:rsid w:val="00B82395"/>
    <w:rsid w:val="00B82526"/>
    <w:rsid w:val="00B82EB6"/>
    <w:rsid w:val="00B836B7"/>
    <w:rsid w:val="00B83C1F"/>
    <w:rsid w:val="00B84CE0"/>
    <w:rsid w:val="00B84D8C"/>
    <w:rsid w:val="00B85639"/>
    <w:rsid w:val="00B85D26"/>
    <w:rsid w:val="00B8719B"/>
    <w:rsid w:val="00B87B9C"/>
    <w:rsid w:val="00B87EDE"/>
    <w:rsid w:val="00B91C09"/>
    <w:rsid w:val="00B91E5F"/>
    <w:rsid w:val="00B925CD"/>
    <w:rsid w:val="00B92AB7"/>
    <w:rsid w:val="00B93132"/>
    <w:rsid w:val="00B933B0"/>
    <w:rsid w:val="00B93D64"/>
    <w:rsid w:val="00B9471B"/>
    <w:rsid w:val="00B94C72"/>
    <w:rsid w:val="00B96792"/>
    <w:rsid w:val="00B9679E"/>
    <w:rsid w:val="00B96C40"/>
    <w:rsid w:val="00B974A4"/>
    <w:rsid w:val="00B9771D"/>
    <w:rsid w:val="00BA0022"/>
    <w:rsid w:val="00BA04C5"/>
    <w:rsid w:val="00BA115B"/>
    <w:rsid w:val="00BA1E0E"/>
    <w:rsid w:val="00BA2248"/>
    <w:rsid w:val="00BA24D8"/>
    <w:rsid w:val="00BA266F"/>
    <w:rsid w:val="00BA2D66"/>
    <w:rsid w:val="00BA380E"/>
    <w:rsid w:val="00BA43F9"/>
    <w:rsid w:val="00BA4A63"/>
    <w:rsid w:val="00BA4AA0"/>
    <w:rsid w:val="00BA5494"/>
    <w:rsid w:val="00BA586C"/>
    <w:rsid w:val="00BA5B45"/>
    <w:rsid w:val="00BA5B8E"/>
    <w:rsid w:val="00BA7A02"/>
    <w:rsid w:val="00BB1521"/>
    <w:rsid w:val="00BB1A39"/>
    <w:rsid w:val="00BB1C53"/>
    <w:rsid w:val="00BB34E1"/>
    <w:rsid w:val="00BB36D8"/>
    <w:rsid w:val="00BB4B22"/>
    <w:rsid w:val="00BB5B03"/>
    <w:rsid w:val="00BB6859"/>
    <w:rsid w:val="00BB6F3E"/>
    <w:rsid w:val="00BB7E94"/>
    <w:rsid w:val="00BC09F2"/>
    <w:rsid w:val="00BC09FB"/>
    <w:rsid w:val="00BC1123"/>
    <w:rsid w:val="00BC2099"/>
    <w:rsid w:val="00BC26BB"/>
    <w:rsid w:val="00BC2F2B"/>
    <w:rsid w:val="00BC32F1"/>
    <w:rsid w:val="00BC364A"/>
    <w:rsid w:val="00BC39FA"/>
    <w:rsid w:val="00BC3BAD"/>
    <w:rsid w:val="00BC531E"/>
    <w:rsid w:val="00BC6299"/>
    <w:rsid w:val="00BC7EA5"/>
    <w:rsid w:val="00BD075E"/>
    <w:rsid w:val="00BD0901"/>
    <w:rsid w:val="00BD0945"/>
    <w:rsid w:val="00BD13F4"/>
    <w:rsid w:val="00BD202E"/>
    <w:rsid w:val="00BD237B"/>
    <w:rsid w:val="00BD289E"/>
    <w:rsid w:val="00BD386E"/>
    <w:rsid w:val="00BD5AAB"/>
    <w:rsid w:val="00BD65C1"/>
    <w:rsid w:val="00BD7845"/>
    <w:rsid w:val="00BE0040"/>
    <w:rsid w:val="00BE1733"/>
    <w:rsid w:val="00BE1F29"/>
    <w:rsid w:val="00BE214E"/>
    <w:rsid w:val="00BE4ABC"/>
    <w:rsid w:val="00BE4DBF"/>
    <w:rsid w:val="00BE4DC4"/>
    <w:rsid w:val="00BE51F9"/>
    <w:rsid w:val="00BE713B"/>
    <w:rsid w:val="00BF0249"/>
    <w:rsid w:val="00BF03BE"/>
    <w:rsid w:val="00BF25DD"/>
    <w:rsid w:val="00BF4390"/>
    <w:rsid w:val="00BF4BA8"/>
    <w:rsid w:val="00BF52AD"/>
    <w:rsid w:val="00BF5B41"/>
    <w:rsid w:val="00BF5F5F"/>
    <w:rsid w:val="00BF7B30"/>
    <w:rsid w:val="00C00174"/>
    <w:rsid w:val="00C00697"/>
    <w:rsid w:val="00C00AC0"/>
    <w:rsid w:val="00C01CF2"/>
    <w:rsid w:val="00C02547"/>
    <w:rsid w:val="00C03508"/>
    <w:rsid w:val="00C046D8"/>
    <w:rsid w:val="00C04FEE"/>
    <w:rsid w:val="00C05E19"/>
    <w:rsid w:val="00C05EE7"/>
    <w:rsid w:val="00C07880"/>
    <w:rsid w:val="00C07F48"/>
    <w:rsid w:val="00C11A85"/>
    <w:rsid w:val="00C122F6"/>
    <w:rsid w:val="00C12D89"/>
    <w:rsid w:val="00C147FF"/>
    <w:rsid w:val="00C14CEF"/>
    <w:rsid w:val="00C153F4"/>
    <w:rsid w:val="00C161DD"/>
    <w:rsid w:val="00C1638E"/>
    <w:rsid w:val="00C167BF"/>
    <w:rsid w:val="00C16E9D"/>
    <w:rsid w:val="00C2040E"/>
    <w:rsid w:val="00C20452"/>
    <w:rsid w:val="00C20A16"/>
    <w:rsid w:val="00C20CD7"/>
    <w:rsid w:val="00C20E9B"/>
    <w:rsid w:val="00C21CA8"/>
    <w:rsid w:val="00C223F1"/>
    <w:rsid w:val="00C22BCD"/>
    <w:rsid w:val="00C23EE3"/>
    <w:rsid w:val="00C23F80"/>
    <w:rsid w:val="00C240EA"/>
    <w:rsid w:val="00C243EE"/>
    <w:rsid w:val="00C2479F"/>
    <w:rsid w:val="00C24BF9"/>
    <w:rsid w:val="00C25D5E"/>
    <w:rsid w:val="00C2648B"/>
    <w:rsid w:val="00C317F3"/>
    <w:rsid w:val="00C31F35"/>
    <w:rsid w:val="00C33305"/>
    <w:rsid w:val="00C357DD"/>
    <w:rsid w:val="00C35ED6"/>
    <w:rsid w:val="00C362BB"/>
    <w:rsid w:val="00C3753B"/>
    <w:rsid w:val="00C37698"/>
    <w:rsid w:val="00C409EC"/>
    <w:rsid w:val="00C417A8"/>
    <w:rsid w:val="00C41901"/>
    <w:rsid w:val="00C41A06"/>
    <w:rsid w:val="00C436A1"/>
    <w:rsid w:val="00C446F7"/>
    <w:rsid w:val="00C450D1"/>
    <w:rsid w:val="00C4518A"/>
    <w:rsid w:val="00C454B1"/>
    <w:rsid w:val="00C466BA"/>
    <w:rsid w:val="00C47CDB"/>
    <w:rsid w:val="00C52317"/>
    <w:rsid w:val="00C52D06"/>
    <w:rsid w:val="00C5416B"/>
    <w:rsid w:val="00C54809"/>
    <w:rsid w:val="00C565C3"/>
    <w:rsid w:val="00C56687"/>
    <w:rsid w:val="00C57243"/>
    <w:rsid w:val="00C62A12"/>
    <w:rsid w:val="00C633A8"/>
    <w:rsid w:val="00C63B25"/>
    <w:rsid w:val="00C64461"/>
    <w:rsid w:val="00C6519B"/>
    <w:rsid w:val="00C655BB"/>
    <w:rsid w:val="00C65843"/>
    <w:rsid w:val="00C67A64"/>
    <w:rsid w:val="00C67B7C"/>
    <w:rsid w:val="00C71223"/>
    <w:rsid w:val="00C7125A"/>
    <w:rsid w:val="00C71930"/>
    <w:rsid w:val="00C71FF7"/>
    <w:rsid w:val="00C7298A"/>
    <w:rsid w:val="00C72F64"/>
    <w:rsid w:val="00C73C7A"/>
    <w:rsid w:val="00C747FC"/>
    <w:rsid w:val="00C749DE"/>
    <w:rsid w:val="00C74A1D"/>
    <w:rsid w:val="00C75B0D"/>
    <w:rsid w:val="00C76869"/>
    <w:rsid w:val="00C815CF"/>
    <w:rsid w:val="00C83514"/>
    <w:rsid w:val="00C84F1B"/>
    <w:rsid w:val="00C85464"/>
    <w:rsid w:val="00C86233"/>
    <w:rsid w:val="00C86287"/>
    <w:rsid w:val="00C8733E"/>
    <w:rsid w:val="00C90052"/>
    <w:rsid w:val="00C901EF"/>
    <w:rsid w:val="00C91EE9"/>
    <w:rsid w:val="00C93728"/>
    <w:rsid w:val="00C939F3"/>
    <w:rsid w:val="00C9422A"/>
    <w:rsid w:val="00C94448"/>
    <w:rsid w:val="00C95127"/>
    <w:rsid w:val="00C95666"/>
    <w:rsid w:val="00C9567B"/>
    <w:rsid w:val="00C9665B"/>
    <w:rsid w:val="00C97B9C"/>
    <w:rsid w:val="00CA01FF"/>
    <w:rsid w:val="00CA0652"/>
    <w:rsid w:val="00CA0BBF"/>
    <w:rsid w:val="00CA172B"/>
    <w:rsid w:val="00CA3437"/>
    <w:rsid w:val="00CA34B9"/>
    <w:rsid w:val="00CA385D"/>
    <w:rsid w:val="00CA3C7D"/>
    <w:rsid w:val="00CA3E16"/>
    <w:rsid w:val="00CA467A"/>
    <w:rsid w:val="00CA5308"/>
    <w:rsid w:val="00CA5E65"/>
    <w:rsid w:val="00CA685B"/>
    <w:rsid w:val="00CA7DA7"/>
    <w:rsid w:val="00CB0342"/>
    <w:rsid w:val="00CB0CA8"/>
    <w:rsid w:val="00CB0DF1"/>
    <w:rsid w:val="00CB16C5"/>
    <w:rsid w:val="00CB261E"/>
    <w:rsid w:val="00CB2647"/>
    <w:rsid w:val="00CB3523"/>
    <w:rsid w:val="00CB3E09"/>
    <w:rsid w:val="00CB3EF1"/>
    <w:rsid w:val="00CB4936"/>
    <w:rsid w:val="00CB4D99"/>
    <w:rsid w:val="00CB4E15"/>
    <w:rsid w:val="00CB5493"/>
    <w:rsid w:val="00CB5BA2"/>
    <w:rsid w:val="00CB6179"/>
    <w:rsid w:val="00CB6767"/>
    <w:rsid w:val="00CB686E"/>
    <w:rsid w:val="00CB6DB7"/>
    <w:rsid w:val="00CB6DBF"/>
    <w:rsid w:val="00CB7039"/>
    <w:rsid w:val="00CB7095"/>
    <w:rsid w:val="00CB742E"/>
    <w:rsid w:val="00CC0B46"/>
    <w:rsid w:val="00CC1547"/>
    <w:rsid w:val="00CC1B73"/>
    <w:rsid w:val="00CC1FEE"/>
    <w:rsid w:val="00CC2568"/>
    <w:rsid w:val="00CC2A05"/>
    <w:rsid w:val="00CC2A5F"/>
    <w:rsid w:val="00CC2C3F"/>
    <w:rsid w:val="00CC2F96"/>
    <w:rsid w:val="00CC3B07"/>
    <w:rsid w:val="00CC478B"/>
    <w:rsid w:val="00CC5762"/>
    <w:rsid w:val="00CC6604"/>
    <w:rsid w:val="00CC6E10"/>
    <w:rsid w:val="00CC7C39"/>
    <w:rsid w:val="00CC7EC8"/>
    <w:rsid w:val="00CC7F25"/>
    <w:rsid w:val="00CD0ABB"/>
    <w:rsid w:val="00CD1C02"/>
    <w:rsid w:val="00CD1C9E"/>
    <w:rsid w:val="00CD3FE6"/>
    <w:rsid w:val="00CD4401"/>
    <w:rsid w:val="00CD44A6"/>
    <w:rsid w:val="00CD4A29"/>
    <w:rsid w:val="00CD51D7"/>
    <w:rsid w:val="00CD6EF2"/>
    <w:rsid w:val="00CD7DF0"/>
    <w:rsid w:val="00CE00C4"/>
    <w:rsid w:val="00CE0465"/>
    <w:rsid w:val="00CE0EA2"/>
    <w:rsid w:val="00CE15F7"/>
    <w:rsid w:val="00CE2929"/>
    <w:rsid w:val="00CE354A"/>
    <w:rsid w:val="00CE4CA9"/>
    <w:rsid w:val="00CE534B"/>
    <w:rsid w:val="00CE62E8"/>
    <w:rsid w:val="00CE694D"/>
    <w:rsid w:val="00CE6CD6"/>
    <w:rsid w:val="00CE7F3F"/>
    <w:rsid w:val="00CF0037"/>
    <w:rsid w:val="00CF07AF"/>
    <w:rsid w:val="00CF0B8E"/>
    <w:rsid w:val="00CF1DD0"/>
    <w:rsid w:val="00CF1FDF"/>
    <w:rsid w:val="00CF2BFD"/>
    <w:rsid w:val="00CF5013"/>
    <w:rsid w:val="00CF5994"/>
    <w:rsid w:val="00CF59D3"/>
    <w:rsid w:val="00CF5EBB"/>
    <w:rsid w:val="00CF71C1"/>
    <w:rsid w:val="00CF75E2"/>
    <w:rsid w:val="00CF77CF"/>
    <w:rsid w:val="00D02F87"/>
    <w:rsid w:val="00D03AA4"/>
    <w:rsid w:val="00D03E3F"/>
    <w:rsid w:val="00D0402D"/>
    <w:rsid w:val="00D04171"/>
    <w:rsid w:val="00D04653"/>
    <w:rsid w:val="00D06F02"/>
    <w:rsid w:val="00D07F53"/>
    <w:rsid w:val="00D10002"/>
    <w:rsid w:val="00D10367"/>
    <w:rsid w:val="00D10547"/>
    <w:rsid w:val="00D11A68"/>
    <w:rsid w:val="00D11E5B"/>
    <w:rsid w:val="00D121D4"/>
    <w:rsid w:val="00D123F2"/>
    <w:rsid w:val="00D12C9F"/>
    <w:rsid w:val="00D1348C"/>
    <w:rsid w:val="00D13803"/>
    <w:rsid w:val="00D1448F"/>
    <w:rsid w:val="00D15157"/>
    <w:rsid w:val="00D153B2"/>
    <w:rsid w:val="00D157E3"/>
    <w:rsid w:val="00D15F3A"/>
    <w:rsid w:val="00D166DF"/>
    <w:rsid w:val="00D167C6"/>
    <w:rsid w:val="00D16F01"/>
    <w:rsid w:val="00D1799F"/>
    <w:rsid w:val="00D200BB"/>
    <w:rsid w:val="00D201B0"/>
    <w:rsid w:val="00D20D77"/>
    <w:rsid w:val="00D20D93"/>
    <w:rsid w:val="00D20E34"/>
    <w:rsid w:val="00D21DD5"/>
    <w:rsid w:val="00D229FC"/>
    <w:rsid w:val="00D2323E"/>
    <w:rsid w:val="00D259BB"/>
    <w:rsid w:val="00D2607A"/>
    <w:rsid w:val="00D27404"/>
    <w:rsid w:val="00D27844"/>
    <w:rsid w:val="00D306A1"/>
    <w:rsid w:val="00D30ECB"/>
    <w:rsid w:val="00D31632"/>
    <w:rsid w:val="00D31C36"/>
    <w:rsid w:val="00D32B3A"/>
    <w:rsid w:val="00D33066"/>
    <w:rsid w:val="00D33687"/>
    <w:rsid w:val="00D34B90"/>
    <w:rsid w:val="00D35DD1"/>
    <w:rsid w:val="00D36D67"/>
    <w:rsid w:val="00D375FF"/>
    <w:rsid w:val="00D376C7"/>
    <w:rsid w:val="00D37C1F"/>
    <w:rsid w:val="00D37D67"/>
    <w:rsid w:val="00D40C22"/>
    <w:rsid w:val="00D4159D"/>
    <w:rsid w:val="00D4179C"/>
    <w:rsid w:val="00D42423"/>
    <w:rsid w:val="00D42583"/>
    <w:rsid w:val="00D42938"/>
    <w:rsid w:val="00D43026"/>
    <w:rsid w:val="00D437D6"/>
    <w:rsid w:val="00D43956"/>
    <w:rsid w:val="00D45CCE"/>
    <w:rsid w:val="00D45D04"/>
    <w:rsid w:val="00D45EDE"/>
    <w:rsid w:val="00D4655A"/>
    <w:rsid w:val="00D46654"/>
    <w:rsid w:val="00D47A41"/>
    <w:rsid w:val="00D50872"/>
    <w:rsid w:val="00D510DC"/>
    <w:rsid w:val="00D51EB5"/>
    <w:rsid w:val="00D53382"/>
    <w:rsid w:val="00D54201"/>
    <w:rsid w:val="00D554CA"/>
    <w:rsid w:val="00D56913"/>
    <w:rsid w:val="00D56985"/>
    <w:rsid w:val="00D5722F"/>
    <w:rsid w:val="00D57515"/>
    <w:rsid w:val="00D6069F"/>
    <w:rsid w:val="00D6166E"/>
    <w:rsid w:val="00D61ED0"/>
    <w:rsid w:val="00D6274F"/>
    <w:rsid w:val="00D63D16"/>
    <w:rsid w:val="00D63D72"/>
    <w:rsid w:val="00D64352"/>
    <w:rsid w:val="00D65316"/>
    <w:rsid w:val="00D668C6"/>
    <w:rsid w:val="00D67C64"/>
    <w:rsid w:val="00D707F5"/>
    <w:rsid w:val="00D71863"/>
    <w:rsid w:val="00D72163"/>
    <w:rsid w:val="00D7226B"/>
    <w:rsid w:val="00D73787"/>
    <w:rsid w:val="00D73EE7"/>
    <w:rsid w:val="00D7494E"/>
    <w:rsid w:val="00D74A5F"/>
    <w:rsid w:val="00D74D11"/>
    <w:rsid w:val="00D75294"/>
    <w:rsid w:val="00D75422"/>
    <w:rsid w:val="00D767ED"/>
    <w:rsid w:val="00D76904"/>
    <w:rsid w:val="00D80196"/>
    <w:rsid w:val="00D80D4C"/>
    <w:rsid w:val="00D815B1"/>
    <w:rsid w:val="00D83EB1"/>
    <w:rsid w:val="00D85253"/>
    <w:rsid w:val="00D85481"/>
    <w:rsid w:val="00D86386"/>
    <w:rsid w:val="00D90FD7"/>
    <w:rsid w:val="00D9113B"/>
    <w:rsid w:val="00D91E14"/>
    <w:rsid w:val="00D921B6"/>
    <w:rsid w:val="00D923D2"/>
    <w:rsid w:val="00D93167"/>
    <w:rsid w:val="00D93BDE"/>
    <w:rsid w:val="00D94C83"/>
    <w:rsid w:val="00D95E28"/>
    <w:rsid w:val="00D96966"/>
    <w:rsid w:val="00D969C1"/>
    <w:rsid w:val="00D976FC"/>
    <w:rsid w:val="00DA06E2"/>
    <w:rsid w:val="00DA08D7"/>
    <w:rsid w:val="00DA0931"/>
    <w:rsid w:val="00DA15C2"/>
    <w:rsid w:val="00DA205E"/>
    <w:rsid w:val="00DA2ABD"/>
    <w:rsid w:val="00DA2FBB"/>
    <w:rsid w:val="00DA35C6"/>
    <w:rsid w:val="00DA3661"/>
    <w:rsid w:val="00DA4100"/>
    <w:rsid w:val="00DA4389"/>
    <w:rsid w:val="00DA462D"/>
    <w:rsid w:val="00DA4886"/>
    <w:rsid w:val="00DA5465"/>
    <w:rsid w:val="00DA5641"/>
    <w:rsid w:val="00DA5FC5"/>
    <w:rsid w:val="00DA69E9"/>
    <w:rsid w:val="00DA6BF6"/>
    <w:rsid w:val="00DA6C04"/>
    <w:rsid w:val="00DA6CD0"/>
    <w:rsid w:val="00DA7274"/>
    <w:rsid w:val="00DB068F"/>
    <w:rsid w:val="00DB0BC7"/>
    <w:rsid w:val="00DB3110"/>
    <w:rsid w:val="00DB4B0C"/>
    <w:rsid w:val="00DB503D"/>
    <w:rsid w:val="00DB5305"/>
    <w:rsid w:val="00DB57BD"/>
    <w:rsid w:val="00DB5892"/>
    <w:rsid w:val="00DB5CD5"/>
    <w:rsid w:val="00DB6464"/>
    <w:rsid w:val="00DB7078"/>
    <w:rsid w:val="00DB7F8F"/>
    <w:rsid w:val="00DC08E2"/>
    <w:rsid w:val="00DC13A3"/>
    <w:rsid w:val="00DC1AC7"/>
    <w:rsid w:val="00DC1CFA"/>
    <w:rsid w:val="00DC2B58"/>
    <w:rsid w:val="00DC2D23"/>
    <w:rsid w:val="00DC3E84"/>
    <w:rsid w:val="00DC6672"/>
    <w:rsid w:val="00DC6ED4"/>
    <w:rsid w:val="00DC7940"/>
    <w:rsid w:val="00DC79FB"/>
    <w:rsid w:val="00DC7B6D"/>
    <w:rsid w:val="00DC7E88"/>
    <w:rsid w:val="00DD0656"/>
    <w:rsid w:val="00DD0C21"/>
    <w:rsid w:val="00DD410D"/>
    <w:rsid w:val="00DD4386"/>
    <w:rsid w:val="00DD5468"/>
    <w:rsid w:val="00DD5A43"/>
    <w:rsid w:val="00DD71DD"/>
    <w:rsid w:val="00DE0615"/>
    <w:rsid w:val="00DE13DD"/>
    <w:rsid w:val="00DE228B"/>
    <w:rsid w:val="00DE35A8"/>
    <w:rsid w:val="00DE3709"/>
    <w:rsid w:val="00DE3A6F"/>
    <w:rsid w:val="00DE4B56"/>
    <w:rsid w:val="00DE5939"/>
    <w:rsid w:val="00DE5DD9"/>
    <w:rsid w:val="00DE6B6C"/>
    <w:rsid w:val="00DE78B9"/>
    <w:rsid w:val="00DF0ADD"/>
    <w:rsid w:val="00DF185F"/>
    <w:rsid w:val="00DF1ED4"/>
    <w:rsid w:val="00DF24F3"/>
    <w:rsid w:val="00DF2F17"/>
    <w:rsid w:val="00DF2F2C"/>
    <w:rsid w:val="00DF57A9"/>
    <w:rsid w:val="00DF58CF"/>
    <w:rsid w:val="00DF66EA"/>
    <w:rsid w:val="00DF6A75"/>
    <w:rsid w:val="00E01421"/>
    <w:rsid w:val="00E017AD"/>
    <w:rsid w:val="00E01D1E"/>
    <w:rsid w:val="00E01F11"/>
    <w:rsid w:val="00E02EED"/>
    <w:rsid w:val="00E03949"/>
    <w:rsid w:val="00E04219"/>
    <w:rsid w:val="00E04A17"/>
    <w:rsid w:val="00E04C06"/>
    <w:rsid w:val="00E052B5"/>
    <w:rsid w:val="00E06592"/>
    <w:rsid w:val="00E0792E"/>
    <w:rsid w:val="00E07BCF"/>
    <w:rsid w:val="00E07D9D"/>
    <w:rsid w:val="00E07F74"/>
    <w:rsid w:val="00E105B8"/>
    <w:rsid w:val="00E11053"/>
    <w:rsid w:val="00E11750"/>
    <w:rsid w:val="00E1178C"/>
    <w:rsid w:val="00E117BA"/>
    <w:rsid w:val="00E119E3"/>
    <w:rsid w:val="00E11AB8"/>
    <w:rsid w:val="00E12554"/>
    <w:rsid w:val="00E12696"/>
    <w:rsid w:val="00E12982"/>
    <w:rsid w:val="00E14325"/>
    <w:rsid w:val="00E14A4A"/>
    <w:rsid w:val="00E14D0F"/>
    <w:rsid w:val="00E1518A"/>
    <w:rsid w:val="00E17096"/>
    <w:rsid w:val="00E1788D"/>
    <w:rsid w:val="00E178E6"/>
    <w:rsid w:val="00E2138A"/>
    <w:rsid w:val="00E22B1F"/>
    <w:rsid w:val="00E22D00"/>
    <w:rsid w:val="00E256A8"/>
    <w:rsid w:val="00E258B6"/>
    <w:rsid w:val="00E259DC"/>
    <w:rsid w:val="00E25BA3"/>
    <w:rsid w:val="00E25F71"/>
    <w:rsid w:val="00E25FC2"/>
    <w:rsid w:val="00E26A95"/>
    <w:rsid w:val="00E26BF2"/>
    <w:rsid w:val="00E27806"/>
    <w:rsid w:val="00E307E6"/>
    <w:rsid w:val="00E31069"/>
    <w:rsid w:val="00E3123F"/>
    <w:rsid w:val="00E315AB"/>
    <w:rsid w:val="00E318E5"/>
    <w:rsid w:val="00E318EB"/>
    <w:rsid w:val="00E3194E"/>
    <w:rsid w:val="00E31C41"/>
    <w:rsid w:val="00E321A0"/>
    <w:rsid w:val="00E3267C"/>
    <w:rsid w:val="00E3279A"/>
    <w:rsid w:val="00E33083"/>
    <w:rsid w:val="00E33A41"/>
    <w:rsid w:val="00E34516"/>
    <w:rsid w:val="00E34983"/>
    <w:rsid w:val="00E36DF6"/>
    <w:rsid w:val="00E36E6D"/>
    <w:rsid w:val="00E37032"/>
    <w:rsid w:val="00E37822"/>
    <w:rsid w:val="00E37F31"/>
    <w:rsid w:val="00E405E1"/>
    <w:rsid w:val="00E40EE9"/>
    <w:rsid w:val="00E41C8F"/>
    <w:rsid w:val="00E4215E"/>
    <w:rsid w:val="00E42642"/>
    <w:rsid w:val="00E42DD1"/>
    <w:rsid w:val="00E440D0"/>
    <w:rsid w:val="00E450F8"/>
    <w:rsid w:val="00E456E1"/>
    <w:rsid w:val="00E46097"/>
    <w:rsid w:val="00E460E4"/>
    <w:rsid w:val="00E46A18"/>
    <w:rsid w:val="00E4732A"/>
    <w:rsid w:val="00E47AFB"/>
    <w:rsid w:val="00E50A4B"/>
    <w:rsid w:val="00E5107F"/>
    <w:rsid w:val="00E510B5"/>
    <w:rsid w:val="00E513E3"/>
    <w:rsid w:val="00E5164A"/>
    <w:rsid w:val="00E52D1E"/>
    <w:rsid w:val="00E53642"/>
    <w:rsid w:val="00E537EC"/>
    <w:rsid w:val="00E539E3"/>
    <w:rsid w:val="00E54FC5"/>
    <w:rsid w:val="00E55768"/>
    <w:rsid w:val="00E55D2C"/>
    <w:rsid w:val="00E56351"/>
    <w:rsid w:val="00E56FE4"/>
    <w:rsid w:val="00E61025"/>
    <w:rsid w:val="00E61228"/>
    <w:rsid w:val="00E6150F"/>
    <w:rsid w:val="00E61BD8"/>
    <w:rsid w:val="00E62078"/>
    <w:rsid w:val="00E62605"/>
    <w:rsid w:val="00E626F9"/>
    <w:rsid w:val="00E62C10"/>
    <w:rsid w:val="00E63053"/>
    <w:rsid w:val="00E63057"/>
    <w:rsid w:val="00E63C95"/>
    <w:rsid w:val="00E65756"/>
    <w:rsid w:val="00E658E5"/>
    <w:rsid w:val="00E65C04"/>
    <w:rsid w:val="00E67A94"/>
    <w:rsid w:val="00E70266"/>
    <w:rsid w:val="00E70572"/>
    <w:rsid w:val="00E70AC1"/>
    <w:rsid w:val="00E70E98"/>
    <w:rsid w:val="00E71DDB"/>
    <w:rsid w:val="00E72600"/>
    <w:rsid w:val="00E74A80"/>
    <w:rsid w:val="00E7502B"/>
    <w:rsid w:val="00E75123"/>
    <w:rsid w:val="00E7555C"/>
    <w:rsid w:val="00E75743"/>
    <w:rsid w:val="00E75B34"/>
    <w:rsid w:val="00E76039"/>
    <w:rsid w:val="00E762C4"/>
    <w:rsid w:val="00E76479"/>
    <w:rsid w:val="00E7655E"/>
    <w:rsid w:val="00E76802"/>
    <w:rsid w:val="00E77131"/>
    <w:rsid w:val="00E77B65"/>
    <w:rsid w:val="00E82BBD"/>
    <w:rsid w:val="00E832AD"/>
    <w:rsid w:val="00E833AB"/>
    <w:rsid w:val="00E83CED"/>
    <w:rsid w:val="00E84320"/>
    <w:rsid w:val="00E85791"/>
    <w:rsid w:val="00E85B5D"/>
    <w:rsid w:val="00E86EC6"/>
    <w:rsid w:val="00E86F4A"/>
    <w:rsid w:val="00E8792E"/>
    <w:rsid w:val="00E9075E"/>
    <w:rsid w:val="00E91161"/>
    <w:rsid w:val="00E9117F"/>
    <w:rsid w:val="00E91276"/>
    <w:rsid w:val="00E91833"/>
    <w:rsid w:val="00E91F68"/>
    <w:rsid w:val="00E91F96"/>
    <w:rsid w:val="00E934F3"/>
    <w:rsid w:val="00E9497E"/>
    <w:rsid w:val="00E96018"/>
    <w:rsid w:val="00E960D9"/>
    <w:rsid w:val="00E96495"/>
    <w:rsid w:val="00E96717"/>
    <w:rsid w:val="00E97A86"/>
    <w:rsid w:val="00EA07D5"/>
    <w:rsid w:val="00EA0927"/>
    <w:rsid w:val="00EA0F48"/>
    <w:rsid w:val="00EA3546"/>
    <w:rsid w:val="00EA3B35"/>
    <w:rsid w:val="00EA3DE2"/>
    <w:rsid w:val="00EA4223"/>
    <w:rsid w:val="00EA4373"/>
    <w:rsid w:val="00EA4623"/>
    <w:rsid w:val="00EA49D5"/>
    <w:rsid w:val="00EA4D4E"/>
    <w:rsid w:val="00EA4E6D"/>
    <w:rsid w:val="00EA552E"/>
    <w:rsid w:val="00EA5F91"/>
    <w:rsid w:val="00EA6536"/>
    <w:rsid w:val="00EA6992"/>
    <w:rsid w:val="00EA6FC2"/>
    <w:rsid w:val="00EA714B"/>
    <w:rsid w:val="00EA75E5"/>
    <w:rsid w:val="00EA77EA"/>
    <w:rsid w:val="00EA7C38"/>
    <w:rsid w:val="00EA7E32"/>
    <w:rsid w:val="00EB0302"/>
    <w:rsid w:val="00EB0BA6"/>
    <w:rsid w:val="00EB11DB"/>
    <w:rsid w:val="00EB3619"/>
    <w:rsid w:val="00EB3E23"/>
    <w:rsid w:val="00EB47F7"/>
    <w:rsid w:val="00EB4C38"/>
    <w:rsid w:val="00EB5301"/>
    <w:rsid w:val="00EB562E"/>
    <w:rsid w:val="00EB6503"/>
    <w:rsid w:val="00EB7260"/>
    <w:rsid w:val="00EB759E"/>
    <w:rsid w:val="00EB75AE"/>
    <w:rsid w:val="00EC0338"/>
    <w:rsid w:val="00EC0B4A"/>
    <w:rsid w:val="00EC0FA1"/>
    <w:rsid w:val="00EC11A5"/>
    <w:rsid w:val="00EC2CFF"/>
    <w:rsid w:val="00EC377F"/>
    <w:rsid w:val="00EC407E"/>
    <w:rsid w:val="00EC43A9"/>
    <w:rsid w:val="00EC539C"/>
    <w:rsid w:val="00EC5CC9"/>
    <w:rsid w:val="00EC606E"/>
    <w:rsid w:val="00EC64EC"/>
    <w:rsid w:val="00ED021E"/>
    <w:rsid w:val="00ED128E"/>
    <w:rsid w:val="00ED15B2"/>
    <w:rsid w:val="00ED180D"/>
    <w:rsid w:val="00ED1A48"/>
    <w:rsid w:val="00ED1B2A"/>
    <w:rsid w:val="00ED2369"/>
    <w:rsid w:val="00ED262A"/>
    <w:rsid w:val="00ED2BB3"/>
    <w:rsid w:val="00ED3112"/>
    <w:rsid w:val="00ED3906"/>
    <w:rsid w:val="00ED3D53"/>
    <w:rsid w:val="00ED45C9"/>
    <w:rsid w:val="00ED5BA4"/>
    <w:rsid w:val="00ED610A"/>
    <w:rsid w:val="00ED701E"/>
    <w:rsid w:val="00ED7FC7"/>
    <w:rsid w:val="00EE0F78"/>
    <w:rsid w:val="00EE2389"/>
    <w:rsid w:val="00EE28F9"/>
    <w:rsid w:val="00EE32CC"/>
    <w:rsid w:val="00EE3400"/>
    <w:rsid w:val="00EE3E41"/>
    <w:rsid w:val="00EE49A2"/>
    <w:rsid w:val="00EE535C"/>
    <w:rsid w:val="00EE644C"/>
    <w:rsid w:val="00EE64CB"/>
    <w:rsid w:val="00EE7911"/>
    <w:rsid w:val="00EF0251"/>
    <w:rsid w:val="00EF0745"/>
    <w:rsid w:val="00EF1693"/>
    <w:rsid w:val="00EF2240"/>
    <w:rsid w:val="00EF2620"/>
    <w:rsid w:val="00EF34CE"/>
    <w:rsid w:val="00EF40AF"/>
    <w:rsid w:val="00EF50EB"/>
    <w:rsid w:val="00EF5E71"/>
    <w:rsid w:val="00EF6787"/>
    <w:rsid w:val="00EF733F"/>
    <w:rsid w:val="00F0061F"/>
    <w:rsid w:val="00F0080D"/>
    <w:rsid w:val="00F00A36"/>
    <w:rsid w:val="00F00F70"/>
    <w:rsid w:val="00F0180C"/>
    <w:rsid w:val="00F01D81"/>
    <w:rsid w:val="00F0298A"/>
    <w:rsid w:val="00F0457A"/>
    <w:rsid w:val="00F049C5"/>
    <w:rsid w:val="00F05C6C"/>
    <w:rsid w:val="00F066F1"/>
    <w:rsid w:val="00F06B3D"/>
    <w:rsid w:val="00F1016F"/>
    <w:rsid w:val="00F1046A"/>
    <w:rsid w:val="00F11EA8"/>
    <w:rsid w:val="00F11F0D"/>
    <w:rsid w:val="00F12BE9"/>
    <w:rsid w:val="00F13D4B"/>
    <w:rsid w:val="00F149D0"/>
    <w:rsid w:val="00F14C38"/>
    <w:rsid w:val="00F153CE"/>
    <w:rsid w:val="00F15E16"/>
    <w:rsid w:val="00F167FF"/>
    <w:rsid w:val="00F17B30"/>
    <w:rsid w:val="00F203B0"/>
    <w:rsid w:val="00F20853"/>
    <w:rsid w:val="00F229A9"/>
    <w:rsid w:val="00F22AF5"/>
    <w:rsid w:val="00F23019"/>
    <w:rsid w:val="00F25B0B"/>
    <w:rsid w:val="00F2680C"/>
    <w:rsid w:val="00F269C5"/>
    <w:rsid w:val="00F26B3A"/>
    <w:rsid w:val="00F27085"/>
    <w:rsid w:val="00F27839"/>
    <w:rsid w:val="00F302A7"/>
    <w:rsid w:val="00F3062E"/>
    <w:rsid w:val="00F3139A"/>
    <w:rsid w:val="00F3140D"/>
    <w:rsid w:val="00F31BF8"/>
    <w:rsid w:val="00F3264E"/>
    <w:rsid w:val="00F33EEE"/>
    <w:rsid w:val="00F34141"/>
    <w:rsid w:val="00F342BE"/>
    <w:rsid w:val="00F342D3"/>
    <w:rsid w:val="00F34C90"/>
    <w:rsid w:val="00F34DA4"/>
    <w:rsid w:val="00F3583E"/>
    <w:rsid w:val="00F35A8C"/>
    <w:rsid w:val="00F3723E"/>
    <w:rsid w:val="00F378E2"/>
    <w:rsid w:val="00F40B3E"/>
    <w:rsid w:val="00F410EA"/>
    <w:rsid w:val="00F41190"/>
    <w:rsid w:val="00F41699"/>
    <w:rsid w:val="00F4176D"/>
    <w:rsid w:val="00F41EA6"/>
    <w:rsid w:val="00F4245C"/>
    <w:rsid w:val="00F434BD"/>
    <w:rsid w:val="00F43636"/>
    <w:rsid w:val="00F4374E"/>
    <w:rsid w:val="00F43B3E"/>
    <w:rsid w:val="00F43DF2"/>
    <w:rsid w:val="00F43EF5"/>
    <w:rsid w:val="00F4571B"/>
    <w:rsid w:val="00F45C7A"/>
    <w:rsid w:val="00F45FB0"/>
    <w:rsid w:val="00F46909"/>
    <w:rsid w:val="00F46F94"/>
    <w:rsid w:val="00F50079"/>
    <w:rsid w:val="00F504A3"/>
    <w:rsid w:val="00F532FD"/>
    <w:rsid w:val="00F53ED2"/>
    <w:rsid w:val="00F53FFE"/>
    <w:rsid w:val="00F5478F"/>
    <w:rsid w:val="00F5485E"/>
    <w:rsid w:val="00F567AA"/>
    <w:rsid w:val="00F57CC3"/>
    <w:rsid w:val="00F607BA"/>
    <w:rsid w:val="00F61790"/>
    <w:rsid w:val="00F629BD"/>
    <w:rsid w:val="00F62AB8"/>
    <w:rsid w:val="00F62D69"/>
    <w:rsid w:val="00F63264"/>
    <w:rsid w:val="00F64CF3"/>
    <w:rsid w:val="00F65134"/>
    <w:rsid w:val="00F67B41"/>
    <w:rsid w:val="00F67BF8"/>
    <w:rsid w:val="00F70157"/>
    <w:rsid w:val="00F702A1"/>
    <w:rsid w:val="00F70502"/>
    <w:rsid w:val="00F706B6"/>
    <w:rsid w:val="00F71495"/>
    <w:rsid w:val="00F71617"/>
    <w:rsid w:val="00F7228F"/>
    <w:rsid w:val="00F72DC9"/>
    <w:rsid w:val="00F73036"/>
    <w:rsid w:val="00F73BDF"/>
    <w:rsid w:val="00F73D94"/>
    <w:rsid w:val="00F73ED4"/>
    <w:rsid w:val="00F74345"/>
    <w:rsid w:val="00F75A07"/>
    <w:rsid w:val="00F763A7"/>
    <w:rsid w:val="00F768D0"/>
    <w:rsid w:val="00F80B63"/>
    <w:rsid w:val="00F81709"/>
    <w:rsid w:val="00F81CE2"/>
    <w:rsid w:val="00F821BC"/>
    <w:rsid w:val="00F8255F"/>
    <w:rsid w:val="00F83747"/>
    <w:rsid w:val="00F83B2B"/>
    <w:rsid w:val="00F84028"/>
    <w:rsid w:val="00F843F1"/>
    <w:rsid w:val="00F86000"/>
    <w:rsid w:val="00F87638"/>
    <w:rsid w:val="00F905A2"/>
    <w:rsid w:val="00F9096B"/>
    <w:rsid w:val="00F91A07"/>
    <w:rsid w:val="00F91B16"/>
    <w:rsid w:val="00F93A03"/>
    <w:rsid w:val="00F93AD2"/>
    <w:rsid w:val="00F948ED"/>
    <w:rsid w:val="00F9490D"/>
    <w:rsid w:val="00F9566D"/>
    <w:rsid w:val="00F95DD2"/>
    <w:rsid w:val="00FA037C"/>
    <w:rsid w:val="00FA133D"/>
    <w:rsid w:val="00FA179C"/>
    <w:rsid w:val="00FA29BF"/>
    <w:rsid w:val="00FA3B42"/>
    <w:rsid w:val="00FA3C76"/>
    <w:rsid w:val="00FA44A3"/>
    <w:rsid w:val="00FA475F"/>
    <w:rsid w:val="00FA4DCB"/>
    <w:rsid w:val="00FA6586"/>
    <w:rsid w:val="00FA67EA"/>
    <w:rsid w:val="00FA7C66"/>
    <w:rsid w:val="00FB073D"/>
    <w:rsid w:val="00FB08D4"/>
    <w:rsid w:val="00FB152F"/>
    <w:rsid w:val="00FB16A7"/>
    <w:rsid w:val="00FB213C"/>
    <w:rsid w:val="00FB2892"/>
    <w:rsid w:val="00FB2DF3"/>
    <w:rsid w:val="00FB3B2F"/>
    <w:rsid w:val="00FB3BF1"/>
    <w:rsid w:val="00FB4100"/>
    <w:rsid w:val="00FB4695"/>
    <w:rsid w:val="00FB4A5C"/>
    <w:rsid w:val="00FB4B20"/>
    <w:rsid w:val="00FB4E95"/>
    <w:rsid w:val="00FB5F5D"/>
    <w:rsid w:val="00FB668D"/>
    <w:rsid w:val="00FB7976"/>
    <w:rsid w:val="00FC0309"/>
    <w:rsid w:val="00FC086A"/>
    <w:rsid w:val="00FC1F02"/>
    <w:rsid w:val="00FC1F50"/>
    <w:rsid w:val="00FC319B"/>
    <w:rsid w:val="00FC3381"/>
    <w:rsid w:val="00FC3B8E"/>
    <w:rsid w:val="00FC422D"/>
    <w:rsid w:val="00FC4D5B"/>
    <w:rsid w:val="00FC4E31"/>
    <w:rsid w:val="00FC4EB0"/>
    <w:rsid w:val="00FC587B"/>
    <w:rsid w:val="00FC6000"/>
    <w:rsid w:val="00FC7C02"/>
    <w:rsid w:val="00FC7C3A"/>
    <w:rsid w:val="00FD0716"/>
    <w:rsid w:val="00FD0996"/>
    <w:rsid w:val="00FD0C9D"/>
    <w:rsid w:val="00FD1782"/>
    <w:rsid w:val="00FD19E6"/>
    <w:rsid w:val="00FD1B23"/>
    <w:rsid w:val="00FD5021"/>
    <w:rsid w:val="00FD51F9"/>
    <w:rsid w:val="00FD5723"/>
    <w:rsid w:val="00FD689E"/>
    <w:rsid w:val="00FD6DC1"/>
    <w:rsid w:val="00FD6FF5"/>
    <w:rsid w:val="00FD71B4"/>
    <w:rsid w:val="00FD73B3"/>
    <w:rsid w:val="00FE2F33"/>
    <w:rsid w:val="00FE3035"/>
    <w:rsid w:val="00FE3203"/>
    <w:rsid w:val="00FE3877"/>
    <w:rsid w:val="00FE3F07"/>
    <w:rsid w:val="00FE4C14"/>
    <w:rsid w:val="00FE5078"/>
    <w:rsid w:val="00FE52B2"/>
    <w:rsid w:val="00FE5553"/>
    <w:rsid w:val="00FE56B6"/>
    <w:rsid w:val="00FE5F45"/>
    <w:rsid w:val="00FE6EE9"/>
    <w:rsid w:val="00FE7A5E"/>
    <w:rsid w:val="00FF08DB"/>
    <w:rsid w:val="00FF0F44"/>
    <w:rsid w:val="00FF0F7E"/>
    <w:rsid w:val="00FF13E0"/>
    <w:rsid w:val="00FF1467"/>
    <w:rsid w:val="00FF1AA3"/>
    <w:rsid w:val="00FF2643"/>
    <w:rsid w:val="00FF2FF7"/>
    <w:rsid w:val="00FF3F52"/>
    <w:rsid w:val="00FF45CB"/>
    <w:rsid w:val="00FF54F5"/>
    <w:rsid w:val="00FF5D4A"/>
    <w:rsid w:val="00FF6018"/>
    <w:rsid w:val="00FF63F2"/>
    <w:rsid w:val="00FF6B59"/>
    <w:rsid w:val="00FF77EB"/>
    <w:rsid w:val="00FF7870"/>
    <w:rsid w:val="00FF7D91"/>
    <w:rsid w:val="0101DFF7"/>
    <w:rsid w:val="030DB175"/>
    <w:rsid w:val="04A5FA03"/>
    <w:rsid w:val="0949494D"/>
    <w:rsid w:val="0B1ECF53"/>
    <w:rsid w:val="0E401BE5"/>
    <w:rsid w:val="0E6C8BF5"/>
    <w:rsid w:val="0F8EF5D0"/>
    <w:rsid w:val="102D27B7"/>
    <w:rsid w:val="1249B43C"/>
    <w:rsid w:val="1584882E"/>
    <w:rsid w:val="1934A926"/>
    <w:rsid w:val="19796D44"/>
    <w:rsid w:val="1A5885E9"/>
    <w:rsid w:val="1AB16762"/>
    <w:rsid w:val="1B3EB3F2"/>
    <w:rsid w:val="1C10B5E7"/>
    <w:rsid w:val="1EB178E7"/>
    <w:rsid w:val="1EC47693"/>
    <w:rsid w:val="208696FA"/>
    <w:rsid w:val="2311E84F"/>
    <w:rsid w:val="2342A26E"/>
    <w:rsid w:val="2380E63B"/>
    <w:rsid w:val="23E9822F"/>
    <w:rsid w:val="25D0DD4B"/>
    <w:rsid w:val="2696CBD3"/>
    <w:rsid w:val="297FB6FD"/>
    <w:rsid w:val="299C1120"/>
    <w:rsid w:val="2F2B6A98"/>
    <w:rsid w:val="3045F5E8"/>
    <w:rsid w:val="36C2F809"/>
    <w:rsid w:val="36CE0462"/>
    <w:rsid w:val="370CC5C5"/>
    <w:rsid w:val="38201EF5"/>
    <w:rsid w:val="3D4B35CF"/>
    <w:rsid w:val="3E19E5D3"/>
    <w:rsid w:val="3EF14CC8"/>
    <w:rsid w:val="3F4A37AF"/>
    <w:rsid w:val="3FCDA288"/>
    <w:rsid w:val="40EF7D3F"/>
    <w:rsid w:val="42A88B5E"/>
    <w:rsid w:val="4337C095"/>
    <w:rsid w:val="4D2AED61"/>
    <w:rsid w:val="4DBC7179"/>
    <w:rsid w:val="4EA4B789"/>
    <w:rsid w:val="50A0E7E1"/>
    <w:rsid w:val="532611AB"/>
    <w:rsid w:val="538CDF61"/>
    <w:rsid w:val="54720DB5"/>
    <w:rsid w:val="5851BCE0"/>
    <w:rsid w:val="5B1A9AF7"/>
    <w:rsid w:val="5C7D526B"/>
    <w:rsid w:val="5EE10748"/>
    <w:rsid w:val="5F9B2476"/>
    <w:rsid w:val="604C25C7"/>
    <w:rsid w:val="637064DD"/>
    <w:rsid w:val="64BB561F"/>
    <w:rsid w:val="65EAA8EE"/>
    <w:rsid w:val="6A07DEF0"/>
    <w:rsid w:val="6B397595"/>
    <w:rsid w:val="6CB067D0"/>
    <w:rsid w:val="6E7C3A11"/>
    <w:rsid w:val="6F59E78A"/>
    <w:rsid w:val="72A05A89"/>
    <w:rsid w:val="74272B9D"/>
    <w:rsid w:val="74F88673"/>
    <w:rsid w:val="791BFA48"/>
    <w:rsid w:val="79B927A2"/>
    <w:rsid w:val="7A5B3E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DD5E01F4-30D7-4A91-A824-C0D90ACD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uiPriority="2" w:qFormat="1"/>
    <w:lsdException w:name="heading 3"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CB2647"/>
    <w:pPr>
      <w:spacing w:after="120" w:line="240" w:lineRule="auto"/>
    </w:pPr>
    <w:rPr>
      <w:sz w:val="20"/>
    </w:rPr>
  </w:style>
  <w:style w:type="paragraph" w:styleId="Heading1">
    <w:name w:val="heading 1"/>
    <w:basedOn w:val="Normal"/>
    <w:next w:val="Normal"/>
    <w:link w:val="Heading1Char"/>
    <w:uiPriority w:val="1"/>
    <w:qFormat/>
    <w:rsid w:val="00CB2647"/>
    <w:pPr>
      <w:keepNext/>
      <w:widowControl w:val="0"/>
      <w:numPr>
        <w:numId w:val="1"/>
      </w:numPr>
      <w:overflowPunct w:val="0"/>
      <w:autoSpaceDE w:val="0"/>
      <w:autoSpaceDN w:val="0"/>
      <w:adjustRightInd w:val="0"/>
      <w:spacing w:before="240"/>
      <w:ind w:left="567" w:hanging="567"/>
      <w:textAlignment w:val="baseline"/>
      <w:outlineLvl w:val="0"/>
    </w:pPr>
    <w:rPr>
      <w:rFonts w:eastAsia="Times New Roman" w:cs="Arial"/>
      <w:b/>
      <w:bCs/>
      <w:kern w:val="32"/>
      <w:sz w:val="22"/>
      <w:szCs w:val="20"/>
    </w:rPr>
  </w:style>
  <w:style w:type="paragraph" w:styleId="Heading2">
    <w:name w:val="heading 2"/>
    <w:basedOn w:val="Normal"/>
    <w:next w:val="Normal"/>
    <w:link w:val="Heading2Char"/>
    <w:uiPriority w:val="2"/>
    <w:qFormat/>
    <w:rsid w:val="00CB2647"/>
    <w:pPr>
      <w:outlineLvl w:val="1"/>
    </w:pPr>
    <w:rPr>
      <w:b/>
    </w:rPr>
  </w:style>
  <w:style w:type="paragraph" w:styleId="Heading3">
    <w:name w:val="heading 3"/>
    <w:basedOn w:val="Normal"/>
    <w:next w:val="Normal"/>
    <w:link w:val="Heading3Char"/>
    <w:uiPriority w:val="3"/>
    <w:qFormat/>
    <w:rsid w:val="00DA7274"/>
    <w:pPr>
      <w:keepNext/>
      <w:keepLines/>
      <w:outlineLvl w:val="2"/>
    </w:pPr>
    <w:rPr>
      <w:rFonts w:asciiTheme="majorHAnsi" w:eastAsiaTheme="majorEastAsia" w:hAnsiTheme="majorHAnsi" w:cstheme="majorBidi"/>
      <w:color w:val="130024" w:themeColor="accent1" w:themeShade="7F"/>
      <w:szCs w:val="24"/>
      <w:u w:val="single"/>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styleId="ListParagraph">
    <w:name w:val="List Paragraph"/>
    <w:basedOn w:val="Normal"/>
    <w:uiPriority w:val="34"/>
    <w:semiHidden/>
    <w:qFormat/>
    <w:rsid w:val="00904935"/>
    <w:pPr>
      <w:ind w:left="720"/>
      <w:contextualSpacing/>
    </w:pPr>
  </w:style>
  <w:style w:type="paragraph" w:styleId="TOC1">
    <w:name w:val="toc 1"/>
    <w:basedOn w:val="Normal"/>
    <w:next w:val="Normal"/>
    <w:autoRedefine/>
    <w:uiPriority w:val="39"/>
    <w:unhideWhenUsed/>
    <w:rsid w:val="00DC6672"/>
    <w:pPr>
      <w:tabs>
        <w:tab w:val="left" w:pos="440"/>
        <w:tab w:val="right" w:leader="dot" w:pos="7854"/>
      </w:tabs>
    </w:pPr>
    <w:rPr>
      <w:rFonts w:eastAsiaTheme="minorEastAsia"/>
      <w:noProof/>
      <w:kern w:val="2"/>
      <w:lang w:eastAsia="en-GB"/>
      <w14:ligatures w14:val="standardContextual"/>
    </w:rPr>
  </w:style>
  <w:style w:type="character" w:customStyle="1" w:styleId="Heading2Char">
    <w:name w:val="Heading 2 Char"/>
    <w:basedOn w:val="DefaultParagraphFont"/>
    <w:link w:val="Heading2"/>
    <w:uiPriority w:val="2"/>
    <w:rsid w:val="00CB2647"/>
    <w:rPr>
      <w:b/>
      <w:sz w:val="20"/>
    </w:rPr>
  </w:style>
  <w:style w:type="character" w:customStyle="1" w:styleId="Heading1Char">
    <w:name w:val="Heading 1 Char"/>
    <w:basedOn w:val="DefaultParagraphFont"/>
    <w:link w:val="Heading1"/>
    <w:uiPriority w:val="1"/>
    <w:rsid w:val="00CB2647"/>
    <w:rPr>
      <w:rFonts w:eastAsia="Times New Roman" w:cs="Arial"/>
      <w:b/>
      <w:bCs/>
      <w:kern w:val="32"/>
      <w:szCs w:val="20"/>
    </w:rPr>
  </w:style>
  <w:style w:type="paragraph" w:styleId="NoSpacing">
    <w:name w:val="No Spacing"/>
    <w:basedOn w:val="Normal"/>
    <w:link w:val="NoSpacingChar"/>
    <w:uiPriority w:val="1"/>
    <w:unhideWhenUsed/>
    <w:qFormat/>
    <w:rsid w:val="001563BB"/>
  </w:style>
  <w:style w:type="paragraph" w:styleId="FootnoteText">
    <w:name w:val="footnote text"/>
    <w:basedOn w:val="Normal"/>
    <w:link w:val="FootnoteTextChar"/>
    <w:uiPriority w:val="99"/>
    <w:unhideWhenUsed/>
    <w:rsid w:val="0038388A"/>
    <w:rPr>
      <w:rFonts w:ascii="Myriad Pro" w:eastAsia="Times New Roman" w:hAnsi="Myriad Pro" w:cs="Times New Roman"/>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character" w:customStyle="1" w:styleId="NoSpacingChar">
    <w:name w:val="No Spacing Char"/>
    <w:link w:val="NoSpacing"/>
    <w:uiPriority w:val="1"/>
    <w:locked/>
    <w:rsid w:val="001563BB"/>
    <w:rPr>
      <w:sz w:val="20"/>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character" w:styleId="CommentReference">
    <w:name w:val="annotation reference"/>
    <w:basedOn w:val="DefaultParagraphFont"/>
    <w:uiPriority w:val="99"/>
    <w:semiHidden/>
    <w:unhideWhenUsed/>
    <w:rsid w:val="00D63D72"/>
    <w:rPr>
      <w:sz w:val="16"/>
      <w:szCs w:val="16"/>
    </w:rPr>
  </w:style>
  <w:style w:type="paragraph" w:styleId="CommentText">
    <w:name w:val="annotation text"/>
    <w:basedOn w:val="Normal"/>
    <w:link w:val="CommentTextChar"/>
    <w:uiPriority w:val="99"/>
    <w:unhideWhenUsed/>
    <w:rsid w:val="00D63D72"/>
    <w:rPr>
      <w:szCs w:val="20"/>
    </w:rPr>
  </w:style>
  <w:style w:type="character" w:customStyle="1" w:styleId="CommentTextChar">
    <w:name w:val="Comment Text Char"/>
    <w:basedOn w:val="DefaultParagraphFont"/>
    <w:link w:val="CommentText"/>
    <w:uiPriority w:val="99"/>
    <w:rsid w:val="00D63D72"/>
    <w:rPr>
      <w:sz w:val="20"/>
      <w:szCs w:val="20"/>
    </w:rPr>
  </w:style>
  <w:style w:type="paragraph" w:styleId="CommentSubject">
    <w:name w:val="annotation subject"/>
    <w:basedOn w:val="CommentText"/>
    <w:next w:val="CommentText"/>
    <w:link w:val="CommentSubjectChar"/>
    <w:uiPriority w:val="99"/>
    <w:semiHidden/>
    <w:unhideWhenUsed/>
    <w:rsid w:val="00D63D72"/>
    <w:rPr>
      <w:b/>
      <w:bCs/>
    </w:rPr>
  </w:style>
  <w:style w:type="character" w:customStyle="1" w:styleId="CommentSubjectChar">
    <w:name w:val="Comment Subject Char"/>
    <w:basedOn w:val="CommentTextChar"/>
    <w:link w:val="CommentSubject"/>
    <w:uiPriority w:val="99"/>
    <w:semiHidden/>
    <w:rsid w:val="00D63D72"/>
    <w:rPr>
      <w:b/>
      <w:bCs/>
      <w:sz w:val="20"/>
      <w:szCs w:val="20"/>
    </w:rPr>
  </w:style>
  <w:style w:type="character" w:styleId="FootnoteReference">
    <w:name w:val="footnote reference"/>
    <w:basedOn w:val="DefaultParagraphFont"/>
    <w:uiPriority w:val="99"/>
    <w:semiHidden/>
    <w:unhideWhenUsed/>
    <w:rsid w:val="008361B6"/>
    <w:rPr>
      <w:vertAlign w:val="superscript"/>
    </w:rPr>
  </w:style>
  <w:style w:type="paragraph" w:styleId="EndnoteText">
    <w:name w:val="endnote text"/>
    <w:basedOn w:val="Normal"/>
    <w:link w:val="EndnoteTextChar"/>
    <w:uiPriority w:val="99"/>
    <w:semiHidden/>
    <w:unhideWhenUsed/>
    <w:rsid w:val="00E9075E"/>
    <w:rPr>
      <w:szCs w:val="20"/>
    </w:rPr>
  </w:style>
  <w:style w:type="character" w:customStyle="1" w:styleId="EndnoteTextChar">
    <w:name w:val="Endnote Text Char"/>
    <w:basedOn w:val="DefaultParagraphFont"/>
    <w:link w:val="EndnoteText"/>
    <w:uiPriority w:val="99"/>
    <w:semiHidden/>
    <w:rsid w:val="00E9075E"/>
    <w:rPr>
      <w:sz w:val="20"/>
      <w:szCs w:val="20"/>
    </w:rPr>
  </w:style>
  <w:style w:type="character" w:styleId="EndnoteReference">
    <w:name w:val="endnote reference"/>
    <w:basedOn w:val="DefaultParagraphFont"/>
    <w:uiPriority w:val="99"/>
    <w:semiHidden/>
    <w:unhideWhenUsed/>
    <w:rsid w:val="00E9075E"/>
    <w:rPr>
      <w:vertAlign w:val="superscript"/>
    </w:rPr>
  </w:style>
  <w:style w:type="paragraph" w:customStyle="1" w:styleId="Bullet">
    <w:name w:val="Bullet"/>
    <w:basedOn w:val="BodyText"/>
    <w:uiPriority w:val="8"/>
    <w:qFormat/>
    <w:rsid w:val="005138FF"/>
    <w:pPr>
      <w:numPr>
        <w:numId w:val="6"/>
      </w:numPr>
      <w:spacing w:before="170" w:line="260" w:lineRule="exact"/>
      <w:ind w:left="567" w:hanging="283"/>
    </w:pPr>
    <w:rPr>
      <w:color w:val="auto"/>
    </w:rPr>
  </w:style>
  <w:style w:type="paragraph" w:customStyle="1" w:styleId="BulletLevel3">
    <w:name w:val="Bullet Level 3"/>
    <w:basedOn w:val="Bullet"/>
    <w:uiPriority w:val="11"/>
    <w:qFormat/>
    <w:rsid w:val="00F46909"/>
    <w:pPr>
      <w:numPr>
        <w:ilvl w:val="3"/>
      </w:numPr>
    </w:pPr>
  </w:style>
  <w:style w:type="paragraph" w:customStyle="1" w:styleId="DashLevel3">
    <w:name w:val="Dash Level 3"/>
    <w:basedOn w:val="Bullet"/>
    <w:uiPriority w:val="12"/>
    <w:qFormat/>
    <w:rsid w:val="00F46909"/>
    <w:pPr>
      <w:numPr>
        <w:ilvl w:val="4"/>
      </w:numPr>
      <w:spacing w:before="50"/>
      <w:ind w:left="1899"/>
    </w:pPr>
  </w:style>
  <w:style w:type="table" w:customStyle="1" w:styleId="CCCTable">
    <w:name w:val="CCC Table"/>
    <w:basedOn w:val="TableNormal"/>
    <w:uiPriority w:val="99"/>
    <w:rsid w:val="002479A5"/>
    <w:pPr>
      <w:spacing w:after="0" w:line="240" w:lineRule="auto"/>
    </w:pPr>
    <w:rPr>
      <w:sz w:val="18"/>
    </w:rPr>
    <w:tblPr>
      <w:tblStyleRowBandSize w:val="1"/>
      <w:tblInd w:w="-2608" w:type="dxa"/>
      <w:tblBorders>
        <w:top w:val="single" w:sz="4" w:space="0" w:color="280049"/>
        <w:left w:val="single" w:sz="4" w:space="0" w:color="280049"/>
        <w:bottom w:val="single" w:sz="4" w:space="0" w:color="280049"/>
        <w:right w:val="single" w:sz="4" w:space="0" w:color="280049"/>
        <w:insideH w:val="single" w:sz="4" w:space="0" w:color="280049"/>
        <w:insideV w:val="single" w:sz="4" w:space="0" w:color="280049"/>
      </w:tblBorders>
    </w:tblPr>
    <w:tcPr>
      <w:tcMar>
        <w:top w:w="0" w:type="dxa"/>
        <w:left w:w="85" w:type="dxa"/>
        <w:bottom w:w="0" w:type="dxa"/>
        <w:right w:w="85" w:type="dxa"/>
      </w:tcMar>
    </w:tcPr>
    <w:tblStylePr w:type="firstRow">
      <w:pPr>
        <w:jc w:val="left"/>
      </w:pPr>
      <w:rPr>
        <w:rFonts w:asciiTheme="minorHAnsi" w:hAnsiTheme="minorHAnsi"/>
        <w:color w:val="FFFFFF" w:themeColor="background1"/>
        <w:sz w:val="18"/>
      </w:rPr>
      <w:tblPr/>
      <w:tcPr>
        <w:shd w:val="clear" w:color="auto" w:fill="280049"/>
        <w:vAlign w:val="center"/>
      </w:tcPr>
    </w:tblStylePr>
    <w:tblStylePr w:type="firstCol">
      <w:rPr>
        <w:rFonts w:asciiTheme="minorHAnsi" w:hAnsiTheme="minorHAnsi"/>
        <w:b/>
        <w:color w:val="FFFFFF" w:themeColor="background1"/>
        <w:sz w:val="18"/>
      </w:rPr>
      <w:tblPr/>
      <w:tcPr>
        <w:shd w:val="clear" w:color="auto" w:fill="7142FF"/>
      </w:tcPr>
    </w:tblStylePr>
    <w:tblStylePr w:type="band1Horz">
      <w:pPr>
        <w:jc w:val="left"/>
      </w:pPr>
      <w:rPr>
        <w:rFonts w:asciiTheme="minorHAnsi" w:hAnsiTheme="minorHAnsi"/>
        <w:color w:val="280049" w:themeColor="text1"/>
        <w:sz w:val="18"/>
      </w:rPr>
      <w:tblPr/>
      <w:tcPr>
        <w:shd w:val="clear" w:color="auto" w:fill="FFFFFF" w:themeFill="background1"/>
      </w:tcPr>
    </w:tblStylePr>
    <w:tblStylePr w:type="band2Horz">
      <w:pPr>
        <w:jc w:val="left"/>
      </w:pPr>
      <w:rPr>
        <w:rFonts w:asciiTheme="minorHAnsi" w:hAnsiTheme="minorHAnsi"/>
        <w:sz w:val="18"/>
      </w:rPr>
      <w:tblPr/>
      <w:tcPr>
        <w:shd w:val="clear" w:color="auto" w:fill="FFFFFF" w:themeFill="background1"/>
      </w:tcPr>
    </w:tblStylePr>
  </w:style>
  <w:style w:type="table" w:styleId="TableGridLight">
    <w:name w:val="Grid Table Light"/>
    <w:basedOn w:val="TableNormal"/>
    <w:uiPriority w:val="40"/>
    <w:rsid w:val="004E4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D15F3A"/>
    <w:pPr>
      <w:keepLines/>
      <w:spacing w:after="0" w:line="259" w:lineRule="auto"/>
      <w:outlineLvl w:val="9"/>
    </w:pPr>
    <w:rPr>
      <w:rFonts w:asciiTheme="majorHAnsi" w:eastAsiaTheme="majorEastAsia" w:hAnsiTheme="majorHAnsi" w:cstheme="majorBidi"/>
      <w:b w:val="0"/>
      <w:bCs w:val="0"/>
      <w:color w:val="1D0036" w:themeColor="accent1" w:themeShade="BF"/>
      <w:kern w:val="0"/>
      <w:sz w:val="32"/>
      <w:lang w:val="en-US"/>
    </w:rPr>
  </w:style>
  <w:style w:type="character" w:styleId="Hyperlink">
    <w:name w:val="Hyperlink"/>
    <w:basedOn w:val="DefaultParagraphFont"/>
    <w:uiPriority w:val="99"/>
    <w:unhideWhenUsed/>
    <w:rsid w:val="00D15F3A"/>
    <w:rPr>
      <w:color w:val="000000" w:themeColor="hyperlink"/>
      <w:u w:val="single"/>
    </w:rPr>
  </w:style>
  <w:style w:type="character" w:styleId="UnresolvedMention">
    <w:name w:val="Unresolved Mention"/>
    <w:basedOn w:val="DefaultParagraphFont"/>
    <w:uiPriority w:val="99"/>
    <w:semiHidden/>
    <w:unhideWhenUsed/>
    <w:rsid w:val="00944AFF"/>
    <w:rPr>
      <w:color w:val="605E5C"/>
      <w:shd w:val="clear" w:color="auto" w:fill="E1DFDD"/>
    </w:rPr>
  </w:style>
  <w:style w:type="paragraph" w:styleId="Revision">
    <w:name w:val="Revision"/>
    <w:hidden/>
    <w:uiPriority w:val="99"/>
    <w:semiHidden/>
    <w:rsid w:val="004E7939"/>
    <w:pPr>
      <w:spacing w:after="0" w:line="240" w:lineRule="auto"/>
    </w:pPr>
  </w:style>
  <w:style w:type="character" w:styleId="Mention">
    <w:name w:val="Mention"/>
    <w:basedOn w:val="DefaultParagraphFont"/>
    <w:uiPriority w:val="99"/>
    <w:unhideWhenUsed/>
    <w:rsid w:val="0003440F"/>
    <w:rPr>
      <w:color w:val="2B579A"/>
      <w:shd w:val="clear" w:color="auto" w:fill="E1DFDD"/>
    </w:rPr>
  </w:style>
  <w:style w:type="paragraph" w:customStyle="1" w:styleId="TableText">
    <w:name w:val="Table Text"/>
    <w:basedOn w:val="Normal"/>
    <w:qFormat/>
    <w:rsid w:val="00DE5939"/>
    <w:pPr>
      <w:spacing w:line="254" w:lineRule="auto"/>
    </w:pPr>
    <w:rPr>
      <w:sz w:val="18"/>
      <w:szCs w:val="20"/>
    </w:rPr>
  </w:style>
  <w:style w:type="paragraph" w:customStyle="1" w:styleId="TableBullet">
    <w:name w:val="Table Bullet"/>
    <w:basedOn w:val="Normal"/>
    <w:qFormat/>
    <w:rsid w:val="00561318"/>
    <w:pPr>
      <w:numPr>
        <w:numId w:val="27"/>
      </w:numPr>
      <w:spacing w:line="254" w:lineRule="auto"/>
    </w:pPr>
    <w:rPr>
      <w:sz w:val="18"/>
      <w:szCs w:val="20"/>
    </w:rPr>
  </w:style>
  <w:style w:type="paragraph" w:customStyle="1" w:styleId="TableBulletLevel2">
    <w:name w:val="Table Bullet Level 2"/>
    <w:basedOn w:val="Normal"/>
    <w:qFormat/>
    <w:rsid w:val="00561318"/>
    <w:pPr>
      <w:numPr>
        <w:ilvl w:val="1"/>
        <w:numId w:val="27"/>
      </w:numPr>
      <w:spacing w:line="254" w:lineRule="auto"/>
    </w:pPr>
    <w:rPr>
      <w:sz w:val="18"/>
      <w:szCs w:val="20"/>
    </w:rPr>
  </w:style>
  <w:style w:type="numbering" w:customStyle="1" w:styleId="Style1">
    <w:name w:val="Style1"/>
    <w:uiPriority w:val="99"/>
    <w:rsid w:val="00907928"/>
  </w:style>
  <w:style w:type="character" w:customStyle="1" w:styleId="Heading3Char">
    <w:name w:val="Heading 3 Char"/>
    <w:basedOn w:val="DefaultParagraphFont"/>
    <w:link w:val="Heading3"/>
    <w:uiPriority w:val="3"/>
    <w:rsid w:val="00DA7274"/>
    <w:rPr>
      <w:rFonts w:asciiTheme="majorHAnsi" w:eastAsiaTheme="majorEastAsia" w:hAnsiTheme="majorHAnsi" w:cstheme="majorBidi"/>
      <w:color w:val="130024" w:themeColor="accent1" w:themeShade="7F"/>
      <w:sz w:val="2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1898">
      <w:bodyDiv w:val="1"/>
      <w:marLeft w:val="0"/>
      <w:marRight w:val="0"/>
      <w:marTop w:val="0"/>
      <w:marBottom w:val="0"/>
      <w:divBdr>
        <w:top w:val="none" w:sz="0" w:space="0" w:color="auto"/>
        <w:left w:val="none" w:sz="0" w:space="0" w:color="auto"/>
        <w:bottom w:val="none" w:sz="0" w:space="0" w:color="auto"/>
        <w:right w:val="none" w:sz="0" w:space="0" w:color="auto"/>
      </w:divBdr>
    </w:div>
    <w:div w:id="310595992">
      <w:bodyDiv w:val="1"/>
      <w:marLeft w:val="0"/>
      <w:marRight w:val="0"/>
      <w:marTop w:val="0"/>
      <w:marBottom w:val="0"/>
      <w:divBdr>
        <w:top w:val="none" w:sz="0" w:space="0" w:color="auto"/>
        <w:left w:val="none" w:sz="0" w:space="0" w:color="auto"/>
        <w:bottom w:val="none" w:sz="0" w:space="0" w:color="auto"/>
        <w:right w:val="none" w:sz="0" w:space="0" w:color="auto"/>
      </w:divBdr>
    </w:div>
    <w:div w:id="999891640">
      <w:bodyDiv w:val="1"/>
      <w:marLeft w:val="0"/>
      <w:marRight w:val="0"/>
      <w:marTop w:val="0"/>
      <w:marBottom w:val="0"/>
      <w:divBdr>
        <w:top w:val="none" w:sz="0" w:space="0" w:color="auto"/>
        <w:left w:val="none" w:sz="0" w:space="0" w:color="auto"/>
        <w:bottom w:val="none" w:sz="0" w:space="0" w:color="auto"/>
        <w:right w:val="none" w:sz="0" w:space="0" w:color="auto"/>
      </w:divBdr>
    </w:div>
    <w:div w:id="1451241592">
      <w:bodyDiv w:val="1"/>
      <w:marLeft w:val="0"/>
      <w:marRight w:val="0"/>
      <w:marTop w:val="0"/>
      <w:marBottom w:val="0"/>
      <w:divBdr>
        <w:top w:val="none" w:sz="0" w:space="0" w:color="auto"/>
        <w:left w:val="none" w:sz="0" w:space="0" w:color="auto"/>
        <w:bottom w:val="none" w:sz="0" w:space="0" w:color="auto"/>
        <w:right w:val="none" w:sz="0" w:space="0" w:color="auto"/>
      </w:divBdr>
    </w:div>
    <w:div w:id="2013333356">
      <w:bodyDiv w:val="1"/>
      <w:marLeft w:val="0"/>
      <w:marRight w:val="0"/>
      <w:marTop w:val="0"/>
      <w:marBottom w:val="0"/>
      <w:divBdr>
        <w:top w:val="none" w:sz="0" w:space="0" w:color="auto"/>
        <w:left w:val="none" w:sz="0" w:space="0" w:color="auto"/>
        <w:bottom w:val="none" w:sz="0" w:space="0" w:color="auto"/>
        <w:right w:val="none" w:sz="0" w:space="0" w:color="auto"/>
      </w:divBdr>
      <w:divsChild>
        <w:div w:id="849563480">
          <w:marLeft w:val="0"/>
          <w:marRight w:val="0"/>
          <w:marTop w:val="0"/>
          <w:marBottom w:val="0"/>
          <w:divBdr>
            <w:top w:val="none" w:sz="0" w:space="0" w:color="auto"/>
            <w:left w:val="none" w:sz="0" w:space="0" w:color="auto"/>
            <w:bottom w:val="none" w:sz="0" w:space="0" w:color="auto"/>
            <w:right w:val="none" w:sz="0" w:space="0" w:color="auto"/>
          </w:divBdr>
        </w:div>
        <w:div w:id="1382943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AE414A8CEE1D4CAC43A1CA9D885973" ma:contentTypeVersion="24" ma:contentTypeDescription="Create a new document." ma:contentTypeScope="" ma:versionID="3d538cd4dcd122028bb99c32e3c5e5f8">
  <xsd:schema xmlns:xsd="http://www.w3.org/2001/XMLSchema" xmlns:xs="http://www.w3.org/2001/XMLSchema" xmlns:p="http://schemas.microsoft.com/office/2006/metadata/properties" xmlns:ns1="http://schemas.microsoft.com/sharepoint/v3" xmlns:ns2="662745e8-e224-48e8-a2e3-254862b8c2f5" xmlns:ns3="7a4ed3e5-8539-4056-add8-8824f7d44d37" xmlns:ns4="3964904f-5f85-4184-bdfc-bbe062de5a69" targetNamespace="http://schemas.microsoft.com/office/2006/metadata/properties" ma:root="true" ma:fieldsID="1a8b1b88c91daa5e8ca444e17daf461d" ns1:_="" ns2:_="" ns3:_="" ns4:_="">
    <xsd:import namespace="http://schemas.microsoft.com/sharepoint/v3"/>
    <xsd:import namespace="662745e8-e224-48e8-a2e3-254862b8c2f5"/>
    <xsd:import namespace="7a4ed3e5-8539-4056-add8-8824f7d44d3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Mitig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ed3e5-8539-4056-add8-8824f7d44d3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41" nillable="true" ma:displayName="Location"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7a4ed3e5-8539-4056-add8-8824f7d44d37">
      <Terms xmlns="http://schemas.microsoft.com/office/infopath/2007/PartnerControls"/>
    </lcf76f155ced4ddcb4097134ff3c332f>
    <SharedWithUsers xmlns="3964904f-5f85-4184-bdfc-bbe062de5a69">
      <UserInfo>
        <DisplayName>Deonarine, Ramesh</DisplayName>
        <AccountId>688</AccountId>
        <AccountType/>
      </UserInfo>
      <UserInfo>
        <DisplayName>Gemma Holmes</DisplayName>
        <AccountId>49</AccountId>
        <AccountType/>
      </UserInfo>
      <UserInfo>
        <DisplayName>Shears, Olivia</DisplayName>
        <AccountId>517</AccountId>
        <AccountType/>
      </UserInfo>
      <UserInfo>
        <DisplayName>Millar, Richard</DisplayName>
        <AccountId>66</AccountId>
        <AccountType/>
      </UserInfo>
      <UserInfo>
        <DisplayName>Rayner, Simon</DisplayName>
        <AccountId>77</AccountId>
        <AccountType/>
      </UserInfo>
      <UserInfo>
        <DisplayName>Shepheard, Marcus</DisplayName>
        <AccountId>110</AccountId>
        <AccountType/>
      </UserInfo>
      <UserInfo>
        <DisplayName>Harris, Esther</DisplayName>
        <AccountId>1173</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2.xml><?xml version="1.0" encoding="utf-8"?>
<ds:datastoreItem xmlns:ds="http://schemas.openxmlformats.org/officeDocument/2006/customXml" ds:itemID="{9CF1E5C8-E673-42EB-B4EE-86898560EF4A}">
  <ds:schemaRefs>
    <ds:schemaRef ds:uri="http://schemas.openxmlformats.org/officeDocument/2006/bibliography"/>
  </ds:schemaRefs>
</ds:datastoreItem>
</file>

<file path=customXml/itemProps3.xml><?xml version="1.0" encoding="utf-8"?>
<ds:datastoreItem xmlns:ds="http://schemas.openxmlformats.org/officeDocument/2006/customXml" ds:itemID="{FA6443E3-1BE9-407C-A283-AAE77778C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7a4ed3e5-8539-4056-add8-8824f7d44d3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CEFFA-25AB-4D29-B990-B3631CBFECDD}">
  <ds:schemaRefs>
    <ds:schemaRef ds:uri="http://schemas.microsoft.com/office/2006/metadata/properties"/>
    <ds:schemaRef ds:uri="http://schemas.microsoft.com/office/infopath/2007/PartnerControls"/>
    <ds:schemaRef ds:uri="662745e8-e224-48e8-a2e3-254862b8c2f5"/>
    <ds:schemaRef ds:uri="http://schemas.microsoft.com/sharepoint/v3"/>
    <ds:schemaRef ds:uri="7a4ed3e5-8539-4056-add8-8824f7d44d37"/>
    <ds:schemaRef ds:uri="3964904f-5f85-4184-bdfc-bbe062de5a69"/>
  </ds:schemaRefs>
</ds:datastoreItem>
</file>

<file path=customXml/itemProps5.xml><?xml version="1.0" encoding="utf-8"?>
<ds:datastoreItem xmlns:ds="http://schemas.openxmlformats.org/officeDocument/2006/customXml" ds:itemID="{AF906C18-91CC-4CAD-A452-5789FE3F3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4776</Words>
  <Characters>27224</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2</cp:revision>
  <cp:lastPrinted>2023-10-12T08:51:00Z</cp:lastPrinted>
  <dcterms:created xsi:type="dcterms:W3CDTF">2024-01-18T13:40:00Z</dcterms:created>
  <dcterms:modified xsi:type="dcterms:W3CDTF">2024-01-18T13:40:00Z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0x010100A5BF1C78D9F64B679A5EBDE1C6598EBC01000DAE414A8CEE1D4CAC43A1CA9D885973</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