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75B" w:rsidRDefault="00DF475B">
      <w:pPr>
        <w:keepNext/>
        <w:pBdr>
          <w:top w:val="nil"/>
          <w:left w:val="nil"/>
          <w:bottom w:val="nil"/>
          <w:right w:val="nil"/>
          <w:between w:val="nil"/>
        </w:pBdr>
        <w:spacing w:after="240" w:line="240" w:lineRule="auto"/>
        <w:rPr>
          <w:rFonts w:ascii="Arial" w:eastAsia="Arial" w:hAnsi="Arial" w:cs="Arial"/>
          <w:b/>
          <w:color w:val="000000"/>
          <w:sz w:val="36"/>
          <w:szCs w:val="36"/>
        </w:rPr>
      </w:pPr>
      <w:bookmarkStart w:id="0" w:name="_GoBack"/>
      <w:bookmarkEnd w:id="0"/>
    </w:p>
    <w:p w:rsidR="00DF475B" w:rsidRDefault="00334A8A">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t>Order Schedule 14 (Service Levels)</w:t>
      </w:r>
    </w:p>
    <w:p w:rsidR="00DF475B" w:rsidRDefault="00334A8A">
      <w:pPr>
        <w:numPr>
          <w:ilvl w:val="0"/>
          <w:numId w:val="2"/>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rsidR="00DF475B" w:rsidRDefault="00334A8A">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363" w:type="dxa"/>
        <w:tblInd w:w="959" w:type="dxa"/>
        <w:tblLayout w:type="fixed"/>
        <w:tblLook w:val="0400" w:firstRow="0" w:lastRow="0" w:firstColumn="0" w:lastColumn="0" w:noHBand="0" w:noVBand="1"/>
      </w:tblPr>
      <w:tblGrid>
        <w:gridCol w:w="2410"/>
        <w:gridCol w:w="5953"/>
      </w:tblGrid>
      <w:tr w:rsidR="00DF475B">
        <w:tc>
          <w:tcPr>
            <w:tcW w:w="2410" w:type="dxa"/>
            <w:shd w:val="clear" w:color="auto" w:fill="auto"/>
          </w:tcPr>
          <w:p w:rsidR="00DF475B" w:rsidRDefault="00DF475B">
            <w:pPr>
              <w:pBdr>
                <w:top w:val="nil"/>
                <w:left w:val="nil"/>
                <w:bottom w:val="nil"/>
                <w:right w:val="nil"/>
                <w:between w:val="nil"/>
              </w:pBdr>
              <w:spacing w:after="120" w:line="240" w:lineRule="auto"/>
              <w:ind w:left="-108"/>
              <w:rPr>
                <w:rFonts w:ascii="Arial" w:eastAsia="Arial" w:hAnsi="Arial" w:cs="Arial"/>
                <w:b/>
                <w:color w:val="000000"/>
                <w:sz w:val="24"/>
                <w:szCs w:val="24"/>
              </w:rPr>
            </w:pPr>
          </w:p>
          <w:p w:rsidR="00DF475B" w:rsidRDefault="00334A8A">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“Critical Service Level Failure”</w:t>
            </w:r>
          </w:p>
        </w:tc>
        <w:tc>
          <w:tcPr>
            <w:tcW w:w="5953" w:type="dxa"/>
            <w:shd w:val="clear" w:color="auto" w:fill="auto"/>
          </w:tcPr>
          <w:p w:rsidR="00DF475B" w:rsidRDefault="00DF475B">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p>
          <w:p w:rsidR="00DF475B" w:rsidRDefault="00334A8A">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DF475B">
        <w:tc>
          <w:tcPr>
            <w:tcW w:w="2410" w:type="dxa"/>
            <w:shd w:val="clear" w:color="auto" w:fill="auto"/>
          </w:tcPr>
          <w:p w:rsidR="00DF475B" w:rsidRDefault="00334A8A">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Credits"</w:t>
            </w:r>
          </w:p>
        </w:tc>
        <w:tc>
          <w:tcPr>
            <w:tcW w:w="5953" w:type="dxa"/>
            <w:shd w:val="clear" w:color="auto" w:fill="auto"/>
          </w:tcPr>
          <w:p w:rsidR="00DF475B" w:rsidRDefault="00334A8A">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DF475B">
        <w:trPr>
          <w:trHeight w:val="359"/>
        </w:trPr>
        <w:tc>
          <w:tcPr>
            <w:tcW w:w="2410" w:type="dxa"/>
            <w:shd w:val="clear" w:color="auto" w:fill="auto"/>
          </w:tcPr>
          <w:p w:rsidR="00DF475B" w:rsidRDefault="00334A8A">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 Cap"</w:t>
            </w:r>
          </w:p>
        </w:tc>
        <w:tc>
          <w:tcPr>
            <w:tcW w:w="5953" w:type="dxa"/>
            <w:shd w:val="clear" w:color="auto" w:fill="auto"/>
          </w:tcPr>
          <w:p w:rsidR="00DF475B" w:rsidRDefault="00334A8A">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DF475B">
        <w:tc>
          <w:tcPr>
            <w:tcW w:w="2410" w:type="dxa"/>
            <w:shd w:val="clear" w:color="auto" w:fill="auto"/>
          </w:tcPr>
          <w:p w:rsidR="00DF475B" w:rsidRDefault="00334A8A">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Failure"</w:t>
            </w:r>
          </w:p>
        </w:tc>
        <w:tc>
          <w:tcPr>
            <w:tcW w:w="5953" w:type="dxa"/>
            <w:shd w:val="clear" w:color="auto" w:fill="auto"/>
          </w:tcPr>
          <w:p w:rsidR="00DF475B" w:rsidRDefault="00334A8A">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means a failure to meet the Service Level Performance Measure in respect of a Service Level;</w:t>
            </w:r>
          </w:p>
        </w:tc>
      </w:tr>
      <w:tr w:rsidR="00DF475B">
        <w:tc>
          <w:tcPr>
            <w:tcW w:w="2410" w:type="dxa"/>
            <w:shd w:val="clear" w:color="auto" w:fill="auto"/>
          </w:tcPr>
          <w:p w:rsidR="00DF475B" w:rsidRDefault="00334A8A">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Performance Measure"</w:t>
            </w:r>
          </w:p>
        </w:tc>
        <w:tc>
          <w:tcPr>
            <w:tcW w:w="5953" w:type="dxa"/>
            <w:shd w:val="clear" w:color="auto" w:fill="auto"/>
          </w:tcPr>
          <w:p w:rsidR="00DF475B" w:rsidRDefault="00334A8A">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 and</w:t>
            </w:r>
          </w:p>
        </w:tc>
      </w:tr>
      <w:tr w:rsidR="00DF475B">
        <w:tc>
          <w:tcPr>
            <w:tcW w:w="2410" w:type="dxa"/>
            <w:shd w:val="clear" w:color="auto" w:fill="auto"/>
          </w:tcPr>
          <w:p w:rsidR="00DF475B" w:rsidRDefault="00334A8A">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Threshold"</w:t>
            </w:r>
          </w:p>
        </w:tc>
        <w:tc>
          <w:tcPr>
            <w:tcW w:w="5953" w:type="dxa"/>
            <w:shd w:val="clear" w:color="auto" w:fill="auto"/>
          </w:tcPr>
          <w:p w:rsidR="00DF475B" w:rsidRDefault="00334A8A">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w:t>
            </w:r>
          </w:p>
        </w:tc>
      </w:tr>
    </w:tbl>
    <w:p w:rsidR="00DF475B" w:rsidRDefault="00334A8A">
      <w:pPr>
        <w:numPr>
          <w:ilvl w:val="0"/>
          <w:numId w:val="2"/>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you don’t meet the Service Levels</w:t>
      </w:r>
    </w:p>
    <w:p w:rsidR="00DF475B" w:rsidRDefault="00334A8A">
      <w:pPr>
        <w:numPr>
          <w:ilvl w:val="1"/>
          <w:numId w:val="2"/>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Supplier shall at all times provide the Deliverables to meet or exceed the Service Level Performance Measure for each Service Level.</w:t>
      </w:r>
    </w:p>
    <w:p w:rsidR="00DF475B" w:rsidRDefault="00334A8A">
      <w:pPr>
        <w:numPr>
          <w:ilvl w:val="1"/>
          <w:numId w:val="2"/>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Supplier acknowledges that any Service Level Failure shall entitl</w:t>
      </w:r>
      <w:r>
        <w:rPr>
          <w:rFonts w:ascii="Arial" w:eastAsia="Arial" w:hAnsi="Arial" w:cs="Arial"/>
          <w:color w:val="000000"/>
          <w:sz w:val="24"/>
          <w:szCs w:val="24"/>
        </w:rPr>
        <w:t>e the Buyer to the rights set out in Part A of this Schedule including the right to any Service Credits and that any Service Credit is a price adjustment and not an estimate of the Loss that may be suffered by the Buyer as a result of the Supplier’s failur</w:t>
      </w:r>
      <w:r>
        <w:rPr>
          <w:rFonts w:ascii="Arial" w:eastAsia="Arial" w:hAnsi="Arial" w:cs="Arial"/>
          <w:color w:val="000000"/>
          <w:sz w:val="24"/>
          <w:szCs w:val="24"/>
        </w:rPr>
        <w:t>e to meet any Service Level Performance Measure.</w:t>
      </w:r>
    </w:p>
    <w:p w:rsidR="00DF475B" w:rsidRDefault="00334A8A">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rsidR="00DF475B" w:rsidRDefault="00334A8A">
      <w:pPr>
        <w:numPr>
          <w:ilvl w:val="1"/>
          <w:numId w:val="2"/>
        </w:numPr>
        <w:pBdr>
          <w:top w:val="nil"/>
          <w:left w:val="nil"/>
          <w:bottom w:val="nil"/>
          <w:right w:val="nil"/>
          <w:between w:val="nil"/>
        </w:pBdr>
        <w:spacing w:before="120" w:after="120" w:line="240" w:lineRule="auto"/>
        <w:rPr>
          <w:rFonts w:ascii="Arial" w:eastAsia="Arial" w:hAnsi="Arial" w:cs="Arial"/>
          <w:b/>
          <w:color w:val="000000"/>
          <w:sz w:val="24"/>
          <w:szCs w:val="24"/>
        </w:rPr>
      </w:pPr>
      <w:bookmarkStart w:id="1" w:name="_heading=h.gjdgxs" w:colFirst="0" w:colLast="0"/>
      <w:bookmarkEnd w:id="1"/>
      <w:r>
        <w:rPr>
          <w:rFonts w:ascii="Arial" w:eastAsia="Arial" w:hAnsi="Arial" w:cs="Arial"/>
          <w:color w:val="000000"/>
          <w:sz w:val="24"/>
          <w:szCs w:val="24"/>
        </w:rPr>
        <w:t>A Service Credit shall be the Buyer’s exclusive financial remedy for a Service Level Failure except where:</w:t>
      </w:r>
    </w:p>
    <w:p w:rsidR="00DF475B" w:rsidRDefault="00334A8A">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has over the previous (twelve) 12 Month period exceeded the Service Credit Cap; and/or</w:t>
      </w:r>
    </w:p>
    <w:p w:rsidR="00DF475B" w:rsidRDefault="00334A8A">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Service Level Failure:</w:t>
      </w:r>
    </w:p>
    <w:p w:rsidR="00DF475B" w:rsidRDefault="00334A8A">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exceeds the relevant Service Level Threshold;</w:t>
      </w:r>
    </w:p>
    <w:p w:rsidR="00DF475B" w:rsidRDefault="00334A8A">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has arisen due to a Prohibited Act or wilful Default by the Supplier; </w:t>
      </w:r>
    </w:p>
    <w:p w:rsidR="00DF475B" w:rsidRDefault="00334A8A">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corruption or loss of any Government Data; and/or</w:t>
      </w:r>
    </w:p>
    <w:p w:rsidR="00DF475B" w:rsidRDefault="00334A8A">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results in the Buyer being required to make a compensation payment to one </w:t>
      </w:r>
      <w:r>
        <w:rPr>
          <w:rFonts w:ascii="Arial" w:eastAsia="Arial" w:hAnsi="Arial" w:cs="Arial"/>
          <w:color w:val="000000"/>
          <w:sz w:val="24"/>
          <w:szCs w:val="24"/>
        </w:rPr>
        <w:t>or more third parties; and/or</w:t>
      </w:r>
    </w:p>
    <w:p w:rsidR="00DF475B" w:rsidRDefault="00334A8A">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is otherwise entitled to or does terminate this Contract pursuant to Clause 10.4 (CCS and Buyer Termination Rights).</w:t>
      </w:r>
    </w:p>
    <w:p w:rsidR="00DF475B" w:rsidRDefault="00334A8A">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Not more than once in each Contract Year, the Buyer may, on giving the Supplier at least three (3) </w:t>
      </w:r>
      <w:r>
        <w:rPr>
          <w:rFonts w:ascii="Arial" w:eastAsia="Arial" w:hAnsi="Arial" w:cs="Arial"/>
          <w:color w:val="000000"/>
          <w:sz w:val="24"/>
          <w:szCs w:val="24"/>
        </w:rPr>
        <w:t>Months’ notice, change the weighting of Service Level Performance Measure in respect of one or more Service Levels and the Supplier shall not be entitled to object to, or increase the Charges as a result of such changes, provided that:</w:t>
      </w:r>
    </w:p>
    <w:p w:rsidR="00DF475B" w:rsidRDefault="00334A8A">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total number of </w:t>
      </w:r>
      <w:r>
        <w:rPr>
          <w:rFonts w:ascii="Arial" w:eastAsia="Arial" w:hAnsi="Arial" w:cs="Arial"/>
          <w:color w:val="000000"/>
          <w:sz w:val="24"/>
          <w:szCs w:val="24"/>
        </w:rPr>
        <w:t xml:space="preserve">Service Levels for which the weighting is to be changed does not exceed the number applicable as at the Start Date; </w:t>
      </w:r>
    </w:p>
    <w:p w:rsidR="00DF475B" w:rsidRDefault="00334A8A">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principal purpose of the change is to reflect changes in the Buyer's business requirements and/or priorities or to reflect changing ind</w:t>
      </w:r>
      <w:r>
        <w:rPr>
          <w:rFonts w:ascii="Arial" w:eastAsia="Arial" w:hAnsi="Arial" w:cs="Arial"/>
          <w:color w:val="000000"/>
          <w:sz w:val="24"/>
          <w:szCs w:val="24"/>
        </w:rPr>
        <w:t>ustry standards; and</w:t>
      </w:r>
    </w:p>
    <w:p w:rsidR="00DF475B" w:rsidRDefault="00334A8A">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there is no change to the Service Credit Cap.</w:t>
      </w:r>
    </w:p>
    <w:p w:rsidR="00DF475B" w:rsidRDefault="00334A8A">
      <w:pPr>
        <w:numPr>
          <w:ilvl w:val="0"/>
          <w:numId w:val="2"/>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Critical Service Level Failure</w:t>
      </w:r>
    </w:p>
    <w:p w:rsidR="00DF475B" w:rsidRDefault="00334A8A">
      <w:pPr>
        <w:pBdr>
          <w:top w:val="nil"/>
          <w:left w:val="nil"/>
          <w:bottom w:val="nil"/>
          <w:right w:val="nil"/>
          <w:between w:val="nil"/>
        </w:pBdr>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On the occurrence of a Critical Service Level Failure:</w:t>
      </w:r>
    </w:p>
    <w:p w:rsidR="00DF475B" w:rsidRDefault="00334A8A">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that would otherwise have accrued during the relevant Service Period shall not accrue; and</w:t>
      </w:r>
    </w:p>
    <w:p w:rsidR="00DF475B" w:rsidRDefault="00334A8A">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(subject to the Service Credit Cap) be entitled to withhold and retain as compensation a sum equal to any Charges which would oth</w:t>
      </w:r>
      <w:r>
        <w:rPr>
          <w:rFonts w:ascii="Arial" w:eastAsia="Arial" w:hAnsi="Arial" w:cs="Arial"/>
          <w:color w:val="000000"/>
          <w:sz w:val="24"/>
          <w:szCs w:val="24"/>
        </w:rPr>
        <w:t>erwise have been due to the Supplier in respect of that Service Period ("</w:t>
      </w:r>
      <w:r>
        <w:rPr>
          <w:rFonts w:ascii="Arial" w:eastAsia="Arial" w:hAnsi="Arial" w:cs="Arial"/>
          <w:b/>
          <w:color w:val="000000"/>
          <w:sz w:val="24"/>
          <w:szCs w:val="24"/>
        </w:rPr>
        <w:t>Compensation for Critical Service Level Failure</w:t>
      </w:r>
      <w:r>
        <w:rPr>
          <w:rFonts w:ascii="Arial" w:eastAsia="Arial" w:hAnsi="Arial" w:cs="Arial"/>
          <w:color w:val="000000"/>
          <w:sz w:val="24"/>
          <w:szCs w:val="24"/>
        </w:rPr>
        <w:t>"),</w:t>
      </w:r>
    </w:p>
    <w:p w:rsidR="00DF475B" w:rsidRDefault="00334A8A">
      <w:pPr>
        <w:pBdr>
          <w:top w:val="nil"/>
          <w:left w:val="nil"/>
          <w:bottom w:val="nil"/>
          <w:right w:val="nil"/>
          <w:between w:val="nil"/>
        </w:pBdr>
        <w:tabs>
          <w:tab w:val="left" w:pos="3402"/>
        </w:tabs>
        <w:spacing w:after="220" w:line="240" w:lineRule="auto"/>
        <w:ind w:left="720"/>
        <w:rPr>
          <w:rFonts w:ascii="Arial" w:eastAsia="Arial" w:hAnsi="Arial" w:cs="Arial"/>
          <w:color w:val="000000"/>
          <w:sz w:val="24"/>
          <w:szCs w:val="24"/>
        </w:rPr>
      </w:pPr>
      <w:r>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rsidR="00DF475B" w:rsidRDefault="00DF475B">
      <w:pPr>
        <w:pBdr>
          <w:top w:val="nil"/>
          <w:left w:val="nil"/>
          <w:bottom w:val="nil"/>
          <w:right w:val="nil"/>
          <w:between w:val="nil"/>
        </w:pBdr>
        <w:tabs>
          <w:tab w:val="left" w:pos="142"/>
        </w:tabs>
        <w:spacing w:before="240" w:after="120" w:line="240" w:lineRule="auto"/>
        <w:ind w:left="426" w:hanging="360"/>
        <w:rPr>
          <w:rFonts w:ascii="Arial" w:eastAsia="Arial" w:hAnsi="Arial" w:cs="Arial"/>
          <w:b/>
          <w:smallCaps/>
          <w:color w:val="000000"/>
          <w:sz w:val="24"/>
          <w:szCs w:val="24"/>
        </w:rPr>
      </w:pPr>
    </w:p>
    <w:p w:rsidR="00DF475B" w:rsidRDefault="00334A8A">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A: Service Levels and Service Credits </w:t>
      </w:r>
    </w:p>
    <w:p w:rsidR="00DF475B" w:rsidRDefault="00334A8A">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Levels</w:t>
      </w:r>
    </w:p>
    <w:p w:rsidR="00DF475B" w:rsidRDefault="00334A8A">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If the level of performance of the Supplier:</w:t>
      </w:r>
    </w:p>
    <w:p w:rsidR="00DF475B" w:rsidRDefault="00334A8A">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is likely to or fails to meet any Service Level Performance Measure; or</w:t>
      </w:r>
    </w:p>
    <w:p w:rsidR="00DF475B" w:rsidRDefault="00334A8A">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is likely to cause or causes a Critical Service Failure to occur, </w:t>
      </w:r>
    </w:p>
    <w:p w:rsidR="00DF475B" w:rsidRDefault="00334A8A">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the Supplier shall immediately notify the Buyer in writing and the Buyer</w:t>
      </w:r>
      <w:r>
        <w:rPr>
          <w:rFonts w:ascii="Arial" w:eastAsia="Arial" w:hAnsi="Arial" w:cs="Arial"/>
          <w:color w:val="000000"/>
          <w:sz w:val="24"/>
          <w:szCs w:val="24"/>
        </w:rPr>
        <w:t>, in its absolute discretion and without limiting any other of its rights, may:</w:t>
      </w:r>
    </w:p>
    <w:p w:rsidR="00DF475B" w:rsidRDefault="00334A8A">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rsidR="00DF475B" w:rsidRDefault="00334A8A">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instruct the Supplier t</w:t>
      </w:r>
      <w:r>
        <w:rPr>
          <w:rFonts w:ascii="Arial" w:eastAsia="Arial" w:hAnsi="Arial" w:cs="Arial"/>
          <w:color w:val="000000"/>
          <w:sz w:val="24"/>
          <w:szCs w:val="24"/>
        </w:rPr>
        <w:t xml:space="preserve">o comply with the Rectification Plan Process; </w:t>
      </w:r>
    </w:p>
    <w:p w:rsidR="00DF475B" w:rsidRDefault="00334A8A">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Service Level Failure has occurred, deduct the applicable Service Level Credits payable by the Supplier to the Buyer; and/or</w:t>
      </w:r>
    </w:p>
    <w:p w:rsidR="00DF475B" w:rsidRDefault="00334A8A">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Critical Service Level Failure has occurred, exercise its right to Compens</w:t>
      </w:r>
      <w:r>
        <w:rPr>
          <w:rFonts w:ascii="Arial" w:eastAsia="Arial" w:hAnsi="Arial" w:cs="Arial"/>
          <w:color w:val="000000"/>
          <w:sz w:val="24"/>
          <w:szCs w:val="24"/>
        </w:rPr>
        <w:t>ation for Critical Service Level Failure (including the right to terminate for material Default).</w:t>
      </w:r>
    </w:p>
    <w:p w:rsidR="00DF475B" w:rsidRDefault="00334A8A">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Credits</w:t>
      </w:r>
    </w:p>
    <w:p w:rsidR="00DF475B" w:rsidRDefault="00334A8A">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rsidR="00DF475B" w:rsidRDefault="00334A8A">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Service Credits are a reduction of the amounts payable in respect of t</w:t>
      </w:r>
      <w:r>
        <w:rPr>
          <w:rFonts w:ascii="Arial" w:eastAsia="Arial" w:hAnsi="Arial" w:cs="Arial"/>
          <w:color w:val="000000"/>
          <w:sz w:val="24"/>
          <w:szCs w:val="24"/>
        </w:rPr>
        <w:t xml:space="preserve">he Deliverables and do not include VAT. The Supplier shall set-off the value of any Service Credits against the appropriate invoice in accordance with calculation formula in the Annex to Part A of this Schedule. </w:t>
      </w:r>
    </w:p>
    <w:p w:rsidR="00DF475B" w:rsidRDefault="00334A8A">
      <w:pPr>
        <w:keepNext/>
        <w:pBdr>
          <w:top w:val="nil"/>
          <w:left w:val="nil"/>
          <w:bottom w:val="nil"/>
          <w:right w:val="nil"/>
          <w:between w:val="nil"/>
        </w:pBdr>
        <w:spacing w:after="240" w:line="240" w:lineRule="auto"/>
        <w:rPr>
          <w:rFonts w:ascii="Arial Bold" w:eastAsia="Arial Bold" w:hAnsi="Arial Bold" w:cs="Arial Bold"/>
          <w:b/>
          <w:color w:val="000000"/>
          <w:sz w:val="24"/>
          <w:szCs w:val="24"/>
        </w:rPr>
      </w:pPr>
      <w:r>
        <w:br w:type="page"/>
      </w:r>
      <w:r>
        <w:rPr>
          <w:rFonts w:ascii="Arial Bold" w:eastAsia="Arial Bold" w:hAnsi="Arial Bold" w:cs="Arial Bold"/>
          <w:b/>
          <w:color w:val="000000"/>
          <w:sz w:val="36"/>
          <w:szCs w:val="36"/>
        </w:rPr>
        <w:lastRenderedPageBreak/>
        <w:t>Annex A to Part A: Services Levels and Service Credits Table</w:t>
      </w:r>
    </w:p>
    <w:p w:rsidR="00DF475B" w:rsidRDefault="00334A8A">
      <w:pPr>
        <w:ind w:left="709"/>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 xml:space="preserve">Guidance Note: </w:t>
      </w:r>
      <w:r>
        <w:rPr>
          <w:rFonts w:ascii="Arial" w:eastAsia="Arial" w:hAnsi="Arial" w:cs="Arial"/>
          <w:sz w:val="24"/>
          <w:szCs w:val="24"/>
        </w:rPr>
        <w:t>The following are included by way of example only. Procurement-specific Service Levels should be incorporated]</w:t>
      </w:r>
    </w:p>
    <w:tbl>
      <w:tblPr>
        <w:tblStyle w:val="a0"/>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3"/>
        <w:gridCol w:w="1571"/>
        <w:gridCol w:w="1701"/>
        <w:gridCol w:w="1418"/>
        <w:gridCol w:w="2102"/>
      </w:tblGrid>
      <w:tr w:rsidR="00DF475B">
        <w:trPr>
          <w:trHeight w:val="1213"/>
          <w:jc w:val="center"/>
        </w:trPr>
        <w:tc>
          <w:tcPr>
            <w:tcW w:w="6403" w:type="dxa"/>
            <w:gridSpan w:val="4"/>
            <w:shd w:val="clear" w:color="auto" w:fill="D9D9D9"/>
          </w:tcPr>
          <w:p w:rsidR="00DF475B" w:rsidRDefault="00334A8A">
            <w:pPr>
              <w:ind w:left="95"/>
              <w:rPr>
                <w:rFonts w:ascii="Arial" w:eastAsia="Arial" w:hAnsi="Arial" w:cs="Arial"/>
                <w:sz w:val="24"/>
                <w:szCs w:val="24"/>
              </w:rPr>
            </w:pPr>
            <w:r>
              <w:rPr>
                <w:rFonts w:ascii="Arial" w:eastAsia="Arial" w:hAnsi="Arial" w:cs="Arial"/>
                <w:sz w:val="24"/>
                <w:szCs w:val="24"/>
              </w:rPr>
              <w:t>Service Levels</w:t>
            </w:r>
          </w:p>
        </w:tc>
        <w:tc>
          <w:tcPr>
            <w:tcW w:w="2102" w:type="dxa"/>
            <w:vMerge w:val="restart"/>
            <w:shd w:val="clear" w:color="auto" w:fill="D9D9D9"/>
            <w:vAlign w:val="center"/>
          </w:tcPr>
          <w:p w:rsidR="00DF475B" w:rsidRDefault="00334A8A">
            <w:pPr>
              <w:ind w:left="95"/>
              <w:rPr>
                <w:rFonts w:ascii="Arial" w:eastAsia="Arial" w:hAnsi="Arial" w:cs="Arial"/>
                <w:sz w:val="24"/>
                <w:szCs w:val="24"/>
              </w:rPr>
            </w:pPr>
            <w:r>
              <w:rPr>
                <w:rFonts w:ascii="Arial" w:eastAsia="Arial" w:hAnsi="Arial" w:cs="Arial"/>
                <w:sz w:val="24"/>
                <w:szCs w:val="24"/>
              </w:rPr>
              <w:t>Service Credit for each Service Period</w:t>
            </w:r>
          </w:p>
          <w:p w:rsidR="00DF475B" w:rsidRDefault="00DF475B">
            <w:pPr>
              <w:ind w:left="95"/>
              <w:rPr>
                <w:rFonts w:ascii="Arial" w:eastAsia="Arial" w:hAnsi="Arial" w:cs="Arial"/>
                <w:sz w:val="24"/>
                <w:szCs w:val="24"/>
              </w:rPr>
            </w:pPr>
          </w:p>
        </w:tc>
      </w:tr>
      <w:tr w:rsidR="00DF475B">
        <w:trPr>
          <w:trHeight w:val="1213"/>
          <w:jc w:val="center"/>
        </w:trPr>
        <w:tc>
          <w:tcPr>
            <w:tcW w:w="1713" w:type="dxa"/>
            <w:shd w:val="clear" w:color="auto" w:fill="D9D9D9"/>
            <w:vAlign w:val="center"/>
          </w:tcPr>
          <w:p w:rsidR="00DF475B" w:rsidRDefault="00334A8A">
            <w:pPr>
              <w:ind w:left="61"/>
              <w:rPr>
                <w:rFonts w:ascii="Arial" w:eastAsia="Arial" w:hAnsi="Arial" w:cs="Arial"/>
                <w:sz w:val="24"/>
                <w:szCs w:val="24"/>
              </w:rPr>
            </w:pPr>
            <w:r>
              <w:rPr>
                <w:rFonts w:ascii="Arial" w:eastAsia="Arial" w:hAnsi="Arial" w:cs="Arial"/>
                <w:sz w:val="24"/>
                <w:szCs w:val="24"/>
              </w:rPr>
              <w:t>Service Leve</w:t>
            </w:r>
            <w:r>
              <w:rPr>
                <w:rFonts w:ascii="Arial" w:eastAsia="Arial" w:hAnsi="Arial" w:cs="Arial"/>
                <w:sz w:val="24"/>
                <w:szCs w:val="24"/>
              </w:rPr>
              <w:t>l Performance Criterion</w:t>
            </w:r>
          </w:p>
        </w:tc>
        <w:tc>
          <w:tcPr>
            <w:tcW w:w="1571" w:type="dxa"/>
            <w:shd w:val="clear" w:color="auto" w:fill="D9D9D9"/>
            <w:vAlign w:val="center"/>
          </w:tcPr>
          <w:p w:rsidR="00DF475B" w:rsidRDefault="00334A8A">
            <w:pPr>
              <w:ind w:left="95"/>
              <w:rPr>
                <w:rFonts w:ascii="Arial" w:eastAsia="Arial" w:hAnsi="Arial" w:cs="Arial"/>
                <w:sz w:val="24"/>
                <w:szCs w:val="24"/>
              </w:rPr>
            </w:pPr>
            <w:r>
              <w:rPr>
                <w:rFonts w:ascii="Arial" w:eastAsia="Arial" w:hAnsi="Arial" w:cs="Arial"/>
                <w:sz w:val="24"/>
                <w:szCs w:val="24"/>
              </w:rPr>
              <w:t>Key Indicator</w:t>
            </w:r>
          </w:p>
        </w:tc>
        <w:tc>
          <w:tcPr>
            <w:tcW w:w="1701" w:type="dxa"/>
            <w:shd w:val="clear" w:color="auto" w:fill="D9D9D9"/>
            <w:vAlign w:val="center"/>
          </w:tcPr>
          <w:p w:rsidR="00DF475B" w:rsidRDefault="00334A8A">
            <w:pPr>
              <w:rPr>
                <w:rFonts w:ascii="Arial" w:eastAsia="Arial" w:hAnsi="Arial" w:cs="Arial"/>
                <w:sz w:val="24"/>
                <w:szCs w:val="24"/>
              </w:rPr>
            </w:pPr>
            <w:r>
              <w:rPr>
                <w:rFonts w:ascii="Arial" w:eastAsia="Arial" w:hAnsi="Arial" w:cs="Arial"/>
                <w:sz w:val="24"/>
                <w:szCs w:val="24"/>
              </w:rPr>
              <w:t>Service Level Performance Measure</w:t>
            </w:r>
          </w:p>
        </w:tc>
        <w:tc>
          <w:tcPr>
            <w:tcW w:w="1418" w:type="dxa"/>
            <w:shd w:val="clear" w:color="auto" w:fill="D9D9D9"/>
          </w:tcPr>
          <w:p w:rsidR="00DF475B" w:rsidRDefault="00334A8A">
            <w:pPr>
              <w:ind w:left="95"/>
              <w:rPr>
                <w:rFonts w:ascii="Arial" w:eastAsia="Arial" w:hAnsi="Arial" w:cs="Arial"/>
                <w:sz w:val="24"/>
                <w:szCs w:val="24"/>
              </w:rPr>
            </w:pPr>
            <w:r>
              <w:rPr>
                <w:rFonts w:ascii="Arial" w:eastAsia="Arial" w:hAnsi="Arial" w:cs="Arial"/>
                <w:sz w:val="24"/>
                <w:szCs w:val="24"/>
              </w:rPr>
              <w:t>Service Level Threshold</w:t>
            </w:r>
          </w:p>
        </w:tc>
        <w:tc>
          <w:tcPr>
            <w:tcW w:w="2102" w:type="dxa"/>
            <w:vMerge/>
            <w:shd w:val="clear" w:color="auto" w:fill="D9D9D9"/>
            <w:vAlign w:val="center"/>
          </w:tcPr>
          <w:p w:rsidR="00DF475B" w:rsidRDefault="00DF475B">
            <w:pPr>
              <w:widowControl w:val="0"/>
              <w:pBdr>
                <w:top w:val="nil"/>
                <w:left w:val="nil"/>
                <w:bottom w:val="nil"/>
                <w:right w:val="nil"/>
                <w:between w:val="nil"/>
              </w:pBdr>
              <w:spacing w:after="0"/>
              <w:rPr>
                <w:rFonts w:ascii="Arial" w:eastAsia="Arial" w:hAnsi="Arial" w:cs="Arial"/>
                <w:sz w:val="24"/>
                <w:szCs w:val="24"/>
              </w:rPr>
            </w:pPr>
          </w:p>
        </w:tc>
      </w:tr>
      <w:tr w:rsidR="00DF475B">
        <w:trPr>
          <w:trHeight w:val="1474"/>
          <w:jc w:val="center"/>
        </w:trPr>
        <w:tc>
          <w:tcPr>
            <w:tcW w:w="1713" w:type="dxa"/>
          </w:tcPr>
          <w:p w:rsidR="00DF475B" w:rsidRDefault="00334A8A">
            <w:pPr>
              <w:spacing w:after="120"/>
              <w:ind w:left="61"/>
              <w:rPr>
                <w:rFonts w:ascii="Arial" w:eastAsia="Arial" w:hAnsi="Arial" w:cs="Arial"/>
                <w:sz w:val="24"/>
                <w:szCs w:val="24"/>
              </w:rPr>
            </w:pPr>
            <w:r>
              <w:rPr>
                <w:rFonts w:ascii="Arial" w:eastAsia="Arial" w:hAnsi="Arial" w:cs="Arial"/>
                <w:b/>
                <w:sz w:val="24"/>
                <w:szCs w:val="24"/>
              </w:rPr>
              <w:t>[</w:t>
            </w:r>
            <w:r>
              <w:rPr>
                <w:rFonts w:ascii="Arial" w:eastAsia="Arial" w:hAnsi="Arial" w:cs="Arial"/>
                <w:sz w:val="24"/>
                <w:szCs w:val="24"/>
              </w:rPr>
              <w:t>Accurate and timely billing of Buyer</w:t>
            </w:r>
          </w:p>
          <w:p w:rsidR="00DF475B" w:rsidRDefault="00DF475B">
            <w:pPr>
              <w:spacing w:after="120"/>
              <w:ind w:left="61"/>
              <w:rPr>
                <w:rFonts w:ascii="Arial" w:eastAsia="Arial" w:hAnsi="Arial" w:cs="Arial"/>
                <w:sz w:val="24"/>
                <w:szCs w:val="24"/>
              </w:rPr>
            </w:pPr>
          </w:p>
        </w:tc>
        <w:tc>
          <w:tcPr>
            <w:tcW w:w="1571" w:type="dxa"/>
          </w:tcPr>
          <w:p w:rsidR="00DF475B" w:rsidRDefault="00334A8A">
            <w:pPr>
              <w:spacing w:after="120"/>
              <w:ind w:left="95"/>
              <w:rPr>
                <w:rFonts w:ascii="Arial" w:eastAsia="Arial" w:hAnsi="Arial" w:cs="Arial"/>
                <w:sz w:val="24"/>
                <w:szCs w:val="24"/>
              </w:rPr>
            </w:pPr>
            <w:r>
              <w:rPr>
                <w:rFonts w:ascii="Arial" w:eastAsia="Arial" w:hAnsi="Arial" w:cs="Arial"/>
                <w:sz w:val="24"/>
                <w:szCs w:val="24"/>
              </w:rPr>
              <w:t>Accuracy /Timelines</w:t>
            </w:r>
          </w:p>
          <w:p w:rsidR="00DF475B" w:rsidRDefault="00DF475B">
            <w:pPr>
              <w:spacing w:after="120"/>
              <w:ind w:left="95"/>
              <w:rPr>
                <w:rFonts w:ascii="Arial" w:eastAsia="Arial" w:hAnsi="Arial" w:cs="Arial"/>
                <w:sz w:val="24"/>
                <w:szCs w:val="24"/>
              </w:rPr>
            </w:pPr>
          </w:p>
        </w:tc>
        <w:tc>
          <w:tcPr>
            <w:tcW w:w="1701" w:type="dxa"/>
          </w:tcPr>
          <w:p w:rsidR="00DF475B" w:rsidRDefault="00334A8A">
            <w:pPr>
              <w:spacing w:after="120"/>
              <w:rPr>
                <w:rFonts w:ascii="Arial" w:eastAsia="Arial" w:hAnsi="Arial" w:cs="Arial"/>
                <w:sz w:val="24"/>
                <w:szCs w:val="24"/>
              </w:rPr>
            </w:pPr>
            <w:r>
              <w:rPr>
                <w:rFonts w:ascii="Arial" w:eastAsia="Arial" w:hAnsi="Arial" w:cs="Arial"/>
                <w:sz w:val="24"/>
                <w:szCs w:val="24"/>
              </w:rPr>
              <w:t>at least 98% at all times</w:t>
            </w:r>
          </w:p>
          <w:p w:rsidR="00DF475B" w:rsidRDefault="00DF475B">
            <w:pPr>
              <w:spacing w:after="120"/>
              <w:rPr>
                <w:rFonts w:ascii="Arial" w:eastAsia="Arial" w:hAnsi="Arial" w:cs="Arial"/>
                <w:sz w:val="24"/>
                <w:szCs w:val="24"/>
              </w:rPr>
            </w:pPr>
          </w:p>
        </w:tc>
        <w:tc>
          <w:tcPr>
            <w:tcW w:w="1418" w:type="dxa"/>
          </w:tcPr>
          <w:p w:rsidR="00DF475B" w:rsidRDefault="00334A8A">
            <w:pPr>
              <w:spacing w:after="120"/>
              <w:ind w:left="95"/>
              <w:rPr>
                <w:rFonts w:ascii="Arial" w:eastAsia="Arial" w:hAnsi="Arial" w:cs="Arial"/>
                <w:sz w:val="24"/>
                <w:szCs w:val="24"/>
              </w:rPr>
            </w:pPr>
            <w:r>
              <w:rPr>
                <w:rFonts w:ascii="Arial" w:eastAsia="Arial" w:hAnsi="Arial" w:cs="Arial"/>
                <w:sz w:val="24"/>
                <w:szCs w:val="24"/>
              </w:rPr>
              <w:t>[   ]</w:t>
            </w:r>
          </w:p>
        </w:tc>
        <w:tc>
          <w:tcPr>
            <w:tcW w:w="2102" w:type="dxa"/>
          </w:tcPr>
          <w:p w:rsidR="00DF475B" w:rsidRDefault="00334A8A">
            <w:pPr>
              <w:spacing w:after="120"/>
              <w:ind w:left="95"/>
              <w:rPr>
                <w:rFonts w:ascii="Arial" w:eastAsia="Arial" w:hAnsi="Arial" w:cs="Arial"/>
                <w:sz w:val="24"/>
                <w:szCs w:val="24"/>
              </w:rPr>
            </w:pPr>
            <w:r>
              <w:rPr>
                <w:rFonts w:ascii="Arial" w:eastAsia="Arial" w:hAnsi="Arial" w:cs="Arial"/>
                <w:sz w:val="24"/>
                <w:szCs w:val="24"/>
              </w:rPr>
              <w:t>0.5% Service Credit gained for each percentage under the specified Service Level Performance Measure</w:t>
            </w:r>
          </w:p>
        </w:tc>
      </w:tr>
      <w:tr w:rsidR="00DF475B">
        <w:trPr>
          <w:trHeight w:val="1474"/>
          <w:jc w:val="center"/>
        </w:trPr>
        <w:tc>
          <w:tcPr>
            <w:tcW w:w="1713" w:type="dxa"/>
          </w:tcPr>
          <w:p w:rsidR="00DF475B" w:rsidRDefault="00334A8A">
            <w:pPr>
              <w:spacing w:after="120"/>
              <w:ind w:left="61"/>
              <w:rPr>
                <w:rFonts w:ascii="Arial" w:eastAsia="Arial" w:hAnsi="Arial" w:cs="Arial"/>
                <w:sz w:val="24"/>
                <w:szCs w:val="24"/>
              </w:rPr>
            </w:pPr>
            <w:r>
              <w:rPr>
                <w:rFonts w:ascii="Arial" w:eastAsia="Arial" w:hAnsi="Arial" w:cs="Arial"/>
                <w:sz w:val="24"/>
                <w:szCs w:val="24"/>
              </w:rPr>
              <w:t>Access to Buyer support</w:t>
            </w:r>
          </w:p>
          <w:p w:rsidR="00DF475B" w:rsidRDefault="00DF475B">
            <w:pPr>
              <w:spacing w:after="120"/>
              <w:ind w:left="61"/>
              <w:rPr>
                <w:rFonts w:ascii="Arial" w:eastAsia="Arial" w:hAnsi="Arial" w:cs="Arial"/>
                <w:sz w:val="24"/>
                <w:szCs w:val="24"/>
              </w:rPr>
            </w:pPr>
          </w:p>
        </w:tc>
        <w:tc>
          <w:tcPr>
            <w:tcW w:w="1571" w:type="dxa"/>
          </w:tcPr>
          <w:p w:rsidR="00DF475B" w:rsidRDefault="00334A8A">
            <w:pPr>
              <w:spacing w:after="120"/>
              <w:ind w:left="95"/>
              <w:rPr>
                <w:rFonts w:ascii="Arial" w:eastAsia="Arial" w:hAnsi="Arial" w:cs="Arial"/>
                <w:sz w:val="24"/>
                <w:szCs w:val="24"/>
              </w:rPr>
            </w:pPr>
            <w:r>
              <w:rPr>
                <w:rFonts w:ascii="Arial" w:eastAsia="Arial" w:hAnsi="Arial" w:cs="Arial"/>
                <w:sz w:val="24"/>
                <w:szCs w:val="24"/>
              </w:rPr>
              <w:t>Availability</w:t>
            </w:r>
          </w:p>
          <w:p w:rsidR="00DF475B" w:rsidRDefault="00DF475B">
            <w:pPr>
              <w:spacing w:after="120"/>
              <w:ind w:left="95"/>
              <w:rPr>
                <w:rFonts w:ascii="Arial" w:eastAsia="Arial" w:hAnsi="Arial" w:cs="Arial"/>
                <w:sz w:val="24"/>
                <w:szCs w:val="24"/>
              </w:rPr>
            </w:pPr>
          </w:p>
          <w:p w:rsidR="00DF475B" w:rsidRDefault="00DF475B">
            <w:pPr>
              <w:spacing w:after="120"/>
              <w:ind w:left="95"/>
              <w:rPr>
                <w:rFonts w:ascii="Arial" w:eastAsia="Arial" w:hAnsi="Arial" w:cs="Arial"/>
                <w:sz w:val="24"/>
                <w:szCs w:val="24"/>
              </w:rPr>
            </w:pPr>
          </w:p>
        </w:tc>
        <w:tc>
          <w:tcPr>
            <w:tcW w:w="1701" w:type="dxa"/>
          </w:tcPr>
          <w:p w:rsidR="00DF475B" w:rsidRDefault="00334A8A">
            <w:pPr>
              <w:spacing w:after="120"/>
              <w:rPr>
                <w:rFonts w:ascii="Arial" w:eastAsia="Arial" w:hAnsi="Arial" w:cs="Arial"/>
                <w:sz w:val="24"/>
                <w:szCs w:val="24"/>
              </w:rPr>
            </w:pPr>
            <w:r>
              <w:rPr>
                <w:rFonts w:ascii="Arial" w:eastAsia="Arial" w:hAnsi="Arial" w:cs="Arial"/>
                <w:sz w:val="24"/>
                <w:szCs w:val="24"/>
              </w:rPr>
              <w:t>at least 98% at all times</w:t>
            </w:r>
          </w:p>
          <w:p w:rsidR="00DF475B" w:rsidRDefault="00DF475B">
            <w:pPr>
              <w:spacing w:after="120"/>
              <w:rPr>
                <w:rFonts w:ascii="Arial" w:eastAsia="Arial" w:hAnsi="Arial" w:cs="Arial"/>
                <w:sz w:val="24"/>
                <w:szCs w:val="24"/>
              </w:rPr>
            </w:pPr>
          </w:p>
        </w:tc>
        <w:tc>
          <w:tcPr>
            <w:tcW w:w="1418" w:type="dxa"/>
          </w:tcPr>
          <w:p w:rsidR="00DF475B" w:rsidRDefault="00334A8A">
            <w:pPr>
              <w:spacing w:after="120"/>
              <w:ind w:left="95"/>
              <w:rPr>
                <w:rFonts w:ascii="Arial" w:eastAsia="Arial" w:hAnsi="Arial" w:cs="Arial"/>
                <w:sz w:val="24"/>
                <w:szCs w:val="24"/>
              </w:rPr>
            </w:pPr>
            <w:r>
              <w:rPr>
                <w:rFonts w:ascii="Arial" w:eastAsia="Arial" w:hAnsi="Arial" w:cs="Arial"/>
                <w:sz w:val="24"/>
                <w:szCs w:val="24"/>
              </w:rPr>
              <w:t>[   ]</w:t>
            </w:r>
          </w:p>
        </w:tc>
        <w:tc>
          <w:tcPr>
            <w:tcW w:w="2102" w:type="dxa"/>
          </w:tcPr>
          <w:p w:rsidR="00DF475B" w:rsidRDefault="00334A8A">
            <w:pPr>
              <w:spacing w:after="120"/>
              <w:ind w:left="95"/>
              <w:rPr>
                <w:rFonts w:ascii="Arial" w:eastAsia="Arial" w:hAnsi="Arial" w:cs="Arial"/>
                <w:sz w:val="24"/>
                <w:szCs w:val="24"/>
              </w:rPr>
            </w:pPr>
            <w:r>
              <w:rPr>
                <w:rFonts w:ascii="Arial" w:eastAsia="Arial" w:hAnsi="Arial" w:cs="Arial"/>
                <w:sz w:val="24"/>
                <w:szCs w:val="24"/>
              </w:rPr>
              <w:t>0.5% Service Credit gained for each percentage under the specified Service Level Performance Measure</w:t>
            </w:r>
          </w:p>
        </w:tc>
      </w:tr>
    </w:tbl>
    <w:p w:rsidR="00DF475B" w:rsidRDefault="00DF475B">
      <w:pPr>
        <w:ind w:left="709"/>
        <w:rPr>
          <w:rFonts w:ascii="Arial" w:eastAsia="Arial" w:hAnsi="Arial" w:cs="Arial"/>
          <w:sz w:val="24"/>
          <w:szCs w:val="24"/>
          <w:highlight w:val="green"/>
        </w:rPr>
      </w:pPr>
    </w:p>
    <w:p w:rsidR="00DF475B" w:rsidRDefault="00334A8A">
      <w:pPr>
        <w:ind w:left="709"/>
        <w:rPr>
          <w:rFonts w:ascii="Arial" w:eastAsia="Arial" w:hAnsi="Arial" w:cs="Arial"/>
          <w:sz w:val="24"/>
          <w:szCs w:val="24"/>
        </w:rPr>
      </w:pPr>
      <w:r>
        <w:rPr>
          <w:rFonts w:ascii="Arial" w:eastAsia="Arial" w:hAnsi="Arial" w:cs="Arial"/>
          <w:sz w:val="24"/>
          <w:szCs w:val="24"/>
        </w:rPr>
        <w:t>The Service Credits shall be calculated on the basis of the following formula:</w:t>
      </w:r>
    </w:p>
    <w:p w:rsidR="00DF475B" w:rsidRDefault="00334A8A">
      <w:pPr>
        <w:ind w:left="709"/>
        <w:rPr>
          <w:rFonts w:ascii="Arial" w:eastAsia="Arial" w:hAnsi="Arial" w:cs="Arial"/>
          <w:sz w:val="24"/>
          <w:szCs w:val="24"/>
          <w:highlight w:val="yellow"/>
        </w:rPr>
      </w:pPr>
      <w:r>
        <w:rPr>
          <w:rFonts w:ascii="Arial" w:eastAsia="Arial" w:hAnsi="Arial" w:cs="Arial"/>
          <w:sz w:val="24"/>
          <w:szCs w:val="24"/>
          <w:highlight w:val="yellow"/>
        </w:rPr>
        <w:t>[Example:</w:t>
      </w:r>
    </w:p>
    <w:tbl>
      <w:tblPr>
        <w:tblStyle w:val="a1"/>
        <w:tblW w:w="9026" w:type="dxa"/>
        <w:tblLayout w:type="fixed"/>
        <w:tblLook w:val="0000" w:firstRow="0" w:lastRow="0" w:firstColumn="0" w:lastColumn="0" w:noHBand="0" w:noVBand="0"/>
      </w:tblPr>
      <w:tblGrid>
        <w:gridCol w:w="4375"/>
        <w:gridCol w:w="685"/>
        <w:gridCol w:w="3966"/>
      </w:tblGrid>
      <w:tr w:rsidR="00DF475B">
        <w:tc>
          <w:tcPr>
            <w:tcW w:w="4375" w:type="dxa"/>
          </w:tcPr>
          <w:p w:rsidR="00DF475B" w:rsidRDefault="00334A8A">
            <w:pPr>
              <w:ind w:left="567"/>
              <w:rPr>
                <w:rFonts w:ascii="Arial" w:eastAsia="Arial" w:hAnsi="Arial" w:cs="Arial"/>
                <w:sz w:val="24"/>
                <w:szCs w:val="24"/>
              </w:rPr>
            </w:pPr>
            <w:r>
              <w:rPr>
                <w:rFonts w:ascii="Arial" w:eastAsia="Arial" w:hAnsi="Arial" w:cs="Arial"/>
                <w:sz w:val="24"/>
                <w:szCs w:val="24"/>
              </w:rPr>
              <w:t xml:space="preserve">Formula: x% (Service Level Performance Measure) - x% </w:t>
            </w:r>
            <w:r>
              <w:rPr>
                <w:rFonts w:ascii="Arial" w:eastAsia="Arial" w:hAnsi="Arial" w:cs="Arial"/>
                <w:sz w:val="24"/>
                <w:szCs w:val="24"/>
              </w:rPr>
              <w:lastRenderedPageBreak/>
              <w:t>(actual Ser</w:t>
            </w:r>
            <w:r>
              <w:rPr>
                <w:rFonts w:ascii="Arial" w:eastAsia="Arial" w:hAnsi="Arial" w:cs="Arial"/>
                <w:sz w:val="24"/>
                <w:szCs w:val="24"/>
              </w:rPr>
              <w:t xml:space="preserve">vice Level performance)  </w:t>
            </w:r>
          </w:p>
        </w:tc>
        <w:tc>
          <w:tcPr>
            <w:tcW w:w="685" w:type="dxa"/>
          </w:tcPr>
          <w:p w:rsidR="00DF475B" w:rsidRDefault="00334A8A">
            <w:pPr>
              <w:ind w:left="211"/>
              <w:rPr>
                <w:rFonts w:ascii="Arial" w:eastAsia="Arial" w:hAnsi="Arial" w:cs="Arial"/>
                <w:sz w:val="24"/>
                <w:szCs w:val="24"/>
              </w:rPr>
            </w:pPr>
            <w:r>
              <w:rPr>
                <w:rFonts w:ascii="Arial" w:eastAsia="Arial" w:hAnsi="Arial" w:cs="Arial"/>
                <w:sz w:val="24"/>
                <w:szCs w:val="24"/>
              </w:rPr>
              <w:lastRenderedPageBreak/>
              <w:t>=</w:t>
            </w:r>
          </w:p>
        </w:tc>
        <w:tc>
          <w:tcPr>
            <w:tcW w:w="3966" w:type="dxa"/>
          </w:tcPr>
          <w:p w:rsidR="00DF475B" w:rsidRDefault="00334A8A">
            <w:pPr>
              <w:ind w:left="145"/>
              <w:rPr>
                <w:rFonts w:ascii="Arial" w:eastAsia="Arial" w:hAnsi="Arial" w:cs="Arial"/>
                <w:sz w:val="24"/>
                <w:szCs w:val="24"/>
              </w:rPr>
            </w:pPr>
            <w:r>
              <w:rPr>
                <w:rFonts w:ascii="Arial" w:eastAsia="Arial" w:hAnsi="Arial" w:cs="Arial"/>
                <w:sz w:val="24"/>
                <w:szCs w:val="24"/>
              </w:rPr>
              <w:t xml:space="preserve">x% of the Charges payable to the Buyer as Service Credits to be </w:t>
            </w:r>
            <w:r>
              <w:rPr>
                <w:rFonts w:ascii="Arial" w:eastAsia="Arial" w:hAnsi="Arial" w:cs="Arial"/>
                <w:sz w:val="24"/>
                <w:szCs w:val="24"/>
              </w:rPr>
              <w:lastRenderedPageBreak/>
              <w:t>deducted from the next Invoice payable by the Buyer</w:t>
            </w:r>
          </w:p>
        </w:tc>
      </w:tr>
      <w:tr w:rsidR="00DF475B">
        <w:tc>
          <w:tcPr>
            <w:tcW w:w="4375" w:type="dxa"/>
          </w:tcPr>
          <w:p w:rsidR="00DF475B" w:rsidRDefault="00334A8A">
            <w:pPr>
              <w:ind w:left="567"/>
              <w:rPr>
                <w:rFonts w:ascii="Arial" w:eastAsia="Arial" w:hAnsi="Arial" w:cs="Arial"/>
                <w:sz w:val="24"/>
                <w:szCs w:val="24"/>
              </w:rPr>
            </w:pPr>
            <w:r>
              <w:rPr>
                <w:rFonts w:ascii="Arial" w:eastAsia="Arial" w:hAnsi="Arial" w:cs="Arial"/>
                <w:sz w:val="24"/>
                <w:szCs w:val="24"/>
              </w:rPr>
              <w:lastRenderedPageBreak/>
              <w:t xml:space="preserve">Worked example: 98% (e.g. Service Level Performance Measure requirement for accurate and timely billing Service Level) - 75% (e.g. actual performance achieved against this Service Level in a Service Period) </w:t>
            </w:r>
          </w:p>
          <w:p w:rsidR="00DF475B" w:rsidRDefault="00DF475B">
            <w:pPr>
              <w:ind w:left="567"/>
              <w:rPr>
                <w:rFonts w:ascii="Arial" w:eastAsia="Arial" w:hAnsi="Arial" w:cs="Arial"/>
                <w:sz w:val="24"/>
                <w:szCs w:val="24"/>
              </w:rPr>
            </w:pPr>
          </w:p>
        </w:tc>
        <w:tc>
          <w:tcPr>
            <w:tcW w:w="685" w:type="dxa"/>
          </w:tcPr>
          <w:p w:rsidR="00DF475B" w:rsidRDefault="00334A8A">
            <w:pPr>
              <w:ind w:left="211"/>
              <w:rPr>
                <w:rFonts w:ascii="Arial" w:eastAsia="Arial" w:hAnsi="Arial" w:cs="Arial"/>
                <w:sz w:val="24"/>
                <w:szCs w:val="24"/>
              </w:rPr>
            </w:pPr>
            <w:r>
              <w:rPr>
                <w:rFonts w:ascii="Arial" w:eastAsia="Arial" w:hAnsi="Arial" w:cs="Arial"/>
                <w:sz w:val="24"/>
                <w:szCs w:val="24"/>
              </w:rPr>
              <w:t>=</w:t>
            </w:r>
          </w:p>
        </w:tc>
        <w:tc>
          <w:tcPr>
            <w:tcW w:w="3966" w:type="dxa"/>
          </w:tcPr>
          <w:p w:rsidR="00DF475B" w:rsidRDefault="00334A8A">
            <w:pPr>
              <w:ind w:left="145"/>
              <w:rPr>
                <w:rFonts w:ascii="Arial" w:eastAsia="Arial" w:hAnsi="Arial" w:cs="Arial"/>
                <w:sz w:val="24"/>
                <w:szCs w:val="24"/>
              </w:rPr>
            </w:pPr>
            <w:r>
              <w:rPr>
                <w:rFonts w:ascii="Arial" w:eastAsia="Arial" w:hAnsi="Arial" w:cs="Arial"/>
                <w:sz w:val="24"/>
                <w:szCs w:val="24"/>
              </w:rPr>
              <w:t>23% of the Charges payable to the Buyer as Se</w:t>
            </w:r>
            <w:r>
              <w:rPr>
                <w:rFonts w:ascii="Arial" w:eastAsia="Arial" w:hAnsi="Arial" w:cs="Arial"/>
                <w:sz w:val="24"/>
                <w:szCs w:val="24"/>
              </w:rPr>
              <w:t>rvice Credits to be deducted from the next Invoice payable by the Buyer]</w:t>
            </w:r>
          </w:p>
          <w:p w:rsidR="00DF475B" w:rsidRDefault="00DF475B">
            <w:pPr>
              <w:ind w:left="145"/>
              <w:rPr>
                <w:rFonts w:ascii="Arial" w:eastAsia="Arial" w:hAnsi="Arial" w:cs="Arial"/>
                <w:sz w:val="24"/>
                <w:szCs w:val="24"/>
              </w:rPr>
            </w:pPr>
          </w:p>
        </w:tc>
      </w:tr>
    </w:tbl>
    <w:p w:rsidR="00DF475B" w:rsidRDefault="00334A8A">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B: Performance Monitoring </w:t>
      </w:r>
    </w:p>
    <w:p w:rsidR="00DF475B" w:rsidRDefault="00334A8A">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Performance Monitoring and Performance Review</w:t>
      </w:r>
    </w:p>
    <w:p w:rsidR="00DF475B" w:rsidRDefault="00334A8A">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w:t>
      </w:r>
      <w:r>
        <w:rPr>
          <w:rFonts w:ascii="Arial" w:eastAsia="Arial" w:hAnsi="Arial" w:cs="Arial"/>
          <w:color w:val="000000"/>
          <w:sz w:val="24"/>
          <w:szCs w:val="24"/>
        </w:rPr>
        <w:t>h process as soon as reasonably possible.</w:t>
      </w:r>
    </w:p>
    <w:p w:rsidR="00DF475B" w:rsidRDefault="00334A8A">
      <w:pPr>
        <w:keepNext/>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the Buyer with performance monitoring reports ("</w:t>
      </w:r>
      <w:r>
        <w:rPr>
          <w:rFonts w:ascii="Arial" w:eastAsia="Arial" w:hAnsi="Arial" w:cs="Arial"/>
          <w:b/>
          <w:color w:val="000000"/>
          <w:sz w:val="24"/>
          <w:szCs w:val="24"/>
        </w:rPr>
        <w:t>Performance Monitoring Reports</w:t>
      </w:r>
      <w:r>
        <w:rPr>
          <w:rFonts w:ascii="Arial" w:eastAsia="Arial" w:hAnsi="Arial" w:cs="Arial"/>
          <w:color w:val="000000"/>
          <w:sz w:val="24"/>
          <w:szCs w:val="24"/>
        </w:rPr>
        <w:t xml:space="preserve">") in accordance with the process and timescales agreed pursuant to paragraph 1.1 of Part B of this Schedule </w:t>
      </w:r>
      <w:r>
        <w:rPr>
          <w:rFonts w:ascii="Arial" w:eastAsia="Arial" w:hAnsi="Arial" w:cs="Arial"/>
          <w:color w:val="000000"/>
          <w:sz w:val="24"/>
          <w:szCs w:val="24"/>
        </w:rPr>
        <w:t>which shall contain, as a minimum, the following information in respect of the relevant Service Period just ended:</w:t>
      </w:r>
    </w:p>
    <w:p w:rsidR="00DF475B" w:rsidRDefault="00334A8A">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each Service Level, the actual performance achieved over the Service Level for the relevant Service Period;</w:t>
      </w:r>
    </w:p>
    <w:p w:rsidR="00DF475B" w:rsidRDefault="00334A8A">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summary of all failures to achieve Service Levels that occurred during that Service Period;</w:t>
      </w:r>
    </w:p>
    <w:p w:rsidR="00DF475B" w:rsidRDefault="00334A8A">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any Critical Service Level Failures;</w:t>
      </w:r>
    </w:p>
    <w:p w:rsidR="00DF475B" w:rsidRDefault="00334A8A">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any repeat failures, actions taken to resolve the underlying cause and prevent recurrence;</w:t>
      </w:r>
    </w:p>
    <w:p w:rsidR="00DF475B" w:rsidRDefault="00334A8A">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Service Credits</w:t>
      </w:r>
      <w:r>
        <w:rPr>
          <w:rFonts w:ascii="Arial" w:eastAsia="Arial" w:hAnsi="Arial" w:cs="Arial"/>
          <w:color w:val="000000"/>
          <w:sz w:val="24"/>
          <w:szCs w:val="24"/>
        </w:rPr>
        <w:t xml:space="preserve"> to be applied in respect of the relevant period indicating the failures and Service Levels to which the Service Credits relate; and</w:t>
      </w:r>
    </w:p>
    <w:p w:rsidR="00DF475B" w:rsidRDefault="00334A8A">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other details as the Buyer may reasonably require from time to time.</w:t>
      </w:r>
    </w:p>
    <w:p w:rsidR="00DF475B" w:rsidRDefault="00334A8A">
      <w:pPr>
        <w:keepNext/>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Parties shall attend meetings to discuss Perf</w:t>
      </w:r>
      <w:r>
        <w:rPr>
          <w:rFonts w:ascii="Arial" w:eastAsia="Arial" w:hAnsi="Arial" w:cs="Arial"/>
          <w:color w:val="000000"/>
          <w:sz w:val="24"/>
          <w:szCs w:val="24"/>
        </w:rPr>
        <w:t>ormance Monitoring Reports ("</w:t>
      </w:r>
      <w:r>
        <w:rPr>
          <w:rFonts w:ascii="Arial" w:eastAsia="Arial" w:hAnsi="Arial" w:cs="Arial"/>
          <w:b/>
          <w:color w:val="000000"/>
          <w:sz w:val="24"/>
          <w:szCs w:val="24"/>
        </w:rPr>
        <w:t>Performance Review Meetings</w:t>
      </w:r>
      <w:r>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rsidR="00DF475B" w:rsidRDefault="00334A8A">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tak</w:t>
      </w:r>
      <w:r>
        <w:rPr>
          <w:rFonts w:ascii="Arial" w:eastAsia="Arial" w:hAnsi="Arial" w:cs="Arial"/>
          <w:color w:val="000000"/>
          <w:sz w:val="24"/>
          <w:szCs w:val="24"/>
        </w:rPr>
        <w:t>e place within one (1) week of the Performance Monitoring Reports being issued by the Supplier at such location and time (within normal business hours) as the Buyer shall reasonably require;</w:t>
      </w:r>
    </w:p>
    <w:p w:rsidR="00DF475B" w:rsidRDefault="00334A8A">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attended by the Supplier's Representative and the Buyer’s Repr</w:t>
      </w:r>
      <w:r>
        <w:rPr>
          <w:rFonts w:ascii="Arial" w:eastAsia="Arial" w:hAnsi="Arial" w:cs="Arial"/>
          <w:color w:val="000000"/>
          <w:sz w:val="24"/>
          <w:szCs w:val="24"/>
        </w:rPr>
        <w:t>esentative; and</w:t>
      </w:r>
    </w:p>
    <w:p w:rsidR="00DF475B" w:rsidRDefault="00334A8A">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rsidR="00DF475B" w:rsidRDefault="00334A8A">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minutes of the preceding Month's Performance Review Meeting will be agreed and signed by both the Supplier's Representative and the Buyer’s Representative at each meeting.</w:t>
      </w:r>
    </w:p>
    <w:p w:rsidR="00DF475B" w:rsidRDefault="00334A8A">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to the Buyer such documentation as the Buyer may reas</w:t>
      </w:r>
      <w:r>
        <w:rPr>
          <w:rFonts w:ascii="Arial" w:eastAsia="Arial" w:hAnsi="Arial" w:cs="Arial"/>
          <w:color w:val="000000"/>
          <w:sz w:val="24"/>
          <w:szCs w:val="24"/>
        </w:rPr>
        <w:t>onably require in order to verify the level of the performance by the Supplier and the calculations of the amount of Service Credits for any specified Service Period.</w:t>
      </w:r>
    </w:p>
    <w:p w:rsidR="00DF475B" w:rsidRDefault="00DF475B">
      <w:pPr>
        <w:pBdr>
          <w:top w:val="nil"/>
          <w:left w:val="nil"/>
          <w:bottom w:val="nil"/>
          <w:right w:val="nil"/>
          <w:between w:val="nil"/>
        </w:pBdr>
        <w:spacing w:before="120" w:after="120" w:line="240" w:lineRule="auto"/>
        <w:ind w:left="1440" w:hanging="576"/>
        <w:rPr>
          <w:rFonts w:ascii="Arial" w:eastAsia="Arial" w:hAnsi="Arial" w:cs="Arial"/>
          <w:color w:val="000000"/>
          <w:sz w:val="24"/>
          <w:szCs w:val="24"/>
        </w:rPr>
      </w:pPr>
    </w:p>
    <w:p w:rsidR="00DF475B" w:rsidRDefault="00334A8A">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Satisfaction Surveys</w:t>
      </w:r>
    </w:p>
    <w:p w:rsidR="00DF475B" w:rsidRDefault="00334A8A">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may undertake satisfaction surveys in respect of the Supp</w:t>
      </w:r>
      <w:r>
        <w:rPr>
          <w:rFonts w:ascii="Arial" w:eastAsia="Arial" w:hAnsi="Arial" w:cs="Arial"/>
          <w:color w:val="000000"/>
          <w:sz w:val="24"/>
          <w:szCs w:val="24"/>
        </w:rPr>
        <w:t xml:space="preserve">lier's provision of the Deliverables. The Buyer shall be entitled to notify the Supplier of any aspects of their performance of the provision of the Deliverables which the responses to the Satisfaction Surveys reasonably suggest are not in accordance with </w:t>
      </w:r>
      <w:r>
        <w:rPr>
          <w:rFonts w:ascii="Arial" w:eastAsia="Arial" w:hAnsi="Arial" w:cs="Arial"/>
          <w:color w:val="000000"/>
          <w:sz w:val="24"/>
          <w:szCs w:val="24"/>
        </w:rPr>
        <w:t>this Contract.</w:t>
      </w:r>
    </w:p>
    <w:p w:rsidR="00DF475B" w:rsidRDefault="00DF475B">
      <w:pPr>
        <w:pBdr>
          <w:top w:val="nil"/>
          <w:left w:val="nil"/>
          <w:bottom w:val="nil"/>
          <w:right w:val="nil"/>
          <w:between w:val="nil"/>
        </w:pBdr>
        <w:spacing w:before="120" w:after="120" w:line="240" w:lineRule="auto"/>
        <w:ind w:left="936" w:hanging="576"/>
        <w:jc w:val="both"/>
        <w:rPr>
          <w:rFonts w:ascii="Arial" w:eastAsia="Arial" w:hAnsi="Arial" w:cs="Arial"/>
          <w:color w:val="000000"/>
          <w:sz w:val="24"/>
          <w:szCs w:val="24"/>
        </w:rPr>
      </w:pPr>
      <w:bookmarkStart w:id="2" w:name="_heading=h.30j0zll" w:colFirst="0" w:colLast="0"/>
      <w:bookmarkEnd w:id="2"/>
    </w:p>
    <w:sectPr w:rsidR="00DF475B">
      <w:headerReference w:type="default" r:id="rId8"/>
      <w:footerReference w:type="defaul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A8A" w:rsidRDefault="00334A8A">
      <w:pPr>
        <w:spacing w:after="0" w:line="240" w:lineRule="auto"/>
      </w:pPr>
      <w:r>
        <w:separator/>
      </w:r>
    </w:p>
  </w:endnote>
  <w:endnote w:type="continuationSeparator" w:id="0">
    <w:p w:rsidR="00334A8A" w:rsidRDefault="00334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panose1 w:val="00000000000000000000"/>
    <w:charset w:val="00"/>
    <w:family w:val="roman"/>
    <w:notTrueType/>
    <w:pitch w:val="default"/>
  </w:font>
  <w:font w:name="Tahoma">
    <w:panose1 w:val="020B0604030504040204"/>
    <w:charset w:val="00"/>
    <w:family w:val="roman"/>
    <w:notTrueType/>
    <w:pitch w:val="default"/>
  </w:font>
  <w:font w:name="Arial Bold">
    <w:panose1 w:val="020B0704020202020204"/>
    <w:charset w:val="00"/>
    <w:family w:val="auto"/>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75B" w:rsidRDefault="00DF475B">
    <w:pPr>
      <w:tabs>
        <w:tab w:val="center" w:pos="4513"/>
        <w:tab w:val="right" w:pos="9026"/>
      </w:tabs>
      <w:spacing w:after="0" w:line="240" w:lineRule="auto"/>
      <w:jc w:val="both"/>
    </w:pPr>
  </w:p>
  <w:p w:rsidR="00DF475B" w:rsidRDefault="00334A8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DPS Ref: </w:t>
    </w:r>
    <w:r>
      <w:rPr>
        <w:rFonts w:ascii="Arial" w:eastAsia="Arial" w:hAnsi="Arial" w:cs="Arial"/>
        <w:sz w:val="20"/>
        <w:szCs w:val="20"/>
      </w:rPr>
      <w:t>RM6219 Learning and Training</w:t>
    </w:r>
  </w:p>
  <w:p w:rsidR="00DF475B" w:rsidRDefault="00334A8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353CD3">
      <w:rPr>
        <w:rFonts w:ascii="Arial" w:eastAsia="Arial" w:hAnsi="Arial" w:cs="Arial"/>
        <w:color w:val="000000"/>
        <w:sz w:val="20"/>
        <w:szCs w:val="20"/>
      </w:rPr>
      <w:fldChar w:fldCharType="separate"/>
    </w:r>
    <w:r w:rsidR="00353CD3">
      <w:rPr>
        <w:rFonts w:ascii="Arial" w:eastAsia="Arial" w:hAnsi="Arial" w:cs="Arial"/>
        <w:noProof/>
        <w:color w:val="000000"/>
        <w:sz w:val="20"/>
        <w:szCs w:val="20"/>
      </w:rPr>
      <w:t>2</w:t>
    </w:r>
    <w:r>
      <w:rPr>
        <w:rFonts w:ascii="Arial" w:eastAsia="Arial" w:hAnsi="Arial" w:cs="Arial"/>
        <w:color w:val="000000"/>
        <w:sz w:val="20"/>
        <w:szCs w:val="20"/>
      </w:rPr>
      <w:fldChar w:fldCharType="end"/>
    </w:r>
  </w:p>
  <w:p w:rsidR="00DF475B" w:rsidRDefault="00334A8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v1.1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75B" w:rsidRDefault="00DF475B">
    <w:pPr>
      <w:tabs>
        <w:tab w:val="center" w:pos="4513"/>
        <w:tab w:val="right" w:pos="9026"/>
      </w:tabs>
      <w:spacing w:after="0" w:line="240" w:lineRule="auto"/>
      <w:jc w:val="both"/>
    </w:pPr>
  </w:p>
  <w:p w:rsidR="00DF475B" w:rsidRDefault="00334A8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DPS Ref: RM</w:t>
    </w:r>
    <w:r>
      <w:rPr>
        <w:rFonts w:ascii="Arial" w:eastAsia="Arial" w:hAnsi="Arial" w:cs="Arial"/>
        <w:color w:val="000000"/>
        <w:sz w:val="20"/>
        <w:szCs w:val="20"/>
      </w:rPr>
      <w:tab/>
    </w:r>
    <w:r>
      <w:rPr>
        <w:rFonts w:ascii="Arial" w:eastAsia="Arial" w:hAnsi="Arial" w:cs="Arial"/>
        <w:color w:val="000000"/>
        <w:sz w:val="20"/>
        <w:szCs w:val="20"/>
      </w:rPr>
      <w:t xml:space="preserve">                                           </w:t>
    </w:r>
  </w:p>
  <w:p w:rsidR="00DF475B" w:rsidRDefault="00334A8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DF475B" w:rsidRDefault="00334A8A">
    <w:pPr>
      <w:pBdr>
        <w:top w:val="nil"/>
        <w:left w:val="nil"/>
        <w:bottom w:val="nil"/>
        <w:right w:val="nil"/>
        <w:between w:val="nil"/>
      </w:pBdr>
      <w:tabs>
        <w:tab w:val="center" w:pos="4513"/>
        <w:tab w:val="right" w:pos="9026"/>
      </w:tabs>
      <w:spacing w:after="0" w:line="240" w:lineRule="auto"/>
      <w:rPr>
        <w:rFonts w:cs="Calibri"/>
        <w:color w:val="000000"/>
      </w:rPr>
    </w:pPr>
    <w:r>
      <w:rPr>
        <w:rFonts w:ascii="Arial" w:eastAsia="Arial" w:hAnsi="Arial" w:cs="Arial"/>
        <w:color w:val="000000"/>
        <w:sz w:val="20"/>
        <w:szCs w:val="20"/>
      </w:rPr>
      <w:t>Model Version : v2.9</w:t>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A8A" w:rsidRDefault="00334A8A">
      <w:pPr>
        <w:spacing w:after="0" w:line="240" w:lineRule="auto"/>
      </w:pPr>
      <w:r>
        <w:separator/>
      </w:r>
    </w:p>
  </w:footnote>
  <w:footnote w:type="continuationSeparator" w:id="0">
    <w:p w:rsidR="00334A8A" w:rsidRDefault="00334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75B" w:rsidRDefault="00334A8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Order Schedule 14 (Service Levels)</w:t>
    </w:r>
  </w:p>
  <w:p w:rsidR="00DF475B" w:rsidRDefault="00334A8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Order Ref:</w:t>
    </w:r>
  </w:p>
  <w:p w:rsidR="00DF475B" w:rsidRDefault="00334A8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21</w:t>
    </w:r>
  </w:p>
  <w:p w:rsidR="00DF475B" w:rsidRDefault="00DF475B">
    <w:pPr>
      <w:pBdr>
        <w:top w:val="nil"/>
        <w:left w:val="nil"/>
        <w:bottom w:val="nil"/>
        <w:right w:val="nil"/>
        <w:between w:val="nil"/>
      </w:pBdr>
      <w:tabs>
        <w:tab w:val="center" w:pos="4513"/>
        <w:tab w:val="right" w:pos="9026"/>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2395"/>
    <w:multiLevelType w:val="multilevel"/>
    <w:tmpl w:val="86E8DE66"/>
    <w:lvl w:ilvl="0">
      <w:start w:val="1"/>
      <w:numFmt w:val="decimal"/>
      <w:pStyle w:val="BodyText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5A6B1E"/>
    <w:multiLevelType w:val="multilevel"/>
    <w:tmpl w:val="35DC95EA"/>
    <w:lvl w:ilvl="0">
      <w:start w:val="1"/>
      <w:numFmt w:val="decimal"/>
      <w:pStyle w:val="GPSL1CLAUSEHEADING"/>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pStyle w:val="GPSL2NumberedBoldHeading"/>
      <w:lvlText w:val="%2)"/>
      <w:lvlJc w:val="left"/>
      <w:pPr>
        <w:ind w:left="1440" w:hanging="720"/>
      </w:pPr>
      <w:rPr>
        <w:b w:val="0"/>
        <w:i w:val="0"/>
        <w:smallCaps w:val="0"/>
        <w:strike w:val="0"/>
        <w:color w:val="000000"/>
        <w:sz w:val="22"/>
        <w:szCs w:val="22"/>
        <w:u w:val="none"/>
        <w:vertAlign w:val="baseline"/>
      </w:rPr>
    </w:lvl>
    <w:lvl w:ilvl="2">
      <w:start w:val="1"/>
      <w:numFmt w:val="decimal"/>
      <w:pStyle w:val="GPSL3numberedclause"/>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3600" w:hanging="72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44354E6"/>
    <w:multiLevelType w:val="multilevel"/>
    <w:tmpl w:val="AAA0454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61C7C0F"/>
    <w:multiLevelType w:val="multilevel"/>
    <w:tmpl w:val="35101AB0"/>
    <w:lvl w:ilvl="0">
      <w:start w:val="1"/>
      <w:numFmt w:val="decimal"/>
      <w:pStyle w:val="GPsDefinition"/>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DefinitionL4"/>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7DC251D0"/>
    <w:multiLevelType w:val="multilevel"/>
    <w:tmpl w:val="DB7A98D0"/>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75B"/>
    <w:rsid w:val="00334A8A"/>
    <w:rsid w:val="00353CD3"/>
    <w:rsid w:val="00DF4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2C164A-9CEC-4F72-8CF9-1C4A748B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ind w:left="360" w:hanging="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In0/TWzMdkuhd/q95nK6zB2ekw==">AMUW2mWU+3+SBaoxhhVDzwvF7tnOuwGoLEhA6b8jVbxsSQlE0xNaeSuUuVdf2ndt1Ccs44mdxubNsAzQFxMMALRvLdfiKN05kabhinGAwBT9KJMk6xO9Q5EqTELPWata/ct1Hcvq4oeF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Thomas</dc:creator>
  <cp:lastModifiedBy>Elizabeth Myler</cp:lastModifiedBy>
  <cp:revision>2</cp:revision>
  <dcterms:created xsi:type="dcterms:W3CDTF">2021-09-27T20:21:00Z</dcterms:created>
  <dcterms:modified xsi:type="dcterms:W3CDTF">2021-09-27T20:21:00Z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