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CC" w:rsidRDefault="00365BCC" w:rsidP="00365BCC">
      <w:pPr>
        <w:spacing w:before="468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5BCC" w:rsidRPr="007B7953" w:rsidTr="00D27C9F">
        <w:tc>
          <w:tcPr>
            <w:tcW w:w="5000" w:type="pct"/>
            <w:tcBorders>
              <w:top w:val="single" w:sz="4" w:space="0" w:color="818A8F"/>
              <w:bottom w:val="single" w:sz="4" w:space="0" w:color="818A8F"/>
            </w:tcBorders>
            <w:tcMar>
              <w:top w:w="284" w:type="dxa"/>
              <w:left w:w="0" w:type="dxa"/>
              <w:bottom w:w="284" w:type="dxa"/>
              <w:right w:w="0" w:type="dxa"/>
            </w:tcMar>
          </w:tcPr>
          <w:p w:rsidR="00365BCC" w:rsidRPr="007B7953" w:rsidRDefault="00F21259" w:rsidP="0012012F">
            <w:pPr>
              <w:pStyle w:val="Title"/>
            </w:pPr>
            <w:r>
              <w:rPr>
                <w:sz w:val="72"/>
              </w:rPr>
              <w:t>Invitation to Tender</w:t>
            </w:r>
          </w:p>
        </w:tc>
      </w:tr>
    </w:tbl>
    <w:p w:rsidR="00A52039" w:rsidRDefault="00A52039"/>
    <w:p w:rsidR="00222847" w:rsidRDefault="00AA4658" w:rsidP="00222847">
      <w:pPr>
        <w:jc w:val="center"/>
        <w:rPr>
          <w:sz w:val="56"/>
          <w:szCs w:val="56"/>
        </w:rPr>
      </w:pPr>
      <w:r>
        <w:rPr>
          <w:sz w:val="56"/>
          <w:szCs w:val="56"/>
        </w:rPr>
        <w:t>LIGHT COMMERCIAL VAN</w:t>
      </w:r>
      <w:r w:rsidR="006E04FE">
        <w:rPr>
          <w:sz w:val="56"/>
          <w:szCs w:val="56"/>
        </w:rPr>
        <w:t xml:space="preserve"> TENDER</w:t>
      </w:r>
    </w:p>
    <w:p w:rsidR="00EE2815" w:rsidRPr="00A87CC3" w:rsidRDefault="00EE2815" w:rsidP="00222847">
      <w:pPr>
        <w:jc w:val="center"/>
        <w:rPr>
          <w:sz w:val="36"/>
          <w:szCs w:val="36"/>
        </w:rPr>
      </w:pPr>
      <w:r w:rsidRPr="00A87CC3">
        <w:rPr>
          <w:sz w:val="36"/>
          <w:szCs w:val="36"/>
        </w:rPr>
        <w:t>DUK</w:t>
      </w:r>
      <w:r w:rsidR="002162E1">
        <w:rPr>
          <w:sz w:val="36"/>
          <w:szCs w:val="36"/>
        </w:rPr>
        <w:t>LCV</w:t>
      </w:r>
      <w:r w:rsidRPr="00A87CC3">
        <w:rPr>
          <w:sz w:val="36"/>
          <w:szCs w:val="36"/>
        </w:rPr>
        <w:t xml:space="preserve"> BI</w:t>
      </w:r>
      <w:r w:rsidRPr="00F7481C">
        <w:rPr>
          <w:sz w:val="36"/>
          <w:szCs w:val="36"/>
        </w:rPr>
        <w:t>G2</w:t>
      </w:r>
      <w:r w:rsidR="00AA4658">
        <w:rPr>
          <w:sz w:val="36"/>
          <w:szCs w:val="36"/>
        </w:rPr>
        <w:t>148</w:t>
      </w:r>
      <w:r w:rsidR="00C878EC">
        <w:rPr>
          <w:sz w:val="36"/>
          <w:szCs w:val="36"/>
        </w:rPr>
        <w:t>-1</w:t>
      </w:r>
    </w:p>
    <w:p w:rsidR="00A52039" w:rsidRDefault="00A52039">
      <w:pPr>
        <w:rPr>
          <w:rFonts w:asciiTheme="majorHAnsi" w:hAnsiTheme="majorHAnsi"/>
          <w:color w:val="002F5F"/>
          <w:sz w:val="28"/>
        </w:rPr>
      </w:pPr>
      <w:r>
        <w:br w:type="page"/>
      </w:r>
    </w:p>
    <w:p w:rsidR="00365BCC" w:rsidRDefault="00365BCC" w:rsidP="00365BCC">
      <w:pPr>
        <w:pStyle w:val="Subtitle"/>
        <w:spacing w:before="280"/>
      </w:pPr>
      <w:r>
        <w:lastRenderedPageBreak/>
        <w:t>Version Control</w:t>
      </w:r>
    </w:p>
    <w:tbl>
      <w:tblPr>
        <w:tblStyle w:val="TableGrid"/>
        <w:tblW w:w="5000" w:type="pct"/>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CellMar>
          <w:top w:w="85" w:type="dxa"/>
          <w:left w:w="142" w:type="dxa"/>
          <w:bottom w:w="85" w:type="dxa"/>
          <w:right w:w="142" w:type="dxa"/>
        </w:tblCellMar>
        <w:tblLook w:val="04A0" w:firstRow="1" w:lastRow="0" w:firstColumn="1" w:lastColumn="0" w:noHBand="0" w:noVBand="1"/>
      </w:tblPr>
      <w:tblGrid>
        <w:gridCol w:w="1092"/>
        <w:gridCol w:w="1346"/>
        <w:gridCol w:w="7190"/>
      </w:tblGrid>
      <w:tr w:rsidR="002C40E5" w:rsidTr="00EB4C4F">
        <w:trPr>
          <w:trHeight w:val="269"/>
        </w:trPr>
        <w:tc>
          <w:tcPr>
            <w:tcW w:w="567" w:type="pct"/>
            <w:shd w:val="clear" w:color="auto" w:fill="DEEAF6"/>
          </w:tcPr>
          <w:p w:rsidR="002C40E5" w:rsidRDefault="002C40E5" w:rsidP="00D27C9F">
            <w:r>
              <w:t>Version</w:t>
            </w:r>
          </w:p>
        </w:tc>
        <w:tc>
          <w:tcPr>
            <w:tcW w:w="699" w:type="pct"/>
            <w:shd w:val="clear" w:color="auto" w:fill="DEEAF6"/>
          </w:tcPr>
          <w:p w:rsidR="002C40E5" w:rsidRDefault="002C40E5" w:rsidP="00D27C9F">
            <w:r>
              <w:t>Date</w:t>
            </w:r>
          </w:p>
        </w:tc>
        <w:tc>
          <w:tcPr>
            <w:tcW w:w="3734" w:type="pct"/>
            <w:shd w:val="clear" w:color="auto" w:fill="DEEAF6"/>
          </w:tcPr>
          <w:p w:rsidR="002C40E5" w:rsidRDefault="002C40E5" w:rsidP="00D27C9F">
            <w:r>
              <w:t>Description</w:t>
            </w:r>
          </w:p>
        </w:tc>
      </w:tr>
      <w:tr w:rsidR="002C40E5" w:rsidTr="00EB4C4F">
        <w:trPr>
          <w:trHeight w:val="269"/>
        </w:trPr>
        <w:tc>
          <w:tcPr>
            <w:tcW w:w="567" w:type="pct"/>
          </w:tcPr>
          <w:p w:rsidR="002C40E5" w:rsidRDefault="001D19D1" w:rsidP="00D27C9F">
            <w:r>
              <w:t>1.0</w:t>
            </w:r>
          </w:p>
        </w:tc>
        <w:tc>
          <w:tcPr>
            <w:tcW w:w="699" w:type="pct"/>
          </w:tcPr>
          <w:p w:rsidR="002C40E5" w:rsidRDefault="008E34D9" w:rsidP="00D27C9F">
            <w:r>
              <w:t>20/10/17</w:t>
            </w:r>
          </w:p>
        </w:tc>
        <w:tc>
          <w:tcPr>
            <w:tcW w:w="3734" w:type="pct"/>
          </w:tcPr>
          <w:p w:rsidR="002C40E5" w:rsidRDefault="00EB4C4F" w:rsidP="00EB4C4F">
            <w:r>
              <w:t xml:space="preserve">Tender </w:t>
            </w:r>
            <w:r w:rsidR="00CB56AC">
              <w:t>document creation with requirements</w:t>
            </w:r>
          </w:p>
        </w:tc>
      </w:tr>
    </w:tbl>
    <w:p w:rsidR="00365BCC" w:rsidRDefault="00365BCC"/>
    <w:p w:rsidR="002C40E5" w:rsidRDefault="002C40E5">
      <w:r>
        <w:rPr>
          <w:i/>
          <w:iCs/>
          <w:sz w:val="16"/>
          <w:szCs w:val="16"/>
        </w:rPr>
        <w:t>The information that is contained in this document is the property of Datasharp UK Limited. The contents of the document must not be reproduced or disclosed wholly or in part or used for purposes other than that for which it is supplied without the prior written permission of Datasharp UK Limited. © Copyright Datasharp UK Limited.</w:t>
      </w:r>
    </w:p>
    <w:p w:rsidR="00DF1634" w:rsidRDefault="00DF1634">
      <w:pPr>
        <w:pStyle w:val="TOCHeading"/>
      </w:pPr>
    </w:p>
    <w:sdt>
      <w:sdtPr>
        <w:rPr>
          <w:rFonts w:asciiTheme="minorHAnsi" w:eastAsiaTheme="minorHAnsi" w:hAnsiTheme="minorHAnsi" w:cstheme="minorBidi"/>
          <w:color w:val="auto"/>
          <w:sz w:val="22"/>
          <w:szCs w:val="22"/>
          <w:lang w:val="en-GB"/>
        </w:rPr>
        <w:id w:val="-1356961490"/>
        <w:docPartObj>
          <w:docPartGallery w:val="Table of Contents"/>
          <w:docPartUnique/>
        </w:docPartObj>
      </w:sdtPr>
      <w:sdtEndPr>
        <w:rPr>
          <w:b/>
          <w:bCs/>
          <w:noProof/>
        </w:rPr>
      </w:sdtEndPr>
      <w:sdtContent>
        <w:p w:rsidR="00DF1634" w:rsidRPr="00B149D1" w:rsidRDefault="00DF1634">
          <w:pPr>
            <w:pStyle w:val="TOCHeading"/>
          </w:pPr>
          <w:r w:rsidRPr="00B149D1">
            <w:t>Contents</w:t>
          </w:r>
        </w:p>
        <w:p w:rsidR="00D5168D" w:rsidRPr="00B149D1" w:rsidRDefault="00DF1634">
          <w:pPr>
            <w:pStyle w:val="TOC1"/>
            <w:tabs>
              <w:tab w:val="right" w:leader="dot" w:pos="9628"/>
            </w:tabs>
            <w:rPr>
              <w:rFonts w:eastAsiaTheme="minorEastAsia"/>
              <w:noProof/>
              <w:lang w:eastAsia="en-GB"/>
            </w:rPr>
          </w:pPr>
          <w:r w:rsidRPr="00B149D1">
            <w:fldChar w:fldCharType="begin"/>
          </w:r>
          <w:r w:rsidRPr="00B149D1">
            <w:instrText xml:space="preserve"> TOC \o "1-3" \h \z \u </w:instrText>
          </w:r>
          <w:r w:rsidRPr="00B149D1">
            <w:fldChar w:fldCharType="separate"/>
          </w:r>
          <w:hyperlink w:anchor="_Toc474747013" w:history="1">
            <w:r w:rsidR="00D5168D" w:rsidRPr="00B149D1">
              <w:rPr>
                <w:rStyle w:val="Hyperlink"/>
                <w:rFonts w:eastAsiaTheme="majorEastAsia" w:cstheme="majorBidi"/>
                <w:noProof/>
              </w:rPr>
              <w:t>1 Background/Introduction</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_Toc474747013 \h </w:instrText>
            </w:r>
            <w:r w:rsidR="00D5168D" w:rsidRPr="00B149D1">
              <w:rPr>
                <w:noProof/>
                <w:webHidden/>
              </w:rPr>
            </w:r>
            <w:r w:rsidR="00D5168D" w:rsidRPr="00B149D1">
              <w:rPr>
                <w:noProof/>
                <w:webHidden/>
              </w:rPr>
              <w:fldChar w:fldCharType="separate"/>
            </w:r>
            <w:r w:rsidR="007D5845">
              <w:rPr>
                <w:noProof/>
                <w:webHidden/>
              </w:rPr>
              <w:t>3</w:t>
            </w:r>
            <w:r w:rsidR="00D5168D" w:rsidRPr="00B149D1">
              <w:rPr>
                <w:noProof/>
                <w:webHidden/>
              </w:rPr>
              <w:fldChar w:fldCharType="end"/>
            </w:r>
          </w:hyperlink>
        </w:p>
        <w:p w:rsidR="00D5168D" w:rsidRPr="00B149D1" w:rsidRDefault="008E34D9">
          <w:pPr>
            <w:pStyle w:val="TOC1"/>
            <w:tabs>
              <w:tab w:val="right" w:leader="dot" w:pos="9628"/>
            </w:tabs>
            <w:rPr>
              <w:rFonts w:eastAsiaTheme="minorEastAsia"/>
              <w:noProof/>
              <w:lang w:eastAsia="en-GB"/>
            </w:rPr>
          </w:pPr>
          <w:hyperlink w:anchor="_Toc474747016" w:history="1">
            <w:r w:rsidR="00D5168D" w:rsidRPr="00B149D1">
              <w:rPr>
                <w:rStyle w:val="Hyperlink"/>
                <w:rFonts w:eastAsiaTheme="majorEastAsia" w:cstheme="majorBidi"/>
                <w:noProof/>
              </w:rPr>
              <w:t>2 Project Specifications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_Toc474747016 \h </w:instrText>
            </w:r>
            <w:r w:rsidR="00D5168D" w:rsidRPr="00B149D1">
              <w:rPr>
                <w:noProof/>
                <w:webHidden/>
              </w:rPr>
            </w:r>
            <w:r w:rsidR="00D5168D" w:rsidRPr="00B149D1">
              <w:rPr>
                <w:noProof/>
                <w:webHidden/>
              </w:rPr>
              <w:fldChar w:fldCharType="separate"/>
            </w:r>
            <w:r w:rsidR="007D5845">
              <w:rPr>
                <w:noProof/>
                <w:webHidden/>
              </w:rPr>
              <w:t>3</w:t>
            </w:r>
            <w:r w:rsidR="00D5168D" w:rsidRPr="00B149D1">
              <w:rPr>
                <w:noProof/>
                <w:webHidden/>
              </w:rPr>
              <w:fldChar w:fldCharType="end"/>
            </w:r>
          </w:hyperlink>
        </w:p>
        <w:p w:rsidR="00D5168D" w:rsidRPr="00B149D1" w:rsidRDefault="008E34D9">
          <w:pPr>
            <w:pStyle w:val="TOC1"/>
            <w:tabs>
              <w:tab w:val="right" w:leader="dot" w:pos="9628"/>
            </w:tabs>
            <w:rPr>
              <w:rFonts w:eastAsiaTheme="minorEastAsia"/>
              <w:noProof/>
              <w:lang w:eastAsia="en-GB"/>
            </w:rPr>
          </w:pPr>
          <w:hyperlink w:anchor="_Toc474747017" w:history="1">
            <w:r w:rsidR="00D5168D" w:rsidRPr="00B149D1">
              <w:rPr>
                <w:rStyle w:val="Hyperlink"/>
                <w:rFonts w:eastAsiaTheme="majorEastAsia" w:cstheme="majorBidi"/>
                <w:noProof/>
              </w:rPr>
              <w:t>3 ITT Timetable</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_Toc474747017 \h </w:instrText>
            </w:r>
            <w:r w:rsidR="00D5168D" w:rsidRPr="00B149D1">
              <w:rPr>
                <w:noProof/>
                <w:webHidden/>
              </w:rPr>
            </w:r>
            <w:r w:rsidR="00D5168D" w:rsidRPr="00B149D1">
              <w:rPr>
                <w:noProof/>
                <w:webHidden/>
              </w:rPr>
              <w:fldChar w:fldCharType="separate"/>
            </w:r>
            <w:r w:rsidR="007D5845">
              <w:rPr>
                <w:noProof/>
                <w:webHidden/>
              </w:rPr>
              <w:t>4</w:t>
            </w:r>
            <w:r w:rsidR="00D5168D" w:rsidRPr="00B149D1">
              <w:rPr>
                <w:noProof/>
                <w:webHidden/>
              </w:rPr>
              <w:fldChar w:fldCharType="end"/>
            </w:r>
          </w:hyperlink>
        </w:p>
        <w:p w:rsidR="00D5168D" w:rsidRPr="00B149D1" w:rsidRDefault="008E34D9">
          <w:pPr>
            <w:pStyle w:val="TOC1"/>
            <w:tabs>
              <w:tab w:val="right" w:leader="dot" w:pos="9628"/>
            </w:tabs>
            <w:rPr>
              <w:rFonts w:eastAsiaTheme="minorEastAsia"/>
              <w:noProof/>
              <w:lang w:eastAsia="en-GB"/>
            </w:rPr>
          </w:pPr>
          <w:hyperlink w:anchor="_Toc474747018" w:history="1">
            <w:r w:rsidR="00D5168D" w:rsidRPr="00B149D1">
              <w:rPr>
                <w:rStyle w:val="Hyperlink"/>
                <w:rFonts w:eastAsiaTheme="majorEastAsia" w:cstheme="majorBidi"/>
                <w:noProof/>
              </w:rPr>
              <w:t>4 Conflicts of Interest</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_Toc474747018 \h </w:instrText>
            </w:r>
            <w:r w:rsidR="00D5168D" w:rsidRPr="00B149D1">
              <w:rPr>
                <w:noProof/>
                <w:webHidden/>
              </w:rPr>
            </w:r>
            <w:r w:rsidR="00D5168D" w:rsidRPr="00B149D1">
              <w:rPr>
                <w:noProof/>
                <w:webHidden/>
              </w:rPr>
              <w:fldChar w:fldCharType="separate"/>
            </w:r>
            <w:r w:rsidR="007D5845">
              <w:rPr>
                <w:noProof/>
                <w:webHidden/>
              </w:rPr>
              <w:t>4</w:t>
            </w:r>
            <w:r w:rsidR="00D5168D" w:rsidRPr="00B149D1">
              <w:rPr>
                <w:noProof/>
                <w:webHidden/>
              </w:rPr>
              <w:fldChar w:fldCharType="end"/>
            </w:r>
          </w:hyperlink>
        </w:p>
        <w:p w:rsidR="00D5168D" w:rsidRPr="00B149D1" w:rsidRDefault="008E34D9">
          <w:pPr>
            <w:pStyle w:val="TOC1"/>
            <w:tabs>
              <w:tab w:val="right" w:leader="dot" w:pos="9628"/>
            </w:tabs>
            <w:rPr>
              <w:rFonts w:eastAsiaTheme="minorEastAsia"/>
              <w:noProof/>
              <w:lang w:eastAsia="en-GB"/>
            </w:rPr>
          </w:pPr>
          <w:hyperlink w:anchor="_Toc474747020" w:history="1">
            <w:r w:rsidR="007D5845">
              <w:rPr>
                <w:rStyle w:val="Hyperlink"/>
                <w:rFonts w:eastAsiaTheme="majorEastAsia" w:cstheme="majorBidi"/>
                <w:noProof/>
              </w:rPr>
              <w:t>5</w:t>
            </w:r>
            <w:r w:rsidR="00D5168D" w:rsidRPr="00B149D1">
              <w:rPr>
                <w:rStyle w:val="Hyperlink"/>
                <w:rFonts w:eastAsiaTheme="majorEastAsia" w:cstheme="majorBidi"/>
                <w:noProof/>
              </w:rPr>
              <w:t xml:space="preserve"> Tender Application Requirements</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_Toc474747020 \h </w:instrText>
            </w:r>
            <w:r w:rsidR="00D5168D" w:rsidRPr="00B149D1">
              <w:rPr>
                <w:noProof/>
                <w:webHidden/>
              </w:rPr>
            </w:r>
            <w:r w:rsidR="00D5168D" w:rsidRPr="00B149D1">
              <w:rPr>
                <w:noProof/>
                <w:webHidden/>
              </w:rPr>
              <w:fldChar w:fldCharType="separate"/>
            </w:r>
            <w:r w:rsidR="007D5845">
              <w:rPr>
                <w:noProof/>
                <w:webHidden/>
              </w:rPr>
              <w:t>5</w:t>
            </w:r>
            <w:r w:rsidR="00D5168D" w:rsidRPr="00B149D1">
              <w:rPr>
                <w:noProof/>
                <w:webHidden/>
              </w:rPr>
              <w:fldChar w:fldCharType="end"/>
            </w:r>
          </w:hyperlink>
        </w:p>
        <w:p w:rsidR="00D5168D" w:rsidRPr="00B149D1" w:rsidRDefault="008E34D9">
          <w:pPr>
            <w:pStyle w:val="TOC1"/>
            <w:tabs>
              <w:tab w:val="right" w:leader="dot" w:pos="9628"/>
            </w:tabs>
            <w:rPr>
              <w:rFonts w:eastAsiaTheme="minorEastAsia"/>
              <w:noProof/>
              <w:lang w:eastAsia="en-GB"/>
            </w:rPr>
          </w:pPr>
          <w:hyperlink w:anchor="_Toc474747023" w:history="1">
            <w:r w:rsidR="007D5845">
              <w:rPr>
                <w:rStyle w:val="Hyperlink"/>
                <w:rFonts w:eastAsiaTheme="majorEastAsia" w:cstheme="majorBidi"/>
                <w:noProof/>
              </w:rPr>
              <w:t xml:space="preserve">6 </w:t>
            </w:r>
            <w:r w:rsidR="005E4527" w:rsidRPr="00B149D1">
              <w:rPr>
                <w:rStyle w:val="Hyperlink"/>
                <w:rFonts w:eastAsiaTheme="majorEastAsia" w:cstheme="majorBidi"/>
                <w:noProof/>
              </w:rPr>
              <w:t xml:space="preserve">Tender Evaluation </w:t>
            </w:r>
            <w:r w:rsidR="00D5168D" w:rsidRPr="00B149D1">
              <w:rPr>
                <w:noProof/>
                <w:webHidden/>
              </w:rPr>
              <w:tab/>
            </w:r>
            <w:r w:rsidR="00D5168D" w:rsidRPr="00B149D1">
              <w:rPr>
                <w:noProof/>
                <w:webHidden/>
              </w:rPr>
              <w:fldChar w:fldCharType="begin"/>
            </w:r>
            <w:r w:rsidR="00D5168D" w:rsidRPr="00B149D1">
              <w:rPr>
                <w:noProof/>
                <w:webHidden/>
              </w:rPr>
              <w:instrText xml:space="preserve"> PAGEREF _Toc474747023 \h </w:instrText>
            </w:r>
            <w:r w:rsidR="00D5168D" w:rsidRPr="00B149D1">
              <w:rPr>
                <w:noProof/>
                <w:webHidden/>
              </w:rPr>
            </w:r>
            <w:r w:rsidR="00D5168D" w:rsidRPr="00B149D1">
              <w:rPr>
                <w:noProof/>
                <w:webHidden/>
              </w:rPr>
              <w:fldChar w:fldCharType="separate"/>
            </w:r>
            <w:r w:rsidR="007D5845">
              <w:rPr>
                <w:noProof/>
                <w:webHidden/>
              </w:rPr>
              <w:t>5</w:t>
            </w:r>
            <w:r w:rsidR="00D5168D" w:rsidRPr="00B149D1">
              <w:rPr>
                <w:noProof/>
                <w:webHidden/>
              </w:rPr>
              <w:fldChar w:fldCharType="end"/>
            </w:r>
          </w:hyperlink>
        </w:p>
        <w:p w:rsidR="00D5168D" w:rsidRPr="00B149D1" w:rsidRDefault="008E34D9">
          <w:pPr>
            <w:pStyle w:val="TOC1"/>
            <w:tabs>
              <w:tab w:val="right" w:leader="dot" w:pos="9628"/>
            </w:tabs>
            <w:rPr>
              <w:rFonts w:eastAsiaTheme="minorEastAsia"/>
              <w:noProof/>
              <w:lang w:eastAsia="en-GB"/>
            </w:rPr>
          </w:pPr>
          <w:hyperlink w:anchor="_Toc474747024" w:history="1">
            <w:r w:rsidR="007D5845">
              <w:rPr>
                <w:rStyle w:val="Hyperlink"/>
                <w:rFonts w:eastAsiaTheme="majorEastAsia" w:cstheme="majorBidi"/>
                <w:noProof/>
              </w:rPr>
              <w:t>7</w:t>
            </w:r>
            <w:r w:rsidR="00D5168D" w:rsidRPr="00B149D1">
              <w:rPr>
                <w:rStyle w:val="Hyperlink"/>
                <w:rFonts w:eastAsiaTheme="majorEastAsia" w:cstheme="majorBidi"/>
                <w:noProof/>
              </w:rPr>
              <w:t xml:space="preserve"> Tender Returns</w:t>
            </w:r>
            <w:r w:rsidR="00D5168D" w:rsidRPr="00B149D1">
              <w:rPr>
                <w:noProof/>
                <w:webHidden/>
              </w:rPr>
              <w:tab/>
            </w:r>
          </w:hyperlink>
          <w:r w:rsidR="007D5845">
            <w:rPr>
              <w:noProof/>
            </w:rPr>
            <w:t>5</w:t>
          </w:r>
        </w:p>
        <w:p w:rsidR="00D5168D" w:rsidRPr="00B149D1" w:rsidRDefault="008E34D9">
          <w:pPr>
            <w:pStyle w:val="TOC1"/>
            <w:tabs>
              <w:tab w:val="right" w:leader="dot" w:pos="9628"/>
            </w:tabs>
            <w:rPr>
              <w:rFonts w:eastAsiaTheme="minorEastAsia"/>
              <w:noProof/>
              <w:lang w:eastAsia="en-GB"/>
            </w:rPr>
          </w:pPr>
          <w:hyperlink w:anchor="_Toc474747025" w:history="1">
            <w:r w:rsidR="007D5845">
              <w:rPr>
                <w:rStyle w:val="Hyperlink"/>
                <w:rFonts w:eastAsiaTheme="majorEastAsia" w:cstheme="majorBidi"/>
                <w:noProof/>
              </w:rPr>
              <w:t>8</w:t>
            </w:r>
            <w:r w:rsidR="00D5168D" w:rsidRPr="00B149D1">
              <w:rPr>
                <w:rStyle w:val="Hyperlink"/>
                <w:rFonts w:eastAsiaTheme="majorEastAsia" w:cstheme="majorBidi"/>
                <w:noProof/>
              </w:rPr>
              <w:t xml:space="preserve"> Clarification</w:t>
            </w:r>
            <w:r w:rsidR="00D5168D" w:rsidRPr="00B149D1">
              <w:rPr>
                <w:noProof/>
                <w:webHidden/>
              </w:rPr>
              <w:tab/>
            </w:r>
          </w:hyperlink>
          <w:r w:rsidR="007D5845">
            <w:rPr>
              <w:noProof/>
            </w:rPr>
            <w:t>6</w:t>
          </w:r>
        </w:p>
        <w:p w:rsidR="00D5168D" w:rsidRPr="00B149D1" w:rsidRDefault="008E34D9">
          <w:pPr>
            <w:pStyle w:val="TOC1"/>
            <w:tabs>
              <w:tab w:val="right" w:leader="dot" w:pos="9628"/>
            </w:tabs>
            <w:rPr>
              <w:rFonts w:eastAsiaTheme="minorEastAsia"/>
              <w:noProof/>
              <w:lang w:eastAsia="en-GB"/>
            </w:rPr>
          </w:pPr>
          <w:hyperlink w:anchor="_Toc474747026" w:history="1">
            <w:r w:rsidR="007D5845">
              <w:rPr>
                <w:rStyle w:val="Hyperlink"/>
                <w:rFonts w:eastAsiaTheme="majorEastAsia" w:cstheme="majorBidi"/>
                <w:noProof/>
              </w:rPr>
              <w:t>9</w:t>
            </w:r>
            <w:r w:rsidR="00D5168D" w:rsidRPr="00B149D1">
              <w:rPr>
                <w:rStyle w:val="Hyperlink"/>
                <w:rFonts w:eastAsiaTheme="majorEastAsia" w:cstheme="majorBidi"/>
                <w:noProof/>
              </w:rPr>
              <w:t xml:space="preserve"> Disclaimer</w:t>
            </w:r>
            <w:r w:rsidR="00D5168D" w:rsidRPr="00B149D1">
              <w:rPr>
                <w:noProof/>
                <w:webHidden/>
              </w:rPr>
              <w:tab/>
            </w:r>
          </w:hyperlink>
          <w:r w:rsidR="007D5845">
            <w:rPr>
              <w:noProof/>
            </w:rPr>
            <w:t>7</w:t>
          </w:r>
        </w:p>
        <w:p w:rsidR="00D5168D" w:rsidRPr="00B149D1" w:rsidRDefault="008E34D9">
          <w:pPr>
            <w:pStyle w:val="TOC1"/>
            <w:tabs>
              <w:tab w:val="right" w:leader="dot" w:pos="9628"/>
            </w:tabs>
            <w:rPr>
              <w:rFonts w:eastAsiaTheme="minorEastAsia"/>
              <w:noProof/>
              <w:lang w:eastAsia="en-GB"/>
            </w:rPr>
          </w:pPr>
          <w:hyperlink w:anchor="_Toc474747027" w:history="1">
            <w:r w:rsidR="007D5845">
              <w:rPr>
                <w:rStyle w:val="Hyperlink"/>
                <w:rFonts w:eastAsiaTheme="majorEastAsia" w:cstheme="majorBidi"/>
                <w:noProof/>
              </w:rPr>
              <w:t>10</w:t>
            </w:r>
            <w:r w:rsidR="00A436CD" w:rsidRPr="00B149D1">
              <w:rPr>
                <w:rStyle w:val="Hyperlink"/>
                <w:rFonts w:eastAsiaTheme="majorEastAsia" w:cstheme="majorBidi"/>
                <w:noProof/>
              </w:rPr>
              <w:t xml:space="preserve"> </w:t>
            </w:r>
            <w:r w:rsidR="00D52212" w:rsidRPr="00B149D1">
              <w:rPr>
                <w:rStyle w:val="Hyperlink"/>
                <w:rFonts w:eastAsiaTheme="majorEastAsia" w:cstheme="majorBidi"/>
                <w:noProof/>
              </w:rPr>
              <w:t>Enclosures</w:t>
            </w:r>
            <w:r w:rsidR="00D5168D" w:rsidRPr="00B149D1">
              <w:rPr>
                <w:noProof/>
                <w:webHidden/>
              </w:rPr>
              <w:tab/>
            </w:r>
          </w:hyperlink>
          <w:r w:rsidR="007D5845">
            <w:rPr>
              <w:noProof/>
            </w:rPr>
            <w:t>7</w:t>
          </w:r>
        </w:p>
        <w:p w:rsidR="00DF1634" w:rsidRDefault="00DF1634">
          <w:r w:rsidRPr="00B149D1">
            <w:rPr>
              <w:bCs/>
              <w:noProof/>
            </w:rPr>
            <w:fldChar w:fldCharType="end"/>
          </w:r>
        </w:p>
      </w:sdtContent>
    </w:sdt>
    <w:p w:rsidR="000A70F8" w:rsidRDefault="000A70F8">
      <w:pPr>
        <w:rPr>
          <w:rStyle w:val="Heading1Char"/>
        </w:rPr>
      </w:pPr>
      <w:bookmarkStart w:id="0" w:name="_Toc474747013"/>
      <w:r>
        <w:rPr>
          <w:rStyle w:val="Heading1Char"/>
        </w:rPr>
        <w:br w:type="page"/>
      </w:r>
    </w:p>
    <w:p w:rsidR="00365BCC" w:rsidRPr="00365BCC" w:rsidRDefault="007230DE" w:rsidP="00365BC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r>
        <w:rPr>
          <w:rStyle w:val="Heading1Char"/>
        </w:rPr>
        <w:lastRenderedPageBreak/>
        <w:t xml:space="preserve">1 </w:t>
      </w:r>
      <w:r w:rsidR="00883718">
        <w:rPr>
          <w:rStyle w:val="Heading1Char"/>
        </w:rPr>
        <w:t>Background/</w:t>
      </w:r>
      <w:r w:rsidR="00DF1F5C">
        <w:rPr>
          <w:rStyle w:val="Heading1Char"/>
        </w:rPr>
        <w:t>Introduction</w:t>
      </w:r>
      <w:bookmarkEnd w:id="0"/>
    </w:p>
    <w:p w:rsidR="00CC472A" w:rsidRDefault="00AC4B1C" w:rsidP="00CC472A">
      <w:pPr>
        <w:spacing w:after="0"/>
      </w:pPr>
      <w:r>
        <w:t xml:space="preserve">Datasharp UK Ltd (‘Datasharp’ from here on) </w:t>
      </w:r>
      <w:r w:rsidR="00CC472A">
        <w:t>has been in operation for 35 years and is still a family run company. Datasharp pride themselves on service and excellence in providing bespoke telephone solutions and IT solutions to business customers across the UK</w:t>
      </w:r>
    </w:p>
    <w:p w:rsidR="00CC472A" w:rsidRDefault="00CC472A" w:rsidP="00CC472A">
      <w:pPr>
        <w:spacing w:after="0"/>
      </w:pPr>
    </w:p>
    <w:p w:rsidR="00CC472A" w:rsidRDefault="00CC472A" w:rsidP="00CC472A">
      <w:pPr>
        <w:spacing w:after="0"/>
      </w:pPr>
      <w:r>
        <w:t>Datasharp recently expanded its team into a second premises in Truro Business Park to accommodate its expansion into IT Services and Support. Datasharp benefit from the talent located in Cornwall and across the South West, and the new premises with custom built test and development areas ensure Datasharp can continue to provide its customers with a superior level of care.</w:t>
      </w:r>
    </w:p>
    <w:p w:rsidR="00CC472A" w:rsidRDefault="00CC472A" w:rsidP="00CC472A">
      <w:pPr>
        <w:spacing w:after="0"/>
      </w:pPr>
    </w:p>
    <w:p w:rsidR="00A97BAE" w:rsidRDefault="00CC472A" w:rsidP="006E04FE">
      <w:pPr>
        <w:spacing w:after="0"/>
      </w:pPr>
      <w:r>
        <w:t>In 2016 Datasharp was recognised by Microsoft as being ranked in their Top 5% of Network Partners globally. This recognition follows Datasharp’s latest accreditation for “Small and Midmarket Cloud Solutions” for implementing and supporting Microsoft’s cloud services, in particular Microsoft Office 365. This recognition is testament to the fact that Datasharp are dedicated to remaining at the forefront of technology for the benefit of its customers.</w:t>
      </w:r>
    </w:p>
    <w:p w:rsidR="006E04FE" w:rsidRPr="00A97BAE" w:rsidRDefault="006E04FE" w:rsidP="006E04FE">
      <w:pPr>
        <w:spacing w:after="0"/>
      </w:pPr>
    </w:p>
    <w:p w:rsidR="00365BCC" w:rsidRDefault="00222847" w:rsidP="00A87CC3">
      <w:pPr>
        <w:pStyle w:val="Heading2"/>
      </w:pPr>
      <w:bookmarkStart w:id="1" w:name="_Toc474747014"/>
      <w:r>
        <w:t>Company description and profile</w:t>
      </w:r>
      <w:bookmarkEnd w:id="1"/>
    </w:p>
    <w:p w:rsidR="00EA1A5C" w:rsidRDefault="00EA1A5C" w:rsidP="00577A50">
      <w:pPr>
        <w:spacing w:before="120" w:after="0" w:line="240" w:lineRule="auto"/>
      </w:pPr>
      <w:r>
        <w:t>Please see:</w:t>
      </w:r>
    </w:p>
    <w:p w:rsidR="007D15B9" w:rsidRDefault="007B6D02" w:rsidP="007D15B9">
      <w:pPr>
        <w:spacing w:before="120" w:after="0" w:line="240" w:lineRule="auto"/>
        <w:ind w:firstLine="720"/>
      </w:pPr>
      <w:r w:rsidRPr="00F7481C">
        <w:t>Enclosure 1</w:t>
      </w:r>
      <w:r w:rsidR="007D15B9" w:rsidRPr="00F7481C">
        <w:t>:</w:t>
      </w:r>
      <w:r w:rsidR="007D15B9">
        <w:tab/>
      </w:r>
      <w:r w:rsidR="00F7481C">
        <w:tab/>
      </w:r>
      <w:r w:rsidR="007D15B9" w:rsidRPr="00BE6679">
        <w:rPr>
          <w:i/>
        </w:rPr>
        <w:t>Welcome to Datasharp.pdf</w:t>
      </w:r>
    </w:p>
    <w:p w:rsidR="00222847" w:rsidRDefault="00EA1A5C" w:rsidP="00577A50">
      <w:pPr>
        <w:spacing w:before="120" w:after="0" w:line="240" w:lineRule="auto"/>
        <w:ind w:firstLine="720"/>
      </w:pPr>
      <w:r>
        <w:t>Our website:</w:t>
      </w:r>
      <w:r>
        <w:tab/>
      </w:r>
      <w:r>
        <w:tab/>
      </w:r>
      <w:hyperlink r:id="rId8" w:history="1">
        <w:r w:rsidR="007614F3" w:rsidRPr="00ED2BBA">
          <w:rPr>
            <w:rStyle w:val="Hyperlink"/>
          </w:rPr>
          <w:t>www.datas</w:t>
        </w:r>
        <w:r w:rsidR="007614F3" w:rsidRPr="00ED2BBA" w:rsidDel="007614F3">
          <w:rPr>
            <w:rStyle w:val="Hyperlink"/>
          </w:rPr>
          <w:t>a</w:t>
        </w:r>
        <w:r w:rsidR="007614F3" w:rsidRPr="00ED2BBA">
          <w:rPr>
            <w:rStyle w:val="Hyperlink"/>
          </w:rPr>
          <w:t>harp.co.uk</w:t>
        </w:r>
      </w:hyperlink>
    </w:p>
    <w:p w:rsidR="008C6107" w:rsidRPr="008C6107" w:rsidRDefault="008C6107" w:rsidP="008C6107">
      <w:pPr>
        <w:spacing w:after="0"/>
        <w:rPr>
          <w:sz w:val="24"/>
          <w:szCs w:val="24"/>
        </w:rPr>
      </w:pPr>
    </w:p>
    <w:p w:rsidR="006E04FE" w:rsidRDefault="008C6107" w:rsidP="009B0760">
      <w:pPr>
        <w:spacing w:after="0"/>
      </w:pPr>
      <w:r w:rsidRPr="008C6107">
        <w:rPr>
          <w:sz w:val="24"/>
          <w:szCs w:val="24"/>
        </w:rPr>
        <w:t>Datasharp require a fleet of 15 new light commercial vehicles</w:t>
      </w:r>
      <w:r w:rsidR="009B0760">
        <w:rPr>
          <w:sz w:val="24"/>
          <w:szCs w:val="24"/>
        </w:rPr>
        <w:t xml:space="preserve"> (LCV)</w:t>
      </w:r>
      <w:r w:rsidRPr="008C6107">
        <w:rPr>
          <w:sz w:val="24"/>
          <w:szCs w:val="24"/>
        </w:rPr>
        <w:t xml:space="preserve"> for use by the expanding engineering services.</w:t>
      </w:r>
      <w:r w:rsidR="009B0760">
        <w:rPr>
          <w:sz w:val="24"/>
          <w:szCs w:val="24"/>
        </w:rPr>
        <w:t xml:space="preserve">  </w:t>
      </w:r>
      <w:r w:rsidR="006E04FE">
        <w:rPr>
          <w:sz w:val="24"/>
          <w:szCs w:val="24"/>
        </w:rPr>
        <w:t>The purchase of these</w:t>
      </w:r>
      <w:r w:rsidR="00407958">
        <w:rPr>
          <w:sz w:val="24"/>
          <w:szCs w:val="24"/>
        </w:rPr>
        <w:t xml:space="preserve"> LCV</w:t>
      </w:r>
      <w:r w:rsidR="006E04FE">
        <w:rPr>
          <w:sz w:val="24"/>
          <w:szCs w:val="24"/>
        </w:rPr>
        <w:t xml:space="preserve"> is part of a grant funded application process and therefore procurement will be subject to grant approval of the </w:t>
      </w:r>
      <w:r w:rsidR="007D5845">
        <w:rPr>
          <w:sz w:val="24"/>
          <w:szCs w:val="24"/>
        </w:rPr>
        <w:t>project</w:t>
      </w:r>
      <w:r w:rsidR="006E04FE">
        <w:rPr>
          <w:sz w:val="24"/>
          <w:szCs w:val="24"/>
        </w:rPr>
        <w:t xml:space="preserve">. </w:t>
      </w:r>
      <w:r w:rsidR="009B0760" w:rsidRPr="00023C49">
        <w:t>We will award the contract to the lowest compliant bid</w:t>
      </w:r>
    </w:p>
    <w:p w:rsidR="00AC4B1C" w:rsidRPr="00577A50" w:rsidRDefault="00AC4B1C" w:rsidP="00577A50">
      <w:pPr>
        <w:spacing w:before="120" w:after="0" w:line="240" w:lineRule="auto"/>
      </w:pPr>
    </w:p>
    <w:p w:rsidR="00DF1F5C" w:rsidRPr="00365BCC" w:rsidRDefault="007230DE" w:rsidP="00DF1F5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2" w:name="_Toc474747016"/>
      <w:r>
        <w:rPr>
          <w:rStyle w:val="Heading1Char"/>
        </w:rPr>
        <w:t xml:space="preserve">2 </w:t>
      </w:r>
      <w:r w:rsidR="00AC4B1C">
        <w:rPr>
          <w:rStyle w:val="Heading1Char"/>
        </w:rPr>
        <w:t>Project</w:t>
      </w:r>
      <w:r w:rsidR="00DF1F5C">
        <w:rPr>
          <w:rStyle w:val="Heading1Char"/>
        </w:rPr>
        <w:t xml:space="preserve"> Specifications</w:t>
      </w:r>
      <w:bookmarkEnd w:id="2"/>
    </w:p>
    <w:p w:rsidR="009B0760" w:rsidRDefault="009B0760" w:rsidP="009B0760">
      <w:pPr>
        <w:spacing w:after="0"/>
      </w:pPr>
      <w:r>
        <w:t>Datasharp require a fleet of 15 new light commercial vehicles for use by the expanding engineering services.</w:t>
      </w:r>
    </w:p>
    <w:p w:rsidR="009B0760" w:rsidRDefault="009B0760" w:rsidP="009B0760">
      <w:pPr>
        <w:spacing w:after="0"/>
      </w:pPr>
    </w:p>
    <w:p w:rsidR="009B0760" w:rsidRPr="005A196C" w:rsidRDefault="009B0760" w:rsidP="009B0760">
      <w:pPr>
        <w:spacing w:before="120" w:after="0" w:line="240" w:lineRule="auto"/>
      </w:pPr>
      <w:r>
        <w:t xml:space="preserve">For more information of the above requirements please refer to Enclosure 2 </w:t>
      </w:r>
      <w:r w:rsidRPr="00621209">
        <w:rPr>
          <w:i/>
        </w:rPr>
        <w:t xml:space="preserve">Datasharp </w:t>
      </w:r>
      <w:r>
        <w:rPr>
          <w:i/>
        </w:rPr>
        <w:t xml:space="preserve">LCV </w:t>
      </w:r>
      <w:r w:rsidRPr="00621209">
        <w:rPr>
          <w:i/>
        </w:rPr>
        <w:t>Requirements</w:t>
      </w:r>
      <w:r>
        <w:rPr>
          <w:i/>
        </w:rPr>
        <w:t>.</w:t>
      </w:r>
    </w:p>
    <w:p w:rsidR="009B0760" w:rsidRDefault="009B0760" w:rsidP="009B0760">
      <w:pPr>
        <w:spacing w:after="0"/>
      </w:pPr>
    </w:p>
    <w:p w:rsidR="000A2D79" w:rsidRDefault="009B0760">
      <w:r>
        <w:t>The supply of the vehicles must comply to the following conditions:</w:t>
      </w:r>
    </w:p>
    <w:p w:rsidR="009B0760" w:rsidRPr="00582EEC" w:rsidRDefault="009B0760" w:rsidP="009B0760">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Meet the requirements as specified in Enclosure 2</w:t>
      </w:r>
    </w:p>
    <w:p w:rsidR="009B0760" w:rsidRPr="00582EEC" w:rsidRDefault="009B0760" w:rsidP="009B0760">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Be delivered on or before 31</w:t>
      </w:r>
      <w:r w:rsidRPr="00582EEC">
        <w:rPr>
          <w:rStyle w:val="Heading1Char"/>
          <w:rFonts w:asciiTheme="minorHAnsi" w:hAnsiTheme="minorHAnsi"/>
          <w:color w:val="auto"/>
          <w:sz w:val="24"/>
          <w:szCs w:val="26"/>
          <w:vertAlign w:val="superscript"/>
        </w:rPr>
        <w:t>st</w:t>
      </w:r>
      <w:r w:rsidRPr="00582EEC">
        <w:rPr>
          <w:rStyle w:val="Heading1Char"/>
          <w:rFonts w:asciiTheme="minorHAnsi" w:hAnsiTheme="minorHAnsi"/>
          <w:color w:val="auto"/>
          <w:sz w:val="24"/>
          <w:szCs w:val="26"/>
        </w:rPr>
        <w:t xml:space="preserve"> January 2018 to Datasharp UK Limited, Woodlands Court, Truro Business Park, Truro, </w:t>
      </w:r>
      <w:r w:rsidR="00582EEC" w:rsidRPr="00582EEC">
        <w:rPr>
          <w:rStyle w:val="Heading1Char"/>
          <w:rFonts w:asciiTheme="minorHAnsi" w:hAnsiTheme="minorHAnsi"/>
          <w:color w:val="auto"/>
          <w:sz w:val="24"/>
          <w:szCs w:val="26"/>
        </w:rPr>
        <w:t>Cornwall, UK, TR4 9NH</w:t>
      </w:r>
    </w:p>
    <w:p w:rsidR="00582EEC" w:rsidRPr="00012BB2" w:rsidRDefault="00582EEC" w:rsidP="00012BB2">
      <w:pPr>
        <w:pStyle w:val="ListParagraph"/>
        <w:numPr>
          <w:ilvl w:val="0"/>
          <w:numId w:val="34"/>
        </w:numPr>
        <w:rPr>
          <w:rStyle w:val="Heading1Char"/>
          <w:rFonts w:asciiTheme="minorHAnsi" w:hAnsiTheme="minorHAnsi"/>
          <w:color w:val="auto"/>
          <w:sz w:val="24"/>
          <w:szCs w:val="26"/>
        </w:rPr>
      </w:pPr>
      <w:r w:rsidRPr="00582EEC">
        <w:rPr>
          <w:rStyle w:val="Heading1Char"/>
          <w:rFonts w:asciiTheme="minorHAnsi" w:hAnsiTheme="minorHAnsi"/>
          <w:color w:val="auto"/>
          <w:sz w:val="24"/>
          <w:szCs w:val="26"/>
        </w:rPr>
        <w:t xml:space="preserve">The vehicles must be able to be maintained by a registered dealer of the manufacturer within </w:t>
      </w:r>
      <w:r w:rsidR="00012BB2">
        <w:rPr>
          <w:rStyle w:val="Heading1Char"/>
          <w:rFonts w:asciiTheme="minorHAnsi" w:hAnsiTheme="minorHAnsi"/>
          <w:color w:val="auto"/>
          <w:sz w:val="24"/>
          <w:szCs w:val="26"/>
        </w:rPr>
        <w:t xml:space="preserve">a </w:t>
      </w:r>
      <w:r w:rsidRPr="00582EEC">
        <w:rPr>
          <w:rStyle w:val="Heading1Char"/>
          <w:rFonts w:asciiTheme="minorHAnsi" w:hAnsiTheme="minorHAnsi"/>
          <w:color w:val="auto"/>
          <w:sz w:val="24"/>
          <w:szCs w:val="26"/>
        </w:rPr>
        <w:t>30 mile</w:t>
      </w:r>
      <w:r w:rsidR="00405315">
        <w:rPr>
          <w:rStyle w:val="Heading1Char"/>
          <w:rFonts w:asciiTheme="minorHAnsi" w:hAnsiTheme="minorHAnsi"/>
          <w:color w:val="auto"/>
          <w:sz w:val="24"/>
          <w:szCs w:val="26"/>
        </w:rPr>
        <w:t xml:space="preserve"> radius</w:t>
      </w:r>
      <w:r w:rsidRPr="00582EEC">
        <w:rPr>
          <w:rStyle w:val="Heading1Char"/>
          <w:rFonts w:asciiTheme="minorHAnsi" w:hAnsiTheme="minorHAnsi"/>
          <w:color w:val="auto"/>
          <w:sz w:val="24"/>
          <w:szCs w:val="26"/>
        </w:rPr>
        <w:t xml:space="preserve"> of Woodlands Court, Truro Business Park, Truro, Cornwall, UK, TR4 9NH</w:t>
      </w:r>
    </w:p>
    <w:p w:rsidR="00AD3BF4" w:rsidRPr="00365BCC" w:rsidRDefault="00913B05" w:rsidP="00AD3BF4">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3" w:name="_Toc474747017"/>
      <w:r>
        <w:rPr>
          <w:rStyle w:val="Heading1Char"/>
        </w:rPr>
        <w:lastRenderedPageBreak/>
        <w:t xml:space="preserve">3 </w:t>
      </w:r>
      <w:r w:rsidR="003C5EE6">
        <w:rPr>
          <w:rStyle w:val="Heading1Char"/>
        </w:rPr>
        <w:t>ITT Timetable</w:t>
      </w:r>
      <w:bookmarkEnd w:id="3"/>
    </w:p>
    <w:p w:rsidR="00B36A19" w:rsidRPr="00CB5C71" w:rsidRDefault="00B36A19" w:rsidP="00B36A19">
      <w: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B36A19" w:rsidRPr="00CB5C71" w:rsidTr="00F23511">
        <w:trPr>
          <w:jc w:val="center"/>
        </w:trPr>
        <w:tc>
          <w:tcPr>
            <w:tcW w:w="3935" w:type="dxa"/>
            <w:shd w:val="clear" w:color="auto" w:fill="auto"/>
          </w:tcPr>
          <w:p w:rsidR="00B36A19" w:rsidRPr="002B1BAD" w:rsidRDefault="00B36A19" w:rsidP="00F23511">
            <w:r w:rsidRPr="002B1BAD">
              <w:t>Activity</w:t>
            </w:r>
          </w:p>
        </w:tc>
        <w:tc>
          <w:tcPr>
            <w:tcW w:w="3781" w:type="dxa"/>
            <w:shd w:val="clear" w:color="auto" w:fill="auto"/>
          </w:tcPr>
          <w:p w:rsidR="00B36A19" w:rsidRPr="002B1BAD" w:rsidRDefault="00B36A19" w:rsidP="00F23511">
            <w:r w:rsidRPr="002B1BAD">
              <w:t>Date</w:t>
            </w:r>
          </w:p>
        </w:tc>
      </w:tr>
      <w:tr w:rsidR="00B36A19" w:rsidRPr="00CB5C71" w:rsidTr="00F23511">
        <w:trPr>
          <w:jc w:val="center"/>
        </w:trPr>
        <w:tc>
          <w:tcPr>
            <w:tcW w:w="3935" w:type="dxa"/>
            <w:shd w:val="clear" w:color="auto" w:fill="auto"/>
          </w:tcPr>
          <w:p w:rsidR="00B36A19" w:rsidRPr="002B1BAD" w:rsidRDefault="00B36A19" w:rsidP="00F23511">
            <w:r w:rsidRPr="002B1BAD">
              <w:t>Date ITT available on Contracts Finder</w:t>
            </w:r>
          </w:p>
        </w:tc>
        <w:tc>
          <w:tcPr>
            <w:tcW w:w="3781" w:type="dxa"/>
            <w:shd w:val="clear" w:color="auto" w:fill="auto"/>
          </w:tcPr>
          <w:p w:rsidR="00B36A19" w:rsidRPr="002B1BAD" w:rsidRDefault="008E34D9" w:rsidP="00F23511">
            <w:r>
              <w:t>20</w:t>
            </w:r>
            <w:r w:rsidR="002B1BAD" w:rsidRPr="002B1BAD">
              <w:rPr>
                <w:vertAlign w:val="superscript"/>
              </w:rPr>
              <w:t>th</w:t>
            </w:r>
            <w:r w:rsidR="00012BB2">
              <w:t xml:space="preserve"> October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raising queries</w:t>
            </w:r>
          </w:p>
        </w:tc>
        <w:tc>
          <w:tcPr>
            <w:tcW w:w="3781" w:type="dxa"/>
            <w:shd w:val="clear" w:color="auto" w:fill="auto"/>
          </w:tcPr>
          <w:p w:rsidR="00B36A19" w:rsidRPr="002B1BAD" w:rsidRDefault="008E34D9" w:rsidP="007B6D02">
            <w:r>
              <w:t>27</w:t>
            </w:r>
            <w:r w:rsidR="00012BB2" w:rsidRPr="00012BB2">
              <w:rPr>
                <w:vertAlign w:val="superscript"/>
              </w:rPr>
              <w:t>rd</w:t>
            </w:r>
            <w:r w:rsidR="00012BB2">
              <w:t xml:space="preserve"> October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Last date for clarifications to queries</w:t>
            </w:r>
          </w:p>
        </w:tc>
        <w:tc>
          <w:tcPr>
            <w:tcW w:w="3781" w:type="dxa"/>
            <w:shd w:val="clear" w:color="auto" w:fill="auto"/>
          </w:tcPr>
          <w:p w:rsidR="00B36A19" w:rsidRPr="002B1BAD" w:rsidRDefault="008E34D9" w:rsidP="007B6D02">
            <w:r>
              <w:t>3</w:t>
            </w:r>
            <w:r w:rsidRPr="008E34D9">
              <w:rPr>
                <w:vertAlign w:val="superscript"/>
              </w:rPr>
              <w:t>rd</w:t>
            </w:r>
            <w:r>
              <w:t xml:space="preserve"> November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Deadline to return ITT</w:t>
            </w:r>
          </w:p>
        </w:tc>
        <w:tc>
          <w:tcPr>
            <w:tcW w:w="3781" w:type="dxa"/>
            <w:shd w:val="clear" w:color="auto" w:fill="auto"/>
          </w:tcPr>
          <w:p w:rsidR="00B36A19" w:rsidRPr="002B1BAD" w:rsidRDefault="008E34D9" w:rsidP="007B6D02">
            <w:r>
              <w:t>10</w:t>
            </w:r>
            <w:r w:rsidR="00012BB2" w:rsidRPr="00012BB2">
              <w:rPr>
                <w:vertAlign w:val="superscript"/>
              </w:rPr>
              <w:t>th</w:t>
            </w:r>
            <w:r w:rsidR="00012BB2">
              <w:t xml:space="preserve"> </w:t>
            </w:r>
            <w:r w:rsidR="00502D56">
              <w:t>November</w:t>
            </w:r>
            <w:r w:rsidR="002B1BAD" w:rsidRPr="002B1BAD">
              <w:t xml:space="preserve"> 2017</w:t>
            </w:r>
          </w:p>
        </w:tc>
      </w:tr>
      <w:tr w:rsidR="00B36A19" w:rsidRPr="00CB5C71" w:rsidTr="00F23511">
        <w:trPr>
          <w:jc w:val="center"/>
        </w:trPr>
        <w:tc>
          <w:tcPr>
            <w:tcW w:w="3935" w:type="dxa"/>
            <w:shd w:val="clear" w:color="auto" w:fill="auto"/>
          </w:tcPr>
          <w:p w:rsidR="00B36A19" w:rsidRPr="002B1BAD" w:rsidRDefault="00B36A19" w:rsidP="00F23511">
            <w:r w:rsidRPr="002B1BAD">
              <w:t>Evaluation of ITT</w:t>
            </w:r>
          </w:p>
        </w:tc>
        <w:tc>
          <w:tcPr>
            <w:tcW w:w="3781" w:type="dxa"/>
            <w:shd w:val="clear" w:color="auto" w:fill="auto"/>
          </w:tcPr>
          <w:p w:rsidR="00B36A19" w:rsidRPr="002B1BAD" w:rsidRDefault="00C878EC" w:rsidP="007B6D02">
            <w:r>
              <w:t>1</w:t>
            </w:r>
            <w:r w:rsidR="008E34D9">
              <w:t>7</w:t>
            </w:r>
            <w:r w:rsidR="00502D56" w:rsidRPr="00502D56">
              <w:rPr>
                <w:vertAlign w:val="superscript"/>
              </w:rPr>
              <w:t>th</w:t>
            </w:r>
            <w:r w:rsidR="00502D56">
              <w:t xml:space="preserve"> November</w:t>
            </w:r>
            <w:r w:rsidR="002B1BAD" w:rsidRPr="002B1BAD">
              <w:t xml:space="preserve"> 2017</w:t>
            </w:r>
            <w:r w:rsidR="00B1349A" w:rsidRPr="002B1BAD">
              <w:t xml:space="preserve">  </w:t>
            </w:r>
          </w:p>
        </w:tc>
      </w:tr>
      <w:tr w:rsidR="00B36A19" w:rsidRPr="00CB5C71" w:rsidTr="00F23511">
        <w:trPr>
          <w:jc w:val="center"/>
        </w:trPr>
        <w:tc>
          <w:tcPr>
            <w:tcW w:w="3935" w:type="dxa"/>
            <w:shd w:val="clear" w:color="auto" w:fill="auto"/>
          </w:tcPr>
          <w:p w:rsidR="00B36A19" w:rsidRPr="00BD79EC" w:rsidRDefault="00B36A19" w:rsidP="00F23511">
            <w:r w:rsidRPr="00BD79EC">
              <w:t>Award of Contract</w:t>
            </w:r>
            <w:r>
              <w:t xml:space="preserve"> </w:t>
            </w:r>
          </w:p>
        </w:tc>
        <w:tc>
          <w:tcPr>
            <w:tcW w:w="3781" w:type="dxa"/>
            <w:shd w:val="clear" w:color="auto" w:fill="auto"/>
          </w:tcPr>
          <w:p w:rsidR="00B36A19" w:rsidRPr="00B5663A" w:rsidRDefault="00B36A19" w:rsidP="00F23511">
            <w:r>
              <w:t>This is subject to successfully obtaining grant funding and will normally be no later than 90 days from contract evaluation</w:t>
            </w:r>
          </w:p>
        </w:tc>
      </w:tr>
    </w:tbl>
    <w:p w:rsidR="00B36A19" w:rsidRDefault="00B36A19" w:rsidP="00B36A19">
      <w:pPr>
        <w:rPr>
          <w:b/>
          <w:sz w:val="24"/>
          <w:szCs w:val="24"/>
        </w:rPr>
      </w:pPr>
    </w:p>
    <w:p w:rsidR="003C5EE6" w:rsidRPr="00365BCC" w:rsidRDefault="00913B05" w:rsidP="003C5EE6">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4" w:name="_Toc474747018"/>
      <w:r>
        <w:rPr>
          <w:rStyle w:val="Heading1Char"/>
        </w:rPr>
        <w:t xml:space="preserve">4 </w:t>
      </w:r>
      <w:r w:rsidR="003C5EE6">
        <w:rPr>
          <w:rStyle w:val="Heading1Char"/>
        </w:rPr>
        <w:t>Conflicts of Interest</w:t>
      </w:r>
      <w:bookmarkEnd w:id="4"/>
    </w:p>
    <w:p w:rsidR="003C5EE6" w:rsidRPr="006D2C78" w:rsidRDefault="003C5EE6" w:rsidP="003C5EE6">
      <w:pPr>
        <w:spacing w:before="120" w:after="120" w:line="240" w:lineRule="auto"/>
        <w:jc w:val="both"/>
      </w:pPr>
      <w:r w:rsidRPr="006D2C78">
        <w:t>Please provide a statement with regards to a conflict of interest for this procurement through the provision of either:</w:t>
      </w:r>
    </w:p>
    <w:p w:rsidR="003C5EE6" w:rsidRDefault="003C5EE6" w:rsidP="003C5EE6">
      <w:pPr>
        <w:spacing w:before="120" w:after="120" w:line="240" w:lineRule="auto"/>
        <w:jc w:val="both"/>
      </w:pPr>
      <w:r w:rsidRPr="006D2C78">
        <w:t xml:space="preserve">A Declaration that to your knowledge there is no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rsidR="003C5EE6" w:rsidRPr="006D2C78" w:rsidRDefault="003C5EE6" w:rsidP="003C5EE6">
      <w:pPr>
        <w:spacing w:before="120" w:after="120" w:line="240" w:lineRule="auto"/>
        <w:jc w:val="both"/>
      </w:pPr>
      <w:r w:rsidRPr="006D2C78">
        <w:t>Or</w:t>
      </w:r>
      <w:r w:rsidR="00785CC4">
        <w:t>:</w:t>
      </w:r>
    </w:p>
    <w:p w:rsidR="003C5EE6" w:rsidRPr="006D2C78" w:rsidRDefault="003C5EE6" w:rsidP="003C5EE6">
      <w:pPr>
        <w:spacing w:before="120" w:after="120" w:line="240" w:lineRule="auto"/>
        <w:jc w:val="both"/>
      </w:pPr>
      <w:r w:rsidRPr="006D2C78">
        <w:t xml:space="preserve">A Declaration that there is a likely conflict of interest between your company and </w:t>
      </w:r>
      <w:r w:rsidR="00267FE3">
        <w:t>Datasharp</w:t>
      </w:r>
      <w:r>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rsidR="007F5F29" w:rsidRDefault="007F5F29" w:rsidP="003C5EE6">
      <w:pPr>
        <w:spacing w:before="120" w:after="120" w:line="240" w:lineRule="auto"/>
        <w:jc w:val="both"/>
      </w:pPr>
    </w:p>
    <w:p w:rsidR="003C5EE6" w:rsidRPr="006D2C78" w:rsidRDefault="003C5EE6" w:rsidP="003C5EE6">
      <w:pPr>
        <w:spacing w:before="120" w:after="120" w:line="240" w:lineRule="auto"/>
        <w:jc w:val="both"/>
      </w:pPr>
      <w:r>
        <w:t xml:space="preserve">This will permit </w:t>
      </w:r>
      <w:r w:rsidR="00267FE3">
        <w:t>Datasharp</w:t>
      </w:r>
      <w:r>
        <w:t>,</w:t>
      </w:r>
      <w:r w:rsidRPr="006D2C78">
        <w:t xml:space="preserve"> </w:t>
      </w:r>
      <w:r>
        <w:t xml:space="preserve">in the event of </w:t>
      </w:r>
      <w:r w:rsidRPr="006D2C78">
        <w:t>a conflict</w:t>
      </w:r>
      <w:r>
        <w:t xml:space="preserve"> of interest, to take appropriate steps to ensure </w:t>
      </w:r>
      <w:r w:rsidRPr="006D2C78">
        <w:t xml:space="preserve">that the evaluation of any submission will be undertaken by an independent and impartial </w:t>
      </w:r>
      <w:r>
        <w:t>party</w:t>
      </w:r>
      <w:r w:rsidRPr="006D2C78">
        <w:t>.</w:t>
      </w:r>
    </w:p>
    <w:p w:rsidR="003C5EE6" w:rsidRPr="006D2C78" w:rsidRDefault="003C5EE6" w:rsidP="003C5EE6">
      <w:pPr>
        <w:spacing w:before="120" w:after="120" w:line="240" w:lineRule="auto"/>
        <w:jc w:val="both"/>
      </w:pPr>
    </w:p>
    <w:p w:rsidR="003C5EE6" w:rsidRPr="006D2C78" w:rsidRDefault="003C5EE6" w:rsidP="003C5EE6">
      <w:pPr>
        <w:spacing w:before="120" w:after="120" w:line="240" w:lineRule="auto"/>
        <w:jc w:val="both"/>
        <w:rPr>
          <w:b/>
        </w:rPr>
      </w:pPr>
      <w:r w:rsidRPr="006D2C78">
        <w:rPr>
          <w:b/>
        </w:rPr>
        <w:t>Exclusion</w:t>
      </w:r>
    </w:p>
    <w:p w:rsidR="003C5EE6" w:rsidRPr="006D2C78" w:rsidRDefault="00267FE3" w:rsidP="003C5EE6">
      <w:pPr>
        <w:spacing w:before="120" w:after="120" w:line="240" w:lineRule="auto"/>
        <w:jc w:val="both"/>
      </w:pPr>
      <w:r>
        <w:t>Datasharp</w:t>
      </w:r>
      <w:r w:rsidR="003C5EE6" w:rsidRPr="006D2C78">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7D5845" w:rsidRPr="006D2C78">
        <w:t>applicant’s</w:t>
      </w:r>
      <w:r w:rsidR="003C5EE6" w:rsidRPr="006D2C78">
        <w:t xml:space="preserve"> company, has been the subject of a conviction by final judgment of one of the following reasons:</w:t>
      </w:r>
    </w:p>
    <w:p w:rsidR="00B149D1" w:rsidRDefault="003C5EE6" w:rsidP="003C5EE6">
      <w:pPr>
        <w:spacing w:before="120" w:after="120" w:line="240" w:lineRule="auto"/>
        <w:jc w:val="both"/>
      </w:pPr>
      <w:r w:rsidRPr="006D2C78">
        <w:tab/>
      </w:r>
    </w:p>
    <w:p w:rsidR="00B149D1" w:rsidRDefault="00B149D1" w:rsidP="003C5EE6">
      <w:pPr>
        <w:spacing w:before="120" w:after="120" w:line="240" w:lineRule="auto"/>
        <w:jc w:val="both"/>
      </w:pPr>
    </w:p>
    <w:p w:rsidR="003C5EE6" w:rsidRPr="006D2C78" w:rsidRDefault="003C5EE6" w:rsidP="00B149D1">
      <w:pPr>
        <w:spacing w:before="120" w:after="120" w:line="240" w:lineRule="auto"/>
        <w:ind w:firstLine="720"/>
        <w:jc w:val="both"/>
      </w:pPr>
      <w:r w:rsidRPr="006D2C78">
        <w:lastRenderedPageBreak/>
        <w:t>Participation in a criminal organisation</w:t>
      </w:r>
    </w:p>
    <w:p w:rsidR="003C5EE6" w:rsidRPr="006D2C78" w:rsidRDefault="003C5EE6" w:rsidP="003C5EE6">
      <w:pPr>
        <w:spacing w:before="120" w:after="120" w:line="240" w:lineRule="auto"/>
        <w:jc w:val="both"/>
      </w:pPr>
      <w:r w:rsidRPr="006D2C78">
        <w:tab/>
        <w:t>Corruption</w:t>
      </w:r>
    </w:p>
    <w:p w:rsidR="003C5EE6" w:rsidRPr="006D2C78" w:rsidRDefault="003C5EE6" w:rsidP="003C5EE6">
      <w:pPr>
        <w:spacing w:before="120" w:after="120" w:line="240" w:lineRule="auto"/>
        <w:jc w:val="both"/>
      </w:pPr>
      <w:r w:rsidRPr="006D2C78">
        <w:tab/>
        <w:t>Fraud</w:t>
      </w:r>
    </w:p>
    <w:p w:rsidR="003C5EE6" w:rsidRPr="006D2C78" w:rsidRDefault="003C5EE6" w:rsidP="003C5EE6">
      <w:pPr>
        <w:spacing w:before="120" w:after="120" w:line="240" w:lineRule="auto"/>
        <w:jc w:val="both"/>
      </w:pPr>
      <w:r w:rsidRPr="006D2C78">
        <w:tab/>
        <w:t>Terrorist offences or offences linked to terrorist activities</w:t>
      </w:r>
    </w:p>
    <w:p w:rsidR="007F5F29" w:rsidRPr="006D2C78" w:rsidRDefault="003C5EE6" w:rsidP="003C5EE6">
      <w:pPr>
        <w:spacing w:before="120" w:after="120" w:line="240" w:lineRule="auto"/>
        <w:jc w:val="both"/>
      </w:pPr>
      <w:r w:rsidRPr="006D2C78">
        <w:tab/>
        <w:t>Money laundering or terr</w:t>
      </w:r>
      <w:r>
        <w:t>or</w:t>
      </w:r>
      <w:r w:rsidRPr="006D2C78">
        <w:t>ist financing</w:t>
      </w:r>
    </w:p>
    <w:p w:rsidR="00453436" w:rsidRDefault="003C5EE6" w:rsidP="00B149D1">
      <w:pPr>
        <w:spacing w:before="120" w:after="120" w:line="240" w:lineRule="auto"/>
        <w:ind w:firstLine="720"/>
        <w:jc w:val="both"/>
      </w:pPr>
      <w:r w:rsidRPr="006D2C78">
        <w:t>Child labour and other forms of trafficking in human beings</w:t>
      </w:r>
    </w:p>
    <w:p w:rsidR="00B149D1" w:rsidRDefault="00B149D1" w:rsidP="00B149D1">
      <w:pPr>
        <w:spacing w:before="120" w:after="120" w:line="240" w:lineRule="auto"/>
        <w:ind w:firstLine="720"/>
        <w:jc w:val="both"/>
      </w:pPr>
    </w:p>
    <w:p w:rsidR="00D52212" w:rsidRPr="00DB4446" w:rsidRDefault="00D52212" w:rsidP="00DB4446">
      <w:pPr>
        <w:spacing w:before="120" w:after="0" w:line="240" w:lineRule="auto"/>
      </w:pPr>
    </w:p>
    <w:p w:rsidR="0000702C" w:rsidRPr="00365BCC" w:rsidRDefault="00502D56" w:rsidP="0000702C">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5" w:name="_Toc474747020"/>
      <w:r>
        <w:rPr>
          <w:rStyle w:val="Heading1Char"/>
        </w:rPr>
        <w:t>5</w:t>
      </w:r>
      <w:r w:rsidR="00913B05">
        <w:rPr>
          <w:rStyle w:val="Heading1Char"/>
        </w:rPr>
        <w:t xml:space="preserve"> </w:t>
      </w:r>
      <w:r w:rsidR="0000702C">
        <w:rPr>
          <w:rStyle w:val="Heading1Char"/>
        </w:rPr>
        <w:t>Tender Application Requirements</w:t>
      </w:r>
      <w:bookmarkEnd w:id="5"/>
    </w:p>
    <w:p w:rsidR="0000702C" w:rsidRPr="00A87CC3" w:rsidRDefault="0000702C" w:rsidP="0000702C">
      <w:r w:rsidRPr="00A87CC3">
        <w:t xml:space="preserve">Please provide </w:t>
      </w:r>
      <w:r w:rsidR="00F85FE0">
        <w:t>pdf files</w:t>
      </w:r>
      <w:r w:rsidRPr="00A87CC3">
        <w:t xml:space="preserve"> of your application which should include: </w:t>
      </w:r>
    </w:p>
    <w:p w:rsidR="0000702C" w:rsidRPr="00F7481C" w:rsidRDefault="008020F6" w:rsidP="0000702C">
      <w:pPr>
        <w:numPr>
          <w:ilvl w:val="0"/>
          <w:numId w:val="15"/>
        </w:numPr>
        <w:spacing w:after="200" w:line="276" w:lineRule="auto"/>
      </w:pPr>
      <w:r>
        <w:t>A covering letter c</w:t>
      </w:r>
      <w:r w:rsidR="0000702C" w:rsidRPr="00A87CC3">
        <w:t>onfirm</w:t>
      </w:r>
      <w:r>
        <w:t>ing</w:t>
      </w:r>
      <w:r w:rsidR="0000702C" w:rsidRPr="00A87CC3">
        <w:t xml:space="preserve"> </w:t>
      </w:r>
      <w:r w:rsidR="0000702C" w:rsidRPr="00097DFA">
        <w:t>that you the supplier</w:t>
      </w:r>
      <w:r w:rsidR="0000702C" w:rsidRPr="00A87CC3">
        <w:t xml:space="preserve"> </w:t>
      </w:r>
      <w:r w:rsidR="007D5845" w:rsidRPr="00A87CC3">
        <w:t>can</w:t>
      </w:r>
      <w:r w:rsidR="0000702C" w:rsidRPr="00A87CC3">
        <w:t xml:space="preserve"> meet the </w:t>
      </w:r>
      <w:r w:rsidR="0000702C" w:rsidRPr="00F7481C">
        <w:t>req</w:t>
      </w:r>
      <w:r w:rsidR="0036620F" w:rsidRPr="00F7481C">
        <w:t>uirements outlined in the brief</w:t>
      </w:r>
    </w:p>
    <w:p w:rsidR="0000702C" w:rsidRPr="00023C49" w:rsidRDefault="00097DFA" w:rsidP="0000702C">
      <w:pPr>
        <w:numPr>
          <w:ilvl w:val="0"/>
          <w:numId w:val="15"/>
        </w:numPr>
        <w:spacing w:after="200" w:line="276" w:lineRule="auto"/>
      </w:pPr>
      <w:r w:rsidRPr="00023C49">
        <w:t>The following r</w:t>
      </w:r>
      <w:r w:rsidR="0000702C" w:rsidRPr="00023C49">
        <w:t>eference</w:t>
      </w:r>
      <w:r w:rsidRPr="00023C49">
        <w:t xml:space="preserve"> </w:t>
      </w:r>
      <w:r w:rsidR="00B13887" w:rsidRPr="00023C49">
        <w:t>must be included in any correspondence</w:t>
      </w:r>
      <w:r w:rsidR="0000702C" w:rsidRPr="00023C49">
        <w:t>:</w:t>
      </w:r>
      <w:r w:rsidR="0000702C" w:rsidRPr="00023C49">
        <w:rPr>
          <w:b/>
        </w:rPr>
        <w:t xml:space="preserve">  </w:t>
      </w:r>
      <w:r w:rsidR="00F40A08" w:rsidRPr="00023C49">
        <w:t>DUKERP BIG2</w:t>
      </w:r>
      <w:r w:rsidR="00502D56">
        <w:t>148</w:t>
      </w:r>
      <w:r w:rsidR="008E34D9">
        <w:t>-1</w:t>
      </w:r>
      <w:r w:rsidR="00B13887" w:rsidRPr="00023C49">
        <w:t xml:space="preserve">. </w:t>
      </w:r>
      <w:r w:rsidR="007D5845" w:rsidRPr="00023C49">
        <w:t>This</w:t>
      </w:r>
      <w:r w:rsidR="00B13887" w:rsidRPr="00023C49">
        <w:t xml:space="preserve"> reference must be used in the subject of any email.</w:t>
      </w:r>
    </w:p>
    <w:p w:rsidR="0000702C" w:rsidRPr="00A87CC3" w:rsidRDefault="0000702C" w:rsidP="0000702C">
      <w:pPr>
        <w:numPr>
          <w:ilvl w:val="0"/>
          <w:numId w:val="15"/>
        </w:numPr>
        <w:spacing w:after="200" w:line="276" w:lineRule="auto"/>
      </w:pPr>
      <w:r w:rsidRPr="00A87CC3">
        <w:t xml:space="preserve">Details of who </w:t>
      </w:r>
      <w:r w:rsidRPr="00097DFA">
        <w:t>to contact</w:t>
      </w:r>
      <w:r w:rsidRPr="00A87CC3">
        <w:t xml:space="preserve"> in your company in relation to this tender </w:t>
      </w:r>
    </w:p>
    <w:p w:rsidR="0000702C" w:rsidRPr="00097DFA" w:rsidRDefault="0000702C" w:rsidP="0000702C">
      <w:pPr>
        <w:numPr>
          <w:ilvl w:val="0"/>
          <w:numId w:val="15"/>
        </w:numPr>
        <w:spacing w:after="200" w:line="276" w:lineRule="auto"/>
      </w:pPr>
      <w:r w:rsidRPr="00097DFA">
        <w:t>Company registration Number and VAT number (if appropriate)</w:t>
      </w:r>
    </w:p>
    <w:p w:rsidR="00B44ED8" w:rsidRDefault="00DB4446" w:rsidP="00A650F8">
      <w:pPr>
        <w:numPr>
          <w:ilvl w:val="0"/>
          <w:numId w:val="15"/>
        </w:numPr>
        <w:spacing w:after="200" w:line="276" w:lineRule="auto"/>
      </w:pPr>
      <w:r w:rsidRPr="00DB4446">
        <w:t>A</w:t>
      </w:r>
      <w:r w:rsidR="006561D2">
        <w:t xml:space="preserve"> fully completed Light Commercial Van Tender Specification </w:t>
      </w:r>
      <w:proofErr w:type="gramStart"/>
      <w:r w:rsidR="006561D2">
        <w:t>And</w:t>
      </w:r>
      <w:proofErr w:type="gramEnd"/>
      <w:r w:rsidR="006561D2">
        <w:t xml:space="preserve"> Response Form (enclosure 2)</w:t>
      </w:r>
      <w:r w:rsidRPr="00DB4446">
        <w:t xml:space="preserve"> </w:t>
      </w:r>
    </w:p>
    <w:p w:rsidR="0076068A" w:rsidRDefault="002162E1" w:rsidP="00D90763">
      <w:pPr>
        <w:numPr>
          <w:ilvl w:val="0"/>
          <w:numId w:val="15"/>
        </w:numPr>
        <w:spacing w:after="200" w:line="276" w:lineRule="auto"/>
      </w:pPr>
      <w:r>
        <w:t xml:space="preserve">A </w:t>
      </w:r>
      <w:r w:rsidR="00B44ED8">
        <w:t>manufacturers marketing brochure</w:t>
      </w:r>
      <w:r w:rsidR="004C6B2C">
        <w:t xml:space="preserve"> and warranty documents</w:t>
      </w:r>
      <w:r w:rsidR="00B44ED8">
        <w:t xml:space="preserve"> covering the vehicle specifications responded to in item 5 above</w:t>
      </w:r>
    </w:p>
    <w:p w:rsidR="004C6B2C" w:rsidRPr="003116C0" w:rsidRDefault="004C6B2C" w:rsidP="004C6B2C">
      <w:pPr>
        <w:numPr>
          <w:ilvl w:val="0"/>
          <w:numId w:val="15"/>
        </w:numPr>
        <w:spacing w:after="200" w:line="276" w:lineRule="auto"/>
      </w:pPr>
      <w:r>
        <w:t>A providers marketing brochure and terms and conditions documents covering the vehicle breakdown cover responded to in item 5 above</w:t>
      </w:r>
    </w:p>
    <w:p w:rsidR="00FB27A7" w:rsidRPr="002162E1" w:rsidRDefault="002162E1" w:rsidP="002162E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6" w:name="_Toc474747023"/>
      <w:r>
        <w:rPr>
          <w:rStyle w:val="Heading1Char"/>
        </w:rPr>
        <w:t>6</w:t>
      </w:r>
      <w:r w:rsidR="007230DE">
        <w:rPr>
          <w:rStyle w:val="Heading1Char"/>
        </w:rPr>
        <w:t xml:space="preserve"> </w:t>
      </w:r>
      <w:r w:rsidR="00883718">
        <w:rPr>
          <w:rStyle w:val="Heading1Char"/>
        </w:rPr>
        <w:t xml:space="preserve">Tender </w:t>
      </w:r>
      <w:bookmarkEnd w:id="6"/>
      <w:r w:rsidR="005E4527">
        <w:rPr>
          <w:rStyle w:val="Heading1Char"/>
        </w:rPr>
        <w:t>Evaluation</w:t>
      </w:r>
    </w:p>
    <w:p w:rsidR="00FB27A7" w:rsidRPr="004753DC" w:rsidRDefault="00FB27A7" w:rsidP="00FE4D5C">
      <w:pPr>
        <w:spacing w:after="0" w:line="240" w:lineRule="auto"/>
        <w:rPr>
          <w:rFonts w:eastAsiaTheme="majorEastAsia" w:cstheme="minorHAnsi"/>
        </w:rPr>
      </w:pPr>
      <w:r w:rsidRPr="00453436">
        <w:t xml:space="preserve">The tender will be </w:t>
      </w:r>
      <w:r w:rsidR="005E4527">
        <w:t>awarded to the lowest compliant bid.</w:t>
      </w:r>
    </w:p>
    <w:p w:rsidR="00B149D1" w:rsidRDefault="00B149D1" w:rsidP="002162E1">
      <w:pPr>
        <w:spacing w:after="0" w:line="240" w:lineRule="auto"/>
        <w:rPr>
          <w:rFonts w:eastAsiaTheme="majorEastAsia" w:cstheme="minorHAnsi"/>
        </w:rPr>
      </w:pPr>
    </w:p>
    <w:p w:rsidR="002162E1" w:rsidRPr="006E0F49" w:rsidRDefault="002162E1" w:rsidP="002162E1">
      <w:pPr>
        <w:spacing w:after="0" w:line="240" w:lineRule="auto"/>
        <w:rPr>
          <w:rFonts w:eastAsiaTheme="majorEastAsia" w:cstheme="minorHAnsi"/>
        </w:rPr>
      </w:pPr>
    </w:p>
    <w:p w:rsidR="00AA61EA" w:rsidRPr="00365BCC" w:rsidRDefault="002162E1" w:rsidP="00AA61EA">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7" w:name="_Toc474747024"/>
      <w:r>
        <w:rPr>
          <w:rStyle w:val="Heading1Char"/>
        </w:rPr>
        <w:t>7</w:t>
      </w:r>
      <w:r w:rsidR="007230DE">
        <w:rPr>
          <w:rStyle w:val="Heading1Char"/>
        </w:rPr>
        <w:t xml:space="preserve"> </w:t>
      </w:r>
      <w:r w:rsidR="00AA61EA">
        <w:rPr>
          <w:rStyle w:val="Heading1Char"/>
        </w:rPr>
        <w:t>Tender Returns</w:t>
      </w:r>
      <w:bookmarkEnd w:id="7"/>
    </w:p>
    <w:p w:rsidR="00A30D57" w:rsidRPr="00A436CD" w:rsidRDefault="00A30D57" w:rsidP="00A30D57">
      <w:r w:rsidRPr="00A30D57">
        <w:t xml:space="preserve">Tenders may be returned by </w:t>
      </w:r>
      <w:r w:rsidR="00E30C02">
        <w:t>e-</w:t>
      </w:r>
      <w:r w:rsidR="00E30C02" w:rsidRPr="00A436CD">
        <w:t>mail</w:t>
      </w:r>
      <w:r w:rsidRPr="00A436CD">
        <w:t xml:space="preserve"> or post, or by delivery in person.</w:t>
      </w:r>
    </w:p>
    <w:p w:rsidR="00A30D57" w:rsidRPr="00A436CD" w:rsidRDefault="00A30D57" w:rsidP="00A30D57">
      <w:r w:rsidRPr="00A436CD">
        <w:t xml:space="preserve">Tenders are to be returned </w:t>
      </w:r>
      <w:r w:rsidR="00DD4430" w:rsidRPr="00A436CD">
        <w:t>by:</w:t>
      </w:r>
      <w:r w:rsidR="00DD4430" w:rsidRPr="00A436CD">
        <w:tab/>
      </w:r>
      <w:r w:rsidR="002162E1">
        <w:t>6</w:t>
      </w:r>
      <w:r w:rsidR="002162E1" w:rsidRPr="002162E1">
        <w:rPr>
          <w:vertAlign w:val="superscript"/>
        </w:rPr>
        <w:t>th</w:t>
      </w:r>
      <w:r w:rsidR="002162E1">
        <w:t xml:space="preserve"> November 2017</w:t>
      </w:r>
    </w:p>
    <w:p w:rsidR="00A30D57" w:rsidRPr="00AD76E6" w:rsidRDefault="00A30D57" w:rsidP="00A30D57">
      <w:r w:rsidRPr="00A436CD">
        <w:t>Latest date to be returned:</w:t>
      </w:r>
      <w:r w:rsidRPr="00A436CD">
        <w:tab/>
      </w:r>
      <w:r w:rsidR="002162E1">
        <w:t>6</w:t>
      </w:r>
      <w:r w:rsidR="002162E1" w:rsidRPr="002162E1">
        <w:rPr>
          <w:vertAlign w:val="superscript"/>
        </w:rPr>
        <w:t>th</w:t>
      </w:r>
      <w:r w:rsidR="002162E1">
        <w:t xml:space="preserve"> November 2017</w:t>
      </w:r>
    </w:p>
    <w:p w:rsidR="00A30D57" w:rsidRPr="00DD4430" w:rsidRDefault="00A30D57" w:rsidP="00A30D57">
      <w:r w:rsidRPr="00DD4430">
        <w:t>Latest time to be returned:</w:t>
      </w:r>
      <w:r w:rsidRPr="00DD4430">
        <w:tab/>
      </w:r>
      <w:r w:rsidR="009918C8" w:rsidRPr="00DD4430">
        <w:t>23:59</w:t>
      </w:r>
      <w:r w:rsidR="00927F57">
        <w:t xml:space="preserve"> (UK time)</w:t>
      </w:r>
    </w:p>
    <w:p w:rsidR="00E9511D" w:rsidRDefault="00A30D57" w:rsidP="00A30D57">
      <w:pPr>
        <w:rPr>
          <w:b/>
        </w:rPr>
      </w:pPr>
      <w:r w:rsidRPr="00A30D57">
        <w:t xml:space="preserve">If submitting by </w:t>
      </w:r>
      <w:r w:rsidR="00E30C02">
        <w:rPr>
          <w:b/>
        </w:rPr>
        <w:t>e-mail</w:t>
      </w:r>
      <w:r w:rsidRPr="00A30D57">
        <w:rPr>
          <w:b/>
        </w:rPr>
        <w:t>,</w:t>
      </w:r>
      <w:r w:rsidRPr="00A30D57">
        <w:t xml:space="preserve"> tenders should be sent electronically </w:t>
      </w:r>
      <w:r w:rsidRPr="00E9511D">
        <w:t xml:space="preserve">to </w:t>
      </w:r>
      <w:r w:rsidR="00CF2012" w:rsidRPr="00A87CC3">
        <w:rPr>
          <w:b/>
          <w:i/>
        </w:rPr>
        <w:t>paul.hayes@datasharp.co.uk</w:t>
      </w:r>
      <w:r w:rsidR="00E9511D" w:rsidRPr="00A87CC3">
        <w:rPr>
          <w:b/>
        </w:rPr>
        <w:t xml:space="preserve"> </w:t>
      </w:r>
      <w:r w:rsidRPr="00E9511D">
        <w:t xml:space="preserve">with </w:t>
      </w:r>
      <w:r w:rsidRPr="00A30D57">
        <w:t xml:space="preserve">the following message </w:t>
      </w:r>
      <w:r w:rsidRPr="00A30D57">
        <w:rPr>
          <w:b/>
        </w:rPr>
        <w:t>clearly noted in the Subject box</w:t>
      </w:r>
      <w:r w:rsidR="00E9511D">
        <w:rPr>
          <w:b/>
        </w:rPr>
        <w:t>:</w:t>
      </w:r>
    </w:p>
    <w:p w:rsidR="002162E1" w:rsidRPr="002162E1" w:rsidRDefault="002162E1" w:rsidP="002162E1">
      <w:pPr>
        <w:rPr>
          <w:i/>
        </w:rPr>
      </w:pPr>
      <w:r w:rsidRPr="002162E1">
        <w:rPr>
          <w:i/>
        </w:rPr>
        <w:t>LIGHT COMMERCIAL VAN TENDER DUKLCV BIG2148</w:t>
      </w:r>
      <w:r w:rsidR="008E34D9">
        <w:rPr>
          <w:i/>
        </w:rPr>
        <w:t>-1</w:t>
      </w:r>
    </w:p>
    <w:p w:rsidR="00E9511D" w:rsidRPr="002162E1" w:rsidRDefault="002162E1" w:rsidP="002162E1">
      <w:r>
        <w:rPr>
          <w:rFonts w:eastAsia="Times New Roman" w:cstheme="minorHAnsi"/>
          <w:lang w:eastAsia="en-GB"/>
        </w:rPr>
        <w:lastRenderedPageBreak/>
        <w:t>e</w:t>
      </w:r>
      <w:r w:rsidR="00E9511D" w:rsidRPr="00A87CC3">
        <w:rPr>
          <w:rFonts w:eastAsia="Times New Roman" w:cstheme="minorHAnsi"/>
          <w:lang w:eastAsia="en-GB"/>
        </w:rPr>
        <w:t xml:space="preserve">mail submissions should not give any indications as to the tenderers identity. A business name identified via </w:t>
      </w:r>
      <w:r w:rsidR="00E30C02">
        <w:rPr>
          <w:rFonts w:eastAsia="Times New Roman" w:cstheme="minorHAnsi"/>
          <w:lang w:eastAsia="en-GB"/>
        </w:rPr>
        <w:t>e-mail</w:t>
      </w:r>
      <w:r w:rsidR="00E9511D" w:rsidRPr="00A87CC3">
        <w:rPr>
          <w:rFonts w:eastAsia="Times New Roman" w:cstheme="minorHAnsi"/>
          <w:lang w:eastAsia="en-GB"/>
        </w:rPr>
        <w:t xml:space="preserve"> address will not disqualify the tender. </w:t>
      </w:r>
      <w:r w:rsidR="00E9511D">
        <w:rPr>
          <w:rFonts w:eastAsia="Times New Roman" w:cstheme="minorHAnsi"/>
          <w:lang w:eastAsia="en-GB"/>
        </w:rPr>
        <w:t>T</w:t>
      </w:r>
      <w:r w:rsidR="00E9511D" w:rsidRPr="00A87CC3">
        <w:rPr>
          <w:rFonts w:eastAsia="Times New Roman" w:cstheme="minorHAnsi"/>
          <w:lang w:eastAsia="en-GB"/>
        </w:rPr>
        <w:t>he receipt of docum</w:t>
      </w:r>
      <w:r w:rsidR="00E9511D">
        <w:rPr>
          <w:rFonts w:eastAsia="Times New Roman" w:cstheme="minorHAnsi"/>
          <w:lang w:eastAsia="en-GB"/>
        </w:rPr>
        <w:t xml:space="preserve">ents using this format is the tenderer’s </w:t>
      </w:r>
      <w:r w:rsidR="00E9511D" w:rsidRPr="00A87CC3">
        <w:rPr>
          <w:rFonts w:eastAsia="Times New Roman" w:cstheme="minorHAnsi"/>
          <w:lang w:eastAsia="en-GB"/>
        </w:rPr>
        <w:t>responsibility.</w:t>
      </w:r>
    </w:p>
    <w:p w:rsidR="00F917C9" w:rsidRDefault="00A30D57" w:rsidP="00464DBC">
      <w:r w:rsidRPr="00A87CC3">
        <w:rPr>
          <w:rFonts w:cstheme="minorHAnsi"/>
        </w:rPr>
        <w:t xml:space="preserve">Tenderers are advised to request an acknowledgement of receipt when submitting by </w:t>
      </w:r>
      <w:r w:rsidR="00E30C02">
        <w:rPr>
          <w:rFonts w:cstheme="minorHAnsi"/>
        </w:rPr>
        <w:t>e-mail</w:t>
      </w:r>
      <w:r w:rsidRPr="00A87CC3">
        <w:rPr>
          <w:rFonts w:cstheme="minorHAnsi"/>
        </w:rPr>
        <w:t>.</w:t>
      </w:r>
    </w:p>
    <w:p w:rsidR="00464DBC" w:rsidRPr="00A87CC3" w:rsidRDefault="00464DBC" w:rsidP="00464DBC">
      <w:r w:rsidRPr="00A87CC3">
        <w:t>If submitting by post or in person, the Tender must be enclosed in a sealed en</w:t>
      </w:r>
      <w:r>
        <w:t>velope, only marked as follows:</w:t>
      </w:r>
    </w:p>
    <w:p w:rsidR="00464DBC" w:rsidRPr="002162E1" w:rsidRDefault="00464DBC" w:rsidP="00464DBC">
      <w:r w:rsidRPr="00A436CD">
        <w:rPr>
          <w:i/>
        </w:rPr>
        <w:t xml:space="preserve">Tender - Strictly Confidential – </w:t>
      </w:r>
      <w:r w:rsidR="002162E1" w:rsidRPr="002162E1">
        <w:rPr>
          <w:i/>
        </w:rPr>
        <w:t>LIGHT COMMERCIAL VAN TENDER DUKLCV BIG2148</w:t>
      </w:r>
      <w:r w:rsidR="008E34D9">
        <w:rPr>
          <w:i/>
        </w:rPr>
        <w:t>-1</w:t>
      </w:r>
    </w:p>
    <w:p w:rsidR="00464DBC" w:rsidRPr="00A436CD" w:rsidRDefault="00464DBC" w:rsidP="00464DBC">
      <w:r w:rsidRPr="00A436CD">
        <w:t>Contract Reference Number: BIG2</w:t>
      </w:r>
      <w:r w:rsidR="002162E1">
        <w:t>148</w:t>
      </w:r>
      <w:r w:rsidR="008E34D9">
        <w:t>-1</w:t>
      </w:r>
      <w:bookmarkStart w:id="8" w:name="_GoBack"/>
      <w:bookmarkEnd w:id="8"/>
    </w:p>
    <w:p w:rsidR="00464DBC" w:rsidRPr="00A436CD" w:rsidRDefault="00464DBC" w:rsidP="00A87CC3">
      <w:pPr>
        <w:spacing w:after="0" w:line="240" w:lineRule="auto"/>
        <w:jc w:val="both"/>
      </w:pPr>
      <w:r w:rsidRPr="00A436CD">
        <w:t xml:space="preserve">Addressed to: </w:t>
      </w:r>
    </w:p>
    <w:p w:rsidR="00464DBC" w:rsidRPr="00A436CD" w:rsidRDefault="00464DBC" w:rsidP="00A87CC3">
      <w:pPr>
        <w:spacing w:after="0" w:line="240" w:lineRule="auto"/>
        <w:ind w:left="720"/>
        <w:jc w:val="both"/>
      </w:pPr>
      <w:r w:rsidRPr="00A436CD">
        <w:t>Paul Hayes</w:t>
      </w:r>
    </w:p>
    <w:p w:rsidR="00464DBC" w:rsidRPr="00A436CD" w:rsidRDefault="00464DBC" w:rsidP="00A87CC3">
      <w:pPr>
        <w:spacing w:after="0" w:line="240" w:lineRule="auto"/>
        <w:ind w:left="720"/>
        <w:jc w:val="both"/>
      </w:pPr>
      <w:r w:rsidRPr="00A436CD">
        <w:t>Head of Finance</w:t>
      </w:r>
    </w:p>
    <w:p w:rsidR="00464DBC" w:rsidRPr="00A436CD" w:rsidRDefault="00464DBC" w:rsidP="00A87CC3">
      <w:pPr>
        <w:spacing w:after="0" w:line="240" w:lineRule="auto"/>
        <w:ind w:left="720"/>
        <w:jc w:val="both"/>
      </w:pPr>
      <w:r w:rsidRPr="00A436CD">
        <w:t>Datasharp UK Ltd</w:t>
      </w:r>
    </w:p>
    <w:p w:rsidR="00464DBC" w:rsidRPr="00A436CD" w:rsidRDefault="00464DBC" w:rsidP="00A87CC3">
      <w:pPr>
        <w:spacing w:after="0" w:line="240" w:lineRule="auto"/>
        <w:ind w:left="720"/>
        <w:jc w:val="both"/>
      </w:pPr>
      <w:r w:rsidRPr="00A436CD">
        <w:t>Woodlands Court</w:t>
      </w:r>
    </w:p>
    <w:p w:rsidR="00464DBC" w:rsidRDefault="00464DBC" w:rsidP="00A87CC3">
      <w:pPr>
        <w:spacing w:after="0" w:line="240" w:lineRule="auto"/>
        <w:ind w:left="720"/>
        <w:jc w:val="both"/>
      </w:pPr>
      <w:r w:rsidRPr="00A436CD">
        <w:t>Truro Business Park</w:t>
      </w:r>
    </w:p>
    <w:p w:rsidR="00464DBC" w:rsidRDefault="00464DBC" w:rsidP="00A87CC3">
      <w:pPr>
        <w:spacing w:after="0" w:line="240" w:lineRule="auto"/>
        <w:ind w:left="720"/>
        <w:jc w:val="both"/>
      </w:pPr>
      <w:r>
        <w:t>Truro</w:t>
      </w:r>
    </w:p>
    <w:p w:rsidR="002162E1" w:rsidRDefault="00464DBC" w:rsidP="00A87CC3">
      <w:pPr>
        <w:spacing w:after="0" w:line="240" w:lineRule="auto"/>
        <w:ind w:left="720"/>
        <w:jc w:val="both"/>
      </w:pPr>
      <w:r>
        <w:t xml:space="preserve">Cornwall  </w:t>
      </w:r>
    </w:p>
    <w:p w:rsidR="00464DBC" w:rsidRDefault="00464DBC" w:rsidP="00A87CC3">
      <w:pPr>
        <w:spacing w:after="0" w:line="240" w:lineRule="auto"/>
        <w:ind w:left="720"/>
        <w:jc w:val="both"/>
      </w:pPr>
      <w:r>
        <w:t>TR4 9NH</w:t>
      </w:r>
    </w:p>
    <w:p w:rsidR="00464DBC" w:rsidRDefault="00464DBC" w:rsidP="00464DBC">
      <w:pPr>
        <w:jc w:val="both"/>
      </w:pPr>
    </w:p>
    <w:p w:rsidR="00464DBC" w:rsidRPr="00464DBC" w:rsidRDefault="00464DBC" w:rsidP="00464DBC">
      <w:pPr>
        <w:jc w:val="both"/>
      </w:pPr>
      <w:r w:rsidRPr="00464DBC">
        <w:t>The envelope should not give any indication to the Tenderer’s identity.  Marking by the carrier will not disqualify the tender.</w:t>
      </w:r>
    </w:p>
    <w:p w:rsidR="00B149D1" w:rsidRDefault="00464DBC" w:rsidP="00464DBC">
      <w:pPr>
        <w:jc w:val="both"/>
      </w:pPr>
      <w:r w:rsidRPr="00464DBC">
        <w:t xml:space="preserve">If delivery </w:t>
      </w:r>
      <w:r w:rsidRPr="00464DBC">
        <w:rPr>
          <w:b/>
        </w:rPr>
        <w:t>by hand</w:t>
      </w:r>
      <w:r w:rsidRPr="00464DBC">
        <w:t xml:space="preserve"> please obtain an official Receipt at point of delivery</w:t>
      </w:r>
    </w:p>
    <w:p w:rsidR="00B149D1" w:rsidRPr="00A87CC3" w:rsidRDefault="00B149D1" w:rsidP="00464DBC">
      <w:pPr>
        <w:jc w:val="both"/>
      </w:pPr>
    </w:p>
    <w:p w:rsidR="00A30D57" w:rsidRPr="00365BCC" w:rsidRDefault="002162E1" w:rsidP="00A30D57">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9" w:name="_Toc474747025"/>
      <w:r>
        <w:rPr>
          <w:rStyle w:val="Heading1Char"/>
        </w:rPr>
        <w:t>8</w:t>
      </w:r>
      <w:r w:rsidR="007230DE">
        <w:rPr>
          <w:rStyle w:val="Heading1Char"/>
        </w:rPr>
        <w:t xml:space="preserve"> </w:t>
      </w:r>
      <w:r w:rsidR="00A30D57">
        <w:rPr>
          <w:rStyle w:val="Heading1Char"/>
        </w:rPr>
        <w:t>Clarification</w:t>
      </w:r>
      <w:bookmarkEnd w:id="9"/>
    </w:p>
    <w:p w:rsidR="00A30D57" w:rsidRPr="00A30D57" w:rsidRDefault="00A30D57" w:rsidP="00A30D57">
      <w:r w:rsidRPr="00A30D57">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w:t>
      </w:r>
      <w:r w:rsidR="00A436CD">
        <w:t xml:space="preserve">questions to be raised is </w:t>
      </w:r>
      <w:r w:rsidR="002162E1">
        <w:t>23</w:t>
      </w:r>
      <w:r w:rsidR="002162E1" w:rsidRPr="002162E1">
        <w:rPr>
          <w:vertAlign w:val="superscript"/>
        </w:rPr>
        <w:t>rd</w:t>
      </w:r>
      <w:r w:rsidR="002162E1">
        <w:t xml:space="preserve"> October</w:t>
      </w:r>
      <w:r w:rsidR="00A436CD">
        <w:t xml:space="preserve"> 2017</w:t>
      </w:r>
      <w:r w:rsidRPr="00A30D57">
        <w:t xml:space="preserve">. All e-mailed queries should be sent </w:t>
      </w:r>
      <w:r w:rsidR="007D5845" w:rsidRPr="00A30D57">
        <w:t>to: -</w:t>
      </w:r>
    </w:p>
    <w:p w:rsidR="00A30D57" w:rsidRPr="00A30D57" w:rsidRDefault="00A30D57" w:rsidP="00A30D57">
      <w:r w:rsidRPr="00A30D57">
        <w:t>Name:</w:t>
      </w:r>
      <w:r w:rsidR="000F7568">
        <w:tab/>
      </w:r>
      <w:r w:rsidR="002162E1">
        <w:t>Paul Hayes</w:t>
      </w:r>
    </w:p>
    <w:p w:rsidR="00A30D57" w:rsidRPr="00A30D57" w:rsidRDefault="000F7568" w:rsidP="00A30D57">
      <w:r>
        <w:t>E</w:t>
      </w:r>
      <w:r w:rsidR="00A30D57" w:rsidRPr="00A30D57">
        <w:t>-mail:</w:t>
      </w:r>
      <w:r w:rsidR="002162E1">
        <w:tab/>
        <w:t>paul.hayes</w:t>
      </w:r>
      <w:r>
        <w:t>@datasharp.co.uk</w:t>
      </w:r>
    </w:p>
    <w:p w:rsidR="00A30D57" w:rsidRPr="00A30D57" w:rsidRDefault="00A30D57" w:rsidP="00A30D57">
      <w:r w:rsidRPr="00A30D57">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07489" w:rsidRPr="00ED7EB0">
        <w:t xml:space="preserve">Jane Cockcroft </w:t>
      </w:r>
      <w:r w:rsidRPr="00A30D57">
        <w:t xml:space="preserve">of </w:t>
      </w:r>
      <w:r w:rsidR="00267FE3">
        <w:t>Datasharp</w:t>
      </w:r>
      <w:r w:rsidRPr="00A30D57">
        <w:t>. All such correspondence shall be returned with the Tender Documents and shall form part of the Contract.</w:t>
      </w:r>
    </w:p>
    <w:p w:rsidR="00A30D57" w:rsidRPr="00A30D57" w:rsidRDefault="00A30D57" w:rsidP="00A30D57">
      <w:r w:rsidRPr="00A30D57">
        <w:t xml:space="preserve">Tenderers must provide a single point of contact in their organisation for all contact between the Tenderer and </w:t>
      </w:r>
      <w:r w:rsidR="00267FE3">
        <w:t>Datasharp</w:t>
      </w:r>
      <w:r w:rsidR="000A4E45">
        <w:t>.</w:t>
      </w:r>
    </w:p>
    <w:p w:rsidR="00033923" w:rsidRDefault="00A30D57" w:rsidP="00A30D57">
      <w:r w:rsidRPr="00A30D57">
        <w:t>Responses to any queries will be shared through Contracts Finder website</w:t>
      </w:r>
      <w:r w:rsidR="000A4E45">
        <w:t>.</w:t>
      </w:r>
    </w:p>
    <w:p w:rsidR="00B149D1" w:rsidRPr="00B149D1" w:rsidRDefault="00B149D1" w:rsidP="00A30D57"/>
    <w:p w:rsidR="00033923" w:rsidRPr="00365BCC" w:rsidRDefault="002162E1" w:rsidP="00033923">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0" w:name="_Toc474747026"/>
      <w:r>
        <w:rPr>
          <w:rStyle w:val="Heading1Char"/>
        </w:rPr>
        <w:lastRenderedPageBreak/>
        <w:t>9</w:t>
      </w:r>
      <w:r w:rsidR="007230DE">
        <w:rPr>
          <w:rStyle w:val="Heading1Char"/>
        </w:rPr>
        <w:t xml:space="preserve"> </w:t>
      </w:r>
      <w:r w:rsidR="00033923">
        <w:rPr>
          <w:rStyle w:val="Heading1Char"/>
        </w:rPr>
        <w:t>Disclaimer</w:t>
      </w:r>
      <w:bookmarkEnd w:id="10"/>
    </w:p>
    <w:p w:rsidR="00033923" w:rsidRPr="00033923" w:rsidRDefault="00033923" w:rsidP="00033923">
      <w:r w:rsidRPr="00033923">
        <w:t xml:space="preserve">The issue of this documentation does not commit </w:t>
      </w:r>
      <w:r w:rsidR="00267FE3">
        <w:t>Datasharp</w:t>
      </w:r>
      <w:r w:rsidR="000A4E45" w:rsidRPr="00033923">
        <w:t xml:space="preserve"> </w:t>
      </w:r>
      <w:r w:rsidRPr="00033923">
        <w:t>to award any contract pursuant to the bid process or</w:t>
      </w:r>
      <w:r w:rsidR="000A4E45">
        <w:t xml:space="preserve"> to</w:t>
      </w:r>
      <w:r w:rsidRPr="00033923">
        <w:t xml:space="preserve"> </w:t>
      </w:r>
      <w:r w:rsidR="007D5845" w:rsidRPr="00033923">
        <w:t>enter a</w:t>
      </w:r>
      <w:r w:rsidRPr="00033923">
        <w:t xml:space="preserve"> contractual relationship with any provider of the service.  Nothing in the documentation or in any other communications made between </w:t>
      </w:r>
      <w:r w:rsidR="00267FE3">
        <w:t>Datasharp</w:t>
      </w:r>
      <w:r w:rsidR="000A4E45">
        <w:t xml:space="preserve"> </w:t>
      </w:r>
      <w:r w:rsidRPr="00033923">
        <w:t xml:space="preserve">or its agents and any other party, or any part thereof, shall be taken as constituting a contract, agreement or representation between </w:t>
      </w:r>
      <w:r w:rsidR="00267FE3">
        <w:t>Datasharp</w:t>
      </w:r>
      <w:r w:rsidRPr="00033923">
        <w:t xml:space="preserve"> and any other party (save for a formal award of contract made in writing by or on behalf of </w:t>
      </w:r>
      <w:r w:rsidR="00267FE3">
        <w:t>Datasharp</w:t>
      </w:r>
      <w:r w:rsidRPr="00033923">
        <w:t>).</w:t>
      </w:r>
    </w:p>
    <w:p w:rsidR="00033923" w:rsidRPr="00033923" w:rsidRDefault="00033923" w:rsidP="00033923">
      <w:r w:rsidRPr="00033923">
        <w:t xml:space="preserve">Bidders must obtain for themselves, at their own responsibility and expense, all information necessary for the preparation of their tender responses.  Information supplied to bidders by </w:t>
      </w:r>
      <w:r w:rsidR="00267FE3">
        <w:t>Datasharp</w:t>
      </w:r>
      <w:r w:rsidRPr="00033923">
        <w:t xml:space="preserve"> or any information contained in </w:t>
      </w:r>
      <w:r w:rsidR="00267FE3">
        <w:t>Datasharp</w:t>
      </w:r>
      <w:r w:rsidRPr="00033923">
        <w:t xml:space="preserve">’s publications are supplied only for general guidance in the preparation of the tender response.  Bidders must satisfy themselves by their own investigations as to the accuracy of any such information and no responsibility is accepted by </w:t>
      </w:r>
      <w:r w:rsidR="00267FE3">
        <w:t>Datasharp</w:t>
      </w:r>
      <w:r w:rsidRPr="00033923">
        <w:t xml:space="preserve"> for any loss or damage of whatever kind and howsoever caused arising from the use by bidders of such information.</w:t>
      </w:r>
    </w:p>
    <w:p w:rsidR="00033923" w:rsidRPr="00033923" w:rsidRDefault="00033923" w:rsidP="00033923">
      <w:r w:rsidRPr="00033923">
        <w:t xml:space="preserve">Bidders shall be responsible for their own costs and expenses </w:t>
      </w:r>
      <w:r w:rsidR="007D5845" w:rsidRPr="00033923">
        <w:t>about</w:t>
      </w:r>
      <w:r w:rsidRPr="00033923">
        <w:t xml:space="preserve"> or arising out of their response. </w:t>
      </w:r>
      <w:r w:rsidR="00267FE3">
        <w:t>Datasharp</w:t>
      </w:r>
      <w:r w:rsidRPr="00033923">
        <w:t xml:space="preserve"> reserves the right to vary or change all or any part of the basis of the procedures for the procurement process at any time or not to proceed with the proposed procurement at all.</w:t>
      </w:r>
    </w:p>
    <w:p w:rsidR="00033923" w:rsidRDefault="00033923" w:rsidP="00033923">
      <w:r w:rsidRPr="00033923">
        <w:t xml:space="preserve">Cancellation of the procurement process (at any time) under any circumstances will not render </w:t>
      </w:r>
      <w:r w:rsidR="00267FE3">
        <w:t>Datasharp</w:t>
      </w:r>
      <w:r w:rsidR="000A4E45">
        <w:t xml:space="preserve"> </w:t>
      </w:r>
      <w:r w:rsidRPr="00033923">
        <w:t>liable for any costs or expenses incurred by bidders during the procurement process.</w:t>
      </w:r>
    </w:p>
    <w:p w:rsidR="00B149D1" w:rsidRPr="00033923" w:rsidRDefault="00B149D1" w:rsidP="00033923"/>
    <w:p w:rsidR="001028C1" w:rsidRPr="00365BCC" w:rsidRDefault="002162E1" w:rsidP="001028C1">
      <w:pPr>
        <w:keepNext/>
        <w:keepLines/>
        <w:pBdr>
          <w:bottom w:val="single" w:sz="4" w:space="1" w:color="818A8F"/>
        </w:pBdr>
        <w:spacing w:after="240"/>
        <w:jc w:val="both"/>
        <w:outlineLvl w:val="0"/>
        <w:rPr>
          <w:rFonts w:asciiTheme="majorHAnsi" w:eastAsiaTheme="majorEastAsia" w:hAnsiTheme="majorHAnsi" w:cstheme="majorBidi"/>
          <w:color w:val="00ADEF"/>
          <w:sz w:val="40"/>
          <w:szCs w:val="32"/>
        </w:rPr>
      </w:pPr>
      <w:bookmarkStart w:id="11" w:name="_Toc474747027"/>
      <w:r>
        <w:rPr>
          <w:rStyle w:val="Heading1Char"/>
        </w:rPr>
        <w:t>10</w:t>
      </w:r>
      <w:r w:rsidR="007230DE">
        <w:rPr>
          <w:rStyle w:val="Heading1Char"/>
        </w:rPr>
        <w:t xml:space="preserve"> </w:t>
      </w:r>
      <w:bookmarkEnd w:id="11"/>
      <w:r w:rsidR="00B81F63">
        <w:rPr>
          <w:rStyle w:val="Heading1Char"/>
        </w:rPr>
        <w:t>Enclosures</w:t>
      </w:r>
    </w:p>
    <w:p w:rsidR="00033923" w:rsidRDefault="00033923" w:rsidP="00A30D57">
      <w:pPr>
        <w:rPr>
          <w:rFonts w:eastAsiaTheme="majorEastAsia" w:cstheme="minorHAnsi"/>
          <w:b/>
          <w:color w:val="00ADEF"/>
        </w:rPr>
      </w:pPr>
    </w:p>
    <w:p w:rsidR="001028C1" w:rsidRDefault="00B81F63" w:rsidP="00A87CC3">
      <w:pPr>
        <w:pStyle w:val="Heading2"/>
      </w:pPr>
      <w:bookmarkStart w:id="12" w:name="_Toc474747028"/>
      <w:r w:rsidRPr="00B81F63">
        <w:t>Enclosure</w:t>
      </w:r>
      <w:r>
        <w:t xml:space="preserve"> 1 </w:t>
      </w:r>
      <w:r w:rsidR="0073563E" w:rsidRPr="0073563E">
        <w:t>Welcome to Datasharp.pdf</w:t>
      </w:r>
      <w:bookmarkEnd w:id="12"/>
    </w:p>
    <w:p w:rsidR="00A25E1C" w:rsidRPr="00A87CC3" w:rsidRDefault="00A25E1C">
      <w:r>
        <w:t>Please refer to the following companion file:</w:t>
      </w:r>
    </w:p>
    <w:p w:rsidR="00D85AC9" w:rsidRDefault="00D85AC9" w:rsidP="00B149D1">
      <w:r w:rsidRPr="00BE6679">
        <w:rPr>
          <w:i/>
        </w:rPr>
        <w:t>Welcome to Datasharp.pdf</w:t>
      </w:r>
      <w:r w:rsidRPr="001D6311" w:rsidDel="007614F3">
        <w:rPr>
          <w:i/>
        </w:rPr>
        <w:t xml:space="preserve"> </w:t>
      </w:r>
    </w:p>
    <w:p w:rsidR="001028C1" w:rsidRPr="00A436CD" w:rsidRDefault="002162E1" w:rsidP="00A87CC3">
      <w:pPr>
        <w:pStyle w:val="Heading2"/>
      </w:pPr>
      <w:r>
        <w:t xml:space="preserve">Enclosure 2 </w:t>
      </w:r>
      <w:r w:rsidRPr="00621209">
        <w:rPr>
          <w:i/>
        </w:rPr>
        <w:t xml:space="preserve">Datasharp </w:t>
      </w:r>
      <w:r>
        <w:rPr>
          <w:i/>
        </w:rPr>
        <w:t xml:space="preserve">LCV </w:t>
      </w:r>
      <w:r w:rsidRPr="00621209">
        <w:rPr>
          <w:i/>
        </w:rPr>
        <w:t>Requirements</w:t>
      </w:r>
    </w:p>
    <w:p w:rsidR="001B6098" w:rsidRPr="001B6098" w:rsidRDefault="002162E1" w:rsidP="001B6098">
      <w:r>
        <w:rPr>
          <w:i/>
        </w:rPr>
        <w:t>A spreadsheet detailing the attributes that the vehicles must attain to be considered compli</w:t>
      </w:r>
      <w:r w:rsidR="007D5845">
        <w:rPr>
          <w:i/>
        </w:rPr>
        <w:t>ant f</w:t>
      </w:r>
      <w:r>
        <w:rPr>
          <w:i/>
        </w:rPr>
        <w:t>o</w:t>
      </w:r>
      <w:r w:rsidR="007D5845">
        <w:rPr>
          <w:i/>
        </w:rPr>
        <w:t>r</w:t>
      </w:r>
      <w:r>
        <w:rPr>
          <w:i/>
        </w:rPr>
        <w:t xml:space="preserve"> the tender process.</w:t>
      </w:r>
    </w:p>
    <w:p w:rsidR="001B6098" w:rsidRPr="006E0F49" w:rsidRDefault="001B6098">
      <w:pPr>
        <w:rPr>
          <w:rFonts w:eastAsiaTheme="majorEastAsia" w:cstheme="majorBidi"/>
          <w:b/>
          <w:color w:val="00ADEF"/>
          <w:sz w:val="24"/>
          <w:szCs w:val="26"/>
        </w:rPr>
      </w:pPr>
    </w:p>
    <w:sectPr w:rsidR="001B6098" w:rsidRPr="006E0F49" w:rsidSect="000A70F8">
      <w:headerReference w:type="default" r:id="rId9"/>
      <w:footerReference w:type="even" r:id="rId10"/>
      <w:footerReference w:type="default" r:id="rId11"/>
      <w:headerReference w:type="first" r:id="rId12"/>
      <w:pgSz w:w="11906" w:h="16838"/>
      <w:pgMar w:top="1134" w:right="1134" w:bottom="1701" w:left="1134"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E6" w:rsidRDefault="00EF0FE6" w:rsidP="00365BCC">
      <w:pPr>
        <w:spacing w:after="0" w:line="240" w:lineRule="auto"/>
      </w:pPr>
      <w:r>
        <w:separator/>
      </w:r>
    </w:p>
  </w:endnote>
  <w:endnote w:type="continuationSeparator" w:id="0">
    <w:p w:rsidR="00EF0FE6" w:rsidRDefault="00EF0FE6" w:rsidP="0036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Pr="00964F86" w:rsidRDefault="00F23511" w:rsidP="00365BCC">
    <w:pPr>
      <w:pStyle w:val="Footer"/>
      <w:jc w:val="right"/>
      <w:rPr>
        <w:noProof/>
        <w:color w:val="FFFFFF" w:themeColor="background1"/>
      </w:rPr>
    </w:pPr>
    <w:r w:rsidRPr="00964F86">
      <w:rPr>
        <w:color w:val="FFFFFF" w:themeColor="background1"/>
      </w:rPr>
      <w:t xml:space="preserve">Page | </w:t>
    </w:r>
    <w:r w:rsidRPr="00964F86">
      <w:rPr>
        <w:color w:val="FFFFFF" w:themeColor="background1"/>
      </w:rPr>
      <w:fldChar w:fldCharType="begin"/>
    </w:r>
    <w:r w:rsidRPr="00964F86">
      <w:rPr>
        <w:color w:val="FFFFFF" w:themeColor="background1"/>
      </w:rPr>
      <w:instrText xml:space="preserve"> PAGE   \* MERGEFORMAT </w:instrText>
    </w:r>
    <w:r w:rsidRPr="00964F86">
      <w:rPr>
        <w:color w:val="FFFFFF" w:themeColor="background1"/>
      </w:rPr>
      <w:fldChar w:fldCharType="separate"/>
    </w:r>
    <w:r w:rsidR="008E34D9">
      <w:rPr>
        <w:noProof/>
        <w:color w:val="FFFFFF" w:themeColor="background1"/>
      </w:rPr>
      <w:t>7</w:t>
    </w:r>
    <w:r w:rsidRPr="00964F86">
      <w:rPr>
        <w:noProof/>
        <w:color w:val="FFFFFF" w:themeColor="background1"/>
      </w:rPr>
      <w:fldChar w:fldCharType="end"/>
    </w:r>
  </w:p>
  <w:p w:rsidR="00F23511" w:rsidRDefault="00F23511" w:rsidP="00365B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E6" w:rsidRDefault="00EF0FE6" w:rsidP="00365BCC">
      <w:pPr>
        <w:spacing w:after="0" w:line="240" w:lineRule="auto"/>
      </w:pPr>
      <w:r>
        <w:separator/>
      </w:r>
    </w:p>
  </w:footnote>
  <w:footnote w:type="continuationSeparator" w:id="0">
    <w:p w:rsidR="00EF0FE6" w:rsidRDefault="00EF0FE6" w:rsidP="0036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rsidP="00365BCC">
    <w:pPr>
      <w:pStyle w:val="Header"/>
      <w:jc w:val="right"/>
    </w:pPr>
    <w:r>
      <w:rPr>
        <w:noProof/>
        <w:lang w:eastAsia="en-GB"/>
      </w:rPr>
      <w:drawing>
        <wp:anchor distT="0" distB="0" distL="114300" distR="114300" simplePos="0" relativeHeight="251659264" behindDoc="1" locked="0" layoutInCell="1" allowOverlap="1" wp14:anchorId="445CA4DE" wp14:editId="312DAA2C">
          <wp:simplePos x="0" y="0"/>
          <wp:positionH relativeFrom="page">
            <wp:align>left</wp:align>
          </wp:positionH>
          <wp:positionV relativeFrom="page">
            <wp:align>bottom</wp:align>
          </wp:positionV>
          <wp:extent cx="7556400" cy="10684800"/>
          <wp:effectExtent l="0" t="0" r="698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mplate-Guid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511" w:rsidRDefault="00F23511">
    <w:pPr>
      <w:pStyle w:val="Header"/>
    </w:pPr>
    <w:r>
      <w:rPr>
        <w:noProof/>
        <w:lang w:eastAsia="en-GB"/>
      </w:rPr>
      <w:drawing>
        <wp:anchor distT="0" distB="0" distL="114300" distR="114300" simplePos="0" relativeHeight="251661312" behindDoc="1" locked="0" layoutInCell="1" allowOverlap="1" wp14:anchorId="725EC465" wp14:editId="38A13F11">
          <wp:simplePos x="0" y="0"/>
          <wp:positionH relativeFrom="page">
            <wp:align>left</wp:align>
          </wp:positionH>
          <wp:positionV relativeFrom="page">
            <wp:align>top</wp:align>
          </wp:positionV>
          <wp:extent cx="7542000" cy="10663200"/>
          <wp:effectExtent l="0" t="0" r="190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neral -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A9C"/>
    <w:multiLevelType w:val="hybridMultilevel"/>
    <w:tmpl w:val="53102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96BA7"/>
    <w:multiLevelType w:val="hybridMultilevel"/>
    <w:tmpl w:val="6AA80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D3D33"/>
    <w:multiLevelType w:val="hybridMultilevel"/>
    <w:tmpl w:val="B8F65568"/>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85560"/>
    <w:multiLevelType w:val="hybridMultilevel"/>
    <w:tmpl w:val="2A1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E37F3"/>
    <w:multiLevelType w:val="hybridMultilevel"/>
    <w:tmpl w:val="49B6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94670"/>
    <w:multiLevelType w:val="multilevel"/>
    <w:tmpl w:val="2F0675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24E4344"/>
    <w:multiLevelType w:val="hybridMultilevel"/>
    <w:tmpl w:val="964A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D372E"/>
    <w:multiLevelType w:val="hybridMultilevel"/>
    <w:tmpl w:val="D91480D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41501AA"/>
    <w:multiLevelType w:val="hybridMultilevel"/>
    <w:tmpl w:val="14789EE4"/>
    <w:lvl w:ilvl="0" w:tplc="85BCF8D2">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963B2"/>
    <w:multiLevelType w:val="hybridMultilevel"/>
    <w:tmpl w:val="0B122A0A"/>
    <w:lvl w:ilvl="0" w:tplc="08090001">
      <w:start w:val="1"/>
      <w:numFmt w:val="bullet"/>
      <w:lvlText w:val=""/>
      <w:lvlJc w:val="left"/>
      <w:pPr>
        <w:ind w:left="720" w:hanging="360"/>
      </w:pPr>
      <w:rPr>
        <w:rFonts w:ascii="Symbol" w:hAnsi="Symbol" w:hint="default"/>
      </w:rPr>
    </w:lvl>
    <w:lvl w:ilvl="1" w:tplc="7952D7DE">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96D85"/>
    <w:multiLevelType w:val="hybridMultilevel"/>
    <w:tmpl w:val="101073D8"/>
    <w:lvl w:ilvl="0" w:tplc="08090001">
      <w:start w:val="1"/>
      <w:numFmt w:val="bullet"/>
      <w:lvlText w:val=""/>
      <w:lvlJc w:val="left"/>
      <w:pPr>
        <w:ind w:left="720" w:hanging="360"/>
      </w:pPr>
      <w:rPr>
        <w:rFonts w:ascii="Symbol" w:hAnsi="Symbol" w:hint="default"/>
      </w:rPr>
    </w:lvl>
    <w:lvl w:ilvl="1" w:tplc="F4785E34">
      <w:numFmt w:val="bullet"/>
      <w:lvlText w:val="•"/>
      <w:lvlJc w:val="left"/>
      <w:pPr>
        <w:ind w:left="1800" w:hanging="720"/>
      </w:pPr>
      <w:rPr>
        <w:rFonts w:ascii="Calibri" w:eastAsiaTheme="majorEastAsia" w:hAnsi="Calibri"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43440"/>
    <w:multiLevelType w:val="hybridMultilevel"/>
    <w:tmpl w:val="89B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83ACB"/>
    <w:multiLevelType w:val="hybridMultilevel"/>
    <w:tmpl w:val="6700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D2093"/>
    <w:multiLevelType w:val="hybridMultilevel"/>
    <w:tmpl w:val="A4F2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51BB6"/>
    <w:multiLevelType w:val="hybridMultilevel"/>
    <w:tmpl w:val="884A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C3702"/>
    <w:multiLevelType w:val="hybridMultilevel"/>
    <w:tmpl w:val="0DBA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B563C"/>
    <w:multiLevelType w:val="hybridMultilevel"/>
    <w:tmpl w:val="34A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B6A55"/>
    <w:multiLevelType w:val="hybridMultilevel"/>
    <w:tmpl w:val="F76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55F4A"/>
    <w:multiLevelType w:val="hybridMultilevel"/>
    <w:tmpl w:val="FB5CC10E"/>
    <w:lvl w:ilvl="0" w:tplc="7DA6D3B8">
      <w:numFmt w:val="bullet"/>
      <w:lvlText w:val="•"/>
      <w:lvlJc w:val="left"/>
      <w:pPr>
        <w:ind w:left="1080" w:hanging="72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E1878"/>
    <w:multiLevelType w:val="hybridMultilevel"/>
    <w:tmpl w:val="B978E5E4"/>
    <w:lvl w:ilvl="0" w:tplc="05DE753C">
      <w:start w:val="1"/>
      <w:numFmt w:val="lowerLetter"/>
      <w:lvlText w:val="%1)"/>
      <w:lvlJc w:val="left"/>
      <w:pPr>
        <w:tabs>
          <w:tab w:val="num" w:pos="1440"/>
        </w:tabs>
        <w:ind w:left="1440" w:hanging="720"/>
      </w:pPr>
      <w:rPr>
        <w:rFonts w:hint="default"/>
      </w:rPr>
    </w:lvl>
    <w:lvl w:ilvl="1" w:tplc="484CF69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5235F7"/>
    <w:multiLevelType w:val="hybridMultilevel"/>
    <w:tmpl w:val="A1F853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13D4C"/>
    <w:multiLevelType w:val="hybridMultilevel"/>
    <w:tmpl w:val="A554F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F7810"/>
    <w:multiLevelType w:val="hybridMultilevel"/>
    <w:tmpl w:val="C2BE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84359"/>
    <w:multiLevelType w:val="hybridMultilevel"/>
    <w:tmpl w:val="C0EC9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0"/>
  </w:num>
  <w:num w:numId="4">
    <w:abstractNumId w:val="25"/>
  </w:num>
  <w:num w:numId="5">
    <w:abstractNumId w:val="13"/>
  </w:num>
  <w:num w:numId="6">
    <w:abstractNumId w:val="24"/>
  </w:num>
  <w:num w:numId="7">
    <w:abstractNumId w:val="4"/>
  </w:num>
  <w:num w:numId="8">
    <w:abstractNumId w:val="17"/>
  </w:num>
  <w:num w:numId="9">
    <w:abstractNumId w:val="15"/>
  </w:num>
  <w:num w:numId="10">
    <w:abstractNumId w:val="5"/>
  </w:num>
  <w:num w:numId="11">
    <w:abstractNumId w:val="31"/>
  </w:num>
  <w:num w:numId="12">
    <w:abstractNumId w:val="29"/>
  </w:num>
  <w:num w:numId="13">
    <w:abstractNumId w:val="14"/>
  </w:num>
  <w:num w:numId="14">
    <w:abstractNumId w:val="18"/>
  </w:num>
  <w:num w:numId="15">
    <w:abstractNumId w:val="33"/>
  </w:num>
  <w:num w:numId="16">
    <w:abstractNumId w:val="8"/>
  </w:num>
  <w:num w:numId="17">
    <w:abstractNumId w:val="6"/>
  </w:num>
  <w:num w:numId="18">
    <w:abstractNumId w:val="27"/>
  </w:num>
  <w:num w:numId="19">
    <w:abstractNumId w:val="28"/>
  </w:num>
  <w:num w:numId="20">
    <w:abstractNumId w:val="7"/>
  </w:num>
  <w:num w:numId="21">
    <w:abstractNumId w:val="26"/>
  </w:num>
  <w:num w:numId="22">
    <w:abstractNumId w:val="0"/>
  </w:num>
  <w:num w:numId="23">
    <w:abstractNumId w:val="32"/>
  </w:num>
  <w:num w:numId="24">
    <w:abstractNumId w:val="16"/>
  </w:num>
  <w:num w:numId="25">
    <w:abstractNumId w:val="12"/>
  </w:num>
  <w:num w:numId="26">
    <w:abstractNumId w:val="3"/>
  </w:num>
  <w:num w:numId="27">
    <w:abstractNumId w:val="19"/>
  </w:num>
  <w:num w:numId="28">
    <w:abstractNumId w:val="22"/>
  </w:num>
  <w:num w:numId="29">
    <w:abstractNumId w:val="30"/>
  </w:num>
  <w:num w:numId="30">
    <w:abstractNumId w:val="23"/>
  </w:num>
  <w:num w:numId="31">
    <w:abstractNumId w:val="20"/>
  </w:num>
  <w:num w:numId="32">
    <w:abstractNumId w:val="21"/>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C"/>
    <w:rsid w:val="00003C2D"/>
    <w:rsid w:val="00004D39"/>
    <w:rsid w:val="0000702C"/>
    <w:rsid w:val="00012BB2"/>
    <w:rsid w:val="00023C49"/>
    <w:rsid w:val="00024AFF"/>
    <w:rsid w:val="00030080"/>
    <w:rsid w:val="00032E27"/>
    <w:rsid w:val="00033923"/>
    <w:rsid w:val="00052EE2"/>
    <w:rsid w:val="00066AE4"/>
    <w:rsid w:val="00076291"/>
    <w:rsid w:val="00097DFA"/>
    <w:rsid w:val="000A2D79"/>
    <w:rsid w:val="000A4E45"/>
    <w:rsid w:val="000A70F8"/>
    <w:rsid w:val="000B2BD4"/>
    <w:rsid w:val="000B7339"/>
    <w:rsid w:val="000D4D6B"/>
    <w:rsid w:val="000E52D4"/>
    <w:rsid w:val="000F7568"/>
    <w:rsid w:val="00100263"/>
    <w:rsid w:val="001028C1"/>
    <w:rsid w:val="001107B2"/>
    <w:rsid w:val="001126B7"/>
    <w:rsid w:val="00113462"/>
    <w:rsid w:val="0012012F"/>
    <w:rsid w:val="0013341D"/>
    <w:rsid w:val="001346D9"/>
    <w:rsid w:val="00135CE0"/>
    <w:rsid w:val="00135E17"/>
    <w:rsid w:val="001478E4"/>
    <w:rsid w:val="001655FE"/>
    <w:rsid w:val="001727A6"/>
    <w:rsid w:val="001B6098"/>
    <w:rsid w:val="001D19D1"/>
    <w:rsid w:val="001D6311"/>
    <w:rsid w:val="00204B48"/>
    <w:rsid w:val="00213AB0"/>
    <w:rsid w:val="002162E1"/>
    <w:rsid w:val="00221F4D"/>
    <w:rsid w:val="00222847"/>
    <w:rsid w:val="0023489C"/>
    <w:rsid w:val="002435E1"/>
    <w:rsid w:val="0025068F"/>
    <w:rsid w:val="002514C5"/>
    <w:rsid w:val="00267FE3"/>
    <w:rsid w:val="00270716"/>
    <w:rsid w:val="00282DB7"/>
    <w:rsid w:val="00283BF0"/>
    <w:rsid w:val="002869FE"/>
    <w:rsid w:val="002A12BA"/>
    <w:rsid w:val="002B0450"/>
    <w:rsid w:val="002B1BAD"/>
    <w:rsid w:val="002B6371"/>
    <w:rsid w:val="002C40E5"/>
    <w:rsid w:val="002D1334"/>
    <w:rsid w:val="00303062"/>
    <w:rsid w:val="00307E2D"/>
    <w:rsid w:val="00310A2D"/>
    <w:rsid w:val="003113B7"/>
    <w:rsid w:val="003116C0"/>
    <w:rsid w:val="00315B6A"/>
    <w:rsid w:val="003279D4"/>
    <w:rsid w:val="00331AB5"/>
    <w:rsid w:val="003330B5"/>
    <w:rsid w:val="003336AA"/>
    <w:rsid w:val="00336EB7"/>
    <w:rsid w:val="003551F8"/>
    <w:rsid w:val="00364E1D"/>
    <w:rsid w:val="00365BCC"/>
    <w:rsid w:val="0036620F"/>
    <w:rsid w:val="003839D5"/>
    <w:rsid w:val="00387F6C"/>
    <w:rsid w:val="003A0A73"/>
    <w:rsid w:val="003A4722"/>
    <w:rsid w:val="003A472B"/>
    <w:rsid w:val="003A5146"/>
    <w:rsid w:val="003C2035"/>
    <w:rsid w:val="003C3A9D"/>
    <w:rsid w:val="003C5EE6"/>
    <w:rsid w:val="003E29AA"/>
    <w:rsid w:val="003E3E4A"/>
    <w:rsid w:val="003E407E"/>
    <w:rsid w:val="003F7658"/>
    <w:rsid w:val="003F7BDB"/>
    <w:rsid w:val="004020CC"/>
    <w:rsid w:val="004020F4"/>
    <w:rsid w:val="00405315"/>
    <w:rsid w:val="00407958"/>
    <w:rsid w:val="004102E3"/>
    <w:rsid w:val="00422242"/>
    <w:rsid w:val="0043649E"/>
    <w:rsid w:val="00441948"/>
    <w:rsid w:val="00453436"/>
    <w:rsid w:val="004577A6"/>
    <w:rsid w:val="00462CBA"/>
    <w:rsid w:val="00464DBC"/>
    <w:rsid w:val="00473270"/>
    <w:rsid w:val="004753DC"/>
    <w:rsid w:val="004836B9"/>
    <w:rsid w:val="004B523F"/>
    <w:rsid w:val="004C6B2C"/>
    <w:rsid w:val="004D2F49"/>
    <w:rsid w:val="004E19C5"/>
    <w:rsid w:val="00502D56"/>
    <w:rsid w:val="00516765"/>
    <w:rsid w:val="00524AA9"/>
    <w:rsid w:val="00543E89"/>
    <w:rsid w:val="0055466B"/>
    <w:rsid w:val="00566A7D"/>
    <w:rsid w:val="005708D0"/>
    <w:rsid w:val="00577A50"/>
    <w:rsid w:val="00580193"/>
    <w:rsid w:val="00582EEC"/>
    <w:rsid w:val="005A09B2"/>
    <w:rsid w:val="005A196C"/>
    <w:rsid w:val="005B32C4"/>
    <w:rsid w:val="005C66E0"/>
    <w:rsid w:val="005E4527"/>
    <w:rsid w:val="005F1301"/>
    <w:rsid w:val="005F4D21"/>
    <w:rsid w:val="00601F0B"/>
    <w:rsid w:val="00603CAA"/>
    <w:rsid w:val="006100C1"/>
    <w:rsid w:val="00621209"/>
    <w:rsid w:val="006561D2"/>
    <w:rsid w:val="006642A3"/>
    <w:rsid w:val="00666424"/>
    <w:rsid w:val="0067445D"/>
    <w:rsid w:val="006754E3"/>
    <w:rsid w:val="00676208"/>
    <w:rsid w:val="006763CC"/>
    <w:rsid w:val="006806F0"/>
    <w:rsid w:val="0069315B"/>
    <w:rsid w:val="00697F48"/>
    <w:rsid w:val="006A1085"/>
    <w:rsid w:val="006A2195"/>
    <w:rsid w:val="006A47D2"/>
    <w:rsid w:val="006B36A6"/>
    <w:rsid w:val="006C0DC3"/>
    <w:rsid w:val="006D407C"/>
    <w:rsid w:val="006E04FE"/>
    <w:rsid w:val="006E0F49"/>
    <w:rsid w:val="006E1A92"/>
    <w:rsid w:val="007065C1"/>
    <w:rsid w:val="0071413E"/>
    <w:rsid w:val="00717B91"/>
    <w:rsid w:val="00721346"/>
    <w:rsid w:val="007230DE"/>
    <w:rsid w:val="0072798D"/>
    <w:rsid w:val="007302A9"/>
    <w:rsid w:val="00733219"/>
    <w:rsid w:val="0073563E"/>
    <w:rsid w:val="00744740"/>
    <w:rsid w:val="00745597"/>
    <w:rsid w:val="0076068A"/>
    <w:rsid w:val="007614F3"/>
    <w:rsid w:val="00763F42"/>
    <w:rsid w:val="007749B8"/>
    <w:rsid w:val="007828FC"/>
    <w:rsid w:val="00785CC4"/>
    <w:rsid w:val="007B6D02"/>
    <w:rsid w:val="007B6F2D"/>
    <w:rsid w:val="007D0EEA"/>
    <w:rsid w:val="007D15B9"/>
    <w:rsid w:val="007D5845"/>
    <w:rsid w:val="007E0AD9"/>
    <w:rsid w:val="007E248A"/>
    <w:rsid w:val="007F5F29"/>
    <w:rsid w:val="00801177"/>
    <w:rsid w:val="008020F6"/>
    <w:rsid w:val="00802F0F"/>
    <w:rsid w:val="00823956"/>
    <w:rsid w:val="0083503E"/>
    <w:rsid w:val="008404EB"/>
    <w:rsid w:val="00842579"/>
    <w:rsid w:val="00851AE0"/>
    <w:rsid w:val="00854081"/>
    <w:rsid w:val="00876273"/>
    <w:rsid w:val="00883718"/>
    <w:rsid w:val="008974C8"/>
    <w:rsid w:val="008A2A26"/>
    <w:rsid w:val="008B1DC1"/>
    <w:rsid w:val="008C5C4E"/>
    <w:rsid w:val="008C6107"/>
    <w:rsid w:val="008E1A0F"/>
    <w:rsid w:val="008E34D9"/>
    <w:rsid w:val="008E53F4"/>
    <w:rsid w:val="008F017F"/>
    <w:rsid w:val="008F65E9"/>
    <w:rsid w:val="00900476"/>
    <w:rsid w:val="00906816"/>
    <w:rsid w:val="00907D8A"/>
    <w:rsid w:val="00913B05"/>
    <w:rsid w:val="00927F57"/>
    <w:rsid w:val="00932794"/>
    <w:rsid w:val="0093689D"/>
    <w:rsid w:val="009464A6"/>
    <w:rsid w:val="00954640"/>
    <w:rsid w:val="00955516"/>
    <w:rsid w:val="00955DB1"/>
    <w:rsid w:val="009608FD"/>
    <w:rsid w:val="00967BCB"/>
    <w:rsid w:val="00976892"/>
    <w:rsid w:val="0098640B"/>
    <w:rsid w:val="0098673E"/>
    <w:rsid w:val="009918C8"/>
    <w:rsid w:val="00991A49"/>
    <w:rsid w:val="0099288B"/>
    <w:rsid w:val="00995EC2"/>
    <w:rsid w:val="009B0760"/>
    <w:rsid w:val="009B1E0B"/>
    <w:rsid w:val="009B2D8E"/>
    <w:rsid w:val="009C67C3"/>
    <w:rsid w:val="009E660E"/>
    <w:rsid w:val="009F5356"/>
    <w:rsid w:val="00A01056"/>
    <w:rsid w:val="00A02955"/>
    <w:rsid w:val="00A07489"/>
    <w:rsid w:val="00A25CAD"/>
    <w:rsid w:val="00A25E1C"/>
    <w:rsid w:val="00A30D57"/>
    <w:rsid w:val="00A436CD"/>
    <w:rsid w:val="00A45DF2"/>
    <w:rsid w:val="00A52039"/>
    <w:rsid w:val="00A538B0"/>
    <w:rsid w:val="00A676F7"/>
    <w:rsid w:val="00A87CC3"/>
    <w:rsid w:val="00A97BAE"/>
    <w:rsid w:val="00AA3156"/>
    <w:rsid w:val="00AA4658"/>
    <w:rsid w:val="00AA61EA"/>
    <w:rsid w:val="00AB19E1"/>
    <w:rsid w:val="00AB2030"/>
    <w:rsid w:val="00AC3556"/>
    <w:rsid w:val="00AC4B1C"/>
    <w:rsid w:val="00AD3BF4"/>
    <w:rsid w:val="00AD76E6"/>
    <w:rsid w:val="00AE2224"/>
    <w:rsid w:val="00B06C8E"/>
    <w:rsid w:val="00B12886"/>
    <w:rsid w:val="00B1349A"/>
    <w:rsid w:val="00B13887"/>
    <w:rsid w:val="00B149D1"/>
    <w:rsid w:val="00B17FF2"/>
    <w:rsid w:val="00B36A19"/>
    <w:rsid w:val="00B412CD"/>
    <w:rsid w:val="00B44ED8"/>
    <w:rsid w:val="00B74112"/>
    <w:rsid w:val="00B81F63"/>
    <w:rsid w:val="00B946C2"/>
    <w:rsid w:val="00BB13F5"/>
    <w:rsid w:val="00BB2559"/>
    <w:rsid w:val="00BB3B45"/>
    <w:rsid w:val="00BB761C"/>
    <w:rsid w:val="00BC3147"/>
    <w:rsid w:val="00BD1802"/>
    <w:rsid w:val="00BD75C6"/>
    <w:rsid w:val="00BE5B45"/>
    <w:rsid w:val="00C03261"/>
    <w:rsid w:val="00C05EBA"/>
    <w:rsid w:val="00C061BA"/>
    <w:rsid w:val="00C07665"/>
    <w:rsid w:val="00C2659B"/>
    <w:rsid w:val="00C40652"/>
    <w:rsid w:val="00C56F20"/>
    <w:rsid w:val="00C62423"/>
    <w:rsid w:val="00C66989"/>
    <w:rsid w:val="00C878EC"/>
    <w:rsid w:val="00C96140"/>
    <w:rsid w:val="00CA57C9"/>
    <w:rsid w:val="00CB56AC"/>
    <w:rsid w:val="00CB6075"/>
    <w:rsid w:val="00CC472A"/>
    <w:rsid w:val="00CC5F16"/>
    <w:rsid w:val="00CD7E40"/>
    <w:rsid w:val="00CE1130"/>
    <w:rsid w:val="00CE6DD8"/>
    <w:rsid w:val="00CF1B52"/>
    <w:rsid w:val="00CF2012"/>
    <w:rsid w:val="00CF587C"/>
    <w:rsid w:val="00D0091C"/>
    <w:rsid w:val="00D11B52"/>
    <w:rsid w:val="00D27C9F"/>
    <w:rsid w:val="00D5168D"/>
    <w:rsid w:val="00D52212"/>
    <w:rsid w:val="00D7638A"/>
    <w:rsid w:val="00D76E00"/>
    <w:rsid w:val="00D77D92"/>
    <w:rsid w:val="00D85AC9"/>
    <w:rsid w:val="00D90763"/>
    <w:rsid w:val="00D93ED1"/>
    <w:rsid w:val="00DB4446"/>
    <w:rsid w:val="00DD3D8F"/>
    <w:rsid w:val="00DD4430"/>
    <w:rsid w:val="00DD6316"/>
    <w:rsid w:val="00DE2170"/>
    <w:rsid w:val="00DE7EF8"/>
    <w:rsid w:val="00DF1634"/>
    <w:rsid w:val="00DF1F5C"/>
    <w:rsid w:val="00DF603D"/>
    <w:rsid w:val="00E056BC"/>
    <w:rsid w:val="00E0640B"/>
    <w:rsid w:val="00E11FBA"/>
    <w:rsid w:val="00E2163B"/>
    <w:rsid w:val="00E267CE"/>
    <w:rsid w:val="00E30C02"/>
    <w:rsid w:val="00E45BF0"/>
    <w:rsid w:val="00E556B0"/>
    <w:rsid w:val="00E576A6"/>
    <w:rsid w:val="00E66351"/>
    <w:rsid w:val="00E66AE4"/>
    <w:rsid w:val="00E7104A"/>
    <w:rsid w:val="00E857B5"/>
    <w:rsid w:val="00E901E6"/>
    <w:rsid w:val="00E9511D"/>
    <w:rsid w:val="00EA1A5C"/>
    <w:rsid w:val="00EA6C74"/>
    <w:rsid w:val="00EB4C4F"/>
    <w:rsid w:val="00ED2F30"/>
    <w:rsid w:val="00ED5B23"/>
    <w:rsid w:val="00ED7EB0"/>
    <w:rsid w:val="00EE10F9"/>
    <w:rsid w:val="00EE2815"/>
    <w:rsid w:val="00EE357B"/>
    <w:rsid w:val="00EF0FE6"/>
    <w:rsid w:val="00EF2615"/>
    <w:rsid w:val="00F06248"/>
    <w:rsid w:val="00F11EF1"/>
    <w:rsid w:val="00F21259"/>
    <w:rsid w:val="00F21AC0"/>
    <w:rsid w:val="00F23511"/>
    <w:rsid w:val="00F237E5"/>
    <w:rsid w:val="00F40A08"/>
    <w:rsid w:val="00F4334B"/>
    <w:rsid w:val="00F56210"/>
    <w:rsid w:val="00F6373C"/>
    <w:rsid w:val="00F711BA"/>
    <w:rsid w:val="00F721EC"/>
    <w:rsid w:val="00F7481C"/>
    <w:rsid w:val="00F81C02"/>
    <w:rsid w:val="00F842EC"/>
    <w:rsid w:val="00F85FE0"/>
    <w:rsid w:val="00F91733"/>
    <w:rsid w:val="00F917C9"/>
    <w:rsid w:val="00F95F98"/>
    <w:rsid w:val="00F96AEE"/>
    <w:rsid w:val="00F96B76"/>
    <w:rsid w:val="00FB27A7"/>
    <w:rsid w:val="00FE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6BF2C0"/>
  <w15:docId w15:val="{BAE99C3C-87EC-44AF-8983-76F52A41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516"/>
  </w:style>
  <w:style w:type="paragraph" w:styleId="Heading1">
    <w:name w:val="heading 1"/>
    <w:basedOn w:val="Normal"/>
    <w:next w:val="Normal"/>
    <w:link w:val="Heading1Char"/>
    <w:uiPriority w:val="9"/>
    <w:qFormat/>
    <w:rsid w:val="00365BCC"/>
    <w:pPr>
      <w:keepNext/>
      <w:keepLines/>
      <w:pBdr>
        <w:bottom w:val="single" w:sz="4" w:space="1" w:color="818A8F"/>
      </w:pBdr>
      <w:spacing w:after="240"/>
      <w:jc w:val="both"/>
      <w:outlineLvl w:val="0"/>
    </w:pPr>
    <w:rPr>
      <w:rFonts w:asciiTheme="majorHAnsi" w:eastAsiaTheme="majorEastAsia" w:hAnsiTheme="majorHAnsi" w:cstheme="majorBidi"/>
      <w:color w:val="00ADEF"/>
      <w:sz w:val="40"/>
      <w:szCs w:val="32"/>
    </w:rPr>
  </w:style>
  <w:style w:type="paragraph" w:styleId="Heading2">
    <w:name w:val="heading 2"/>
    <w:basedOn w:val="Normal"/>
    <w:next w:val="Normal"/>
    <w:link w:val="Heading2Char"/>
    <w:uiPriority w:val="9"/>
    <w:unhideWhenUsed/>
    <w:qFormat/>
    <w:rsid w:val="00365BCC"/>
    <w:pPr>
      <w:keepNext/>
      <w:keepLines/>
      <w:spacing w:before="40"/>
      <w:outlineLvl w:val="1"/>
    </w:pPr>
    <w:rPr>
      <w:rFonts w:eastAsiaTheme="majorEastAsia" w:cstheme="majorBidi"/>
      <w:b/>
      <w:color w:val="00ADEF"/>
      <w:sz w:val="24"/>
      <w:szCs w:val="26"/>
    </w:rPr>
  </w:style>
  <w:style w:type="paragraph" w:styleId="Heading3">
    <w:name w:val="heading 3"/>
    <w:basedOn w:val="Normal"/>
    <w:next w:val="Normal"/>
    <w:link w:val="Heading3Char"/>
    <w:uiPriority w:val="9"/>
    <w:unhideWhenUsed/>
    <w:qFormat/>
    <w:rsid w:val="00365BCC"/>
    <w:pPr>
      <w:keepNext/>
      <w:keepLines/>
      <w:spacing w:before="40" w:after="100"/>
      <w:jc w:val="both"/>
      <w:outlineLvl w:val="2"/>
    </w:pPr>
    <w:rPr>
      <w:rFonts w:asciiTheme="majorHAnsi" w:eastAsiaTheme="majorEastAsia" w:hAnsiTheme="majorHAnsi" w:cstheme="majorBidi"/>
      <w:b/>
      <w:color w:val="002F5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BCC"/>
  </w:style>
  <w:style w:type="paragraph" w:styleId="Footer">
    <w:name w:val="footer"/>
    <w:basedOn w:val="Normal"/>
    <w:link w:val="FooterChar"/>
    <w:unhideWhenUsed/>
    <w:rsid w:val="0036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BCC"/>
  </w:style>
  <w:style w:type="paragraph" w:styleId="Title">
    <w:name w:val="Title"/>
    <w:basedOn w:val="Normal"/>
    <w:next w:val="Normal"/>
    <w:link w:val="TitleChar"/>
    <w:uiPriority w:val="10"/>
    <w:qFormat/>
    <w:rsid w:val="00365BCC"/>
    <w:pPr>
      <w:suppressAutoHyphens/>
      <w:autoSpaceDE w:val="0"/>
      <w:autoSpaceDN w:val="0"/>
      <w:adjustRightInd w:val="0"/>
      <w:spacing w:after="0" w:line="240" w:lineRule="auto"/>
      <w:jc w:val="center"/>
      <w:textAlignment w:val="center"/>
    </w:pPr>
    <w:rPr>
      <w:rFonts w:ascii="Calibri" w:eastAsiaTheme="majorEastAsia" w:hAnsi="Calibri" w:cs="Calibri"/>
      <w:b/>
      <w:color w:val="00B0F0"/>
      <w:sz w:val="56"/>
      <w:szCs w:val="76"/>
    </w:rPr>
  </w:style>
  <w:style w:type="character" w:customStyle="1" w:styleId="TitleChar">
    <w:name w:val="Title Char"/>
    <w:basedOn w:val="DefaultParagraphFont"/>
    <w:link w:val="Title"/>
    <w:uiPriority w:val="10"/>
    <w:rsid w:val="00365BCC"/>
    <w:rPr>
      <w:rFonts w:ascii="Calibri" w:eastAsiaTheme="majorEastAsia" w:hAnsi="Calibri" w:cs="Calibri"/>
      <w:b/>
      <w:color w:val="00B0F0"/>
      <w:sz w:val="56"/>
      <w:szCs w:val="76"/>
    </w:rPr>
  </w:style>
  <w:style w:type="table" w:customStyle="1" w:styleId="TableGrid1">
    <w:name w:val="Table Grid1"/>
    <w:basedOn w:val="TableNormal"/>
    <w:next w:val="TableGrid"/>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Heading">
    <w:name w:val="Proposal Heading"/>
    <w:basedOn w:val="Heading3"/>
    <w:link w:val="ProposalHeadingChar"/>
    <w:rsid w:val="00365BCC"/>
    <w:pPr>
      <w:keepNext w:val="0"/>
      <w:keepLines w:val="0"/>
      <w:suppressAutoHyphens/>
      <w:autoSpaceDE w:val="0"/>
      <w:autoSpaceDN w:val="0"/>
      <w:adjustRightInd w:val="0"/>
      <w:spacing w:before="0" w:line="240" w:lineRule="auto"/>
      <w:textAlignment w:val="center"/>
    </w:pPr>
    <w:rPr>
      <w:rFonts w:ascii="Calibri" w:hAnsi="Calibri" w:cs="Calibri"/>
      <w:color w:val="000000"/>
    </w:rPr>
  </w:style>
  <w:style w:type="character" w:customStyle="1" w:styleId="ProposalHeadingChar">
    <w:name w:val="Proposal Heading Char"/>
    <w:basedOn w:val="Heading3Char"/>
    <w:link w:val="ProposalHeading"/>
    <w:rsid w:val="00365BCC"/>
    <w:rPr>
      <w:rFonts w:ascii="Calibri" w:eastAsiaTheme="majorEastAsia" w:hAnsi="Calibri" w:cs="Calibri"/>
      <w:b/>
      <w:color w:val="000000"/>
      <w:szCs w:val="24"/>
    </w:rPr>
  </w:style>
  <w:style w:type="table" w:styleId="TableGrid">
    <w:name w:val="Table Grid"/>
    <w:basedOn w:val="TableNormal"/>
    <w:uiPriority w:val="39"/>
    <w:rsid w:val="0036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5BCC"/>
    <w:rPr>
      <w:rFonts w:asciiTheme="majorHAnsi" w:eastAsiaTheme="majorEastAsia" w:hAnsiTheme="majorHAnsi" w:cstheme="majorBidi"/>
      <w:b/>
      <w:color w:val="002F5F"/>
      <w:szCs w:val="24"/>
    </w:rPr>
  </w:style>
  <w:style w:type="paragraph" w:styleId="Subtitle">
    <w:name w:val="Subtitle"/>
    <w:basedOn w:val="Normal"/>
    <w:next w:val="Normal"/>
    <w:link w:val="SubtitleChar"/>
    <w:uiPriority w:val="11"/>
    <w:qFormat/>
    <w:rsid w:val="00365BCC"/>
    <w:rPr>
      <w:rFonts w:asciiTheme="majorHAnsi" w:hAnsiTheme="majorHAnsi"/>
      <w:color w:val="002F5F"/>
      <w:sz w:val="28"/>
    </w:rPr>
  </w:style>
  <w:style w:type="character" w:customStyle="1" w:styleId="SubtitleChar">
    <w:name w:val="Subtitle Char"/>
    <w:basedOn w:val="DefaultParagraphFont"/>
    <w:link w:val="Subtitle"/>
    <w:uiPriority w:val="11"/>
    <w:rsid w:val="00365BCC"/>
    <w:rPr>
      <w:rFonts w:asciiTheme="majorHAnsi" w:hAnsiTheme="majorHAnsi"/>
      <w:color w:val="002F5F"/>
      <w:sz w:val="28"/>
    </w:rPr>
  </w:style>
  <w:style w:type="character" w:customStyle="1" w:styleId="Heading1Char">
    <w:name w:val="Heading 1 Char"/>
    <w:basedOn w:val="DefaultParagraphFont"/>
    <w:link w:val="Heading1"/>
    <w:uiPriority w:val="9"/>
    <w:rsid w:val="00365BCC"/>
    <w:rPr>
      <w:rFonts w:asciiTheme="majorHAnsi" w:eastAsiaTheme="majorEastAsia" w:hAnsiTheme="majorHAnsi" w:cstheme="majorBidi"/>
      <w:color w:val="00ADEF"/>
      <w:sz w:val="40"/>
      <w:szCs w:val="32"/>
    </w:rPr>
  </w:style>
  <w:style w:type="character" w:customStyle="1" w:styleId="Heading2Char">
    <w:name w:val="Heading 2 Char"/>
    <w:basedOn w:val="DefaultParagraphFont"/>
    <w:link w:val="Heading2"/>
    <w:uiPriority w:val="9"/>
    <w:rsid w:val="00365BCC"/>
    <w:rPr>
      <w:rFonts w:eastAsiaTheme="majorEastAsia" w:cstheme="majorBidi"/>
      <w:b/>
      <w:color w:val="00ADEF"/>
      <w:sz w:val="24"/>
      <w:szCs w:val="26"/>
    </w:rPr>
  </w:style>
  <w:style w:type="paragraph" w:styleId="TOCHeading">
    <w:name w:val="TOC Heading"/>
    <w:basedOn w:val="Heading1"/>
    <w:next w:val="Normal"/>
    <w:uiPriority w:val="39"/>
    <w:unhideWhenUsed/>
    <w:qFormat/>
    <w:rsid w:val="00365BCC"/>
    <w:pPr>
      <w:pBdr>
        <w:bottom w:val="none" w:sz="0" w:space="0" w:color="auto"/>
      </w:pBdr>
      <w:spacing w:before="240" w:after="0"/>
      <w:jc w:val="left"/>
      <w:outlineLvl w:val="9"/>
    </w:pPr>
    <w:rPr>
      <w:color w:val="2E74B5" w:themeColor="accent1" w:themeShade="BF"/>
      <w:sz w:val="32"/>
      <w:lang w:val="en-US"/>
    </w:rPr>
  </w:style>
  <w:style w:type="paragraph" w:styleId="TOC1">
    <w:name w:val="toc 1"/>
    <w:basedOn w:val="Normal"/>
    <w:next w:val="Normal"/>
    <w:autoRedefine/>
    <w:uiPriority w:val="39"/>
    <w:unhideWhenUsed/>
    <w:rsid w:val="00365BCC"/>
    <w:pPr>
      <w:spacing w:after="100"/>
    </w:pPr>
  </w:style>
  <w:style w:type="paragraph" w:styleId="TOC2">
    <w:name w:val="toc 2"/>
    <w:basedOn w:val="Normal"/>
    <w:next w:val="Normal"/>
    <w:autoRedefine/>
    <w:uiPriority w:val="39"/>
    <w:unhideWhenUsed/>
    <w:rsid w:val="00365BCC"/>
    <w:pPr>
      <w:spacing w:after="100"/>
      <w:ind w:left="220"/>
    </w:pPr>
  </w:style>
  <w:style w:type="paragraph" w:styleId="TOC3">
    <w:name w:val="toc 3"/>
    <w:basedOn w:val="Normal"/>
    <w:next w:val="Normal"/>
    <w:autoRedefine/>
    <w:uiPriority w:val="39"/>
    <w:unhideWhenUsed/>
    <w:rsid w:val="00365BCC"/>
    <w:pPr>
      <w:spacing w:after="100"/>
      <w:ind w:left="440"/>
    </w:pPr>
  </w:style>
  <w:style w:type="character" w:styleId="Hyperlink">
    <w:name w:val="Hyperlink"/>
    <w:basedOn w:val="DefaultParagraphFont"/>
    <w:uiPriority w:val="99"/>
    <w:unhideWhenUsed/>
    <w:rsid w:val="00365BCC"/>
    <w:rPr>
      <w:color w:val="0563C1" w:themeColor="hyperlink"/>
      <w:u w:val="single"/>
    </w:rPr>
  </w:style>
  <w:style w:type="paragraph" w:customStyle="1" w:styleId="SalesTemplateHeading1">
    <w:name w:val="Sales Template Heading 1"/>
    <w:locked/>
    <w:rsid w:val="00EF2615"/>
    <w:pPr>
      <w:pageBreakBefore/>
      <w:spacing w:after="200" w:line="276" w:lineRule="auto"/>
    </w:pPr>
    <w:rPr>
      <w:rFonts w:eastAsiaTheme="minorEastAsia"/>
      <w:b/>
      <w:color w:val="00B0F0"/>
      <w:sz w:val="32"/>
      <w:lang w:eastAsia="en-GB"/>
    </w:rPr>
  </w:style>
  <w:style w:type="paragraph" w:styleId="ListParagraph">
    <w:name w:val="List Paragraph"/>
    <w:basedOn w:val="Normal"/>
    <w:uiPriority w:val="34"/>
    <w:qFormat/>
    <w:rsid w:val="002C40E5"/>
    <w:pPr>
      <w:ind w:left="720"/>
      <w:contextualSpacing/>
    </w:pPr>
  </w:style>
  <w:style w:type="paragraph" w:customStyle="1" w:styleId="Default">
    <w:name w:val="Default"/>
    <w:rsid w:val="00F21AC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717B91"/>
    <w:rPr>
      <w:color w:val="808080"/>
    </w:rPr>
  </w:style>
  <w:style w:type="character" w:styleId="FollowedHyperlink">
    <w:name w:val="FollowedHyperlink"/>
    <w:basedOn w:val="DefaultParagraphFont"/>
    <w:uiPriority w:val="99"/>
    <w:semiHidden/>
    <w:unhideWhenUsed/>
    <w:rsid w:val="00E7104A"/>
    <w:rPr>
      <w:color w:val="954F72" w:themeColor="followedHyperlink"/>
      <w:u w:val="single"/>
    </w:rPr>
  </w:style>
  <w:style w:type="paragraph" w:styleId="BalloonText">
    <w:name w:val="Balloon Text"/>
    <w:basedOn w:val="Normal"/>
    <w:link w:val="BalloonTextChar"/>
    <w:uiPriority w:val="99"/>
    <w:semiHidden/>
    <w:unhideWhenUsed/>
    <w:rsid w:val="00AB1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9E1"/>
    <w:rPr>
      <w:rFonts w:ascii="Segoe UI" w:hAnsi="Segoe UI" w:cs="Segoe UI"/>
      <w:sz w:val="18"/>
      <w:szCs w:val="18"/>
    </w:rPr>
  </w:style>
  <w:style w:type="paragraph" w:styleId="Revision">
    <w:name w:val="Revision"/>
    <w:hidden/>
    <w:uiPriority w:val="99"/>
    <w:semiHidden/>
    <w:rsid w:val="00A87CC3"/>
    <w:pPr>
      <w:spacing w:after="0" w:line="240" w:lineRule="auto"/>
    </w:pPr>
  </w:style>
  <w:style w:type="paragraph" w:styleId="BodyText">
    <w:name w:val="Body Text"/>
    <w:basedOn w:val="Normal"/>
    <w:link w:val="BodyTextChar"/>
    <w:rsid w:val="004753DC"/>
    <w:pPr>
      <w:spacing w:after="0" w:line="360" w:lineRule="auto"/>
      <w:jc w:val="both"/>
    </w:pPr>
    <w:rPr>
      <w:rFonts w:ascii="Calibri" w:eastAsia="Times New Roman" w:hAnsi="Calibri" w:cs="Times New Roman"/>
      <w:color w:val="404040"/>
      <w:szCs w:val="24"/>
      <w:lang w:eastAsia="en-GB"/>
    </w:rPr>
  </w:style>
  <w:style w:type="character" w:customStyle="1" w:styleId="BodyTextChar">
    <w:name w:val="Body Text Char"/>
    <w:basedOn w:val="DefaultParagraphFont"/>
    <w:link w:val="BodyText"/>
    <w:rsid w:val="004753DC"/>
    <w:rPr>
      <w:rFonts w:ascii="Calibri" w:eastAsia="Times New Roman" w:hAnsi="Calibri" w:cs="Times New Roman"/>
      <w:color w:val="404040"/>
      <w:szCs w:val="24"/>
      <w:lang w:eastAsia="en-GB"/>
    </w:rPr>
  </w:style>
  <w:style w:type="paragraph" w:styleId="BodyTextIndent">
    <w:name w:val="Body Text Indent"/>
    <w:basedOn w:val="Normal"/>
    <w:link w:val="BodyTextIndentChar"/>
    <w:rsid w:val="004753DC"/>
    <w:pPr>
      <w:spacing w:after="120" w:line="360" w:lineRule="auto"/>
      <w:ind w:left="360"/>
      <w:jc w:val="both"/>
    </w:pPr>
    <w:rPr>
      <w:rFonts w:ascii="Calibri" w:eastAsia="Times New Roman" w:hAnsi="Calibri" w:cs="Times New Roman"/>
      <w:color w:val="404040"/>
      <w:szCs w:val="24"/>
      <w:lang w:eastAsia="en-GB"/>
    </w:rPr>
  </w:style>
  <w:style w:type="character" w:customStyle="1" w:styleId="BodyTextIndentChar">
    <w:name w:val="Body Text Indent Char"/>
    <w:basedOn w:val="DefaultParagraphFont"/>
    <w:link w:val="BodyTextIndent"/>
    <w:rsid w:val="004753DC"/>
    <w:rPr>
      <w:rFonts w:ascii="Calibri" w:eastAsia="Times New Roman" w:hAnsi="Calibri" w:cs="Times New Roman"/>
      <w:color w:val="404040"/>
      <w:szCs w:val="24"/>
      <w:lang w:eastAsia="en-GB"/>
    </w:rPr>
  </w:style>
  <w:style w:type="character" w:styleId="FootnoteReference">
    <w:name w:val="footnote reference"/>
    <w:uiPriority w:val="99"/>
    <w:semiHidden/>
    <w:rsid w:val="004753DC"/>
    <w:rPr>
      <w:vertAlign w:val="superscript"/>
    </w:rPr>
  </w:style>
  <w:style w:type="paragraph" w:styleId="FootnoteText">
    <w:name w:val="footnote text"/>
    <w:basedOn w:val="Normal"/>
    <w:link w:val="FootnoteTextChar"/>
    <w:uiPriority w:val="99"/>
    <w:semiHidden/>
    <w:unhideWhenUsed/>
    <w:qFormat/>
    <w:rsid w:val="004753DC"/>
    <w:pPr>
      <w:spacing w:after="0" w:line="240" w:lineRule="auto"/>
      <w:jc w:val="both"/>
    </w:pPr>
    <w:rPr>
      <w:rFonts w:ascii="Calibri" w:eastAsia="Times New Roman" w:hAnsi="Calibri" w:cs="Times New Roman"/>
      <w:color w:val="404040"/>
      <w:sz w:val="16"/>
      <w:lang w:eastAsia="en-GB"/>
    </w:rPr>
  </w:style>
  <w:style w:type="character" w:customStyle="1" w:styleId="FootnoteTextChar">
    <w:name w:val="Footnote Text Char"/>
    <w:basedOn w:val="DefaultParagraphFont"/>
    <w:link w:val="FootnoteText"/>
    <w:uiPriority w:val="99"/>
    <w:semiHidden/>
    <w:rsid w:val="004753DC"/>
    <w:rPr>
      <w:rFonts w:ascii="Calibri" w:eastAsia="Times New Roman" w:hAnsi="Calibri" w:cs="Times New Roman"/>
      <w:color w:val="404040"/>
      <w:sz w:val="16"/>
      <w:lang w:eastAsia="en-GB"/>
    </w:rPr>
  </w:style>
  <w:style w:type="paragraph" w:styleId="NormalIndent">
    <w:name w:val="Normal Indent"/>
    <w:basedOn w:val="Normal"/>
    <w:rsid w:val="004753DC"/>
    <w:pPr>
      <w:spacing w:after="0" w:line="360" w:lineRule="auto"/>
      <w:ind w:left="720"/>
      <w:jc w:val="both"/>
    </w:pPr>
    <w:rPr>
      <w:rFonts w:ascii="Calibri" w:eastAsia="Times New Roman" w:hAnsi="Calibri" w:cs="Times New Roman"/>
      <w:color w:val="404040"/>
      <w:szCs w:val="24"/>
      <w:lang w:eastAsia="en-GB"/>
    </w:rPr>
  </w:style>
  <w:style w:type="paragraph" w:customStyle="1" w:styleId="indent2">
    <w:name w:val="indent2"/>
    <w:basedOn w:val="Normal"/>
    <w:rsid w:val="004753DC"/>
    <w:pPr>
      <w:spacing w:before="120" w:after="0" w:line="240" w:lineRule="auto"/>
      <w:ind w:left="1440" w:hanging="720"/>
      <w:jc w:val="both"/>
    </w:pPr>
    <w:rPr>
      <w:rFonts w:ascii="Arial" w:eastAsia="Times New Roman" w:hAnsi="Arial" w:cs="Arial"/>
      <w:color w:val="000000"/>
      <w:szCs w:val="20"/>
    </w:rPr>
  </w:style>
  <w:style w:type="character" w:styleId="LineNumber">
    <w:name w:val="line number"/>
    <w:basedOn w:val="DefaultParagraphFont"/>
    <w:uiPriority w:val="99"/>
    <w:semiHidden/>
    <w:unhideWhenUsed/>
    <w:rsid w:val="000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69371">
      <w:bodyDiv w:val="1"/>
      <w:marLeft w:val="0"/>
      <w:marRight w:val="0"/>
      <w:marTop w:val="0"/>
      <w:marBottom w:val="0"/>
      <w:divBdr>
        <w:top w:val="none" w:sz="0" w:space="0" w:color="auto"/>
        <w:left w:val="none" w:sz="0" w:space="0" w:color="auto"/>
        <w:bottom w:val="none" w:sz="0" w:space="0" w:color="auto"/>
        <w:right w:val="none" w:sz="0" w:space="0" w:color="auto"/>
      </w:divBdr>
    </w:div>
    <w:div w:id="14357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sharp.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706DE-1E1D-4C26-BF87-206DB8F2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Cole</dc:creator>
  <cp:lastModifiedBy>Paul Hayes</cp:lastModifiedBy>
  <cp:revision>10</cp:revision>
  <cp:lastPrinted>2017-03-08T13:28:00Z</cp:lastPrinted>
  <dcterms:created xsi:type="dcterms:W3CDTF">2017-10-10T13:20:00Z</dcterms:created>
  <dcterms:modified xsi:type="dcterms:W3CDTF">2017-10-20T11:29:00Z</dcterms:modified>
</cp:coreProperties>
</file>