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7FEE" w14:textId="534E30DF" w:rsidR="00167A6E" w:rsidRDefault="00C126FA">
      <w:pPr>
        <w:spacing w:after="0" w:line="259"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25D9D9A7" w14:textId="77777777" w:rsidR="00167A6E" w:rsidRDefault="00167A6E">
      <w:pPr>
        <w:spacing w:after="0" w:line="259" w:lineRule="auto"/>
        <w:rPr>
          <w:rFonts w:ascii="Arial" w:eastAsia="Arial" w:hAnsi="Arial" w:cs="Arial"/>
          <w:b/>
          <w:sz w:val="36"/>
          <w:szCs w:val="36"/>
        </w:rPr>
      </w:pPr>
    </w:p>
    <w:p w14:paraId="317FAFD0" w14:textId="77777777" w:rsidR="00167A6E" w:rsidRDefault="00C126F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A8897BB" w14:textId="77777777" w:rsidR="00167A6E" w:rsidRDefault="00167A6E">
      <w:pPr>
        <w:spacing w:after="0" w:line="259" w:lineRule="auto"/>
        <w:rPr>
          <w:rFonts w:ascii="Arial" w:eastAsia="Arial" w:hAnsi="Arial" w:cs="Arial"/>
          <w:b/>
          <w:sz w:val="24"/>
          <w:szCs w:val="24"/>
        </w:rPr>
      </w:pPr>
    </w:p>
    <w:p w14:paraId="35319A41" w14:textId="77777777" w:rsidR="00167A6E" w:rsidRDefault="00167A6E">
      <w:pPr>
        <w:spacing w:after="0" w:line="259" w:lineRule="auto"/>
        <w:rPr>
          <w:rFonts w:ascii="Arial" w:eastAsia="Arial" w:hAnsi="Arial" w:cs="Arial"/>
          <w:b/>
          <w:sz w:val="24"/>
          <w:szCs w:val="24"/>
        </w:rPr>
      </w:pPr>
    </w:p>
    <w:p w14:paraId="4AF787BB" w14:textId="0B877225" w:rsidR="00167A6E" w:rsidRDefault="00C126FA">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FC1643">
        <w:rPr>
          <w:rFonts w:ascii="Arial" w:eastAsia="Arial" w:hAnsi="Arial" w:cs="Arial"/>
          <w:sz w:val="24"/>
          <w:szCs w:val="24"/>
        </w:rPr>
        <w:t>CCSO25A02</w:t>
      </w:r>
    </w:p>
    <w:p w14:paraId="151EDBCA" w14:textId="77777777" w:rsidR="00167A6E" w:rsidRDefault="00167A6E">
      <w:pPr>
        <w:spacing w:after="0" w:line="259" w:lineRule="auto"/>
        <w:rPr>
          <w:rFonts w:ascii="Arial" w:eastAsia="Arial" w:hAnsi="Arial" w:cs="Arial"/>
          <w:sz w:val="24"/>
          <w:szCs w:val="24"/>
        </w:rPr>
      </w:pPr>
    </w:p>
    <w:p w14:paraId="1F265634" w14:textId="55FAFABC" w:rsidR="00167A6E" w:rsidRPr="00DE7354" w:rsidRDefault="00C126FA" w:rsidP="00DE7354">
      <w:pPr>
        <w:spacing w:line="251" w:lineRule="auto"/>
        <w:ind w:left="17"/>
        <w:rPr>
          <w:rFonts w:ascii="Times" w:hAnsi="Times" w:cs="Times"/>
          <w:color w:val="FF0000"/>
          <w:sz w:val="27"/>
          <w:szCs w:val="27"/>
        </w:rPr>
      </w:pPr>
      <w:r>
        <w:rPr>
          <w:rFonts w:ascii="Arial" w:eastAsia="Arial" w:hAnsi="Arial" w:cs="Arial"/>
          <w:sz w:val="24"/>
          <w:szCs w:val="24"/>
        </w:rPr>
        <w:t>THE BUYER:</w:t>
      </w:r>
      <w:r w:rsidR="00DE7354">
        <w:rPr>
          <w:rFonts w:ascii="Arial" w:eastAsia="Arial" w:hAnsi="Arial" w:cs="Arial"/>
          <w:sz w:val="24"/>
          <w:szCs w:val="24"/>
        </w:rPr>
        <w:t xml:space="preserve"> </w:t>
      </w:r>
      <w:r w:rsidR="00DE7354">
        <w:rPr>
          <w:rFonts w:ascii="Times" w:hAnsi="Times" w:cs="Times"/>
          <w:color w:val="FF0000"/>
          <w:sz w:val="27"/>
          <w:szCs w:val="27"/>
        </w:rPr>
        <w:t>REDACTED TEXT under FOIA Section 40, Personal Information</w:t>
      </w:r>
    </w:p>
    <w:p w14:paraId="6D1F628B" w14:textId="5472DFA7" w:rsidR="00167A6E" w:rsidRPr="00DE7354" w:rsidRDefault="00C126FA" w:rsidP="00DE7354">
      <w:pPr>
        <w:spacing w:line="251" w:lineRule="auto"/>
        <w:ind w:left="17"/>
        <w:rPr>
          <w:rFonts w:ascii="Times" w:hAnsi="Times" w:cs="Times"/>
          <w:color w:val="FF0000"/>
          <w:sz w:val="27"/>
          <w:szCs w:val="27"/>
        </w:rPr>
      </w:pPr>
      <w:r>
        <w:rPr>
          <w:rFonts w:ascii="Arial" w:eastAsia="Arial" w:hAnsi="Arial" w:cs="Arial"/>
          <w:sz w:val="24"/>
          <w:szCs w:val="24"/>
        </w:rPr>
        <w:t>BUYER ADDRESS</w:t>
      </w:r>
      <w:r w:rsidR="00DE7354">
        <w:rPr>
          <w:rFonts w:ascii="Arial" w:eastAsia="Arial" w:hAnsi="Arial" w:cs="Arial"/>
          <w:sz w:val="24"/>
          <w:szCs w:val="24"/>
        </w:rPr>
        <w:t xml:space="preserve">: </w:t>
      </w:r>
      <w:r w:rsidR="00DE7354">
        <w:rPr>
          <w:rFonts w:ascii="Times" w:hAnsi="Times" w:cs="Times"/>
          <w:color w:val="FF0000"/>
          <w:sz w:val="27"/>
          <w:szCs w:val="27"/>
        </w:rPr>
        <w:t>REDACTED TEXT under FOIA Section 40, Personal Information</w:t>
      </w:r>
    </w:p>
    <w:p w14:paraId="68147105" w14:textId="1B1D7735" w:rsidR="00167A6E" w:rsidRPr="00DE7354" w:rsidRDefault="00C126FA" w:rsidP="00DE7354">
      <w:pPr>
        <w:spacing w:line="251" w:lineRule="auto"/>
        <w:ind w:left="17"/>
        <w:rPr>
          <w:rFonts w:ascii="Times" w:hAnsi="Times" w:cs="Times"/>
          <w:color w:val="FF0000"/>
          <w:sz w:val="27"/>
          <w:szCs w:val="27"/>
        </w:rPr>
      </w:pPr>
      <w:r>
        <w:rPr>
          <w:rFonts w:ascii="Arial" w:eastAsia="Arial" w:hAnsi="Arial" w:cs="Arial"/>
          <w:sz w:val="24"/>
          <w:szCs w:val="24"/>
        </w:rPr>
        <w:t xml:space="preserve">THE SUPPLIER: </w:t>
      </w:r>
      <w:r w:rsidR="00DE7354">
        <w:rPr>
          <w:rFonts w:ascii="Times" w:hAnsi="Times" w:cs="Times"/>
          <w:color w:val="FF0000"/>
          <w:sz w:val="27"/>
          <w:szCs w:val="27"/>
        </w:rPr>
        <w:t>REDACTED TEXT under FOIA Section 40, Personal Information</w:t>
      </w:r>
    </w:p>
    <w:p w14:paraId="7340B6D6" w14:textId="332E87D3" w:rsidR="00167A6E" w:rsidRPr="00DE7354" w:rsidRDefault="00C126FA" w:rsidP="00DE7354">
      <w:pPr>
        <w:spacing w:line="251" w:lineRule="auto"/>
        <w:ind w:left="17"/>
        <w:rPr>
          <w:rFonts w:ascii="Times" w:hAnsi="Times" w:cs="Times"/>
          <w:color w:val="FF0000"/>
          <w:sz w:val="27"/>
          <w:szCs w:val="27"/>
        </w:rPr>
      </w:pPr>
      <w:r>
        <w:rPr>
          <w:rFonts w:ascii="Arial" w:eastAsia="Arial" w:hAnsi="Arial" w:cs="Arial"/>
          <w:sz w:val="24"/>
          <w:szCs w:val="24"/>
        </w:rPr>
        <w:t>SUPPLIER ADDRESS:</w:t>
      </w:r>
      <w:r>
        <w:rPr>
          <w:rFonts w:ascii="Arial" w:eastAsia="Arial" w:hAnsi="Arial" w:cs="Arial"/>
          <w:b/>
          <w:sz w:val="24"/>
          <w:szCs w:val="24"/>
        </w:rPr>
        <w:t xml:space="preserve"> </w:t>
      </w:r>
      <w:r w:rsidR="00DE7354">
        <w:rPr>
          <w:rFonts w:ascii="Times" w:hAnsi="Times" w:cs="Times"/>
          <w:color w:val="FF0000"/>
          <w:sz w:val="27"/>
          <w:szCs w:val="27"/>
        </w:rPr>
        <w:t>REDACTED TEXT under FOIA Section 40, Personal Information</w:t>
      </w:r>
    </w:p>
    <w:p w14:paraId="14B330C6" w14:textId="4A17FB51" w:rsidR="00167A6E" w:rsidRPr="00DE7354" w:rsidRDefault="00C126FA" w:rsidP="00DE7354">
      <w:pPr>
        <w:spacing w:line="251" w:lineRule="auto"/>
        <w:ind w:left="17"/>
        <w:rPr>
          <w:rFonts w:ascii="Times" w:hAnsi="Times" w:cs="Times"/>
          <w:color w:val="FF0000"/>
          <w:sz w:val="27"/>
          <w:szCs w:val="27"/>
        </w:rPr>
      </w:pPr>
      <w:r>
        <w:rPr>
          <w:rFonts w:ascii="Arial" w:eastAsia="Arial" w:hAnsi="Arial" w:cs="Arial"/>
          <w:sz w:val="24"/>
          <w:szCs w:val="24"/>
        </w:rPr>
        <w:t>REGISTRATION NUMBER:</w:t>
      </w:r>
      <w:r>
        <w:rPr>
          <w:rFonts w:ascii="Arial" w:eastAsia="Arial" w:hAnsi="Arial" w:cs="Arial"/>
          <w:b/>
          <w:sz w:val="24"/>
          <w:szCs w:val="24"/>
        </w:rPr>
        <w:t xml:space="preserve"> </w:t>
      </w:r>
      <w:r w:rsidR="00DE7354">
        <w:rPr>
          <w:rFonts w:ascii="Times" w:hAnsi="Times" w:cs="Times"/>
          <w:color w:val="FF0000"/>
          <w:sz w:val="27"/>
          <w:szCs w:val="27"/>
        </w:rPr>
        <w:t>REDACTED TEXT under FOIA Section 40, Personal Information</w:t>
      </w:r>
    </w:p>
    <w:p w14:paraId="51EF9AF0" w14:textId="59C2B1F4" w:rsidR="00DE7354" w:rsidRDefault="00C126FA" w:rsidP="00DE7354">
      <w:pPr>
        <w:spacing w:line="251" w:lineRule="auto"/>
        <w:ind w:left="17"/>
        <w:rPr>
          <w:rFonts w:ascii="Times" w:hAnsi="Times" w:cs="Times"/>
          <w:color w:val="FF0000"/>
          <w:sz w:val="27"/>
          <w:szCs w:val="27"/>
        </w:rPr>
      </w:pPr>
      <w:r>
        <w:rPr>
          <w:rFonts w:ascii="Arial" w:eastAsia="Arial" w:hAnsi="Arial" w:cs="Arial"/>
          <w:sz w:val="24"/>
          <w:szCs w:val="24"/>
        </w:rPr>
        <w:t xml:space="preserve">DUNS NUMBER: </w:t>
      </w:r>
      <w:r w:rsidR="00DE7354">
        <w:rPr>
          <w:rFonts w:ascii="Times" w:hAnsi="Times" w:cs="Times"/>
          <w:color w:val="FF0000"/>
          <w:sz w:val="27"/>
          <w:szCs w:val="27"/>
        </w:rPr>
        <w:t>REDACTED TEXT under FOIA Section 40, Personal Information</w:t>
      </w:r>
    </w:p>
    <w:p w14:paraId="190DA7B3" w14:textId="77777777" w:rsidR="00DE7354" w:rsidRDefault="00C126FA" w:rsidP="00DE7354">
      <w:pPr>
        <w:spacing w:line="251" w:lineRule="auto"/>
        <w:ind w:left="17"/>
        <w:rPr>
          <w:rFonts w:ascii="Times" w:hAnsi="Times" w:cs="Times"/>
          <w:color w:val="FF0000"/>
          <w:sz w:val="27"/>
          <w:szCs w:val="27"/>
        </w:rPr>
      </w:pPr>
      <w:r>
        <w:rPr>
          <w:rFonts w:ascii="Arial" w:eastAsia="Arial" w:hAnsi="Arial" w:cs="Arial"/>
          <w:sz w:val="24"/>
          <w:szCs w:val="24"/>
        </w:rPr>
        <w:t>SID4GOV ID:</w:t>
      </w:r>
      <w:r>
        <w:rPr>
          <w:rFonts w:ascii="Arial" w:eastAsia="Arial" w:hAnsi="Arial" w:cs="Arial"/>
          <w:b/>
          <w:sz w:val="24"/>
          <w:szCs w:val="24"/>
        </w:rPr>
        <w:t xml:space="preserve"> </w:t>
      </w:r>
      <w:r w:rsidR="00DE7354">
        <w:rPr>
          <w:rFonts w:ascii="Times" w:hAnsi="Times" w:cs="Times"/>
          <w:color w:val="FF0000"/>
          <w:sz w:val="27"/>
          <w:szCs w:val="27"/>
        </w:rPr>
        <w:t>REDACTED TEXT under FOIA Section 40, Personal Information</w:t>
      </w:r>
    </w:p>
    <w:p w14:paraId="186C8157" w14:textId="3BE74AD4" w:rsidR="00167A6E" w:rsidRDefault="00167A6E" w:rsidP="00DE7354">
      <w:pPr>
        <w:spacing w:line="240" w:lineRule="auto"/>
        <w:rPr>
          <w:rFonts w:ascii="Arial" w:eastAsia="Arial" w:hAnsi="Arial" w:cs="Arial"/>
          <w:sz w:val="24"/>
          <w:szCs w:val="24"/>
        </w:rPr>
      </w:pPr>
    </w:p>
    <w:p w14:paraId="15AAB2BC" w14:textId="77777777" w:rsidR="00167A6E" w:rsidRDefault="00C126FA">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50979EC0" w14:textId="77777777" w:rsidR="00167A6E" w:rsidRDefault="00167A6E">
      <w:pPr>
        <w:spacing w:after="0" w:line="259" w:lineRule="auto"/>
        <w:rPr>
          <w:rFonts w:ascii="Arial" w:eastAsia="Arial" w:hAnsi="Arial" w:cs="Arial"/>
          <w:sz w:val="24"/>
          <w:szCs w:val="24"/>
        </w:rPr>
      </w:pPr>
    </w:p>
    <w:p w14:paraId="63B21E63" w14:textId="77777777" w:rsidR="00167A6E" w:rsidRDefault="00167A6E">
      <w:pPr>
        <w:spacing w:after="0" w:line="259" w:lineRule="auto"/>
        <w:rPr>
          <w:rFonts w:ascii="Arial" w:eastAsia="Arial" w:hAnsi="Arial" w:cs="Arial"/>
          <w:sz w:val="24"/>
          <w:szCs w:val="24"/>
        </w:rPr>
      </w:pPr>
    </w:p>
    <w:p w14:paraId="4344B8B8" w14:textId="77777777" w:rsidR="00167A6E" w:rsidRDefault="00C126FA">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E6F553E" w14:textId="77777777" w:rsidR="00167A6E" w:rsidRDefault="00167A6E">
      <w:pPr>
        <w:spacing w:after="0" w:line="259" w:lineRule="auto"/>
        <w:rPr>
          <w:rFonts w:ascii="Arial" w:eastAsia="Arial" w:hAnsi="Arial" w:cs="Arial"/>
          <w:sz w:val="24"/>
          <w:szCs w:val="24"/>
        </w:rPr>
      </w:pPr>
    </w:p>
    <w:p w14:paraId="502602AA" w14:textId="1D834B77" w:rsidR="00167A6E" w:rsidRDefault="00C126F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AE242C">
        <w:rPr>
          <w:rFonts w:ascii="Arial" w:eastAsia="Arial" w:hAnsi="Arial" w:cs="Arial"/>
          <w:sz w:val="24"/>
          <w:szCs w:val="24"/>
        </w:rPr>
        <w:t>6</w:t>
      </w:r>
      <w:r w:rsidR="00AE242C" w:rsidRPr="00AE242C">
        <w:rPr>
          <w:rFonts w:ascii="Arial" w:eastAsia="Arial" w:hAnsi="Arial" w:cs="Arial"/>
          <w:sz w:val="24"/>
          <w:szCs w:val="24"/>
          <w:vertAlign w:val="superscript"/>
        </w:rPr>
        <w:t>th</w:t>
      </w:r>
      <w:r w:rsidR="00AE242C">
        <w:rPr>
          <w:rFonts w:ascii="Arial" w:eastAsia="Arial" w:hAnsi="Arial" w:cs="Arial"/>
          <w:sz w:val="24"/>
          <w:szCs w:val="24"/>
        </w:rPr>
        <w:t xml:space="preserve"> May</w:t>
      </w:r>
      <w:r>
        <w:rPr>
          <w:rFonts w:ascii="Arial" w:eastAsia="Arial" w:hAnsi="Arial" w:cs="Arial"/>
          <w:sz w:val="24"/>
          <w:szCs w:val="24"/>
        </w:rPr>
        <w:t xml:space="preserve"> 2025. </w:t>
      </w:r>
    </w:p>
    <w:p w14:paraId="5D41171C" w14:textId="77777777" w:rsidR="00167A6E" w:rsidRDefault="00167A6E">
      <w:pPr>
        <w:spacing w:after="0" w:line="259" w:lineRule="auto"/>
        <w:jc w:val="both"/>
        <w:rPr>
          <w:rFonts w:ascii="Arial" w:eastAsia="Arial" w:hAnsi="Arial" w:cs="Arial"/>
          <w:sz w:val="24"/>
          <w:szCs w:val="24"/>
        </w:rPr>
      </w:pPr>
    </w:p>
    <w:p w14:paraId="252087D5" w14:textId="77777777" w:rsidR="00167A6E" w:rsidRDefault="00C126FA">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RM6259 for the provision of Vertical Application Solutions.   </w:t>
      </w:r>
    </w:p>
    <w:p w14:paraId="6C07B71D" w14:textId="77777777" w:rsidR="00167A6E" w:rsidRDefault="00167A6E">
      <w:pPr>
        <w:tabs>
          <w:tab w:val="left" w:pos="2257"/>
        </w:tabs>
        <w:spacing w:after="0" w:line="259" w:lineRule="auto"/>
        <w:rPr>
          <w:rFonts w:ascii="Arial" w:eastAsia="Arial" w:hAnsi="Arial" w:cs="Arial"/>
          <w:b/>
          <w:sz w:val="24"/>
          <w:szCs w:val="24"/>
        </w:rPr>
      </w:pPr>
      <w:bookmarkStart w:id="0" w:name="_heading=h.30j0zll" w:colFirst="0" w:colLast="0"/>
      <w:bookmarkEnd w:id="0"/>
    </w:p>
    <w:p w14:paraId="7F08D156" w14:textId="77777777" w:rsidR="00167A6E" w:rsidRDefault="00167A6E">
      <w:pPr>
        <w:tabs>
          <w:tab w:val="left" w:pos="2257"/>
        </w:tabs>
        <w:spacing w:after="0" w:line="259" w:lineRule="auto"/>
        <w:ind w:left="2880" w:hanging="2880"/>
        <w:rPr>
          <w:rFonts w:ascii="Arial" w:eastAsia="Arial" w:hAnsi="Arial" w:cs="Arial"/>
          <w:sz w:val="24"/>
          <w:szCs w:val="24"/>
        </w:rPr>
      </w:pPr>
    </w:p>
    <w:p w14:paraId="1053CF8C" w14:textId="77777777" w:rsidR="00167A6E" w:rsidRDefault="00C126F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7A4DF8B6" w14:textId="77777777" w:rsidR="00167A6E" w:rsidRDefault="00167A6E">
      <w:pPr>
        <w:tabs>
          <w:tab w:val="left" w:pos="2257"/>
        </w:tabs>
        <w:spacing w:after="0" w:line="259" w:lineRule="auto"/>
        <w:ind w:left="2880" w:hanging="2880"/>
        <w:rPr>
          <w:rFonts w:ascii="Arial" w:eastAsia="Arial" w:hAnsi="Arial" w:cs="Arial"/>
          <w:sz w:val="24"/>
          <w:szCs w:val="24"/>
        </w:rPr>
      </w:pPr>
    </w:p>
    <w:p w14:paraId="1C4B4991" w14:textId="77777777" w:rsidR="00167A6E" w:rsidRDefault="00C126FA">
      <w:pPr>
        <w:tabs>
          <w:tab w:val="center" w:pos="1105"/>
          <w:tab w:val="center" w:pos="4490"/>
        </w:tabs>
        <w:spacing w:after="57"/>
        <w:rPr>
          <w:rFonts w:ascii="Arial" w:eastAsia="Arial" w:hAnsi="Arial" w:cs="Arial"/>
          <w:sz w:val="24"/>
          <w:szCs w:val="24"/>
          <w:highlight w:val="yellow"/>
        </w:rPr>
      </w:pPr>
      <w:r>
        <w:tab/>
      </w:r>
      <w:r>
        <w:rPr>
          <w:rFonts w:ascii="Arial" w:eastAsia="Arial" w:hAnsi="Arial" w:cs="Arial"/>
          <w:sz w:val="24"/>
          <w:szCs w:val="24"/>
        </w:rPr>
        <w:t>Lot 3 - Housing, Environment and Planning Solutions</w:t>
      </w:r>
    </w:p>
    <w:p w14:paraId="0F520570" w14:textId="77777777" w:rsidR="00167A6E" w:rsidRDefault="00C126FA">
      <w:pPr>
        <w:tabs>
          <w:tab w:val="center" w:pos="1105"/>
          <w:tab w:val="center" w:pos="2876"/>
        </w:tabs>
        <w:spacing w:after="57"/>
        <w:rPr>
          <w:rFonts w:ascii="Arial" w:eastAsia="Arial" w:hAnsi="Arial" w:cs="Arial"/>
          <w:b/>
          <w:sz w:val="24"/>
          <w:szCs w:val="24"/>
        </w:rPr>
      </w:pPr>
      <w:proofErr w:type="gramStart"/>
      <w:r>
        <w:rPr>
          <w:rFonts w:ascii="Arial" w:eastAsia="Arial" w:hAnsi="Arial" w:cs="Arial"/>
          <w:b/>
          <w:sz w:val="24"/>
          <w:szCs w:val="24"/>
        </w:rPr>
        <w:lastRenderedPageBreak/>
        <w:t>2 year</w:t>
      </w:r>
      <w:proofErr w:type="gramEnd"/>
      <w:r>
        <w:rPr>
          <w:rFonts w:ascii="Arial" w:eastAsia="Arial" w:hAnsi="Arial" w:cs="Arial"/>
          <w:b/>
          <w:sz w:val="24"/>
          <w:szCs w:val="24"/>
        </w:rPr>
        <w:t xml:space="preserve"> Enterprise Agreement and Services Bundle</w:t>
      </w:r>
    </w:p>
    <w:p w14:paraId="58A75148" w14:textId="77777777" w:rsidR="00167A6E" w:rsidRDefault="00167A6E">
      <w:pPr>
        <w:tabs>
          <w:tab w:val="left" w:pos="2257"/>
        </w:tabs>
        <w:spacing w:after="0" w:line="259" w:lineRule="auto"/>
        <w:ind w:left="2880" w:hanging="2880"/>
        <w:rPr>
          <w:rFonts w:ascii="Arial" w:eastAsia="Arial" w:hAnsi="Arial" w:cs="Arial"/>
          <w:sz w:val="24"/>
          <w:szCs w:val="24"/>
        </w:rPr>
      </w:pPr>
    </w:p>
    <w:p w14:paraId="25E62ED2" w14:textId="77777777" w:rsidR="00167A6E" w:rsidRDefault="00167A6E" w:rsidP="008C1787">
      <w:pPr>
        <w:tabs>
          <w:tab w:val="left" w:pos="2257"/>
        </w:tabs>
        <w:spacing w:after="0" w:line="259" w:lineRule="auto"/>
        <w:ind w:left="2880" w:hanging="2880"/>
        <w:rPr>
          <w:rFonts w:ascii="Arial" w:eastAsia="Arial" w:hAnsi="Arial" w:cs="Arial"/>
          <w:sz w:val="24"/>
          <w:szCs w:val="24"/>
        </w:rPr>
      </w:pPr>
    </w:p>
    <w:p w14:paraId="0A9EE4D7" w14:textId="77777777" w:rsidR="00167A6E" w:rsidRDefault="00167A6E" w:rsidP="008C1787">
      <w:pPr>
        <w:tabs>
          <w:tab w:val="left" w:pos="2257"/>
        </w:tabs>
        <w:spacing w:after="0" w:line="259" w:lineRule="auto"/>
        <w:ind w:left="2880" w:hanging="2880"/>
        <w:rPr>
          <w:rFonts w:ascii="Arial" w:eastAsia="Arial" w:hAnsi="Arial" w:cs="Arial"/>
          <w:sz w:val="24"/>
          <w:szCs w:val="24"/>
        </w:rPr>
      </w:pPr>
    </w:p>
    <w:p w14:paraId="0CBDC893" w14:textId="77777777" w:rsidR="00167A6E" w:rsidRDefault="00C126FA">
      <w:pPr>
        <w:keepNext/>
        <w:spacing w:after="0" w:line="259" w:lineRule="auto"/>
        <w:rPr>
          <w:rFonts w:ascii="Arial" w:eastAsia="Arial" w:hAnsi="Arial" w:cs="Arial"/>
          <w:sz w:val="24"/>
          <w:szCs w:val="24"/>
        </w:rPr>
      </w:pPr>
      <w:bookmarkStart w:id="1" w:name="_heading=h.gjdgxs" w:colFirst="0" w:colLast="0"/>
      <w:bookmarkEnd w:id="1"/>
      <w:r>
        <w:rPr>
          <w:rFonts w:ascii="Arial" w:eastAsia="Arial" w:hAnsi="Arial" w:cs="Arial"/>
          <w:sz w:val="24"/>
          <w:szCs w:val="24"/>
        </w:rPr>
        <w:t>CALL-OFF INCORPORATED TERMS</w:t>
      </w:r>
    </w:p>
    <w:p w14:paraId="67C47948" w14:textId="77777777" w:rsidR="00167A6E" w:rsidRDefault="00167A6E">
      <w:pPr>
        <w:keepNext/>
        <w:spacing w:after="0" w:line="259" w:lineRule="auto"/>
        <w:rPr>
          <w:rFonts w:ascii="Arial" w:eastAsia="Arial" w:hAnsi="Arial" w:cs="Arial"/>
          <w:sz w:val="24"/>
          <w:szCs w:val="24"/>
        </w:rPr>
      </w:pPr>
    </w:p>
    <w:p w14:paraId="776D9CBD" w14:textId="77777777" w:rsidR="00167A6E" w:rsidRDefault="00C126FA">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4322F9D8" w14:textId="77777777" w:rsidR="00167A6E" w:rsidRDefault="00C126FA">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Schedules.</w:t>
      </w:r>
    </w:p>
    <w:p w14:paraId="2FD79EA0" w14:textId="77777777" w:rsidR="00167A6E" w:rsidRDefault="00C126F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and Interpretation) RM6259</w:t>
      </w:r>
    </w:p>
    <w:p w14:paraId="7DED1AB7" w14:textId="77777777" w:rsidR="00167A6E" w:rsidRDefault="00C126F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0C26E056" w14:textId="77777777" w:rsidR="00167A6E" w:rsidRDefault="00C126FA">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78EE7A" w14:textId="77777777" w:rsidR="00167A6E" w:rsidRDefault="00167A6E">
      <w:pPr>
        <w:keepNext/>
        <w:pBdr>
          <w:top w:val="nil"/>
          <w:left w:val="nil"/>
          <w:bottom w:val="nil"/>
          <w:right w:val="nil"/>
          <w:between w:val="nil"/>
        </w:pBdr>
        <w:spacing w:after="0" w:line="259" w:lineRule="auto"/>
        <w:rPr>
          <w:rFonts w:ascii="Arial" w:eastAsia="Arial" w:hAnsi="Arial" w:cs="Arial"/>
          <w:color w:val="000000"/>
          <w:sz w:val="24"/>
          <w:szCs w:val="24"/>
        </w:rPr>
      </w:pPr>
    </w:p>
    <w:p w14:paraId="1C6190BE" w14:textId="77777777" w:rsidR="00167A6E" w:rsidRDefault="00C126F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RM6259</w:t>
      </w:r>
    </w:p>
    <w:p w14:paraId="65FA9B5E" w14:textId="77777777" w:rsidR="00167A6E" w:rsidRDefault="00C126F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A2756E3" w14:textId="77777777" w:rsidR="00167A6E" w:rsidRDefault="00C126F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23D3854" w14:textId="77777777" w:rsidR="00167A6E" w:rsidRDefault="00C126F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1A6BDA3" w14:textId="77777777" w:rsidR="00167A6E" w:rsidRDefault="00C126FA">
      <w:pPr>
        <w:numPr>
          <w:ilvl w:val="1"/>
          <w:numId w:val="2"/>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4C60F3A" w14:textId="1C5A6F86" w:rsidR="00167A6E" w:rsidRDefault="00C126F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FC1643">
        <w:rPr>
          <w:rFonts w:ascii="Arial" w:eastAsia="Arial" w:hAnsi="Arial" w:cs="Arial"/>
          <w:color w:val="000000"/>
          <w:sz w:val="24"/>
          <w:szCs w:val="24"/>
        </w:rPr>
        <w:t>CCSO25A02</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42E508" w14:textId="77777777" w:rsidR="00167A6E" w:rsidRDefault="00C126F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6A595040" w14:textId="77777777" w:rsidR="00167A6E" w:rsidRDefault="00C126F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sdt>
      <w:sdtPr>
        <w:tag w:val="goog_rdk_1"/>
        <w:id w:val="1650871756"/>
      </w:sdtPr>
      <w:sdtEndPr/>
      <w:sdtContent>
        <w:p w14:paraId="7F689A1D" w14:textId="77777777" w:rsidR="00167A6E" w:rsidRDefault="00C126F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6 (ICT Services); Option 3 applies, Supplier ownership of New IP with Buyer rights for the current contract only.</w:t>
          </w:r>
          <w:sdt>
            <w:sdtPr>
              <w:tag w:val="goog_rdk_0"/>
              <w:id w:val="-2008824813"/>
            </w:sdtPr>
            <w:sdtEndPr/>
            <w:sdtContent/>
          </w:sdt>
        </w:p>
      </w:sdtContent>
    </w:sdt>
    <w:sdt>
      <w:sdtPr>
        <w:tag w:val="goog_rdk_3"/>
        <w:id w:val="-1678881911"/>
      </w:sdtPr>
      <w:sdtEndPr/>
      <w:sdtContent>
        <w:p w14:paraId="2CD1D098" w14:textId="45CC39DB" w:rsidR="00167A6E" w:rsidRPr="00D64DA7" w:rsidRDefault="00523685" w:rsidP="00D64DA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2"/>
              <w:id w:val="-710420235"/>
            </w:sdtPr>
            <w:sdtEndPr/>
            <w:sdtContent>
              <w:r w:rsidR="00C126FA">
                <w:rPr>
                  <w:rFonts w:ascii="Arial" w:eastAsia="Arial" w:hAnsi="Arial" w:cs="Arial"/>
                  <w:color w:val="000000"/>
                  <w:sz w:val="24"/>
                  <w:szCs w:val="24"/>
                </w:rPr>
                <w:t>Call-Off Schedule 5 (Pricing)</w:t>
              </w:r>
            </w:sdtContent>
          </w:sdt>
        </w:p>
      </w:sdtContent>
    </w:sdt>
    <w:p w14:paraId="083C0FF1" w14:textId="77777777" w:rsidR="00167A6E" w:rsidRDefault="00C126F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33C574A" w14:textId="77777777" w:rsidR="00167A6E" w:rsidRDefault="00C126F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RM6259</w:t>
      </w:r>
    </w:p>
    <w:p w14:paraId="3CED50FB" w14:textId="77777777" w:rsidR="00167A6E" w:rsidRDefault="00C126F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(Supplier-Furnished Terms)</w:t>
      </w:r>
    </w:p>
    <w:p w14:paraId="77486F45" w14:textId="77777777" w:rsidR="00167A6E" w:rsidRDefault="00167A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0E1A2DA"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B31578A" w14:textId="77777777" w:rsidR="00167A6E" w:rsidRDefault="00167A6E">
      <w:pPr>
        <w:tabs>
          <w:tab w:val="left" w:pos="2257"/>
        </w:tabs>
        <w:spacing w:after="0" w:line="259" w:lineRule="auto"/>
        <w:rPr>
          <w:rFonts w:ascii="Arial" w:eastAsia="Arial" w:hAnsi="Arial" w:cs="Arial"/>
          <w:sz w:val="24"/>
          <w:szCs w:val="24"/>
        </w:rPr>
      </w:pPr>
    </w:p>
    <w:p w14:paraId="0EF83AE1"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3F772DF"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6FECA80" w14:textId="77777777" w:rsidR="00167A6E" w:rsidRDefault="00C126FA">
      <w:pPr>
        <w:spacing w:after="0" w:line="259" w:lineRule="auto"/>
        <w:rPr>
          <w:rFonts w:ascii="Arial" w:eastAsia="Arial" w:hAnsi="Arial" w:cs="Arial"/>
          <w:sz w:val="24"/>
          <w:szCs w:val="24"/>
        </w:rPr>
      </w:pPr>
      <w:r>
        <w:rPr>
          <w:rFonts w:ascii="Arial" w:eastAsia="Arial" w:hAnsi="Arial" w:cs="Arial"/>
          <w:sz w:val="24"/>
          <w:szCs w:val="24"/>
        </w:rPr>
        <w:t>None</w:t>
      </w:r>
    </w:p>
    <w:p w14:paraId="17AB6326" w14:textId="77777777" w:rsidR="00167A6E" w:rsidRDefault="00167A6E">
      <w:pPr>
        <w:spacing w:after="0" w:line="259" w:lineRule="auto"/>
        <w:rPr>
          <w:rFonts w:ascii="Arial" w:eastAsia="Arial" w:hAnsi="Arial" w:cs="Arial"/>
          <w:b/>
          <w:sz w:val="24"/>
          <w:szCs w:val="24"/>
        </w:rPr>
      </w:pPr>
    </w:p>
    <w:p w14:paraId="250769B2" w14:textId="761DD9CB" w:rsidR="00167A6E" w:rsidRDefault="00C126FA">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01.0</w:t>
      </w:r>
      <w:r w:rsidR="00A71A74">
        <w:rPr>
          <w:rFonts w:ascii="Arial" w:eastAsia="Arial" w:hAnsi="Arial" w:cs="Arial"/>
          <w:b/>
          <w:sz w:val="24"/>
          <w:szCs w:val="24"/>
        </w:rPr>
        <w:t>4</w:t>
      </w:r>
      <w:r>
        <w:rPr>
          <w:rFonts w:ascii="Arial" w:eastAsia="Arial" w:hAnsi="Arial" w:cs="Arial"/>
          <w:b/>
          <w:sz w:val="24"/>
          <w:szCs w:val="24"/>
        </w:rPr>
        <w:t>.2025</w:t>
      </w:r>
    </w:p>
    <w:p w14:paraId="286E90AE" w14:textId="77777777" w:rsidR="00167A6E" w:rsidRDefault="00167A6E">
      <w:pPr>
        <w:spacing w:after="0" w:line="259" w:lineRule="auto"/>
        <w:rPr>
          <w:rFonts w:ascii="Arial" w:eastAsia="Arial" w:hAnsi="Arial" w:cs="Arial"/>
          <w:sz w:val="24"/>
          <w:szCs w:val="24"/>
        </w:rPr>
      </w:pPr>
    </w:p>
    <w:p w14:paraId="34B133D6" w14:textId="77777777" w:rsidR="00167A6E" w:rsidRDefault="00C126FA">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31.03.2027</w:t>
      </w:r>
    </w:p>
    <w:p w14:paraId="0D1E5D4E" w14:textId="77777777" w:rsidR="00167A6E" w:rsidRDefault="00167A6E">
      <w:pPr>
        <w:spacing w:after="0" w:line="259" w:lineRule="auto"/>
        <w:rPr>
          <w:rFonts w:ascii="Arial" w:eastAsia="Arial" w:hAnsi="Arial" w:cs="Arial"/>
          <w:sz w:val="24"/>
          <w:szCs w:val="24"/>
        </w:rPr>
      </w:pPr>
    </w:p>
    <w:p w14:paraId="60EE3487" w14:textId="77777777" w:rsidR="00167A6E" w:rsidRDefault="00C126FA">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2 Years</w:t>
      </w:r>
    </w:p>
    <w:p w14:paraId="20418D25" w14:textId="77777777" w:rsidR="003230F3" w:rsidRDefault="003230F3">
      <w:pPr>
        <w:spacing w:after="0" w:line="259" w:lineRule="auto"/>
        <w:rPr>
          <w:rFonts w:ascii="Arial" w:eastAsia="Arial" w:hAnsi="Arial" w:cs="Arial"/>
          <w:sz w:val="24"/>
          <w:szCs w:val="24"/>
        </w:rPr>
      </w:pPr>
    </w:p>
    <w:p w14:paraId="09313DA2" w14:textId="77777777" w:rsidR="00D64DA7" w:rsidRDefault="00D64DA7" w:rsidP="00D64DA7">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2 Years</w:t>
      </w:r>
    </w:p>
    <w:p w14:paraId="411624D3" w14:textId="77777777" w:rsidR="00D64DA7" w:rsidRDefault="00D64DA7" w:rsidP="00D64DA7">
      <w:pPr>
        <w:spacing w:after="0" w:line="259" w:lineRule="auto"/>
        <w:rPr>
          <w:rFonts w:ascii="Arial" w:eastAsia="Arial" w:hAnsi="Arial" w:cs="Arial"/>
          <w:sz w:val="24"/>
          <w:szCs w:val="24"/>
        </w:rPr>
      </w:pPr>
    </w:p>
    <w:p w14:paraId="24AEC5A8" w14:textId="23DFACD9" w:rsidR="00D64DA7" w:rsidRDefault="00D64DA7" w:rsidP="00D64DA7">
      <w:pPr>
        <w:spacing w:after="0" w:line="259" w:lineRule="auto"/>
        <w:rPr>
          <w:rFonts w:ascii="Arial" w:eastAsia="Arial" w:hAnsi="Arial" w:cs="Arial"/>
          <w:sz w:val="24"/>
          <w:szCs w:val="24"/>
        </w:rPr>
      </w:pPr>
      <w:r>
        <w:rPr>
          <w:rFonts w:ascii="Arial" w:eastAsia="Arial" w:hAnsi="Arial" w:cs="Arial"/>
          <w:sz w:val="24"/>
          <w:szCs w:val="24"/>
        </w:rPr>
        <w:lastRenderedPageBreak/>
        <w:t xml:space="preserve">OPTIONAL EXTENSION.  </w:t>
      </w:r>
      <w:r w:rsidR="00300771" w:rsidRPr="00300771">
        <w:rPr>
          <w:b/>
          <w:sz w:val="24"/>
          <w:szCs w:val="24"/>
        </w:rPr>
        <w:t xml:space="preserve">Optional </w:t>
      </w:r>
      <w:proofErr w:type="gramStart"/>
      <w:r w:rsidR="00300771" w:rsidRPr="00300771">
        <w:rPr>
          <w:b/>
          <w:sz w:val="24"/>
          <w:szCs w:val="24"/>
        </w:rPr>
        <w:t>12 month</w:t>
      </w:r>
      <w:proofErr w:type="gramEnd"/>
      <w:r w:rsidR="00300771" w:rsidRPr="00300771">
        <w:rPr>
          <w:b/>
          <w:sz w:val="24"/>
          <w:szCs w:val="24"/>
        </w:rPr>
        <w:t xml:space="preserve"> extension period included subject to internal and budget approval at that point in time. In </w:t>
      </w:r>
      <w:proofErr w:type="gramStart"/>
      <w:r w:rsidR="00300771" w:rsidRPr="00300771">
        <w:rPr>
          <w:b/>
          <w:sz w:val="24"/>
          <w:szCs w:val="24"/>
        </w:rPr>
        <w:t>addition</w:t>
      </w:r>
      <w:proofErr w:type="gramEnd"/>
      <w:r w:rsidR="00300771" w:rsidRPr="00300771">
        <w:rPr>
          <w:b/>
          <w:sz w:val="24"/>
          <w:szCs w:val="24"/>
        </w:rPr>
        <w:t xml:space="preserve"> pricing and licence terms (including any terms with Esri Inc) to be agreed at the point of exercising with the supplier</w:t>
      </w:r>
    </w:p>
    <w:p w14:paraId="5FE193E6" w14:textId="77777777" w:rsidR="00D64DA7" w:rsidRDefault="00D64DA7" w:rsidP="00D64DA7">
      <w:pPr>
        <w:spacing w:after="0" w:line="259" w:lineRule="auto"/>
        <w:rPr>
          <w:rFonts w:ascii="Arial" w:eastAsia="Arial" w:hAnsi="Arial" w:cs="Arial"/>
          <w:sz w:val="24"/>
          <w:szCs w:val="24"/>
        </w:rPr>
      </w:pPr>
    </w:p>
    <w:tbl>
      <w:tblPr>
        <w:tblW w:w="8364" w:type="dxa"/>
        <w:tblInd w:w="56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119"/>
        <w:gridCol w:w="5245"/>
      </w:tblGrid>
      <w:tr w:rsidR="00D64DA7" w:rsidRPr="006A6661" w14:paraId="663BD035" w14:textId="77777777" w:rsidTr="00B438AF">
        <w:tc>
          <w:tcPr>
            <w:tcW w:w="3119" w:type="dxa"/>
            <w:shd w:val="clear" w:color="auto" w:fill="C6D9F1"/>
          </w:tcPr>
          <w:p w14:paraId="6BF3BE89" w14:textId="77777777" w:rsidR="00D64DA7" w:rsidRPr="006A6661" w:rsidRDefault="00D64DA7" w:rsidP="00B438AF">
            <w:pPr>
              <w:pStyle w:val="Heading2"/>
              <w:ind w:left="-1"/>
              <w:rPr>
                <w:sz w:val="24"/>
                <w:szCs w:val="24"/>
              </w:rPr>
            </w:pPr>
            <w:r w:rsidRPr="006A6661">
              <w:rPr>
                <w:sz w:val="24"/>
                <w:szCs w:val="24"/>
              </w:rPr>
              <w:t>Initial Term:</w:t>
            </w:r>
          </w:p>
        </w:tc>
        <w:tc>
          <w:tcPr>
            <w:tcW w:w="5245" w:type="dxa"/>
          </w:tcPr>
          <w:p w14:paraId="00E181C3" w14:textId="77777777" w:rsidR="00D64DA7" w:rsidRPr="006A6661" w:rsidRDefault="00D64DA7" w:rsidP="00B438AF">
            <w:pPr>
              <w:pStyle w:val="Heading2"/>
              <w:ind w:left="139"/>
              <w:rPr>
                <w:b w:val="0"/>
                <w:bCs/>
                <w:sz w:val="24"/>
                <w:szCs w:val="24"/>
              </w:rPr>
            </w:pPr>
            <w:r>
              <w:rPr>
                <w:b w:val="0"/>
                <w:bCs/>
                <w:sz w:val="24"/>
                <w:szCs w:val="24"/>
              </w:rPr>
              <w:t>Two (</w:t>
            </w:r>
            <w:r w:rsidRPr="006A6661">
              <w:rPr>
                <w:b w:val="0"/>
                <w:bCs/>
                <w:sz w:val="24"/>
                <w:szCs w:val="24"/>
              </w:rPr>
              <w:t>2</w:t>
            </w:r>
            <w:r>
              <w:rPr>
                <w:b w:val="0"/>
                <w:bCs/>
                <w:sz w:val="24"/>
                <w:szCs w:val="24"/>
              </w:rPr>
              <w:t>)</w:t>
            </w:r>
            <w:r w:rsidRPr="006A6661">
              <w:rPr>
                <w:b w:val="0"/>
                <w:bCs/>
                <w:sz w:val="24"/>
                <w:szCs w:val="24"/>
              </w:rPr>
              <w:t xml:space="preserve"> years</w:t>
            </w:r>
          </w:p>
        </w:tc>
      </w:tr>
      <w:tr w:rsidR="00D64DA7" w:rsidRPr="006A6661" w14:paraId="7587110C" w14:textId="77777777" w:rsidTr="00B438AF">
        <w:tc>
          <w:tcPr>
            <w:tcW w:w="3119" w:type="dxa"/>
            <w:shd w:val="clear" w:color="auto" w:fill="C6D9F1"/>
          </w:tcPr>
          <w:p w14:paraId="1FAF6E34" w14:textId="77777777" w:rsidR="00D64DA7" w:rsidRPr="006A6661" w:rsidRDefault="00D64DA7" w:rsidP="00B438AF">
            <w:pPr>
              <w:pStyle w:val="Heading2"/>
              <w:ind w:left="-1"/>
              <w:rPr>
                <w:sz w:val="24"/>
                <w:szCs w:val="24"/>
              </w:rPr>
            </w:pPr>
            <w:r w:rsidRPr="006A6661">
              <w:rPr>
                <w:sz w:val="24"/>
                <w:szCs w:val="24"/>
              </w:rPr>
              <w:t>Options to Extend:</w:t>
            </w:r>
          </w:p>
        </w:tc>
        <w:tc>
          <w:tcPr>
            <w:tcW w:w="5245" w:type="dxa"/>
          </w:tcPr>
          <w:p w14:paraId="282383E1" w14:textId="0940303F" w:rsidR="00D64DA7" w:rsidRPr="006A6661" w:rsidRDefault="00300771" w:rsidP="00B438AF">
            <w:pPr>
              <w:pStyle w:val="Heading2"/>
              <w:rPr>
                <w:b w:val="0"/>
                <w:bCs/>
                <w:sz w:val="24"/>
                <w:szCs w:val="24"/>
              </w:rPr>
            </w:pPr>
            <w:r w:rsidRPr="006A5DC0">
              <w:rPr>
                <w:b w:val="0"/>
                <w:bCs/>
                <w:sz w:val="24"/>
                <w:szCs w:val="24"/>
              </w:rPr>
              <w:t xml:space="preserve">Optional </w:t>
            </w:r>
            <w:proofErr w:type="gramStart"/>
            <w:r w:rsidRPr="006A5DC0">
              <w:rPr>
                <w:b w:val="0"/>
                <w:bCs/>
                <w:sz w:val="24"/>
                <w:szCs w:val="24"/>
              </w:rPr>
              <w:t>12 month</w:t>
            </w:r>
            <w:proofErr w:type="gramEnd"/>
            <w:r w:rsidRPr="006A5DC0">
              <w:rPr>
                <w:b w:val="0"/>
                <w:bCs/>
                <w:sz w:val="24"/>
                <w:szCs w:val="24"/>
              </w:rPr>
              <w:t xml:space="preserve"> extension period included subject to internal and budget approval at that point in time. In </w:t>
            </w:r>
            <w:proofErr w:type="gramStart"/>
            <w:r w:rsidRPr="006A5DC0">
              <w:rPr>
                <w:b w:val="0"/>
                <w:bCs/>
                <w:sz w:val="24"/>
                <w:szCs w:val="24"/>
              </w:rPr>
              <w:t>addition</w:t>
            </w:r>
            <w:proofErr w:type="gramEnd"/>
            <w:r w:rsidRPr="006A5DC0">
              <w:rPr>
                <w:b w:val="0"/>
                <w:bCs/>
                <w:sz w:val="24"/>
                <w:szCs w:val="24"/>
              </w:rPr>
              <w:t xml:space="preserve"> pricing</w:t>
            </w:r>
            <w:r>
              <w:rPr>
                <w:b w:val="0"/>
                <w:bCs/>
                <w:sz w:val="24"/>
                <w:szCs w:val="24"/>
              </w:rPr>
              <w:t xml:space="preserve"> and licence terms (including any terms with Esri Inc)</w:t>
            </w:r>
            <w:r w:rsidRPr="006A5DC0">
              <w:rPr>
                <w:b w:val="0"/>
                <w:bCs/>
                <w:sz w:val="24"/>
                <w:szCs w:val="24"/>
              </w:rPr>
              <w:t xml:space="preserve"> to be agreed at the point of exercising with the supplier</w:t>
            </w:r>
          </w:p>
        </w:tc>
      </w:tr>
      <w:tr w:rsidR="00D64DA7" w:rsidRPr="006A6661" w14:paraId="1037D1AA" w14:textId="77777777" w:rsidTr="00B438AF">
        <w:tc>
          <w:tcPr>
            <w:tcW w:w="3119" w:type="dxa"/>
            <w:vMerge w:val="restart"/>
            <w:shd w:val="clear" w:color="auto" w:fill="C6D9F1"/>
          </w:tcPr>
          <w:p w14:paraId="59A5F00B" w14:textId="77777777" w:rsidR="00D64DA7" w:rsidRPr="006A6661" w:rsidRDefault="00D64DA7" w:rsidP="00B438AF">
            <w:pPr>
              <w:pStyle w:val="Heading2"/>
              <w:ind w:left="-1" w:firstLine="1"/>
              <w:rPr>
                <w:sz w:val="24"/>
                <w:szCs w:val="24"/>
              </w:rPr>
            </w:pPr>
            <w:r w:rsidRPr="006A6661">
              <w:rPr>
                <w:sz w:val="24"/>
                <w:szCs w:val="24"/>
              </w:rPr>
              <w:t xml:space="preserve">Value per Annum / Contract Year: </w:t>
            </w:r>
          </w:p>
          <w:p w14:paraId="4DF6CB68" w14:textId="77777777" w:rsidR="00D64DA7" w:rsidRPr="006A6661" w:rsidRDefault="00D64DA7" w:rsidP="00B438AF">
            <w:pPr>
              <w:pStyle w:val="Heading1"/>
              <w:tabs>
                <w:tab w:val="left" w:pos="851"/>
              </w:tabs>
              <w:ind w:left="-1"/>
              <w:rPr>
                <w:b w:val="0"/>
                <w:caps/>
                <w:sz w:val="24"/>
                <w:szCs w:val="24"/>
              </w:rPr>
            </w:pPr>
          </w:p>
        </w:tc>
        <w:tc>
          <w:tcPr>
            <w:tcW w:w="5245" w:type="dxa"/>
          </w:tcPr>
          <w:p w14:paraId="0FE646D3" w14:textId="77777777" w:rsidR="00D64DA7" w:rsidRPr="006A6661" w:rsidRDefault="00D64DA7" w:rsidP="00B438AF">
            <w:pPr>
              <w:pStyle w:val="Heading2"/>
              <w:ind w:left="139"/>
              <w:rPr>
                <w:b w:val="0"/>
                <w:bCs/>
                <w:sz w:val="24"/>
                <w:szCs w:val="24"/>
              </w:rPr>
            </w:pPr>
            <w:r w:rsidRPr="006A6661">
              <w:rPr>
                <w:b w:val="0"/>
                <w:bCs/>
                <w:sz w:val="24"/>
                <w:szCs w:val="24"/>
              </w:rPr>
              <w:t>Year 1: £19</w:t>
            </w:r>
            <w:r>
              <w:rPr>
                <w:b w:val="0"/>
                <w:bCs/>
                <w:sz w:val="24"/>
                <w:szCs w:val="24"/>
              </w:rPr>
              <w:t>6,625</w:t>
            </w:r>
            <w:r w:rsidRPr="006A6661">
              <w:rPr>
                <w:b w:val="0"/>
                <w:bCs/>
                <w:sz w:val="24"/>
                <w:szCs w:val="24"/>
              </w:rPr>
              <w:t>.00</w:t>
            </w:r>
          </w:p>
        </w:tc>
      </w:tr>
      <w:tr w:rsidR="00D64DA7" w:rsidRPr="006A6661" w14:paraId="205213B2" w14:textId="77777777" w:rsidTr="00B438AF">
        <w:trPr>
          <w:trHeight w:val="887"/>
        </w:trPr>
        <w:tc>
          <w:tcPr>
            <w:tcW w:w="3119" w:type="dxa"/>
            <w:vMerge/>
            <w:shd w:val="clear" w:color="auto" w:fill="C6D9F1"/>
          </w:tcPr>
          <w:p w14:paraId="48732566" w14:textId="77777777" w:rsidR="00D64DA7" w:rsidRPr="006A6661" w:rsidRDefault="00D64DA7" w:rsidP="00B438AF">
            <w:pPr>
              <w:widowControl w:val="0"/>
              <w:pBdr>
                <w:top w:val="nil"/>
                <w:left w:val="nil"/>
                <w:bottom w:val="nil"/>
                <w:right w:val="nil"/>
                <w:between w:val="nil"/>
              </w:pBdr>
              <w:ind w:left="-1"/>
              <w:rPr>
                <w:rFonts w:eastAsia="STZhongsong"/>
                <w:sz w:val="24"/>
                <w:szCs w:val="24"/>
              </w:rPr>
            </w:pPr>
          </w:p>
        </w:tc>
        <w:tc>
          <w:tcPr>
            <w:tcW w:w="5245" w:type="dxa"/>
          </w:tcPr>
          <w:p w14:paraId="046E8E34" w14:textId="77777777" w:rsidR="00D64DA7" w:rsidRPr="006A6661" w:rsidRDefault="00D64DA7" w:rsidP="00B438AF">
            <w:pPr>
              <w:pStyle w:val="Heading2"/>
              <w:ind w:left="139"/>
              <w:rPr>
                <w:b w:val="0"/>
                <w:bCs/>
                <w:sz w:val="24"/>
                <w:szCs w:val="24"/>
              </w:rPr>
            </w:pPr>
            <w:r w:rsidRPr="006A6661">
              <w:rPr>
                <w:b w:val="0"/>
                <w:bCs/>
                <w:sz w:val="24"/>
                <w:szCs w:val="24"/>
              </w:rPr>
              <w:t xml:space="preserve">Year 2: </w:t>
            </w:r>
            <w:r>
              <w:rPr>
                <w:b w:val="0"/>
                <w:bCs/>
                <w:sz w:val="24"/>
                <w:szCs w:val="24"/>
              </w:rPr>
              <w:t>£206,125</w:t>
            </w:r>
            <w:r w:rsidRPr="006A6661">
              <w:rPr>
                <w:b w:val="0"/>
                <w:bCs/>
                <w:sz w:val="24"/>
                <w:szCs w:val="24"/>
              </w:rPr>
              <w:t>.00</w:t>
            </w:r>
          </w:p>
        </w:tc>
      </w:tr>
      <w:tr w:rsidR="00D64DA7" w:rsidRPr="006A6661" w14:paraId="58A12F31" w14:textId="77777777" w:rsidTr="00B438AF">
        <w:tc>
          <w:tcPr>
            <w:tcW w:w="3119" w:type="dxa"/>
            <w:shd w:val="clear" w:color="auto" w:fill="C6D9F1"/>
          </w:tcPr>
          <w:p w14:paraId="07CA4CFD" w14:textId="77777777" w:rsidR="00D64DA7" w:rsidRPr="006A6661" w:rsidRDefault="00D64DA7" w:rsidP="00B438AF">
            <w:pPr>
              <w:pStyle w:val="Heading2"/>
              <w:ind w:left="-1"/>
              <w:rPr>
                <w:sz w:val="24"/>
                <w:szCs w:val="24"/>
              </w:rPr>
            </w:pPr>
            <w:r w:rsidRPr="006A6661">
              <w:rPr>
                <w:sz w:val="24"/>
                <w:szCs w:val="24"/>
              </w:rPr>
              <w:t>Total Contract Value (excluding VAT):</w:t>
            </w:r>
          </w:p>
        </w:tc>
        <w:tc>
          <w:tcPr>
            <w:tcW w:w="5245" w:type="dxa"/>
          </w:tcPr>
          <w:p w14:paraId="76F837A9" w14:textId="77777777" w:rsidR="00D64DA7" w:rsidRDefault="00D64DA7" w:rsidP="00B438AF">
            <w:pPr>
              <w:pStyle w:val="Heading2"/>
              <w:ind w:left="139"/>
              <w:rPr>
                <w:b w:val="0"/>
                <w:bCs/>
                <w:sz w:val="24"/>
                <w:szCs w:val="24"/>
              </w:rPr>
            </w:pPr>
            <w:r w:rsidRPr="006A6661">
              <w:rPr>
                <w:b w:val="0"/>
                <w:bCs/>
                <w:sz w:val="24"/>
                <w:szCs w:val="24"/>
              </w:rPr>
              <w:t>£</w:t>
            </w:r>
            <w:r>
              <w:rPr>
                <w:b w:val="0"/>
                <w:bCs/>
                <w:sz w:val="24"/>
                <w:szCs w:val="24"/>
              </w:rPr>
              <w:t>402,750</w:t>
            </w:r>
            <w:r w:rsidRPr="006A6661">
              <w:rPr>
                <w:b w:val="0"/>
                <w:bCs/>
                <w:sz w:val="24"/>
                <w:szCs w:val="24"/>
              </w:rPr>
              <w:t>.00 excluding VAT</w:t>
            </w:r>
          </w:p>
          <w:p w14:paraId="2B7C3F9D" w14:textId="77777777" w:rsidR="00D64DA7" w:rsidRPr="006A6661" w:rsidRDefault="00D64DA7" w:rsidP="00B438AF">
            <w:pPr>
              <w:pStyle w:val="Heading2"/>
              <w:ind w:left="139"/>
              <w:rPr>
                <w:b w:val="0"/>
                <w:bCs/>
                <w:sz w:val="24"/>
                <w:szCs w:val="24"/>
              </w:rPr>
            </w:pPr>
            <w:r>
              <w:rPr>
                <w:b w:val="0"/>
                <w:bCs/>
                <w:sz w:val="24"/>
                <w:szCs w:val="24"/>
              </w:rPr>
              <w:t>£483,300.00 including VAT as per PPN 10/21</w:t>
            </w:r>
          </w:p>
        </w:tc>
      </w:tr>
    </w:tbl>
    <w:p w14:paraId="3A9C5DBE" w14:textId="77777777" w:rsidR="00D64DA7" w:rsidRDefault="00D64DA7" w:rsidP="00D64DA7">
      <w:pPr>
        <w:spacing w:after="0" w:line="259" w:lineRule="auto"/>
        <w:rPr>
          <w:rFonts w:ascii="Arial" w:eastAsia="Arial" w:hAnsi="Arial" w:cs="Arial"/>
          <w:sz w:val="24"/>
          <w:szCs w:val="24"/>
        </w:rPr>
      </w:pPr>
    </w:p>
    <w:p w14:paraId="70A4AE57" w14:textId="77777777" w:rsidR="003230F3" w:rsidRDefault="003230F3">
      <w:pPr>
        <w:spacing w:after="0" w:line="259" w:lineRule="auto"/>
        <w:rPr>
          <w:rFonts w:ascii="Arial" w:eastAsia="Arial" w:hAnsi="Arial" w:cs="Arial"/>
          <w:sz w:val="24"/>
          <w:szCs w:val="24"/>
        </w:rPr>
      </w:pPr>
    </w:p>
    <w:p w14:paraId="2D620BEA" w14:textId="77777777" w:rsidR="00167A6E" w:rsidRDefault="00167A6E">
      <w:pPr>
        <w:spacing w:after="0" w:line="259" w:lineRule="auto"/>
        <w:rPr>
          <w:rFonts w:ascii="Arial" w:eastAsia="Arial" w:hAnsi="Arial" w:cs="Arial"/>
          <w:sz w:val="24"/>
          <w:szCs w:val="24"/>
        </w:rPr>
      </w:pPr>
    </w:p>
    <w:p w14:paraId="256FE6ED" w14:textId="77777777" w:rsidR="00167A6E" w:rsidRDefault="00C126FA">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0FAE08C" w14:textId="77777777" w:rsidR="00167A6E" w:rsidRDefault="00C126FA">
      <w:pPr>
        <w:tabs>
          <w:tab w:val="left" w:pos="2257"/>
        </w:tabs>
        <w:spacing w:after="0" w:line="259" w:lineRule="auto"/>
        <w:rPr>
          <w:rFonts w:ascii="Arial" w:eastAsia="Arial" w:hAnsi="Arial" w:cs="Arial"/>
          <w:sz w:val="24"/>
          <w:szCs w:val="24"/>
        </w:rPr>
      </w:pPr>
      <w:proofErr w:type="gramStart"/>
      <w:r>
        <w:rPr>
          <w:rFonts w:ascii="Arial" w:eastAsia="Arial" w:hAnsi="Arial" w:cs="Arial"/>
          <w:sz w:val="24"/>
          <w:szCs w:val="24"/>
        </w:rPr>
        <w:t>2 year</w:t>
      </w:r>
      <w:proofErr w:type="gramEnd"/>
      <w:r>
        <w:rPr>
          <w:rFonts w:ascii="Arial" w:eastAsia="Arial" w:hAnsi="Arial" w:cs="Arial"/>
          <w:sz w:val="24"/>
          <w:szCs w:val="24"/>
        </w:rPr>
        <w:t xml:space="preserve"> Enterprise Agreement and Services Bundle, comprising:</w:t>
      </w:r>
    </w:p>
    <w:p w14:paraId="43853B84" w14:textId="77777777" w:rsidR="00167A6E" w:rsidRDefault="00167A6E">
      <w:pPr>
        <w:tabs>
          <w:tab w:val="left" w:pos="2257"/>
        </w:tabs>
        <w:spacing w:after="0" w:line="259" w:lineRule="auto"/>
        <w:rPr>
          <w:rFonts w:ascii="Arial" w:eastAsia="Arial" w:hAnsi="Arial" w:cs="Arial"/>
          <w:sz w:val="24"/>
          <w:szCs w:val="24"/>
        </w:rPr>
      </w:pPr>
    </w:p>
    <w:p w14:paraId="69491CEE" w14:textId="77777777" w:rsidR="00167A6E" w:rsidRDefault="00C126FA">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Enterprise Agreement package, including:</w:t>
      </w:r>
    </w:p>
    <w:p w14:paraId="34E7B878" w14:textId="77777777" w:rsidR="00167A6E" w:rsidRDefault="00C126FA">
      <w:pPr>
        <w:numPr>
          <w:ilvl w:val="1"/>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Enterprise Agreement products: the Software products detailed in the document ‘Amendment No.5 To Enterprise Agreement’ (“Amendment No. 5”) for 2 years commencing on 01 April 2025 and expiring on 31 March 2027.</w:t>
      </w:r>
    </w:p>
    <w:p w14:paraId="389C9D8C" w14:textId="77777777" w:rsidR="00167A6E" w:rsidRDefault="00C126FA">
      <w:pPr>
        <w:numPr>
          <w:ilvl w:val="1"/>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Professional services consultancy: up to </w:t>
      </w:r>
      <w:proofErr w:type="gramStart"/>
      <w:r>
        <w:rPr>
          <w:rFonts w:ascii="Arial" w:eastAsia="Arial" w:hAnsi="Arial" w:cs="Arial"/>
          <w:color w:val="000000"/>
          <w:sz w:val="24"/>
          <w:szCs w:val="24"/>
        </w:rPr>
        <w:t>10 man</w:t>
      </w:r>
      <w:proofErr w:type="gramEnd"/>
      <w:r>
        <w:rPr>
          <w:rFonts w:ascii="Arial" w:eastAsia="Arial" w:hAnsi="Arial" w:cs="Arial"/>
          <w:color w:val="000000"/>
          <w:sz w:val="24"/>
          <w:szCs w:val="24"/>
        </w:rPr>
        <w:t xml:space="preserve"> days per annum time and materials professional services days to be called off (subject to availability). Such days cannot be carried over after the term of Amendment No. 5 to EA. No new IPR will be generated. </w:t>
      </w:r>
    </w:p>
    <w:p w14:paraId="6B54E869" w14:textId="77777777" w:rsidR="00167A6E" w:rsidRDefault="00C126FA">
      <w:pPr>
        <w:numPr>
          <w:ilvl w:val="1"/>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Training: Learning Services Credits: up to £10,000 per annum learning credits that can be used against scheduled or unscheduled training courses offered by Supplier (subject to availability). Such credits cannot be carried over after the term of Amendment No. 5 to EA.  </w:t>
      </w:r>
    </w:p>
    <w:p w14:paraId="3364FB35" w14:textId="77777777" w:rsidR="00167A6E" w:rsidRDefault="00167A6E">
      <w:pPr>
        <w:pBdr>
          <w:top w:val="nil"/>
          <w:left w:val="nil"/>
          <w:bottom w:val="nil"/>
          <w:right w:val="nil"/>
          <w:between w:val="nil"/>
        </w:pBdr>
        <w:tabs>
          <w:tab w:val="left" w:pos="2257"/>
        </w:tabs>
        <w:spacing w:after="0" w:line="259" w:lineRule="auto"/>
        <w:ind w:left="1440"/>
        <w:rPr>
          <w:rFonts w:ascii="Arial" w:eastAsia="Arial" w:hAnsi="Arial" w:cs="Arial"/>
          <w:color w:val="000000"/>
          <w:sz w:val="24"/>
          <w:szCs w:val="24"/>
        </w:rPr>
      </w:pPr>
    </w:p>
    <w:p w14:paraId="4405EBDB" w14:textId="77777777" w:rsidR="00167A6E" w:rsidRDefault="00C126FA">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Services: additional professional services consultancy: up to </w:t>
      </w:r>
      <w:proofErr w:type="gramStart"/>
      <w:r>
        <w:rPr>
          <w:rFonts w:ascii="Arial" w:eastAsia="Arial" w:hAnsi="Arial" w:cs="Arial"/>
          <w:color w:val="000000"/>
          <w:sz w:val="24"/>
          <w:szCs w:val="24"/>
        </w:rPr>
        <w:t>5 man</w:t>
      </w:r>
      <w:proofErr w:type="gramEnd"/>
      <w:r>
        <w:rPr>
          <w:rFonts w:ascii="Arial" w:eastAsia="Arial" w:hAnsi="Arial" w:cs="Arial"/>
          <w:color w:val="000000"/>
          <w:sz w:val="24"/>
          <w:szCs w:val="24"/>
        </w:rPr>
        <w:t xml:space="preserve"> days per annum time and materials professional services days to be called off (subject to availability). Such days cannot be carried over after the term of Amendment No. 5 to EA. No new IPR will be generated. </w:t>
      </w:r>
    </w:p>
    <w:p w14:paraId="323614F7" w14:textId="77777777" w:rsidR="00167A6E" w:rsidRDefault="00167A6E">
      <w:pPr>
        <w:tabs>
          <w:tab w:val="left" w:pos="2257"/>
        </w:tabs>
        <w:spacing w:after="0" w:line="259" w:lineRule="auto"/>
        <w:rPr>
          <w:rFonts w:ascii="Arial" w:eastAsia="Arial" w:hAnsi="Arial" w:cs="Arial"/>
          <w:b/>
          <w:sz w:val="24"/>
          <w:szCs w:val="24"/>
        </w:rPr>
      </w:pPr>
    </w:p>
    <w:p w14:paraId="5FCF0A7D" w14:textId="77777777" w:rsidR="00167A6E" w:rsidRDefault="00167A6E">
      <w:pPr>
        <w:tabs>
          <w:tab w:val="left" w:pos="2257"/>
        </w:tabs>
        <w:spacing w:after="0" w:line="259" w:lineRule="auto"/>
        <w:rPr>
          <w:rFonts w:ascii="Arial" w:eastAsia="Arial" w:hAnsi="Arial" w:cs="Arial"/>
          <w:b/>
          <w:sz w:val="24"/>
          <w:szCs w:val="24"/>
        </w:rPr>
      </w:pPr>
    </w:p>
    <w:p w14:paraId="24D2578C"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 Training Courses: provision of training services in the provision of the identified courses; including any associated training documentation which may be provided for the purpose of Buyer personnel receiving the Training. </w:t>
      </w:r>
    </w:p>
    <w:p w14:paraId="34754C2F" w14:textId="77777777" w:rsidR="00167A6E" w:rsidRDefault="00167A6E">
      <w:pPr>
        <w:tabs>
          <w:tab w:val="left" w:pos="2257"/>
        </w:tabs>
        <w:spacing w:after="0" w:line="259" w:lineRule="auto"/>
        <w:rPr>
          <w:rFonts w:ascii="Arial" w:eastAsia="Arial" w:hAnsi="Arial" w:cs="Arial"/>
          <w:sz w:val="24"/>
          <w:szCs w:val="24"/>
        </w:rPr>
      </w:pPr>
    </w:p>
    <w:p w14:paraId="12F87501" w14:textId="1871DBCF"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COTS Software: Supplier COTS Software: licensed in accordance with the terms set out in Call-Off Schedule 24 (Supplier-Furnished Terms). </w:t>
      </w:r>
    </w:p>
    <w:p w14:paraId="60AD573E" w14:textId="77777777" w:rsidR="00167A6E" w:rsidRDefault="00167A6E">
      <w:pPr>
        <w:tabs>
          <w:tab w:val="left" w:pos="2257"/>
        </w:tabs>
        <w:spacing w:after="0" w:line="259" w:lineRule="auto"/>
        <w:rPr>
          <w:rFonts w:ascii="Arial" w:eastAsia="Arial" w:hAnsi="Arial" w:cs="Arial"/>
          <w:sz w:val="24"/>
          <w:szCs w:val="24"/>
        </w:rPr>
      </w:pPr>
    </w:p>
    <w:p w14:paraId="74F8C1FB"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Software Support and/or Maintenance: such is provided in accordance with the terms set out in Call-Off Schedule 24 (Supplier-Furnished Terms). </w:t>
      </w:r>
    </w:p>
    <w:p w14:paraId="0636BFEF" w14:textId="77777777" w:rsidR="00167A6E" w:rsidRDefault="00167A6E">
      <w:pPr>
        <w:tabs>
          <w:tab w:val="left" w:pos="2257"/>
        </w:tabs>
        <w:spacing w:after="0" w:line="259" w:lineRule="auto"/>
        <w:rPr>
          <w:rFonts w:ascii="Arial" w:eastAsia="Arial" w:hAnsi="Arial" w:cs="Arial"/>
          <w:sz w:val="24"/>
          <w:szCs w:val="24"/>
        </w:rPr>
      </w:pPr>
    </w:p>
    <w:p w14:paraId="7D6DF023" w14:textId="77777777" w:rsidR="00167A6E" w:rsidRDefault="00167A6E">
      <w:pPr>
        <w:tabs>
          <w:tab w:val="left" w:pos="2257"/>
        </w:tabs>
        <w:spacing w:after="0" w:line="259" w:lineRule="auto"/>
        <w:rPr>
          <w:rFonts w:ascii="Arial" w:eastAsia="Arial" w:hAnsi="Arial" w:cs="Arial"/>
          <w:b/>
          <w:sz w:val="24"/>
          <w:szCs w:val="24"/>
        </w:rPr>
      </w:pPr>
    </w:p>
    <w:p w14:paraId="7DA27761"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CCAD06D"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BAAE01A" w14:textId="77777777" w:rsidR="00167A6E" w:rsidRDefault="00167A6E">
      <w:pPr>
        <w:tabs>
          <w:tab w:val="left" w:pos="2257"/>
        </w:tabs>
        <w:spacing w:after="0" w:line="259" w:lineRule="auto"/>
        <w:rPr>
          <w:rFonts w:ascii="Arial" w:eastAsia="Arial" w:hAnsi="Arial" w:cs="Arial"/>
          <w:sz w:val="24"/>
          <w:szCs w:val="24"/>
        </w:rPr>
      </w:pPr>
    </w:p>
    <w:p w14:paraId="156444FA" w14:textId="77777777" w:rsidR="00167A6E" w:rsidRDefault="00C126FA">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 £196,625.00.</w:t>
      </w:r>
    </w:p>
    <w:p w14:paraId="42B6E44A" w14:textId="77777777" w:rsidR="00167A6E" w:rsidRDefault="00167A6E">
      <w:pPr>
        <w:tabs>
          <w:tab w:val="left" w:pos="2257"/>
        </w:tabs>
        <w:spacing w:after="0" w:line="259" w:lineRule="auto"/>
        <w:rPr>
          <w:rFonts w:ascii="Arial" w:eastAsia="Arial" w:hAnsi="Arial" w:cs="Arial"/>
          <w:b/>
          <w:sz w:val="24"/>
          <w:szCs w:val="24"/>
        </w:rPr>
      </w:pPr>
    </w:p>
    <w:p w14:paraId="1EFDD8E9" w14:textId="77777777" w:rsidR="00D64DA7" w:rsidRDefault="00D64DA7" w:rsidP="00D64DA7">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B772C27" w14:textId="77777777" w:rsidR="00D64DA7" w:rsidRDefault="00D64DA7" w:rsidP="00D64DA7">
      <w:pPr>
        <w:tabs>
          <w:tab w:val="left" w:pos="2257"/>
        </w:tabs>
        <w:spacing w:after="0" w:line="259" w:lineRule="auto"/>
        <w:rPr>
          <w:rFonts w:ascii="Arial" w:eastAsia="Arial" w:hAnsi="Arial" w:cs="Arial"/>
          <w:sz w:val="24"/>
          <w:szCs w:val="24"/>
        </w:rPr>
      </w:pPr>
      <w:r>
        <w:rPr>
          <w:rFonts w:ascii="Arial" w:eastAsia="Arial" w:hAnsi="Arial" w:cs="Arial"/>
          <w:sz w:val="24"/>
          <w:szCs w:val="24"/>
        </w:rPr>
        <w:t>Year 1:</w:t>
      </w:r>
      <w:r>
        <w:rPr>
          <w:rFonts w:ascii="Arial" w:eastAsia="Arial" w:hAnsi="Arial" w:cs="Arial"/>
          <w:sz w:val="24"/>
          <w:szCs w:val="24"/>
        </w:rPr>
        <w:tab/>
        <w:t>£196,625</w:t>
      </w:r>
    </w:p>
    <w:p w14:paraId="75E58EE9" w14:textId="77777777" w:rsidR="00D64DA7" w:rsidRDefault="00D64DA7" w:rsidP="00D64DA7">
      <w:pPr>
        <w:tabs>
          <w:tab w:val="left" w:pos="2257"/>
        </w:tabs>
        <w:spacing w:after="0" w:line="259" w:lineRule="auto"/>
        <w:rPr>
          <w:rFonts w:ascii="Arial" w:eastAsia="Arial" w:hAnsi="Arial" w:cs="Arial"/>
          <w:sz w:val="24"/>
          <w:szCs w:val="24"/>
        </w:rPr>
      </w:pPr>
      <w:r>
        <w:rPr>
          <w:rFonts w:ascii="Arial" w:eastAsia="Arial" w:hAnsi="Arial" w:cs="Arial"/>
          <w:sz w:val="24"/>
          <w:szCs w:val="24"/>
        </w:rPr>
        <w:t>Year 2:</w:t>
      </w:r>
      <w:r>
        <w:rPr>
          <w:rFonts w:ascii="Arial" w:eastAsia="Arial" w:hAnsi="Arial" w:cs="Arial"/>
          <w:sz w:val="24"/>
          <w:szCs w:val="24"/>
        </w:rPr>
        <w:tab/>
        <w:t>£206,125</w:t>
      </w:r>
    </w:p>
    <w:p w14:paraId="02A86A13" w14:textId="77777777" w:rsidR="00D64DA7" w:rsidRDefault="00D64DA7" w:rsidP="00D64DA7">
      <w:pPr>
        <w:tabs>
          <w:tab w:val="left" w:pos="2257"/>
        </w:tabs>
        <w:spacing w:after="0" w:line="259" w:lineRule="auto"/>
        <w:rPr>
          <w:rFonts w:ascii="Arial" w:eastAsia="Arial" w:hAnsi="Arial" w:cs="Arial"/>
          <w:sz w:val="24"/>
          <w:szCs w:val="24"/>
        </w:rPr>
      </w:pPr>
      <w:r>
        <w:rPr>
          <w:rFonts w:ascii="Arial" w:eastAsia="Arial" w:hAnsi="Arial" w:cs="Arial"/>
          <w:sz w:val="24"/>
          <w:szCs w:val="24"/>
        </w:rPr>
        <w:t>TOTAL:</w:t>
      </w:r>
      <w:r>
        <w:rPr>
          <w:rFonts w:ascii="Arial" w:eastAsia="Arial" w:hAnsi="Arial" w:cs="Arial"/>
          <w:sz w:val="24"/>
          <w:szCs w:val="24"/>
        </w:rPr>
        <w:tab/>
        <w:t>£402,750 (excluding VAT)</w:t>
      </w:r>
    </w:p>
    <w:p w14:paraId="11F9FDE6" w14:textId="77777777" w:rsidR="00D64DA7" w:rsidRPr="000C22DA" w:rsidRDefault="00D64DA7" w:rsidP="00D64DA7">
      <w:pPr>
        <w:tabs>
          <w:tab w:val="left" w:pos="2257"/>
        </w:tabs>
        <w:spacing w:after="0" w:line="259" w:lineRule="auto"/>
        <w:rPr>
          <w:rFonts w:ascii="Arial" w:eastAsia="Arial" w:hAnsi="Arial" w:cs="Arial"/>
          <w:b/>
          <w:sz w:val="24"/>
          <w:szCs w:val="24"/>
        </w:rPr>
      </w:pPr>
    </w:p>
    <w:p w14:paraId="3E8E0D5D" w14:textId="77777777" w:rsidR="00D64DA7" w:rsidRPr="006A5DC0" w:rsidRDefault="00D64DA7" w:rsidP="00D64DA7">
      <w:pPr>
        <w:pStyle w:val="Heading2"/>
        <w:rPr>
          <w:rFonts w:ascii="Arial" w:eastAsia="Arial" w:hAnsi="Arial" w:cs="Arial"/>
          <w:b w:val="0"/>
          <w:sz w:val="24"/>
          <w:szCs w:val="24"/>
        </w:rPr>
      </w:pPr>
      <w:r w:rsidRPr="006A5DC0">
        <w:rPr>
          <w:rFonts w:ascii="Arial" w:eastAsia="Arial" w:hAnsi="Arial" w:cs="Arial"/>
          <w:b w:val="0"/>
          <w:sz w:val="24"/>
          <w:szCs w:val="24"/>
        </w:rPr>
        <w:t xml:space="preserve">Optional </w:t>
      </w:r>
      <w:proofErr w:type="gramStart"/>
      <w:r w:rsidRPr="006A5DC0">
        <w:rPr>
          <w:rFonts w:ascii="Arial" w:eastAsia="Arial" w:hAnsi="Arial" w:cs="Arial"/>
          <w:b w:val="0"/>
          <w:sz w:val="24"/>
          <w:szCs w:val="24"/>
        </w:rPr>
        <w:t>12 month</w:t>
      </w:r>
      <w:proofErr w:type="gramEnd"/>
      <w:r w:rsidRPr="006A5DC0">
        <w:rPr>
          <w:rFonts w:ascii="Arial" w:eastAsia="Arial" w:hAnsi="Arial" w:cs="Arial"/>
          <w:b w:val="0"/>
          <w:sz w:val="24"/>
          <w:szCs w:val="24"/>
        </w:rPr>
        <w:t xml:space="preserve"> extension period included subject to internal and budget approval at that point in time. In </w:t>
      </w:r>
      <w:proofErr w:type="gramStart"/>
      <w:r w:rsidRPr="006A5DC0">
        <w:rPr>
          <w:rFonts w:ascii="Arial" w:eastAsia="Arial" w:hAnsi="Arial" w:cs="Arial"/>
          <w:b w:val="0"/>
          <w:sz w:val="24"/>
          <w:szCs w:val="24"/>
        </w:rPr>
        <w:t>addition</w:t>
      </w:r>
      <w:proofErr w:type="gramEnd"/>
      <w:r w:rsidRPr="006A5DC0">
        <w:rPr>
          <w:rFonts w:ascii="Arial" w:eastAsia="Arial" w:hAnsi="Arial" w:cs="Arial"/>
          <w:b w:val="0"/>
          <w:sz w:val="24"/>
          <w:szCs w:val="24"/>
        </w:rPr>
        <w:t xml:space="preserve"> pricing to be agreed at the point of exercising with the supplier</w:t>
      </w:r>
    </w:p>
    <w:p w14:paraId="4B90DA3A" w14:textId="77777777" w:rsidR="00167A6E" w:rsidRDefault="00167A6E">
      <w:pPr>
        <w:tabs>
          <w:tab w:val="left" w:pos="2257"/>
        </w:tabs>
        <w:spacing w:after="0" w:line="259" w:lineRule="auto"/>
        <w:rPr>
          <w:rFonts w:ascii="Arial" w:eastAsia="Arial" w:hAnsi="Arial" w:cs="Arial"/>
          <w:sz w:val="24"/>
          <w:szCs w:val="24"/>
        </w:rPr>
      </w:pPr>
    </w:p>
    <w:p w14:paraId="0F10BEDC"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5 and 6 in Framework Schedule 3 (Framework Prices).</w:t>
      </w:r>
    </w:p>
    <w:p w14:paraId="1076C4F5" w14:textId="77777777" w:rsidR="00167A6E" w:rsidRDefault="00167A6E">
      <w:pPr>
        <w:tabs>
          <w:tab w:val="left" w:pos="2257"/>
        </w:tabs>
        <w:spacing w:after="0" w:line="259" w:lineRule="auto"/>
        <w:rPr>
          <w:rFonts w:ascii="Arial" w:eastAsia="Arial" w:hAnsi="Arial" w:cs="Arial"/>
          <w:sz w:val="24"/>
          <w:szCs w:val="24"/>
        </w:rPr>
      </w:pPr>
    </w:p>
    <w:p w14:paraId="376EA5F9"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w:t>
      </w:r>
    </w:p>
    <w:p w14:paraId="2AE2196D" w14:textId="77777777" w:rsidR="00167A6E" w:rsidRDefault="00167A6E">
      <w:pPr>
        <w:tabs>
          <w:tab w:val="left" w:pos="2257"/>
        </w:tabs>
        <w:spacing w:after="0" w:line="259" w:lineRule="auto"/>
        <w:rPr>
          <w:rFonts w:ascii="Arial" w:eastAsia="Arial" w:hAnsi="Arial" w:cs="Arial"/>
          <w:sz w:val="24"/>
          <w:szCs w:val="24"/>
        </w:rPr>
      </w:pPr>
    </w:p>
    <w:p w14:paraId="3EF62784" w14:textId="77777777" w:rsidR="00167A6E" w:rsidRDefault="00167A6E">
      <w:pPr>
        <w:tabs>
          <w:tab w:val="left" w:pos="2257"/>
        </w:tabs>
        <w:spacing w:after="0" w:line="259" w:lineRule="auto"/>
        <w:rPr>
          <w:rFonts w:ascii="Arial" w:eastAsia="Arial" w:hAnsi="Arial" w:cs="Arial"/>
          <w:sz w:val="24"/>
          <w:szCs w:val="24"/>
          <w:highlight w:val="yellow"/>
        </w:rPr>
      </w:pPr>
    </w:p>
    <w:p w14:paraId="0456C048"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F1B4F05"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Recoverable as stated in the Framework Contract</w:t>
      </w:r>
    </w:p>
    <w:p w14:paraId="25B32386" w14:textId="77777777" w:rsidR="00167A6E" w:rsidRDefault="00167A6E">
      <w:pPr>
        <w:tabs>
          <w:tab w:val="left" w:pos="2257"/>
        </w:tabs>
        <w:spacing w:after="0" w:line="259" w:lineRule="auto"/>
        <w:rPr>
          <w:rFonts w:ascii="Arial" w:eastAsia="Arial" w:hAnsi="Arial" w:cs="Arial"/>
          <w:b/>
          <w:sz w:val="24"/>
          <w:szCs w:val="24"/>
        </w:rPr>
      </w:pPr>
    </w:p>
    <w:p w14:paraId="646681B3"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B8AAECE"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BACS, within 30 days from date of invoice</w:t>
      </w:r>
    </w:p>
    <w:p w14:paraId="2260FB91" w14:textId="77777777" w:rsidR="00167A6E" w:rsidRDefault="00167A6E">
      <w:pPr>
        <w:tabs>
          <w:tab w:val="left" w:pos="2257"/>
        </w:tabs>
        <w:spacing w:after="0" w:line="259" w:lineRule="auto"/>
        <w:rPr>
          <w:rFonts w:ascii="Arial" w:eastAsia="Arial" w:hAnsi="Arial" w:cs="Arial"/>
          <w:b/>
          <w:sz w:val="24"/>
          <w:szCs w:val="24"/>
        </w:rPr>
      </w:pPr>
    </w:p>
    <w:p w14:paraId="7D9F9E46"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BUYER’S INVOICE ADDRESS: </w:t>
      </w:r>
    </w:p>
    <w:p w14:paraId="630A620C" w14:textId="77777777" w:rsidR="00DE7354" w:rsidRDefault="00DE7354" w:rsidP="00DE7354">
      <w:pPr>
        <w:spacing w:line="251"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489BBBCD" w14:textId="77777777" w:rsidR="00167A6E" w:rsidRDefault="00167A6E">
      <w:pPr>
        <w:tabs>
          <w:tab w:val="left" w:pos="2257"/>
        </w:tabs>
        <w:spacing w:after="0" w:line="259" w:lineRule="auto"/>
        <w:rPr>
          <w:rFonts w:ascii="Arial" w:eastAsia="Arial" w:hAnsi="Arial" w:cs="Arial"/>
          <w:sz w:val="24"/>
          <w:szCs w:val="24"/>
        </w:rPr>
      </w:pPr>
    </w:p>
    <w:p w14:paraId="19807AF2"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0605C00" w14:textId="77777777" w:rsidR="00DE7354" w:rsidRDefault="00DE7354" w:rsidP="00DE7354">
      <w:pPr>
        <w:spacing w:line="251"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02B6352C" w14:textId="77777777" w:rsidR="00167A6E" w:rsidRDefault="00167A6E">
      <w:pPr>
        <w:tabs>
          <w:tab w:val="left" w:pos="2257"/>
        </w:tabs>
        <w:spacing w:after="0" w:line="259" w:lineRule="auto"/>
        <w:rPr>
          <w:rFonts w:ascii="Arial" w:eastAsia="Arial" w:hAnsi="Arial" w:cs="Arial"/>
          <w:sz w:val="24"/>
          <w:szCs w:val="24"/>
        </w:rPr>
      </w:pPr>
    </w:p>
    <w:p w14:paraId="23229BAC"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1BAE24B"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9880254" w14:textId="77777777" w:rsidR="00167A6E" w:rsidRDefault="00167A6E">
      <w:pPr>
        <w:tabs>
          <w:tab w:val="left" w:pos="2257"/>
        </w:tabs>
        <w:spacing w:after="0" w:line="259" w:lineRule="auto"/>
        <w:rPr>
          <w:rFonts w:ascii="Arial" w:eastAsia="Arial" w:hAnsi="Arial" w:cs="Arial"/>
          <w:sz w:val="24"/>
          <w:szCs w:val="24"/>
        </w:rPr>
      </w:pPr>
    </w:p>
    <w:p w14:paraId="71CE3B5D"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FC85074"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2C33AC0" w14:textId="77777777" w:rsidR="00167A6E" w:rsidRDefault="00167A6E">
      <w:pPr>
        <w:tabs>
          <w:tab w:val="left" w:pos="2257"/>
        </w:tabs>
        <w:spacing w:after="0" w:line="259" w:lineRule="auto"/>
        <w:rPr>
          <w:rFonts w:ascii="Arial" w:eastAsia="Arial" w:hAnsi="Arial" w:cs="Arial"/>
          <w:sz w:val="24"/>
          <w:szCs w:val="24"/>
        </w:rPr>
      </w:pPr>
    </w:p>
    <w:p w14:paraId="66B18B99"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BB62639" w14:textId="77777777" w:rsidR="00DE7354" w:rsidRDefault="00DE7354" w:rsidP="00DE7354">
      <w:pPr>
        <w:spacing w:line="251"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1763C03C" w14:textId="77777777" w:rsidR="00167A6E" w:rsidRDefault="00167A6E">
      <w:pPr>
        <w:tabs>
          <w:tab w:val="left" w:pos="2257"/>
        </w:tabs>
        <w:spacing w:after="0" w:line="259" w:lineRule="auto"/>
        <w:rPr>
          <w:rFonts w:ascii="Arial" w:eastAsia="Arial" w:hAnsi="Arial" w:cs="Arial"/>
          <w:sz w:val="24"/>
          <w:szCs w:val="24"/>
        </w:rPr>
      </w:pPr>
    </w:p>
    <w:p w14:paraId="68D281C1"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5E5115B" w14:textId="77777777" w:rsidR="00DE7354" w:rsidRDefault="00DE7354" w:rsidP="00DE7354">
      <w:pPr>
        <w:spacing w:line="251"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5D1A241E" w14:textId="77777777" w:rsidR="00167A6E" w:rsidRDefault="00167A6E">
      <w:pPr>
        <w:tabs>
          <w:tab w:val="left" w:pos="2257"/>
        </w:tabs>
        <w:spacing w:after="0" w:line="259" w:lineRule="auto"/>
        <w:rPr>
          <w:rFonts w:ascii="Arial" w:eastAsia="Arial" w:hAnsi="Arial" w:cs="Arial"/>
          <w:sz w:val="24"/>
          <w:szCs w:val="24"/>
        </w:rPr>
      </w:pPr>
    </w:p>
    <w:p w14:paraId="4EE86A57"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45446478"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6BCF39C4" w14:textId="77777777" w:rsidR="00167A6E" w:rsidRDefault="00167A6E">
      <w:pPr>
        <w:tabs>
          <w:tab w:val="left" w:pos="2257"/>
        </w:tabs>
        <w:spacing w:after="0" w:line="259" w:lineRule="auto"/>
        <w:rPr>
          <w:rFonts w:ascii="Arial" w:eastAsia="Arial" w:hAnsi="Arial" w:cs="Arial"/>
          <w:sz w:val="24"/>
          <w:szCs w:val="24"/>
        </w:rPr>
      </w:pPr>
    </w:p>
    <w:p w14:paraId="07E7FCCF" w14:textId="77777777" w:rsidR="00167A6E" w:rsidRDefault="00C126FA">
      <w:pPr>
        <w:tabs>
          <w:tab w:val="left" w:pos="2257"/>
        </w:tabs>
        <w:spacing w:after="0" w:line="259" w:lineRule="auto"/>
        <w:rPr>
          <w:rFonts w:ascii="Arial" w:eastAsia="Arial" w:hAnsi="Arial" w:cs="Arial"/>
          <w:b/>
          <w:sz w:val="24"/>
          <w:szCs w:val="24"/>
        </w:rPr>
      </w:pPr>
      <w:r>
        <w:rPr>
          <w:rFonts w:ascii="Arial" w:eastAsia="Arial" w:hAnsi="Arial" w:cs="Arial"/>
          <w:sz w:val="24"/>
          <w:szCs w:val="24"/>
        </w:rPr>
        <w:t>PROGRESS MEETING FREQUENCY</w:t>
      </w:r>
    </w:p>
    <w:p w14:paraId="69DA3430"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3110EF8" w14:textId="77777777" w:rsidR="00167A6E" w:rsidRDefault="00167A6E">
      <w:pPr>
        <w:tabs>
          <w:tab w:val="left" w:pos="2257"/>
        </w:tabs>
        <w:spacing w:after="0" w:line="259" w:lineRule="auto"/>
        <w:rPr>
          <w:rFonts w:ascii="Arial" w:eastAsia="Arial" w:hAnsi="Arial" w:cs="Arial"/>
          <w:b/>
          <w:sz w:val="24"/>
          <w:szCs w:val="24"/>
        </w:rPr>
      </w:pPr>
    </w:p>
    <w:p w14:paraId="707831C2"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E19CE72"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F11C5B4" w14:textId="77777777" w:rsidR="00167A6E" w:rsidRDefault="00167A6E">
      <w:pPr>
        <w:tabs>
          <w:tab w:val="left" w:pos="2257"/>
        </w:tabs>
        <w:spacing w:after="0" w:line="259" w:lineRule="auto"/>
        <w:rPr>
          <w:rFonts w:ascii="Arial" w:eastAsia="Arial" w:hAnsi="Arial" w:cs="Arial"/>
          <w:sz w:val="24"/>
          <w:szCs w:val="24"/>
        </w:rPr>
      </w:pPr>
    </w:p>
    <w:p w14:paraId="77DA5F82"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F8EE542" w14:textId="77777777" w:rsidR="00167A6E" w:rsidRDefault="00C126FA">
      <w:pPr>
        <w:tabs>
          <w:tab w:val="left" w:pos="2257"/>
        </w:tabs>
        <w:spacing w:after="0" w:line="259" w:lineRule="auto"/>
        <w:rPr>
          <w:rFonts w:ascii="Arial" w:eastAsia="Arial" w:hAnsi="Arial" w:cs="Arial"/>
          <w:b/>
          <w:sz w:val="24"/>
          <w:szCs w:val="24"/>
        </w:rPr>
      </w:pPr>
      <w:r>
        <w:rPr>
          <w:rFonts w:ascii="Arial" w:eastAsia="Arial" w:hAnsi="Arial" w:cs="Arial"/>
          <w:sz w:val="24"/>
          <w:szCs w:val="24"/>
        </w:rPr>
        <w:t>Not applicable</w:t>
      </w:r>
    </w:p>
    <w:p w14:paraId="77FDBF28" w14:textId="77777777" w:rsidR="00167A6E" w:rsidRDefault="00167A6E">
      <w:pPr>
        <w:tabs>
          <w:tab w:val="left" w:pos="2257"/>
        </w:tabs>
        <w:spacing w:after="0" w:line="259" w:lineRule="auto"/>
        <w:rPr>
          <w:rFonts w:ascii="Arial" w:eastAsia="Arial" w:hAnsi="Arial" w:cs="Arial"/>
          <w:b/>
          <w:sz w:val="24"/>
          <w:szCs w:val="24"/>
        </w:rPr>
      </w:pPr>
    </w:p>
    <w:p w14:paraId="5C9B6BD9"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18549A9"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Individual unit pricing detailed in any Supplier quotation and in this Order Form. The ‘Total’ price is not considered commercially sensitive, save where the total quantity of licences is provided together with the total price.</w:t>
      </w:r>
    </w:p>
    <w:p w14:paraId="0167AC78" w14:textId="77777777" w:rsidR="00167A6E" w:rsidRDefault="00167A6E">
      <w:pPr>
        <w:tabs>
          <w:tab w:val="left" w:pos="2257"/>
        </w:tabs>
        <w:spacing w:after="0" w:line="259" w:lineRule="auto"/>
        <w:rPr>
          <w:rFonts w:ascii="Arial" w:eastAsia="Arial" w:hAnsi="Arial" w:cs="Arial"/>
          <w:sz w:val="24"/>
          <w:szCs w:val="24"/>
        </w:rPr>
      </w:pPr>
    </w:p>
    <w:p w14:paraId="0150236E"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The Enterprise Agreement including all amendments to date, and the current Amendment No. 5</w:t>
      </w:r>
    </w:p>
    <w:p w14:paraId="7A6BF066" w14:textId="77777777" w:rsidR="00167A6E" w:rsidRDefault="00167A6E">
      <w:pPr>
        <w:tabs>
          <w:tab w:val="left" w:pos="2257"/>
        </w:tabs>
        <w:spacing w:after="0" w:line="259" w:lineRule="auto"/>
        <w:rPr>
          <w:rFonts w:ascii="Arial" w:eastAsia="Arial" w:hAnsi="Arial" w:cs="Arial"/>
          <w:b/>
          <w:sz w:val="24"/>
          <w:szCs w:val="24"/>
        </w:rPr>
      </w:pPr>
    </w:p>
    <w:p w14:paraId="19F282A9"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78B5375"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If applicable, see Call-Off Schedule 24</w:t>
      </w:r>
    </w:p>
    <w:p w14:paraId="070D5C9D" w14:textId="77777777" w:rsidR="00167A6E" w:rsidRDefault="00167A6E">
      <w:pPr>
        <w:tabs>
          <w:tab w:val="left" w:pos="2257"/>
        </w:tabs>
        <w:spacing w:after="0" w:line="259" w:lineRule="auto"/>
        <w:rPr>
          <w:rFonts w:ascii="Arial" w:eastAsia="Arial" w:hAnsi="Arial" w:cs="Arial"/>
          <w:b/>
          <w:sz w:val="24"/>
          <w:szCs w:val="24"/>
        </w:rPr>
      </w:pPr>
    </w:p>
    <w:p w14:paraId="26A6B3DA" w14:textId="77777777" w:rsidR="00167A6E" w:rsidRDefault="00C126FA">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44E6A3D" w14:textId="77777777" w:rsidR="00167A6E" w:rsidRDefault="00C126FA">
      <w:pPr>
        <w:spacing w:after="0" w:line="259" w:lineRule="auto"/>
        <w:rPr>
          <w:rFonts w:ascii="Arial" w:eastAsia="Arial" w:hAnsi="Arial" w:cs="Arial"/>
          <w:sz w:val="24"/>
          <w:szCs w:val="24"/>
        </w:rPr>
      </w:pPr>
      <w:r>
        <w:rPr>
          <w:rFonts w:ascii="Arial" w:eastAsia="Arial" w:hAnsi="Arial" w:cs="Arial"/>
          <w:sz w:val="24"/>
          <w:szCs w:val="24"/>
        </w:rPr>
        <w:t>Not applicable</w:t>
      </w:r>
    </w:p>
    <w:p w14:paraId="2F4EA145" w14:textId="77777777" w:rsidR="00167A6E" w:rsidRDefault="00167A6E">
      <w:pPr>
        <w:spacing w:after="0" w:line="240" w:lineRule="auto"/>
        <w:jc w:val="both"/>
        <w:rPr>
          <w:rFonts w:ascii="Arial" w:eastAsia="Arial" w:hAnsi="Arial" w:cs="Arial"/>
          <w:sz w:val="24"/>
          <w:szCs w:val="24"/>
        </w:rPr>
      </w:pPr>
    </w:p>
    <w:p w14:paraId="768D9840" w14:textId="77777777" w:rsidR="00167A6E" w:rsidRDefault="00C126FA">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116B454" w14:textId="77777777" w:rsidR="00167A6E" w:rsidRDefault="00C126FA">
      <w:pPr>
        <w:spacing w:after="0" w:line="259" w:lineRule="auto"/>
        <w:rPr>
          <w:rFonts w:ascii="Arial" w:eastAsia="Arial" w:hAnsi="Arial" w:cs="Arial"/>
          <w:sz w:val="24"/>
          <w:szCs w:val="24"/>
        </w:rPr>
      </w:pPr>
      <w:r>
        <w:rPr>
          <w:rFonts w:ascii="Arial" w:eastAsia="Arial" w:hAnsi="Arial" w:cs="Arial"/>
          <w:sz w:val="24"/>
          <w:szCs w:val="24"/>
        </w:rPr>
        <w:t>Not applicable</w:t>
      </w:r>
    </w:p>
    <w:p w14:paraId="4F10D5B4" w14:textId="77777777" w:rsidR="00167A6E" w:rsidRDefault="00167A6E">
      <w:pPr>
        <w:spacing w:after="0" w:line="259" w:lineRule="auto"/>
        <w:rPr>
          <w:rFonts w:ascii="Arial" w:eastAsia="Arial" w:hAnsi="Arial" w:cs="Arial"/>
          <w:b/>
          <w:sz w:val="24"/>
          <w:szCs w:val="24"/>
          <w:highlight w:val="yellow"/>
        </w:rPr>
      </w:pPr>
    </w:p>
    <w:p w14:paraId="53E33667" w14:textId="77777777" w:rsidR="00167A6E" w:rsidRDefault="00C126FA">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4EAAE95B" w14:textId="77777777" w:rsidR="00167A6E" w:rsidRDefault="00C126FA">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0DC71D08" w14:textId="77777777" w:rsidR="00167A6E" w:rsidRDefault="00167A6E">
      <w:pPr>
        <w:spacing w:after="0" w:line="240" w:lineRule="auto"/>
        <w:jc w:val="both"/>
        <w:rPr>
          <w:rFonts w:ascii="Arial" w:eastAsia="Arial" w:hAnsi="Arial" w:cs="Arial"/>
          <w:sz w:val="24"/>
          <w:szCs w:val="24"/>
        </w:rPr>
      </w:pPr>
    </w:p>
    <w:p w14:paraId="2AB16EA2" w14:textId="77777777" w:rsidR="00167A6E" w:rsidRDefault="00167A6E">
      <w:pPr>
        <w:spacing w:after="0" w:line="240" w:lineRule="auto"/>
        <w:jc w:val="both"/>
        <w:rPr>
          <w:rFonts w:ascii="Arial" w:eastAsia="Arial" w:hAnsi="Arial" w:cs="Arial"/>
          <w:sz w:val="24"/>
          <w:szCs w:val="24"/>
        </w:rPr>
      </w:pPr>
    </w:p>
    <w:p w14:paraId="73EE1590" w14:textId="77777777" w:rsidR="00167A6E" w:rsidRDefault="00C126FA">
      <w:pPr>
        <w:spacing w:after="0" w:line="240" w:lineRule="auto"/>
        <w:jc w:val="both"/>
        <w:rPr>
          <w:rFonts w:ascii="Arial" w:eastAsia="Arial" w:hAnsi="Arial" w:cs="Arial"/>
          <w:sz w:val="24"/>
          <w:szCs w:val="24"/>
        </w:rPr>
      </w:pPr>
      <w:r>
        <w:rPr>
          <w:rFonts w:ascii="Arial" w:eastAsia="Arial" w:hAnsi="Arial" w:cs="Arial"/>
          <w:sz w:val="24"/>
          <w:szCs w:val="24"/>
        </w:rPr>
        <w:t>SCHEDULES TO THE CALL OFF CONTRACT</w:t>
      </w:r>
    </w:p>
    <w:p w14:paraId="0FBE37EA" w14:textId="77777777" w:rsidR="00167A6E" w:rsidRDefault="00167A6E">
      <w:pPr>
        <w:spacing w:after="0" w:line="240" w:lineRule="auto"/>
        <w:jc w:val="both"/>
        <w:rPr>
          <w:rFonts w:ascii="Arial" w:eastAsia="Arial" w:hAnsi="Arial" w:cs="Arial"/>
          <w:sz w:val="24"/>
          <w:szCs w:val="24"/>
        </w:rPr>
      </w:pPr>
    </w:p>
    <w:p w14:paraId="0F73D691" w14:textId="77777777" w:rsidR="00167A6E" w:rsidRDefault="00C126FA">
      <w:pPr>
        <w:spacing w:after="0" w:line="259" w:lineRule="auto"/>
        <w:rPr>
          <w:rFonts w:ascii="Arial" w:eastAsia="Arial" w:hAnsi="Arial" w:cs="Arial"/>
          <w:sz w:val="24"/>
          <w:szCs w:val="24"/>
          <w:highlight w:val="yellow"/>
        </w:rPr>
      </w:pPr>
      <w:r>
        <w:rPr>
          <w:rFonts w:ascii="Arial" w:eastAsia="Arial" w:hAnsi="Arial" w:cs="Arial"/>
        </w:rPr>
        <w:t>The required information for the relevant Schedules to the Call Off Contract is set out below:</w:t>
      </w:r>
    </w:p>
    <w:p w14:paraId="69FB21E2" w14:textId="77777777" w:rsidR="00167A6E" w:rsidRDefault="00167A6E">
      <w:pPr>
        <w:spacing w:after="0" w:line="240" w:lineRule="auto"/>
        <w:jc w:val="both"/>
        <w:rPr>
          <w:rFonts w:ascii="Arial" w:eastAsia="Arial" w:hAnsi="Arial" w:cs="Arial"/>
          <w:sz w:val="24"/>
          <w:szCs w:val="24"/>
        </w:rPr>
      </w:pPr>
    </w:p>
    <w:p w14:paraId="624FD78E" w14:textId="77777777" w:rsidR="00167A6E" w:rsidRDefault="00167A6E">
      <w:pPr>
        <w:spacing w:after="0" w:line="240" w:lineRule="auto"/>
        <w:jc w:val="both"/>
        <w:rPr>
          <w:rFonts w:ascii="Arial" w:eastAsia="Arial" w:hAnsi="Arial" w:cs="Arial"/>
          <w:sz w:val="24"/>
          <w:szCs w:val="24"/>
        </w:rPr>
      </w:pPr>
    </w:p>
    <w:p w14:paraId="2C0D577A" w14:textId="77777777" w:rsidR="00167A6E" w:rsidRDefault="00C126FA">
      <w:pPr>
        <w:keepNext/>
        <w:pBdr>
          <w:top w:val="nil"/>
          <w:left w:val="nil"/>
          <w:bottom w:val="nil"/>
          <w:right w:val="nil"/>
          <w:between w:val="nil"/>
        </w:pBdr>
        <w:tabs>
          <w:tab w:val="left" w:pos="5715"/>
        </w:tabs>
        <w:spacing w:after="240" w:line="240" w:lineRule="auto"/>
        <w:rPr>
          <w:rFonts w:ascii="Arial" w:eastAsia="Arial" w:hAnsi="Arial" w:cs="Arial"/>
          <w:b/>
          <w:color w:val="000000"/>
          <w:sz w:val="24"/>
          <w:szCs w:val="24"/>
        </w:rPr>
      </w:pPr>
      <w:r>
        <w:rPr>
          <w:rFonts w:ascii="Arial" w:eastAsia="Arial" w:hAnsi="Arial" w:cs="Arial"/>
          <w:b/>
          <w:color w:val="000000"/>
          <w:sz w:val="24"/>
          <w:szCs w:val="24"/>
        </w:rPr>
        <w:t>CALL-OFF SCHEDULE 24 (SUPPLIER-FURNISHED TERMS)</w:t>
      </w:r>
    </w:p>
    <w:p w14:paraId="16E1A496" w14:textId="77777777" w:rsidR="00167A6E" w:rsidRDefault="00167A6E">
      <w:pPr>
        <w:keepNext/>
        <w:pBdr>
          <w:top w:val="nil"/>
          <w:left w:val="nil"/>
          <w:bottom w:val="nil"/>
          <w:right w:val="nil"/>
          <w:between w:val="nil"/>
        </w:pBdr>
        <w:tabs>
          <w:tab w:val="left" w:pos="5715"/>
        </w:tabs>
        <w:spacing w:after="240" w:line="240" w:lineRule="auto"/>
        <w:rPr>
          <w:rFonts w:ascii="Arial" w:eastAsia="Arial" w:hAnsi="Arial" w:cs="Arial"/>
          <w:color w:val="000000"/>
          <w:sz w:val="24"/>
          <w:szCs w:val="24"/>
        </w:rPr>
      </w:pPr>
    </w:p>
    <w:p w14:paraId="6973C9FC" w14:textId="77777777" w:rsidR="00167A6E" w:rsidRDefault="00C126FA">
      <w:pPr>
        <w:spacing w:after="0"/>
        <w:rPr>
          <w:rFonts w:ascii="Arial" w:eastAsia="Arial" w:hAnsi="Arial" w:cs="Arial"/>
          <w:b/>
          <w:color w:val="000000"/>
          <w:sz w:val="24"/>
          <w:szCs w:val="24"/>
        </w:rPr>
      </w:pPr>
      <w:r>
        <w:rPr>
          <w:rFonts w:ascii="Arial" w:eastAsia="Arial" w:hAnsi="Arial" w:cs="Arial"/>
          <w:b/>
          <w:color w:val="000000"/>
          <w:sz w:val="24"/>
          <w:szCs w:val="24"/>
        </w:rPr>
        <w:t>Part 1A</w:t>
      </w:r>
      <w:r>
        <w:rPr>
          <w:rFonts w:ascii="Arial" w:eastAsia="Arial" w:hAnsi="Arial" w:cs="Arial"/>
          <w:b/>
          <w:color w:val="000000"/>
          <w:sz w:val="24"/>
          <w:szCs w:val="24"/>
        </w:rPr>
        <w:tab/>
      </w:r>
      <w:r>
        <w:rPr>
          <w:rFonts w:ascii="Arial" w:eastAsia="Arial" w:hAnsi="Arial" w:cs="Arial"/>
          <w:b/>
          <w:color w:val="000000"/>
          <w:sz w:val="24"/>
          <w:szCs w:val="24"/>
        </w:rPr>
        <w:tab/>
        <w:t>Non-COTS Third Party Software</w:t>
      </w:r>
    </w:p>
    <w:p w14:paraId="1A18AAEE" w14:textId="77777777" w:rsidR="00167A6E" w:rsidRDefault="00167A6E">
      <w:pPr>
        <w:spacing w:after="0"/>
      </w:pPr>
    </w:p>
    <w:p w14:paraId="3F6232E5" w14:textId="77777777" w:rsidR="00167A6E" w:rsidRDefault="00C126FA">
      <w:pPr>
        <w:spacing w:after="0"/>
        <w:rPr>
          <w:rFonts w:ascii="Arial" w:eastAsia="Arial" w:hAnsi="Arial" w:cs="Arial"/>
        </w:rPr>
      </w:pPr>
      <w:r>
        <w:rPr>
          <w:rFonts w:ascii="Arial" w:eastAsia="Arial" w:hAnsi="Arial" w:cs="Arial"/>
        </w:rPr>
        <w:t>Terms for licensing of non-COTS third party software in accordance with Call-Off Schedule 6 Paragraph 10.1.1 are detailed in Annex 1.</w:t>
      </w:r>
    </w:p>
    <w:p w14:paraId="35474B24" w14:textId="77777777" w:rsidR="00167A6E" w:rsidRDefault="00167A6E">
      <w:pPr>
        <w:spacing w:after="0"/>
      </w:pPr>
    </w:p>
    <w:p w14:paraId="0B1A76A7" w14:textId="77777777" w:rsidR="00167A6E" w:rsidRDefault="00C126FA">
      <w:pPr>
        <w:spacing w:after="0"/>
        <w:rPr>
          <w:rFonts w:ascii="Arial" w:eastAsia="Arial" w:hAnsi="Arial" w:cs="Arial"/>
          <w:b/>
          <w:sz w:val="24"/>
          <w:szCs w:val="24"/>
        </w:rPr>
      </w:pPr>
      <w:r>
        <w:rPr>
          <w:rFonts w:ascii="Arial" w:eastAsia="Arial" w:hAnsi="Arial" w:cs="Arial"/>
          <w:b/>
          <w:sz w:val="24"/>
          <w:szCs w:val="24"/>
        </w:rPr>
        <w:t>Part 1B</w:t>
      </w:r>
      <w:r>
        <w:rPr>
          <w:rFonts w:ascii="Arial" w:eastAsia="Arial" w:hAnsi="Arial" w:cs="Arial"/>
          <w:b/>
          <w:sz w:val="24"/>
          <w:szCs w:val="24"/>
        </w:rPr>
        <w:tab/>
      </w:r>
      <w:r>
        <w:rPr>
          <w:rFonts w:ascii="Arial" w:eastAsia="Arial" w:hAnsi="Arial" w:cs="Arial"/>
          <w:b/>
          <w:sz w:val="24"/>
          <w:szCs w:val="24"/>
        </w:rPr>
        <w:tab/>
        <w:t>COTS Software</w:t>
      </w:r>
    </w:p>
    <w:p w14:paraId="11469E97" w14:textId="77777777" w:rsidR="00167A6E" w:rsidRDefault="00167A6E">
      <w:pPr>
        <w:spacing w:after="0"/>
      </w:pPr>
    </w:p>
    <w:p w14:paraId="5D3EC9FD" w14:textId="77777777" w:rsidR="00167A6E" w:rsidRDefault="00C126FA">
      <w:pPr>
        <w:spacing w:after="0"/>
        <w:rPr>
          <w:rFonts w:ascii="Arial" w:eastAsia="Arial" w:hAnsi="Arial" w:cs="Arial"/>
          <w:b/>
          <w:color w:val="000000"/>
          <w:sz w:val="24"/>
          <w:szCs w:val="24"/>
        </w:rPr>
      </w:pPr>
      <w:r>
        <w:rPr>
          <w:rFonts w:ascii="Arial" w:eastAsia="Arial" w:hAnsi="Arial" w:cs="Arial"/>
        </w:rPr>
        <w:t>Terms for licensing of COTS software in accordance with Call-Off Schedule 6 Paragraph 10.1.2 are detailed in Annex 2</w:t>
      </w:r>
    </w:p>
    <w:p w14:paraId="4CD7E585" w14:textId="77777777" w:rsidR="00167A6E" w:rsidRDefault="00167A6E">
      <w:pPr>
        <w:spacing w:after="0"/>
        <w:ind w:left="720" w:hanging="720"/>
        <w:rPr>
          <w:rFonts w:ascii="Arial" w:eastAsia="Arial" w:hAnsi="Arial" w:cs="Arial"/>
          <w:color w:val="000000"/>
          <w:sz w:val="24"/>
          <w:szCs w:val="24"/>
        </w:rPr>
      </w:pPr>
    </w:p>
    <w:p w14:paraId="118D0DC4" w14:textId="77777777" w:rsidR="00167A6E" w:rsidRDefault="00C126FA">
      <w:pPr>
        <w:spacing w:after="0"/>
        <w:ind w:left="720" w:hanging="720"/>
        <w:rPr>
          <w:rFonts w:ascii="Arial" w:eastAsia="Arial" w:hAnsi="Arial" w:cs="Arial"/>
          <w:b/>
          <w:color w:val="000000"/>
          <w:sz w:val="24"/>
          <w:szCs w:val="24"/>
        </w:rPr>
      </w:pPr>
      <w:r>
        <w:rPr>
          <w:rFonts w:ascii="Arial" w:eastAsia="Arial" w:hAnsi="Arial" w:cs="Arial"/>
          <w:b/>
          <w:color w:val="000000"/>
          <w:sz w:val="24"/>
          <w:szCs w:val="24"/>
        </w:rPr>
        <w:t>Part 1C</w:t>
      </w:r>
      <w:r>
        <w:rPr>
          <w:rFonts w:ascii="Arial" w:eastAsia="Arial" w:hAnsi="Arial" w:cs="Arial"/>
          <w:b/>
          <w:color w:val="000000"/>
          <w:sz w:val="24"/>
          <w:szCs w:val="24"/>
        </w:rPr>
        <w:tab/>
      </w:r>
      <w:r>
        <w:rPr>
          <w:rFonts w:ascii="Arial" w:eastAsia="Arial" w:hAnsi="Arial" w:cs="Arial"/>
          <w:b/>
          <w:color w:val="000000"/>
          <w:sz w:val="24"/>
          <w:szCs w:val="24"/>
        </w:rPr>
        <w:tab/>
        <w:t>Software as a Service (SaaS) Terms</w:t>
      </w:r>
    </w:p>
    <w:p w14:paraId="6B55C1A3" w14:textId="77777777" w:rsidR="00167A6E" w:rsidRDefault="00167A6E">
      <w:pPr>
        <w:spacing w:after="0"/>
        <w:ind w:left="720" w:hanging="720"/>
        <w:rPr>
          <w:rFonts w:ascii="Arial" w:eastAsia="Arial" w:hAnsi="Arial" w:cs="Arial"/>
          <w:color w:val="000000"/>
          <w:sz w:val="24"/>
          <w:szCs w:val="24"/>
        </w:rPr>
      </w:pPr>
    </w:p>
    <w:p w14:paraId="53F27536" w14:textId="77777777" w:rsidR="00167A6E" w:rsidRDefault="00C126FA">
      <w:pPr>
        <w:spacing w:after="0"/>
        <w:rPr>
          <w:rFonts w:ascii="Arial" w:eastAsia="Arial" w:hAnsi="Arial" w:cs="Arial"/>
        </w:rPr>
      </w:pPr>
      <w:r>
        <w:rPr>
          <w:rFonts w:ascii="Arial" w:eastAsia="Arial" w:hAnsi="Arial" w:cs="Arial"/>
        </w:rPr>
        <w:t>Terms for provision of a Software as a Service in accordance with Call-Off Schedule 6 Paragraph 10.2 are detailed in Annex 3.</w:t>
      </w:r>
    </w:p>
    <w:p w14:paraId="17878125" w14:textId="77777777" w:rsidR="00167A6E" w:rsidRDefault="00167A6E">
      <w:pPr>
        <w:spacing w:after="0"/>
        <w:ind w:left="720" w:hanging="720"/>
      </w:pPr>
    </w:p>
    <w:p w14:paraId="44722AD4" w14:textId="77777777" w:rsidR="00167A6E" w:rsidRDefault="00C126FA">
      <w:pPr>
        <w:spacing w:after="0"/>
        <w:ind w:left="720" w:hanging="720"/>
        <w:rPr>
          <w:rFonts w:ascii="Arial" w:eastAsia="Arial" w:hAnsi="Arial" w:cs="Arial"/>
          <w:b/>
          <w:sz w:val="24"/>
          <w:szCs w:val="24"/>
        </w:rPr>
      </w:pPr>
      <w:r>
        <w:rPr>
          <w:rFonts w:ascii="Arial" w:eastAsia="Arial" w:hAnsi="Arial" w:cs="Arial"/>
          <w:b/>
          <w:sz w:val="24"/>
          <w:szCs w:val="24"/>
        </w:rPr>
        <w:t>Part 1D</w:t>
      </w:r>
      <w:r>
        <w:rPr>
          <w:rFonts w:ascii="Arial" w:eastAsia="Arial" w:hAnsi="Arial" w:cs="Arial"/>
          <w:b/>
          <w:sz w:val="24"/>
          <w:szCs w:val="24"/>
        </w:rPr>
        <w:tab/>
      </w:r>
      <w:r>
        <w:rPr>
          <w:rFonts w:ascii="Arial" w:eastAsia="Arial" w:hAnsi="Arial" w:cs="Arial"/>
          <w:b/>
          <w:sz w:val="24"/>
          <w:szCs w:val="24"/>
        </w:rPr>
        <w:tab/>
        <w:t>Software Support and/or Maintenance Terms</w:t>
      </w:r>
    </w:p>
    <w:p w14:paraId="6AE1DE4E" w14:textId="77777777" w:rsidR="00167A6E" w:rsidRDefault="00167A6E">
      <w:pPr>
        <w:spacing w:after="0"/>
        <w:ind w:left="720" w:hanging="720"/>
        <w:rPr>
          <w:b/>
        </w:rPr>
      </w:pPr>
    </w:p>
    <w:p w14:paraId="761A47A0" w14:textId="77777777" w:rsidR="00167A6E" w:rsidRDefault="00C126FA">
      <w:pPr>
        <w:spacing w:after="0"/>
        <w:rPr>
          <w:rFonts w:ascii="Arial" w:eastAsia="Arial" w:hAnsi="Arial" w:cs="Arial"/>
        </w:rPr>
      </w:pPr>
      <w:r>
        <w:rPr>
          <w:rFonts w:ascii="Arial" w:eastAsia="Arial" w:hAnsi="Arial" w:cs="Arial"/>
        </w:rPr>
        <w:t>Terms for provision of Software Support and/or Maintenance services in accordance with Call-Off Schedule 6 Paragraph 10.3 are detailed in Annex 4.</w:t>
      </w:r>
    </w:p>
    <w:p w14:paraId="693AB78A" w14:textId="77777777" w:rsidR="00167A6E" w:rsidRDefault="00167A6E">
      <w:pPr>
        <w:rPr>
          <w:rFonts w:ascii="Arial" w:eastAsia="Arial" w:hAnsi="Arial" w:cs="Arial"/>
          <w:b/>
          <w:sz w:val="24"/>
          <w:szCs w:val="24"/>
        </w:rPr>
      </w:pPr>
    </w:p>
    <w:p w14:paraId="0CA01110" w14:textId="77777777" w:rsidR="00167A6E" w:rsidRDefault="00C126FA">
      <w:pPr>
        <w:jc w:val="center"/>
      </w:pPr>
      <w:r>
        <w:rPr>
          <w:rFonts w:ascii="Arial" w:eastAsia="Arial" w:hAnsi="Arial" w:cs="Arial"/>
          <w:b/>
          <w:sz w:val="24"/>
          <w:szCs w:val="24"/>
        </w:rPr>
        <w:t>Annex 1</w:t>
      </w:r>
    </w:p>
    <w:p w14:paraId="73BB43D0" w14:textId="77777777" w:rsidR="00167A6E" w:rsidRDefault="00C126FA">
      <w:pPr>
        <w:spacing w:after="0"/>
        <w:ind w:left="720" w:hanging="720"/>
        <w:jc w:val="center"/>
        <w:rPr>
          <w:rFonts w:ascii="Arial" w:eastAsia="Arial" w:hAnsi="Arial" w:cs="Arial"/>
          <w:sz w:val="24"/>
          <w:szCs w:val="24"/>
        </w:rPr>
      </w:pPr>
      <w:r>
        <w:rPr>
          <w:rFonts w:ascii="Arial" w:eastAsia="Arial" w:hAnsi="Arial" w:cs="Arial"/>
          <w:sz w:val="24"/>
          <w:szCs w:val="24"/>
        </w:rPr>
        <w:t>N/A</w:t>
      </w:r>
    </w:p>
    <w:p w14:paraId="72257AD2" w14:textId="77777777" w:rsidR="00167A6E" w:rsidRDefault="00167A6E">
      <w:pPr>
        <w:spacing w:after="0"/>
        <w:rPr>
          <w:rFonts w:ascii="Arial" w:eastAsia="Arial" w:hAnsi="Arial" w:cs="Arial"/>
          <w:sz w:val="24"/>
          <w:szCs w:val="24"/>
        </w:rPr>
      </w:pPr>
    </w:p>
    <w:p w14:paraId="22E5B8A9" w14:textId="77777777" w:rsidR="00167A6E" w:rsidRDefault="00C126FA">
      <w:pPr>
        <w:spacing w:after="0"/>
        <w:jc w:val="center"/>
        <w:rPr>
          <w:rFonts w:ascii="Arial" w:eastAsia="Arial" w:hAnsi="Arial" w:cs="Arial"/>
          <w:b/>
          <w:sz w:val="24"/>
          <w:szCs w:val="24"/>
        </w:rPr>
      </w:pPr>
      <w:r>
        <w:rPr>
          <w:rFonts w:ascii="Arial" w:eastAsia="Arial" w:hAnsi="Arial" w:cs="Arial"/>
          <w:b/>
          <w:sz w:val="24"/>
          <w:szCs w:val="24"/>
        </w:rPr>
        <w:t>Annex 2</w:t>
      </w:r>
    </w:p>
    <w:p w14:paraId="61E9F44C" w14:textId="77777777" w:rsidR="00167A6E" w:rsidRDefault="00167A6E">
      <w:pPr>
        <w:spacing w:after="0"/>
        <w:ind w:left="720" w:hanging="720"/>
        <w:jc w:val="center"/>
        <w:rPr>
          <w:rFonts w:ascii="Arial" w:eastAsia="Arial" w:hAnsi="Arial" w:cs="Arial"/>
          <w:b/>
          <w:sz w:val="24"/>
          <w:szCs w:val="24"/>
        </w:rPr>
      </w:pPr>
    </w:p>
    <w:p w14:paraId="4BB55B3B" w14:textId="77777777" w:rsidR="00DE7354" w:rsidRDefault="00DE7354" w:rsidP="00DE7354">
      <w:pPr>
        <w:spacing w:line="251"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674DFDB2" w14:textId="3FD78FD3" w:rsidR="00167A6E" w:rsidRDefault="00C126FA">
      <w:pPr>
        <w:spacing w:after="0"/>
        <w:rPr>
          <w:rFonts w:ascii="Arial" w:eastAsia="Arial" w:hAnsi="Arial" w:cs="Arial"/>
          <w:sz w:val="24"/>
          <w:szCs w:val="24"/>
        </w:rPr>
      </w:pPr>
      <w:r>
        <w:rPr>
          <w:rFonts w:ascii="Arial" w:eastAsia="Arial" w:hAnsi="Arial" w:cs="Arial"/>
          <w:sz w:val="24"/>
          <w:szCs w:val="24"/>
        </w:rPr>
        <w:t xml:space="preserve">software products: the Enterprise Agreement (as amended), including Amendment No. 5. Amendment No. 5 shall be signed at the same time as this Order Form.  </w:t>
      </w:r>
    </w:p>
    <w:p w14:paraId="360A79B2" w14:textId="77777777" w:rsidR="00167A6E" w:rsidRDefault="00167A6E">
      <w:pPr>
        <w:spacing w:after="0"/>
        <w:rPr>
          <w:rFonts w:ascii="Arial" w:eastAsia="Arial" w:hAnsi="Arial" w:cs="Arial"/>
          <w:sz w:val="24"/>
          <w:szCs w:val="24"/>
        </w:rPr>
      </w:pPr>
    </w:p>
    <w:p w14:paraId="4AEB67F2" w14:textId="77777777" w:rsidR="00167A6E" w:rsidRDefault="00167A6E">
      <w:pPr>
        <w:spacing w:after="0"/>
        <w:rPr>
          <w:rFonts w:ascii="Arial" w:eastAsia="Arial" w:hAnsi="Arial" w:cs="Arial"/>
          <w:sz w:val="24"/>
          <w:szCs w:val="24"/>
        </w:rPr>
      </w:pPr>
    </w:p>
    <w:p w14:paraId="43FF974A" w14:textId="77777777" w:rsidR="00167A6E" w:rsidRDefault="00C126FA">
      <w:pPr>
        <w:spacing w:after="0"/>
        <w:jc w:val="center"/>
        <w:rPr>
          <w:rFonts w:ascii="Arial" w:eastAsia="Arial" w:hAnsi="Arial" w:cs="Arial"/>
          <w:b/>
          <w:sz w:val="24"/>
          <w:szCs w:val="24"/>
        </w:rPr>
      </w:pPr>
      <w:r>
        <w:rPr>
          <w:rFonts w:ascii="Arial" w:eastAsia="Arial" w:hAnsi="Arial" w:cs="Arial"/>
          <w:b/>
          <w:sz w:val="24"/>
          <w:szCs w:val="24"/>
        </w:rPr>
        <w:t>Annex 3</w:t>
      </w:r>
    </w:p>
    <w:p w14:paraId="3F5BCCB2" w14:textId="77777777" w:rsidR="00167A6E" w:rsidRDefault="00167A6E">
      <w:pPr>
        <w:tabs>
          <w:tab w:val="left" w:pos="1010"/>
        </w:tabs>
        <w:spacing w:after="0"/>
        <w:rPr>
          <w:rFonts w:ascii="Arial" w:eastAsia="Arial" w:hAnsi="Arial" w:cs="Arial"/>
          <w:sz w:val="24"/>
          <w:szCs w:val="24"/>
        </w:rPr>
      </w:pPr>
    </w:p>
    <w:p w14:paraId="3FC8A833" w14:textId="77777777" w:rsidR="00167A6E" w:rsidRDefault="00C126FA">
      <w:pPr>
        <w:spacing w:after="0"/>
        <w:jc w:val="center"/>
        <w:rPr>
          <w:rFonts w:ascii="Arial" w:eastAsia="Arial" w:hAnsi="Arial" w:cs="Arial"/>
          <w:sz w:val="24"/>
          <w:szCs w:val="24"/>
        </w:rPr>
      </w:pPr>
      <w:r>
        <w:rPr>
          <w:rFonts w:ascii="Arial" w:eastAsia="Arial" w:hAnsi="Arial" w:cs="Arial"/>
          <w:sz w:val="24"/>
          <w:szCs w:val="24"/>
        </w:rPr>
        <w:t>N/A</w:t>
      </w:r>
    </w:p>
    <w:p w14:paraId="0FE976B6" w14:textId="77777777" w:rsidR="00167A6E" w:rsidRDefault="00167A6E">
      <w:pPr>
        <w:rPr>
          <w:rFonts w:ascii="Arial" w:eastAsia="Arial" w:hAnsi="Arial" w:cs="Arial"/>
          <w:sz w:val="24"/>
          <w:szCs w:val="24"/>
        </w:rPr>
      </w:pPr>
    </w:p>
    <w:p w14:paraId="0A7BD0DA" w14:textId="77777777" w:rsidR="00167A6E" w:rsidRDefault="00C126FA">
      <w:pPr>
        <w:spacing w:after="0"/>
        <w:jc w:val="center"/>
        <w:rPr>
          <w:rFonts w:ascii="Arial" w:eastAsia="Arial" w:hAnsi="Arial" w:cs="Arial"/>
          <w:b/>
          <w:sz w:val="24"/>
          <w:szCs w:val="24"/>
        </w:rPr>
      </w:pPr>
      <w:r>
        <w:rPr>
          <w:rFonts w:ascii="Arial" w:eastAsia="Arial" w:hAnsi="Arial" w:cs="Arial"/>
          <w:b/>
          <w:sz w:val="24"/>
          <w:szCs w:val="24"/>
        </w:rPr>
        <w:t>Annex 4</w:t>
      </w:r>
    </w:p>
    <w:p w14:paraId="4B07FF88" w14:textId="77777777" w:rsidR="00167A6E" w:rsidRDefault="00167A6E">
      <w:pPr>
        <w:spacing w:after="0"/>
        <w:ind w:left="720" w:hanging="720"/>
        <w:jc w:val="center"/>
        <w:rPr>
          <w:rFonts w:ascii="Arial" w:eastAsia="Arial" w:hAnsi="Arial" w:cs="Arial"/>
          <w:sz w:val="24"/>
          <w:szCs w:val="24"/>
        </w:rPr>
      </w:pPr>
    </w:p>
    <w:p w14:paraId="66F43687" w14:textId="77777777" w:rsidR="00DE7354" w:rsidRDefault="00C126FA" w:rsidP="00DE7354">
      <w:pPr>
        <w:spacing w:line="251" w:lineRule="auto"/>
        <w:ind w:left="17"/>
        <w:rPr>
          <w:rFonts w:ascii="Times" w:hAnsi="Times" w:cs="Times"/>
          <w:color w:val="FF0000"/>
          <w:sz w:val="27"/>
          <w:szCs w:val="27"/>
        </w:rPr>
      </w:pPr>
      <w:r>
        <w:rPr>
          <w:rFonts w:ascii="Arial" w:eastAsia="Arial" w:hAnsi="Arial" w:cs="Arial"/>
          <w:sz w:val="24"/>
          <w:szCs w:val="24"/>
        </w:rPr>
        <w:t xml:space="preserve">Support and maintenance: </w:t>
      </w:r>
      <w:r w:rsidR="00DE7354">
        <w:rPr>
          <w:rFonts w:ascii="Times" w:hAnsi="Times" w:cs="Times"/>
          <w:color w:val="FF0000"/>
          <w:sz w:val="27"/>
          <w:szCs w:val="27"/>
        </w:rPr>
        <w:t>REDACTED TEXT under FOIA Section 40, Personal Information</w:t>
      </w:r>
    </w:p>
    <w:p w14:paraId="747AFF51" w14:textId="41DCC910" w:rsidR="00167A6E" w:rsidRDefault="00167A6E"/>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67A6E" w14:paraId="2DC5E80F" w14:textId="77777777" w:rsidTr="00167A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DA1C295" w14:textId="77777777" w:rsidR="00167A6E" w:rsidRDefault="00C126FA">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1B2A738" w14:textId="77777777" w:rsidR="00167A6E" w:rsidRDefault="00C126FA">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67A6E" w14:paraId="43C76DEB" w14:textId="77777777" w:rsidTr="00167A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C6463B0" w14:textId="77777777" w:rsidR="00167A6E" w:rsidRDefault="00C126F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251216A" w14:textId="77777777" w:rsidR="00167A6E" w:rsidRDefault="00167A6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D7BCE7B" w14:textId="77777777" w:rsidR="00167A6E" w:rsidRDefault="00C126F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1ACF888" w14:textId="77777777" w:rsidR="00167A6E" w:rsidRDefault="00167A6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167A6E" w14:paraId="400D5506" w14:textId="77777777" w:rsidTr="00167A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4D0BB85" w14:textId="77777777" w:rsidR="00167A6E" w:rsidRDefault="00C126F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6B6AD6A" w14:textId="77777777" w:rsidR="00167A6E" w:rsidRDefault="00167A6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9279C05" w14:textId="77777777" w:rsidR="00167A6E" w:rsidRDefault="00C126F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F991D7E" w14:textId="77777777" w:rsidR="00167A6E" w:rsidRDefault="00167A6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167A6E" w14:paraId="573902DD" w14:textId="77777777" w:rsidTr="00167A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A839062" w14:textId="77777777" w:rsidR="00167A6E" w:rsidRDefault="00C126F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446EB34" w14:textId="77777777" w:rsidR="00167A6E" w:rsidRDefault="00167A6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FB9D713" w14:textId="77777777" w:rsidR="00167A6E" w:rsidRDefault="00C126F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77CBBB0" w14:textId="77777777" w:rsidR="00167A6E" w:rsidRDefault="00167A6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167A6E" w14:paraId="3B5A9A94" w14:textId="77777777" w:rsidTr="00167A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12FAD67" w14:textId="77777777" w:rsidR="00167A6E" w:rsidRDefault="00C126F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1C2F71" w14:textId="77777777" w:rsidR="00167A6E" w:rsidRDefault="00167A6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D54F8E4" w14:textId="77777777" w:rsidR="00167A6E" w:rsidRDefault="00C126F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FDCF973" w14:textId="77777777" w:rsidR="00167A6E" w:rsidRDefault="00167A6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DE8E587" w14:textId="77777777" w:rsidR="00167A6E" w:rsidRDefault="00167A6E">
      <w:pPr>
        <w:tabs>
          <w:tab w:val="left" w:pos="2257"/>
        </w:tabs>
        <w:spacing w:after="0" w:line="259" w:lineRule="auto"/>
        <w:rPr>
          <w:rFonts w:ascii="Arial" w:eastAsia="Arial" w:hAnsi="Arial" w:cs="Arial"/>
        </w:rPr>
      </w:pPr>
    </w:p>
    <w:p w14:paraId="0ABA23A5" w14:textId="77777777" w:rsidR="00167A6E" w:rsidRDefault="00167A6E"/>
    <w:sectPr w:rsidR="00167A6E">
      <w:headerReference w:type="even" r:id="rId8"/>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F135" w14:textId="77777777" w:rsidR="00523685" w:rsidRDefault="00523685">
      <w:pPr>
        <w:spacing w:after="0" w:line="240" w:lineRule="auto"/>
      </w:pPr>
      <w:r>
        <w:separator/>
      </w:r>
    </w:p>
  </w:endnote>
  <w:endnote w:type="continuationSeparator" w:id="0">
    <w:p w14:paraId="6FC1E3D4" w14:textId="77777777" w:rsidR="00523685" w:rsidRDefault="0052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8AE0" w14:textId="77777777" w:rsidR="00167A6E" w:rsidRDefault="00C126F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RM6259 Vertical Application Solutions</w:t>
    </w:r>
    <w:r>
      <w:rPr>
        <w:rFonts w:ascii="Arial" w:eastAsia="Arial" w:hAnsi="Arial" w:cs="Arial"/>
        <w:sz w:val="20"/>
        <w:szCs w:val="20"/>
      </w:rPr>
      <w:tab/>
      <w:t xml:space="preserve">                                           </w:t>
    </w:r>
  </w:p>
  <w:p w14:paraId="03C294A3" w14:textId="77777777" w:rsidR="00167A6E" w:rsidRDefault="00C126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71A7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ACCDBD9" w14:textId="77777777" w:rsidR="00167A6E" w:rsidRDefault="00C126FA">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B926" w14:textId="77777777" w:rsidR="00167A6E" w:rsidRDefault="00167A6E">
    <w:pPr>
      <w:tabs>
        <w:tab w:val="center" w:pos="4513"/>
        <w:tab w:val="right" w:pos="9026"/>
      </w:tabs>
      <w:spacing w:after="0"/>
      <w:jc w:val="both"/>
      <w:rPr>
        <w:color w:val="A6A6A6"/>
      </w:rPr>
    </w:pPr>
  </w:p>
  <w:p w14:paraId="58DBE62E" w14:textId="77777777" w:rsidR="00167A6E" w:rsidRDefault="00C126F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71A6AD3" w14:textId="77777777" w:rsidR="00167A6E" w:rsidRDefault="00C126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23685">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1B80DAA6" w14:textId="77777777" w:rsidR="00167A6E" w:rsidRDefault="00C126FA">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1B04" w14:textId="77777777" w:rsidR="00523685" w:rsidRDefault="00523685">
      <w:pPr>
        <w:spacing w:after="0" w:line="240" w:lineRule="auto"/>
      </w:pPr>
      <w:r>
        <w:separator/>
      </w:r>
    </w:p>
  </w:footnote>
  <w:footnote w:type="continuationSeparator" w:id="0">
    <w:p w14:paraId="41C2D310" w14:textId="77777777" w:rsidR="00523685" w:rsidRDefault="00523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E1AD" w14:textId="77777777" w:rsidR="00167A6E" w:rsidRDefault="00C126FA">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0288" behindDoc="0" locked="0" layoutInCell="1" hidden="0" allowOverlap="1" wp14:anchorId="078D69E4" wp14:editId="5723F5D1">
              <wp:simplePos x="0" y="0"/>
              <wp:positionH relativeFrom="page">
                <wp:align>center</wp:align>
              </wp:positionH>
              <wp:positionV relativeFrom="page">
                <wp:align>top</wp:align>
              </wp:positionV>
              <wp:extent cx="453390" cy="453390"/>
              <wp:effectExtent l="0" t="0" r="0" b="0"/>
              <wp:wrapNone/>
              <wp:docPr id="6" name="Rectangle 6" descr="Confidential Ex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9911CAB" w14:textId="77777777" w:rsidR="00167A6E" w:rsidRDefault="00C126FA">
                          <w:pPr>
                            <w:spacing w:after="0" w:line="275" w:lineRule="auto"/>
                            <w:textDirection w:val="btLr"/>
                          </w:pPr>
                          <w:r>
                            <w:rPr>
                              <w:rFonts w:cs="Calibri"/>
                              <w:color w:val="000000"/>
                              <w:sz w:val="20"/>
                            </w:rPr>
                            <w:t>Confidential External</w:t>
                          </w:r>
                        </w:p>
                      </w:txbxContent>
                    </wps:txbx>
                    <wps:bodyPr spcFirstLastPara="1" wrap="square" lIns="0" tIns="190500" rIns="0" bIns="0" anchor="t" anchorCtr="0">
                      <a:noAutofit/>
                    </wps:bodyPr>
                  </wps:wsp>
                </a:graphicData>
              </a:graphic>
            </wp:anchor>
          </w:drawing>
        </mc:Choice>
        <mc:Fallback>
          <w:pict>
            <v:rect w14:anchorId="078D69E4" id="Rectangle 6" o:spid="_x0000_s1026" alt="Confidential External" style="position:absolute;margin-left:0;margin-top:0;width:35.7pt;height:35.7pt;z-index:25166028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" filled="f" stroked="f">
              <v:textbox inset="0,15pt,0,0">
                <w:txbxContent>
                  <w:p w14:paraId="69911CAB" w14:textId="77777777" w:rsidR="00167A6E" w:rsidRDefault="00C126FA">
                    <w:pPr>
                      <w:spacing w:after="0" w:line="275" w:lineRule="auto"/>
                      <w:textDirection w:val="btLr"/>
                    </w:pPr>
                    <w:r>
                      <w:rPr>
                        <w:rFonts w:cs="Calibri"/>
                        <w:color w:val="000000"/>
                        <w:sz w:val="20"/>
                      </w:rPr>
                      <w:t>Confidential External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D5F2" w14:textId="120B37F5" w:rsidR="00167A6E" w:rsidRDefault="00C126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hidden="0" allowOverlap="1" wp14:anchorId="199A304A" wp14:editId="4B3C8061">
              <wp:simplePos x="0" y="0"/>
              <wp:positionH relativeFrom="page">
                <wp:posOffset>3190875</wp:posOffset>
              </wp:positionH>
              <wp:positionV relativeFrom="page">
                <wp:posOffset>0</wp:posOffset>
              </wp:positionV>
              <wp:extent cx="1224915" cy="443865"/>
              <wp:effectExtent l="0" t="0" r="13335" b="13335"/>
              <wp:wrapNone/>
              <wp:docPr id="5" name="Rectangle 5" descr="Confidential External"/>
              <wp:cNvGraphicFramePr/>
              <a:graphic xmlns:a="http://schemas.openxmlformats.org/drawingml/2006/main">
                <a:graphicData uri="http://schemas.microsoft.com/office/word/2010/wordprocessingShape">
                  <wps:wsp>
                    <wps:cNvSpPr/>
                    <wps:spPr>
                      <a:xfrm>
                        <a:off x="0" y="0"/>
                        <a:ext cx="1224915" cy="443865"/>
                      </a:xfrm>
                      <a:prstGeom prst="rect">
                        <a:avLst/>
                      </a:prstGeom>
                      <a:noFill/>
                      <a:ln>
                        <a:noFill/>
                      </a:ln>
                    </wps:spPr>
                    <wps:txbx>
                      <w:txbxContent>
                        <w:p w14:paraId="213D410F" w14:textId="77777777" w:rsidR="00167A6E" w:rsidRDefault="00C126FA">
                          <w:pPr>
                            <w:spacing w:after="0" w:line="275" w:lineRule="auto"/>
                            <w:textDirection w:val="btLr"/>
                          </w:pPr>
                          <w:r>
                            <w:rPr>
                              <w:rFonts w:cs="Calibri"/>
                              <w:color w:val="000000"/>
                              <w:sz w:val="20"/>
                            </w:rPr>
                            <w:t>Confidential External</w:t>
                          </w:r>
                        </w:p>
                      </w:txbxContent>
                    </wps:txbx>
                    <wps:bodyPr spcFirstLastPara="1" wrap="square" lIns="0" tIns="19050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99A304A" id="Rectangle 5" o:spid="_x0000_s1027" alt="Confidential External" style="position:absolute;margin-left:251.25pt;margin-top:0;width:96.45pt;height:34.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" filled="f" stroked="f">
              <v:textbox inset="0,15pt,0,0">
                <w:txbxContent>
                  <w:p w14:paraId="213D410F" w14:textId="77777777" w:rsidR="00167A6E" w:rsidRDefault="00C126FA">
                    <w:pPr>
                      <w:spacing w:after="0" w:line="275" w:lineRule="auto"/>
                      <w:textDirection w:val="btLr"/>
                    </w:pPr>
                    <w:r>
                      <w:rPr>
                        <w:rFonts w:cs="Calibri"/>
                        <w:color w:val="000000"/>
                        <w:sz w:val="20"/>
                      </w:rPr>
                      <w:t>Confidential External</w:t>
                    </w:r>
                  </w:p>
                </w:txbxContent>
              </v:textbox>
              <w10:wrap anchorx="page" anchory="page"/>
            </v:rect>
          </w:pict>
        </mc:Fallback>
      </mc:AlternateContent>
    </w:r>
    <w:r>
      <w:rPr>
        <w:rFonts w:ascii="Arial" w:eastAsia="Arial" w:hAnsi="Arial" w:cs="Arial"/>
        <w:b/>
        <w:color w:val="000000"/>
        <w:sz w:val="20"/>
        <w:szCs w:val="20"/>
      </w:rPr>
      <w:t>Framework Schedule 6 (Order Form and Call-Off Schedules)</w:t>
    </w:r>
  </w:p>
  <w:p w14:paraId="7C938771" w14:textId="77777777" w:rsidR="00167A6E" w:rsidRDefault="00C126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F9C0" w14:textId="77777777" w:rsidR="00167A6E" w:rsidRDefault="00C126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9264" behindDoc="0" locked="0" layoutInCell="1" hidden="0" allowOverlap="1" wp14:anchorId="3C17D7A0" wp14:editId="79B7F4F5">
              <wp:simplePos x="0" y="0"/>
              <wp:positionH relativeFrom="page">
                <wp:align>center</wp:align>
              </wp:positionH>
              <wp:positionV relativeFrom="page">
                <wp:align>top</wp:align>
              </wp:positionV>
              <wp:extent cx="453390" cy="453390"/>
              <wp:effectExtent l="0" t="0" r="0" b="0"/>
              <wp:wrapNone/>
              <wp:docPr id="4" name="Rectangle 4" descr="Confidential Ex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AE9AE62" w14:textId="77777777" w:rsidR="00167A6E" w:rsidRDefault="00C126FA">
                          <w:pPr>
                            <w:spacing w:after="0" w:line="275" w:lineRule="auto"/>
                            <w:textDirection w:val="btLr"/>
                          </w:pPr>
                          <w:r>
                            <w:rPr>
                              <w:rFonts w:cs="Calibri"/>
                              <w:color w:val="000000"/>
                              <w:sz w:val="20"/>
                            </w:rPr>
                            <w:t>Confidential External</w:t>
                          </w:r>
                        </w:p>
                      </w:txbxContent>
                    </wps:txbx>
                    <wps:bodyPr spcFirstLastPara="1" wrap="square" lIns="0" tIns="190500" rIns="0" bIns="0" anchor="t" anchorCtr="0">
                      <a:noAutofit/>
                    </wps:bodyPr>
                  </wps:wsp>
                </a:graphicData>
              </a:graphic>
            </wp:anchor>
          </w:drawing>
        </mc:Choice>
        <mc:Fallback>
          <w:pict>
            <v:rect w14:anchorId="3C17D7A0" id="Rectangle 4" o:spid="_x0000_s1028" alt="Confidential External" style="position:absolute;margin-left:0;margin-top:0;width:35.7pt;height:35.7pt;z-index:251659264;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" filled="f" stroked="f">
              <v:textbox inset="0,15pt,0,0">
                <w:txbxContent>
                  <w:p w14:paraId="7AE9AE62" w14:textId="77777777" w:rsidR="00167A6E" w:rsidRDefault="00C126FA">
                    <w:pPr>
                      <w:spacing w:after="0" w:line="275" w:lineRule="auto"/>
                      <w:textDirection w:val="btLr"/>
                    </w:pPr>
                    <w:r>
                      <w:rPr>
                        <w:rFonts w:cs="Calibri"/>
                        <w:color w:val="000000"/>
                        <w:sz w:val="20"/>
                      </w:rPr>
                      <w:t>Confidential External</w:t>
                    </w:r>
                  </w:p>
                </w:txbxContent>
              </v:textbox>
              <w10:wrap anchorx="page" anchory="page"/>
            </v:rect>
          </w:pict>
        </mc:Fallback>
      </mc:AlternateContent>
    </w:r>
    <w:r>
      <w:rPr>
        <w:rFonts w:ascii="Arial" w:eastAsia="Arial" w:hAnsi="Arial" w:cs="Arial"/>
        <w:b/>
        <w:color w:val="000000"/>
        <w:sz w:val="20"/>
        <w:szCs w:val="20"/>
      </w:rPr>
      <w:t>Framework Schedule 6 (Order Form Template and Call-Off Schedules)</w:t>
    </w:r>
  </w:p>
  <w:p w14:paraId="738E0321" w14:textId="77777777" w:rsidR="00167A6E" w:rsidRDefault="00C126F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66FF1"/>
    <w:multiLevelType w:val="multilevel"/>
    <w:tmpl w:val="9816F84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257563"/>
    <w:multiLevelType w:val="multilevel"/>
    <w:tmpl w:val="5CB4B7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9AB51A1"/>
    <w:multiLevelType w:val="multilevel"/>
    <w:tmpl w:val="8BEC66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4C27A4"/>
    <w:multiLevelType w:val="multilevel"/>
    <w:tmpl w:val="13D66C0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6E"/>
    <w:rsid w:val="000C22DA"/>
    <w:rsid w:val="00167A6E"/>
    <w:rsid w:val="00282F40"/>
    <w:rsid w:val="00300771"/>
    <w:rsid w:val="003230F3"/>
    <w:rsid w:val="00350303"/>
    <w:rsid w:val="00352094"/>
    <w:rsid w:val="004672A5"/>
    <w:rsid w:val="00523685"/>
    <w:rsid w:val="008C1787"/>
    <w:rsid w:val="009F54CA"/>
    <w:rsid w:val="00A71A74"/>
    <w:rsid w:val="00AE242C"/>
    <w:rsid w:val="00C126FA"/>
    <w:rsid w:val="00D64DA7"/>
    <w:rsid w:val="00DE7354"/>
    <w:rsid w:val="00E153C9"/>
    <w:rsid w:val="00E4431F"/>
    <w:rsid w:val="00FC1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A12BC"/>
  <w15:docId w15:val="{D55C08BF-AC5B-464A-833C-B034A86D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cheduleTitleClause">
    <w:name w:val="Schedule Title Clause"/>
    <w:basedOn w:val="Normal"/>
    <w:rsid w:val="001E03CD"/>
    <w:pPr>
      <w:keepNext/>
      <w:tabs>
        <w:tab w:val="num" w:pos="2160"/>
      </w:tabs>
      <w:spacing w:before="240" w:after="240" w:line="300" w:lineRule="atLeast"/>
      <w:ind w:left="2160" w:hanging="720"/>
      <w:jc w:val="both"/>
      <w:outlineLvl w:val="0"/>
    </w:pPr>
    <w:rPr>
      <w:rFonts w:ascii="Arial" w:eastAsia="Times New Roman" w:hAnsi="Arial"/>
      <w:b/>
      <w:color w:val="000000"/>
      <w:kern w:val="28"/>
      <w:szCs w:val="20"/>
      <w:lang w:eastAsia="en-US"/>
    </w:rPr>
  </w:style>
  <w:style w:type="paragraph" w:customStyle="1" w:styleId="ScheduleUntitledsubclause1">
    <w:name w:val="Schedule Untitled subclause 1"/>
    <w:basedOn w:val="Normal"/>
    <w:rsid w:val="001E03CD"/>
    <w:pPr>
      <w:tabs>
        <w:tab w:val="num" w:pos="2880"/>
      </w:tabs>
      <w:spacing w:before="280" w:after="120" w:line="300" w:lineRule="atLeast"/>
      <w:ind w:left="2880" w:hanging="720"/>
      <w:jc w:val="both"/>
      <w:outlineLvl w:val="1"/>
    </w:pPr>
    <w:rPr>
      <w:rFonts w:ascii="Arial" w:eastAsia="Times New Roman" w:hAnsi="Arial"/>
      <w:color w:val="000000"/>
      <w:szCs w:val="20"/>
      <w:lang w:eastAsia="en-US"/>
    </w:rPr>
  </w:style>
  <w:style w:type="paragraph" w:customStyle="1" w:styleId="ScheduleUntitledsubclause2">
    <w:name w:val="Schedule Untitled subclause 2"/>
    <w:basedOn w:val="Normal"/>
    <w:rsid w:val="001E03CD"/>
    <w:pPr>
      <w:tabs>
        <w:tab w:val="num" w:pos="3600"/>
      </w:tabs>
      <w:spacing w:after="120" w:line="300" w:lineRule="atLeast"/>
      <w:ind w:left="3600" w:hanging="720"/>
      <w:jc w:val="both"/>
      <w:outlineLvl w:val="2"/>
    </w:pPr>
    <w:rPr>
      <w:rFonts w:ascii="Arial" w:eastAsia="Times New Roman" w:hAnsi="Arial"/>
      <w:color w:val="000000"/>
      <w:szCs w:val="20"/>
      <w:lang w:eastAsia="en-US"/>
    </w:rPr>
  </w:style>
  <w:style w:type="paragraph" w:customStyle="1" w:styleId="ScheduleUntitledsubclause3">
    <w:name w:val="Schedule Untitled subclause 3"/>
    <w:basedOn w:val="Normal"/>
    <w:rsid w:val="001E03CD"/>
    <w:pPr>
      <w:tabs>
        <w:tab w:val="left" w:pos="2261"/>
        <w:tab w:val="num" w:pos="4320"/>
      </w:tabs>
      <w:spacing w:after="120" w:line="300" w:lineRule="atLeast"/>
      <w:ind w:left="4320" w:hanging="720"/>
      <w:jc w:val="both"/>
      <w:outlineLvl w:val="3"/>
    </w:pPr>
    <w:rPr>
      <w:rFonts w:ascii="Arial" w:eastAsia="Times New Roman" w:hAnsi="Arial"/>
      <w:color w:val="000000"/>
      <w:szCs w:val="20"/>
      <w:lang w:eastAsia="en-US"/>
    </w:rPr>
  </w:style>
  <w:style w:type="paragraph" w:customStyle="1" w:styleId="Schedule">
    <w:name w:val="Schedule"/>
    <w:qFormat/>
    <w:rsid w:val="001E03CD"/>
    <w:pPr>
      <w:tabs>
        <w:tab w:val="num" w:pos="720"/>
      </w:tabs>
      <w:spacing w:before="240" w:after="240" w:line="240" w:lineRule="atLeast"/>
      <w:ind w:left="720" w:hanging="720"/>
    </w:pPr>
    <w:rPr>
      <w:rFonts w:ascii="Arial" w:eastAsia="Times New Roman" w:hAnsi="Arial" w:cs="Times New Roman"/>
      <w:b/>
      <w:color w:val="000000"/>
      <w:lang w:val="en-US" w:eastAsia="en-US"/>
    </w:rPr>
  </w:style>
  <w:style w:type="paragraph" w:customStyle="1" w:styleId="Part">
    <w:name w:val="Part"/>
    <w:basedOn w:val="Normal"/>
    <w:qFormat/>
    <w:rsid w:val="001E03CD"/>
    <w:pPr>
      <w:tabs>
        <w:tab w:val="num" w:pos="1440"/>
      </w:tabs>
      <w:spacing w:before="240" w:after="240" w:line="300" w:lineRule="atLeast"/>
      <w:ind w:left="1440" w:hanging="720"/>
    </w:pPr>
    <w:rPr>
      <w:rFonts w:ascii="Arial" w:eastAsia="Times New Roman" w:hAnsi="Arial"/>
      <w:b/>
      <w:color w:val="000000"/>
      <w:szCs w:val="20"/>
      <w:lang w:eastAsia="en-US"/>
    </w:rPr>
  </w:style>
  <w:style w:type="paragraph" w:customStyle="1" w:styleId="GPSSchTitleandNumber">
    <w:name w:val="GPS Sch Title and Number"/>
    <w:basedOn w:val="Normal"/>
    <w:link w:val="GPSSchTitleandNumberChar"/>
    <w:qFormat/>
    <w:rsid w:val="001E03CD"/>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1E03CD"/>
    <w:rPr>
      <w:rFonts w:ascii="Arial Bold" w:eastAsia="STZhongsong" w:hAnsi="Arial Bold" w:cs="Times New Roman"/>
      <w:b/>
      <w:caps/>
      <w:lang w:eastAsia="zh-CN"/>
    </w:rPr>
  </w:style>
  <w:style w:type="character" w:styleId="Hyperlink">
    <w:name w:val="Hyperlink"/>
    <w:basedOn w:val="DefaultParagraphFont"/>
    <w:uiPriority w:val="99"/>
    <w:unhideWhenUsed/>
    <w:rsid w:val="001E03CD"/>
    <w:rPr>
      <w:color w:val="0000FF" w:themeColor="hyperlink"/>
      <w:u w:val="single"/>
    </w:r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036812">
      <w:bodyDiv w:val="1"/>
      <w:marLeft w:val="0"/>
      <w:marRight w:val="0"/>
      <w:marTop w:val="0"/>
      <w:marBottom w:val="0"/>
      <w:divBdr>
        <w:top w:val="none" w:sz="0" w:space="0" w:color="auto"/>
        <w:left w:val="none" w:sz="0" w:space="0" w:color="auto"/>
        <w:bottom w:val="none" w:sz="0" w:space="0" w:color="auto"/>
        <w:right w:val="none" w:sz="0" w:space="0" w:color="auto"/>
      </w:divBdr>
    </w:div>
    <w:div w:id="1524635720">
      <w:bodyDiv w:val="1"/>
      <w:marLeft w:val="0"/>
      <w:marRight w:val="0"/>
      <w:marTop w:val="0"/>
      <w:marBottom w:val="0"/>
      <w:divBdr>
        <w:top w:val="none" w:sz="0" w:space="0" w:color="auto"/>
        <w:left w:val="none" w:sz="0" w:space="0" w:color="auto"/>
        <w:bottom w:val="none" w:sz="0" w:space="0" w:color="auto"/>
        <w:right w:val="none" w:sz="0" w:space="0" w:color="auto"/>
      </w:divBdr>
      <w:divsChild>
        <w:div w:id="164590219">
          <w:marLeft w:val="0"/>
          <w:marRight w:val="0"/>
          <w:marTop w:val="0"/>
          <w:marBottom w:val="0"/>
          <w:divBdr>
            <w:top w:val="none" w:sz="0" w:space="0" w:color="auto"/>
            <w:left w:val="none" w:sz="0" w:space="0" w:color="auto"/>
            <w:bottom w:val="none" w:sz="0" w:space="0" w:color="auto"/>
            <w:right w:val="none" w:sz="0" w:space="0" w:color="auto"/>
          </w:divBdr>
        </w:div>
        <w:div w:id="1984848688">
          <w:marLeft w:val="0"/>
          <w:marRight w:val="0"/>
          <w:marTop w:val="0"/>
          <w:marBottom w:val="0"/>
          <w:divBdr>
            <w:top w:val="none" w:sz="0" w:space="0" w:color="auto"/>
            <w:left w:val="none" w:sz="0" w:space="0" w:color="auto"/>
            <w:bottom w:val="none" w:sz="0" w:space="0" w:color="auto"/>
            <w:right w:val="none" w:sz="0" w:space="0" w:color="auto"/>
          </w:divBdr>
        </w:div>
      </w:divsChild>
    </w:div>
    <w:div w:id="1823815778">
      <w:bodyDiv w:val="1"/>
      <w:marLeft w:val="0"/>
      <w:marRight w:val="0"/>
      <w:marTop w:val="0"/>
      <w:marBottom w:val="0"/>
      <w:divBdr>
        <w:top w:val="none" w:sz="0" w:space="0" w:color="auto"/>
        <w:left w:val="none" w:sz="0" w:space="0" w:color="auto"/>
        <w:bottom w:val="none" w:sz="0" w:space="0" w:color="auto"/>
        <w:right w:val="none" w:sz="0" w:space="0" w:color="auto"/>
      </w:divBdr>
      <w:divsChild>
        <w:div w:id="179205783">
          <w:marLeft w:val="0"/>
          <w:marRight w:val="0"/>
          <w:marTop w:val="0"/>
          <w:marBottom w:val="0"/>
          <w:divBdr>
            <w:top w:val="none" w:sz="0" w:space="0" w:color="auto"/>
            <w:left w:val="none" w:sz="0" w:space="0" w:color="auto"/>
            <w:bottom w:val="none" w:sz="0" w:space="0" w:color="auto"/>
            <w:right w:val="none" w:sz="0" w:space="0" w:color="auto"/>
          </w:divBdr>
        </w:div>
      </w:divsChild>
    </w:div>
    <w:div w:id="2134516069">
      <w:bodyDiv w:val="1"/>
      <w:marLeft w:val="0"/>
      <w:marRight w:val="0"/>
      <w:marTop w:val="0"/>
      <w:marBottom w:val="0"/>
      <w:divBdr>
        <w:top w:val="none" w:sz="0" w:space="0" w:color="auto"/>
        <w:left w:val="none" w:sz="0" w:space="0" w:color="auto"/>
        <w:bottom w:val="none" w:sz="0" w:space="0" w:color="auto"/>
        <w:right w:val="none" w:sz="0" w:space="0" w:color="auto"/>
      </w:divBdr>
      <w:divsChild>
        <w:div w:id="162821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pvWz5XEJMTF7n1upvPg20bnrqQ==">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Charlotte Rowe</cp:lastModifiedBy>
  <cp:revision>4</cp:revision>
  <dcterms:created xsi:type="dcterms:W3CDTF">2025-05-07T11:47:00Z</dcterms:created>
  <dcterms:modified xsi:type="dcterms:W3CDTF">2025-05-19T12:28:00Z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Confidential External</vt:lpwstr>
  </property>
  <property fmtid="{D5CDD505-2E9C-101B-9397-08002B2CF9AE}" pid="6" name="ContentTypeId">
    <vt:lpwstr>0x01010014B1F7F261C2CF4C9F2D0719D32FF111</vt:lpwstr>
  </property>
  <property fmtid="{D5CDD505-2E9C-101B-9397-08002B2CF9AE}" pid="7" name="_dlc_DocIdItemGuid">
    <vt:lpwstr>2b23cd74-ae80-4068-8955-3185b0144f17</vt:lpwstr>
  </property>
  <property fmtid="{D5CDD505-2E9C-101B-9397-08002B2CF9AE}" pid="8" name="MediaServiceImageTags">
    <vt:lpwstr/>
  </property>
</Properties>
</file>