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E7" w:rsidRPr="00700BE7" w:rsidRDefault="00700BE7" w:rsidP="00700BE7">
      <w:pPr>
        <w:spacing w:after="120"/>
        <w:contextualSpacing/>
        <w:rPr>
          <w:rFonts w:ascii="Arial" w:eastAsiaTheme="minorHAnsi" w:hAnsi="Arial" w:cs="Arial"/>
          <w:b/>
          <w:color w:val="1F497D"/>
        </w:rPr>
      </w:pPr>
      <w:r w:rsidRPr="00700BE7">
        <w:rPr>
          <w:rFonts w:ascii="Arial" w:eastAsiaTheme="minorHAnsi" w:hAnsi="Arial" w:cs="Arial"/>
          <w:b/>
          <w:color w:val="1F497D"/>
        </w:rPr>
        <w:t>INVITATION TO TENDER (ITT) for delivering and managing the Fosterline service in England</w:t>
      </w:r>
    </w:p>
    <w:p w:rsidR="00700BE7" w:rsidRPr="00700BE7" w:rsidRDefault="00700BE7" w:rsidP="00700BE7">
      <w:pPr>
        <w:spacing w:after="120"/>
        <w:contextualSpacing/>
        <w:rPr>
          <w:rFonts w:ascii="Arial" w:eastAsiaTheme="minorHAnsi" w:hAnsi="Arial" w:cs="Arial"/>
          <w:b/>
          <w:color w:val="1F497D"/>
        </w:rPr>
      </w:pPr>
    </w:p>
    <w:p w:rsidR="00700BE7" w:rsidRPr="00700BE7" w:rsidRDefault="00700BE7" w:rsidP="00700BE7">
      <w:pPr>
        <w:spacing w:after="120"/>
        <w:contextualSpacing/>
        <w:rPr>
          <w:rFonts w:ascii="Arial" w:eastAsiaTheme="minorHAnsi" w:hAnsi="Arial" w:cs="Arial"/>
          <w:b/>
          <w:color w:val="1F497D"/>
        </w:rPr>
      </w:pPr>
      <w:r w:rsidRPr="00700BE7">
        <w:rPr>
          <w:rFonts w:ascii="Arial" w:eastAsiaTheme="minorHAnsi" w:hAnsi="Arial" w:cs="Arial"/>
          <w:b/>
          <w:color w:val="1F497D"/>
        </w:rPr>
        <w:t>Q &amp; A</w:t>
      </w:r>
    </w:p>
    <w:p w:rsidR="00700BE7" w:rsidRDefault="00700BE7" w:rsidP="00700BE7"/>
    <w:p w:rsidR="00700BE7" w:rsidRPr="00C94590" w:rsidRDefault="00700BE7" w:rsidP="006A41EA">
      <w:pPr>
        <w:pStyle w:val="ListParagraph"/>
        <w:numPr>
          <w:ilvl w:val="0"/>
          <w:numId w:val="4"/>
        </w:numPr>
        <w:spacing w:after="120"/>
        <w:rPr>
          <w:b/>
          <w:color w:val="17365D" w:themeColor="text2" w:themeShade="BF"/>
        </w:rPr>
      </w:pPr>
      <w:r w:rsidRPr="00C94590">
        <w:rPr>
          <w:b/>
          <w:color w:val="17365D" w:themeColor="text2" w:themeShade="BF"/>
        </w:rPr>
        <w:t xml:space="preserve">How will the Department ensure fair competition for this tender, enabling transfer of assets in time for service delivery from 01 May 2016?  For example, an employer must provide a new employer with TUPE information 4 weeks before transfer. The interim between decision date and required delivery date is only 20 days, before considering any standstill period. </w:t>
      </w:r>
    </w:p>
    <w:p w:rsidR="00700BE7" w:rsidRPr="00C4572F" w:rsidRDefault="00700BE7" w:rsidP="006A41EA">
      <w:pPr>
        <w:spacing w:after="120"/>
        <w:ind w:left="720"/>
      </w:pPr>
      <w:r w:rsidRPr="00C4572F">
        <w:t>There is nothing to prevent a bidder from providing provisional TUPE notice to its employees as part of the bidding process, and that can happen now.</w:t>
      </w:r>
    </w:p>
    <w:p w:rsidR="00700BE7" w:rsidRPr="00C94590" w:rsidRDefault="00700BE7" w:rsidP="006A41EA">
      <w:pPr>
        <w:pStyle w:val="ListParagraph"/>
        <w:numPr>
          <w:ilvl w:val="0"/>
          <w:numId w:val="4"/>
        </w:numPr>
        <w:spacing w:after="120"/>
        <w:rPr>
          <w:b/>
          <w:color w:val="17365D" w:themeColor="text2" w:themeShade="BF"/>
        </w:rPr>
      </w:pPr>
      <w:r w:rsidRPr="00C94590">
        <w:rPr>
          <w:b/>
          <w:color w:val="17365D" w:themeColor="text2" w:themeShade="BF"/>
        </w:rPr>
        <w:t>Can the Department supply bidders with a full register of transferable assets and full register of contingent liabilities?</w:t>
      </w:r>
    </w:p>
    <w:p w:rsidR="00700BE7" w:rsidRPr="00C94590" w:rsidRDefault="00700BE7" w:rsidP="006A41EA">
      <w:pPr>
        <w:spacing w:after="120"/>
        <w:ind w:left="720"/>
      </w:pPr>
      <w:r w:rsidRPr="00C94590">
        <w:t>We are not able to specific a list of transferable assets as the incumbent supplier’s contract is for service provision only, any assets are owned by the incumbent supplier.</w:t>
      </w:r>
    </w:p>
    <w:p w:rsidR="00700BE7" w:rsidRPr="00C94590" w:rsidRDefault="00700BE7" w:rsidP="006A41EA">
      <w:pPr>
        <w:spacing w:after="120"/>
        <w:ind w:left="720"/>
      </w:pPr>
      <w:r w:rsidRPr="00C94590">
        <w:t xml:space="preserve">Each bidder must make a judgement based on the scope of specification of the scale of </w:t>
      </w:r>
      <w:proofErr w:type="gramStart"/>
      <w:r w:rsidRPr="00C94590">
        <w:t>risk,</w:t>
      </w:r>
      <w:proofErr w:type="gramEnd"/>
      <w:r w:rsidRPr="00C94590">
        <w:t xml:space="preserve"> this includes contingent liabilities that it would be entering into as part of the bidding process.  We are unable to provide a list of contingent liabilities.</w:t>
      </w:r>
    </w:p>
    <w:p w:rsidR="00700BE7" w:rsidRPr="00C94590" w:rsidRDefault="00700BE7" w:rsidP="006A41EA">
      <w:pPr>
        <w:pStyle w:val="ListParagraph"/>
        <w:numPr>
          <w:ilvl w:val="0"/>
          <w:numId w:val="4"/>
        </w:numPr>
        <w:spacing w:after="120"/>
        <w:rPr>
          <w:b/>
          <w:color w:val="17365D" w:themeColor="text2" w:themeShade="BF"/>
        </w:rPr>
      </w:pPr>
      <w:r w:rsidRPr="00C94590">
        <w:rPr>
          <w:b/>
          <w:color w:val="17365D" w:themeColor="text2" w:themeShade="BF"/>
        </w:rPr>
        <w:t xml:space="preserve">Regarding the self-financing model, beyond 30 April 2018: to what extent must the service continue to meet the current specifications, and for how long? </w:t>
      </w:r>
    </w:p>
    <w:p w:rsidR="00C4572F" w:rsidRPr="00C94590" w:rsidRDefault="00700BE7" w:rsidP="006A41EA">
      <w:pPr>
        <w:pStyle w:val="ListParagraph"/>
        <w:spacing w:after="120"/>
      </w:pPr>
      <w:r w:rsidRPr="00C94590">
        <w:t>The service should meet the minimum criteria outlined in the specification up to the end of the funding period.  Beyond that we have not set a minimum level of service delivery.</w:t>
      </w:r>
    </w:p>
    <w:p w:rsidR="00700BE7" w:rsidRPr="00C94590" w:rsidRDefault="00700BE7" w:rsidP="006A41EA">
      <w:pPr>
        <w:pStyle w:val="ListParagraph"/>
        <w:numPr>
          <w:ilvl w:val="0"/>
          <w:numId w:val="4"/>
        </w:numPr>
        <w:spacing w:after="120"/>
        <w:rPr>
          <w:b/>
          <w:color w:val="17365D" w:themeColor="text2" w:themeShade="BF"/>
        </w:rPr>
      </w:pPr>
      <w:r w:rsidRPr="00C94590">
        <w:rPr>
          <w:b/>
          <w:color w:val="17365D" w:themeColor="text2" w:themeShade="BF"/>
        </w:rPr>
        <w:t xml:space="preserve">Will IP reside with the Crown or pass to the current supplier? </w:t>
      </w:r>
    </w:p>
    <w:p w:rsidR="00700BE7" w:rsidRPr="00C94590" w:rsidRDefault="00700BE7" w:rsidP="006A41EA">
      <w:pPr>
        <w:spacing w:after="120"/>
        <w:ind w:left="720"/>
      </w:pPr>
      <w:r w:rsidRPr="00C94590">
        <w:t>The trade mark Fosterline is owned by DfE.  We may decide to provide the use of that trade mark beyond 30</w:t>
      </w:r>
      <w:r w:rsidRPr="00C94590">
        <w:rPr>
          <w:vertAlign w:val="superscript"/>
        </w:rPr>
        <w:t>th</w:t>
      </w:r>
      <w:r w:rsidRPr="00C94590">
        <w:t xml:space="preserve"> April 2017 on a royalty free annually renewable basis subject to negotiation of the service delivery. </w:t>
      </w:r>
    </w:p>
    <w:p w:rsidR="00700BE7" w:rsidRPr="00C94590" w:rsidRDefault="00700BE7" w:rsidP="006A41EA">
      <w:pPr>
        <w:pStyle w:val="ListParagraph"/>
        <w:numPr>
          <w:ilvl w:val="0"/>
          <w:numId w:val="4"/>
        </w:numPr>
        <w:spacing w:after="120"/>
        <w:rPr>
          <w:b/>
          <w:color w:val="17365D" w:themeColor="text2" w:themeShade="BF"/>
        </w:rPr>
      </w:pPr>
      <w:r w:rsidRPr="00C94590">
        <w:rPr>
          <w:b/>
          <w:color w:val="17365D" w:themeColor="text2" w:themeShade="BF"/>
        </w:rPr>
        <w:t>Will the Department expect or welcome ongoing management reporting?</w:t>
      </w:r>
    </w:p>
    <w:p w:rsidR="00700BE7" w:rsidRPr="00C94590" w:rsidRDefault="00700BE7" w:rsidP="006A41EA">
      <w:pPr>
        <w:spacing w:after="120"/>
        <w:ind w:firstLine="720"/>
      </w:pPr>
      <w:r w:rsidRPr="00C94590">
        <w:t>This is linked to the license agreement negotiated.</w:t>
      </w:r>
    </w:p>
    <w:p w:rsidR="00700BE7" w:rsidRPr="00C94590" w:rsidRDefault="00700BE7" w:rsidP="006A41EA">
      <w:pPr>
        <w:pStyle w:val="ListParagraph"/>
        <w:numPr>
          <w:ilvl w:val="0"/>
          <w:numId w:val="4"/>
        </w:numPr>
        <w:spacing w:after="120"/>
        <w:rPr>
          <w:b/>
          <w:color w:val="17365D" w:themeColor="text2" w:themeShade="BF"/>
        </w:rPr>
      </w:pPr>
      <w:r w:rsidRPr="00C94590">
        <w:rPr>
          <w:b/>
          <w:color w:val="17365D" w:themeColor="text2" w:themeShade="BF"/>
        </w:rPr>
        <w:t>Regarding Anticipated Service usage based on historic figures (B.9 (3)): can you confirm that the number of annual website visits is anticipated to equal enquiries through webform and email? This does not appear to concur with current service evaluation.</w:t>
      </w:r>
    </w:p>
    <w:p w:rsidR="00700BE7" w:rsidRPr="006A41EA" w:rsidRDefault="006A41EA" w:rsidP="006A41EA">
      <w:pPr>
        <w:pStyle w:val="ListParagraph"/>
        <w:spacing w:after="120"/>
      </w:pPr>
      <w:r>
        <w:t>Based on current usage figures it is likely that website visits will continue to increase.</w:t>
      </w:r>
    </w:p>
    <w:p w:rsidR="00700BE7" w:rsidRPr="00C94590" w:rsidRDefault="00700BE7" w:rsidP="006A41EA">
      <w:pPr>
        <w:pStyle w:val="ListParagraph"/>
        <w:numPr>
          <w:ilvl w:val="0"/>
          <w:numId w:val="4"/>
        </w:numPr>
        <w:spacing w:after="120"/>
        <w:rPr>
          <w:b/>
          <w:color w:val="17365D" w:themeColor="text2" w:themeShade="BF"/>
        </w:rPr>
      </w:pPr>
      <w:r w:rsidRPr="00C94590">
        <w:rPr>
          <w:b/>
          <w:color w:val="17365D" w:themeColor="text2" w:themeShade="BF"/>
        </w:rPr>
        <w:t>Should the response be in Arial 11 or 12 point? The guidance specifies both.</w:t>
      </w:r>
    </w:p>
    <w:p w:rsidR="00E6780C" w:rsidRDefault="00700BE7" w:rsidP="006A41EA">
      <w:pPr>
        <w:pStyle w:val="ListParagraph"/>
        <w:spacing w:after="120"/>
      </w:pPr>
      <w:proofErr w:type="gramStart"/>
      <w:r w:rsidRPr="00C4572F">
        <w:t>Arial 11 pt.</w:t>
      </w:r>
      <w:proofErr w:type="gramEnd"/>
    </w:p>
    <w:p w:rsidR="006A41EA" w:rsidRPr="006A41EA" w:rsidRDefault="006A41EA" w:rsidP="006A41EA">
      <w:pPr>
        <w:pStyle w:val="ListParagraph"/>
        <w:numPr>
          <w:ilvl w:val="0"/>
          <w:numId w:val="4"/>
        </w:numPr>
        <w:spacing w:after="120"/>
        <w:rPr>
          <w:b/>
          <w:color w:val="002060"/>
        </w:rPr>
      </w:pPr>
      <w:r>
        <w:rPr>
          <w:b/>
          <w:color w:val="002060"/>
        </w:rPr>
        <w:t>ITT Document 2, Section 2</w:t>
      </w:r>
      <w:r w:rsidRPr="006A41EA">
        <w:rPr>
          <w:b/>
          <w:color w:val="002060"/>
        </w:rPr>
        <w:t xml:space="preserve"> </w:t>
      </w:r>
      <w:r>
        <w:rPr>
          <w:b/>
          <w:color w:val="002060"/>
        </w:rPr>
        <w:t>requests a Management Summary. What should be included and is there a page limit?</w:t>
      </w:r>
    </w:p>
    <w:p w:rsidR="006A41EA" w:rsidRPr="006A41EA" w:rsidRDefault="00A922F9" w:rsidP="006A41EA">
      <w:pPr>
        <w:pStyle w:val="ListParagraph"/>
        <w:spacing w:after="120"/>
      </w:pPr>
      <w:r>
        <w:t>This should be an overview of your bid, on one side of A4.</w:t>
      </w:r>
    </w:p>
    <w:p w:rsidR="00090412" w:rsidRDefault="00090412" w:rsidP="006A41EA">
      <w:pPr>
        <w:pStyle w:val="ListParagraph"/>
        <w:spacing w:after="120"/>
      </w:pPr>
      <w:bookmarkStart w:id="0" w:name="_GoBack"/>
      <w:bookmarkEnd w:id="0"/>
    </w:p>
    <w:p w:rsidR="00090412" w:rsidRDefault="00090412" w:rsidP="006A41EA">
      <w:pPr>
        <w:pStyle w:val="ListParagraph"/>
        <w:spacing w:after="120"/>
      </w:pPr>
    </w:p>
    <w:sectPr w:rsidR="00090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73F33"/>
    <w:multiLevelType w:val="hybridMultilevel"/>
    <w:tmpl w:val="AC70F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77870"/>
    <w:multiLevelType w:val="hybridMultilevel"/>
    <w:tmpl w:val="95FEC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E05A4"/>
    <w:multiLevelType w:val="hybridMultilevel"/>
    <w:tmpl w:val="03E0F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E7"/>
    <w:rsid w:val="00090412"/>
    <w:rsid w:val="00157E0E"/>
    <w:rsid w:val="004641F6"/>
    <w:rsid w:val="004C0E03"/>
    <w:rsid w:val="004D3BA4"/>
    <w:rsid w:val="0056264C"/>
    <w:rsid w:val="006A41EA"/>
    <w:rsid w:val="00700BE7"/>
    <w:rsid w:val="007572BC"/>
    <w:rsid w:val="00A922F9"/>
    <w:rsid w:val="00C157AD"/>
    <w:rsid w:val="00C4572F"/>
    <w:rsid w:val="00C94590"/>
    <w:rsid w:val="00D0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BE7"/>
    <w:pPr>
      <w:spacing w:after="0" w:line="240" w:lineRule="auto"/>
    </w:pPr>
    <w:rPr>
      <w:rFonts w:ascii="Calibri" w:eastAsia="Calibri" w:hAnsi="Calibri" w:cs="Times New Roman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BE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BE7"/>
    <w:pPr>
      <w:spacing w:after="0" w:line="240" w:lineRule="auto"/>
    </w:pPr>
    <w:rPr>
      <w:rFonts w:ascii="Calibri" w:eastAsia="Calibri" w:hAnsi="Calibri" w:cs="Times New Roman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B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6232F5DE</Template>
  <TotalTime>52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Vivienne</dc:creator>
  <cp:lastModifiedBy>WALKER, Vivienne</cp:lastModifiedBy>
  <cp:revision>6</cp:revision>
  <cp:lastPrinted>2016-03-21T11:50:00Z</cp:lastPrinted>
  <dcterms:created xsi:type="dcterms:W3CDTF">2016-03-21T11:31:00Z</dcterms:created>
  <dcterms:modified xsi:type="dcterms:W3CDTF">2016-03-22T14:13:00Z</dcterms:modified>
</cp:coreProperties>
</file>