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76850" w14:textId="4E93936E" w:rsidR="00B16652" w:rsidRPr="001B5D2D" w:rsidRDefault="00F74CAF" w:rsidP="00F74CAF">
      <w:pPr>
        <w:jc w:val="center"/>
        <w:rPr>
          <w:rFonts w:ascii="Arial" w:hAnsi="Arial" w:cs="Arial"/>
          <w:u w:val="single"/>
        </w:rPr>
      </w:pPr>
      <w:r w:rsidRPr="001B5D2D">
        <w:rPr>
          <w:rFonts w:ascii="Arial" w:hAnsi="Arial" w:cs="Arial"/>
          <w:u w:val="single"/>
        </w:rPr>
        <w:t xml:space="preserve">Market Engagement for Urgent Dental Care </w:t>
      </w:r>
      <w:r w:rsidR="00921675">
        <w:rPr>
          <w:rFonts w:ascii="Arial" w:hAnsi="Arial" w:cs="Arial"/>
          <w:u w:val="single"/>
        </w:rPr>
        <w:t>Service</w:t>
      </w:r>
      <w:r w:rsidR="00921675" w:rsidRPr="001B5D2D">
        <w:rPr>
          <w:rFonts w:ascii="Arial" w:hAnsi="Arial" w:cs="Arial"/>
          <w:u w:val="single"/>
        </w:rPr>
        <w:t xml:space="preserve">s </w:t>
      </w:r>
      <w:r w:rsidRPr="001B5D2D">
        <w:rPr>
          <w:rFonts w:ascii="Arial" w:hAnsi="Arial" w:cs="Arial"/>
          <w:u w:val="single"/>
        </w:rPr>
        <w:t>– London Region</w:t>
      </w:r>
    </w:p>
    <w:p w14:paraId="015F1835" w14:textId="38306652" w:rsidR="00F74CAF" w:rsidRPr="001B5D2D" w:rsidRDefault="00F74CAF" w:rsidP="00F74CAF">
      <w:pPr>
        <w:jc w:val="center"/>
        <w:rPr>
          <w:rFonts w:ascii="Arial" w:hAnsi="Arial" w:cs="Arial"/>
          <w:u w:val="single"/>
        </w:rPr>
      </w:pPr>
    </w:p>
    <w:p w14:paraId="2821CFFC" w14:textId="0E8BCA84" w:rsidR="00F74CAF" w:rsidRDefault="00F74CAF" w:rsidP="00F74CAF">
      <w:pPr>
        <w:rPr>
          <w:rFonts w:ascii="Arial" w:hAnsi="Arial" w:cs="Arial"/>
        </w:rPr>
      </w:pPr>
      <w:r w:rsidRPr="001B5D2D">
        <w:rPr>
          <w:rFonts w:ascii="Arial" w:hAnsi="Arial" w:cs="Arial"/>
        </w:rPr>
        <w:t xml:space="preserve">NHS England London Region (hereafter referred to as "The Authority") invites interested, suitably qualified and experienced providers to attend a Market Engagement Event in advance of publication of Urgent Dental Care </w:t>
      </w:r>
      <w:r w:rsidR="00921675">
        <w:rPr>
          <w:rFonts w:ascii="Arial" w:hAnsi="Arial" w:cs="Arial"/>
        </w:rPr>
        <w:t>Service</w:t>
      </w:r>
      <w:r w:rsidR="00921675" w:rsidRPr="001B5D2D">
        <w:rPr>
          <w:rFonts w:ascii="Arial" w:hAnsi="Arial" w:cs="Arial"/>
        </w:rPr>
        <w:t xml:space="preserve">s </w:t>
      </w:r>
      <w:r w:rsidRPr="001B5D2D">
        <w:rPr>
          <w:rFonts w:ascii="Arial" w:hAnsi="Arial" w:cs="Arial"/>
        </w:rPr>
        <w:t>across London.</w:t>
      </w:r>
    </w:p>
    <w:tbl>
      <w:tblPr>
        <w:tblpPr w:leftFromText="180" w:rightFromText="180" w:vertAnchor="text" w:horzAnchor="margin" w:tblpY="549"/>
        <w:tblW w:w="0" w:type="auto"/>
        <w:tblCellMar>
          <w:left w:w="0" w:type="dxa"/>
          <w:right w:w="0" w:type="dxa"/>
        </w:tblCellMar>
        <w:tblLook w:val="04A0" w:firstRow="1" w:lastRow="0" w:firstColumn="1" w:lastColumn="0" w:noHBand="0" w:noVBand="1"/>
      </w:tblPr>
      <w:tblGrid>
        <w:gridCol w:w="1691"/>
        <w:gridCol w:w="1701"/>
        <w:gridCol w:w="3402"/>
        <w:gridCol w:w="2835"/>
        <w:gridCol w:w="3544"/>
      </w:tblGrid>
      <w:tr w:rsidR="00C95834" w:rsidRPr="00C95834" w14:paraId="2D195597" w14:textId="77777777" w:rsidTr="000367F7">
        <w:trPr>
          <w:trHeight w:val="300"/>
        </w:trPr>
        <w:tc>
          <w:tcPr>
            <w:tcW w:w="16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6904FF" w14:textId="77777777" w:rsidR="00C95834" w:rsidRPr="00C95834" w:rsidRDefault="00C95834" w:rsidP="00C95834">
            <w:pPr>
              <w:spacing w:after="0" w:line="240" w:lineRule="auto"/>
              <w:jc w:val="center"/>
              <w:rPr>
                <w:rFonts w:ascii="Calibri" w:eastAsia="Calibri" w:hAnsi="Calibri" w:cs="Calibri"/>
                <w:b/>
                <w:bCs/>
                <w:color w:val="000000"/>
                <w:lang w:eastAsia="en-GB"/>
              </w:rPr>
            </w:pPr>
            <w:r w:rsidRPr="00C95834">
              <w:rPr>
                <w:rFonts w:ascii="Calibri" w:eastAsia="Calibri" w:hAnsi="Calibri" w:cs="Calibri"/>
                <w:b/>
                <w:bCs/>
                <w:color w:val="000000"/>
                <w:lang w:eastAsia="en-GB"/>
              </w:rPr>
              <w:t>NCL</w:t>
            </w:r>
          </w:p>
        </w:tc>
        <w:tc>
          <w:tcPr>
            <w:tcW w:w="17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F19077" w14:textId="77777777" w:rsidR="00C95834" w:rsidRPr="00C95834" w:rsidRDefault="00C95834" w:rsidP="00C95834">
            <w:pPr>
              <w:spacing w:after="0" w:line="240" w:lineRule="auto"/>
              <w:jc w:val="center"/>
              <w:rPr>
                <w:rFonts w:ascii="Calibri" w:eastAsia="Calibri" w:hAnsi="Calibri" w:cs="Calibri"/>
                <w:b/>
                <w:bCs/>
                <w:color w:val="000000"/>
                <w:lang w:eastAsia="en-GB"/>
              </w:rPr>
            </w:pPr>
            <w:r w:rsidRPr="00C95834">
              <w:rPr>
                <w:rFonts w:ascii="Calibri" w:eastAsia="Calibri" w:hAnsi="Calibri" w:cs="Calibri"/>
                <w:b/>
                <w:bCs/>
                <w:color w:val="000000"/>
                <w:lang w:eastAsia="en-GB"/>
              </w:rPr>
              <w:t>NEL</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40104D" w14:textId="77777777" w:rsidR="00C95834" w:rsidRPr="00C95834" w:rsidRDefault="00C95834" w:rsidP="00C95834">
            <w:pPr>
              <w:spacing w:after="0" w:line="240" w:lineRule="auto"/>
              <w:jc w:val="center"/>
              <w:rPr>
                <w:rFonts w:ascii="Calibri" w:eastAsia="Calibri" w:hAnsi="Calibri" w:cs="Calibri"/>
                <w:b/>
                <w:bCs/>
                <w:color w:val="000000"/>
                <w:lang w:eastAsia="en-GB"/>
              </w:rPr>
            </w:pPr>
            <w:r w:rsidRPr="00C95834">
              <w:rPr>
                <w:rFonts w:ascii="Calibri" w:eastAsia="Calibri" w:hAnsi="Calibri" w:cs="Calibri"/>
                <w:b/>
                <w:bCs/>
                <w:color w:val="000000"/>
                <w:lang w:eastAsia="en-GB"/>
              </w:rPr>
              <w:t>NWL</w:t>
            </w:r>
          </w:p>
        </w:tc>
        <w:tc>
          <w:tcPr>
            <w:tcW w:w="28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BE4978" w14:textId="77777777" w:rsidR="00C95834" w:rsidRPr="00C95834" w:rsidRDefault="00C95834" w:rsidP="00C95834">
            <w:pPr>
              <w:spacing w:after="0" w:line="240" w:lineRule="auto"/>
              <w:jc w:val="center"/>
              <w:rPr>
                <w:rFonts w:ascii="Calibri" w:eastAsia="Calibri" w:hAnsi="Calibri" w:cs="Calibri"/>
                <w:b/>
                <w:bCs/>
                <w:color w:val="000000"/>
                <w:lang w:eastAsia="en-GB"/>
              </w:rPr>
            </w:pPr>
            <w:r w:rsidRPr="00C95834">
              <w:rPr>
                <w:rFonts w:ascii="Calibri" w:eastAsia="Calibri" w:hAnsi="Calibri" w:cs="Calibri"/>
                <w:b/>
                <w:bCs/>
                <w:color w:val="000000"/>
                <w:lang w:eastAsia="en-GB"/>
              </w:rPr>
              <w:t>SEL</w:t>
            </w:r>
          </w:p>
        </w:tc>
        <w:tc>
          <w:tcPr>
            <w:tcW w:w="354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153EDC" w14:textId="77777777" w:rsidR="00C95834" w:rsidRPr="00C95834" w:rsidRDefault="00C95834" w:rsidP="00C95834">
            <w:pPr>
              <w:spacing w:after="0" w:line="240" w:lineRule="auto"/>
              <w:jc w:val="center"/>
              <w:rPr>
                <w:rFonts w:ascii="Calibri" w:eastAsia="Calibri" w:hAnsi="Calibri" w:cs="Calibri"/>
                <w:b/>
                <w:bCs/>
                <w:color w:val="000000"/>
                <w:lang w:eastAsia="en-GB"/>
              </w:rPr>
            </w:pPr>
            <w:r w:rsidRPr="00C95834">
              <w:rPr>
                <w:rFonts w:ascii="Calibri" w:eastAsia="Calibri" w:hAnsi="Calibri" w:cs="Calibri"/>
                <w:b/>
                <w:bCs/>
                <w:color w:val="000000"/>
                <w:lang w:eastAsia="en-GB"/>
              </w:rPr>
              <w:t>SWL</w:t>
            </w:r>
          </w:p>
        </w:tc>
      </w:tr>
      <w:tr w:rsidR="00C95834" w:rsidRPr="00C95834" w14:paraId="359045CF" w14:textId="77777777" w:rsidTr="000367F7">
        <w:trPr>
          <w:trHeight w:val="300"/>
        </w:trPr>
        <w:tc>
          <w:tcPr>
            <w:tcW w:w="16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F54943"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Barnet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86D26"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Barking</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03488"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Brent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C0433"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Bexley</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9D43F"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Croydon</w:t>
            </w:r>
          </w:p>
        </w:tc>
      </w:tr>
      <w:tr w:rsidR="00C95834" w:rsidRPr="00C95834" w14:paraId="15772683" w14:textId="77777777" w:rsidTr="000367F7">
        <w:trPr>
          <w:trHeight w:val="300"/>
        </w:trPr>
        <w:tc>
          <w:tcPr>
            <w:tcW w:w="16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D2F6A1"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Camden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4C75ED"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Dagenham</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54CD41"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Ealing</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530D61"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Bromley</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35291D"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Croydon</w:t>
            </w:r>
          </w:p>
        </w:tc>
      </w:tr>
      <w:tr w:rsidR="00C95834" w:rsidRPr="00C95834" w14:paraId="273EC39B" w14:textId="77777777" w:rsidTr="000367F7">
        <w:trPr>
          <w:trHeight w:val="300"/>
        </w:trPr>
        <w:tc>
          <w:tcPr>
            <w:tcW w:w="16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0D356D"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Enfield</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C75529"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Hackney</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AF970"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Ealing</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FF4C2"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Greenwich</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BDA3BA"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Kingston upon Thames</w:t>
            </w:r>
          </w:p>
        </w:tc>
      </w:tr>
      <w:tr w:rsidR="00C95834" w:rsidRPr="00C95834" w14:paraId="10EEC9EB" w14:textId="77777777" w:rsidTr="000367F7">
        <w:trPr>
          <w:trHeight w:val="300"/>
        </w:trPr>
        <w:tc>
          <w:tcPr>
            <w:tcW w:w="16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2CB28"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Haringey</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9879B2"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Havering</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19C66"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Hammersmith &amp; Fulham</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9BCEA"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Lambeth</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117E6"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Merton</w:t>
            </w:r>
          </w:p>
        </w:tc>
      </w:tr>
      <w:tr w:rsidR="00C95834" w:rsidRPr="00C95834" w14:paraId="399CAAF7" w14:textId="77777777" w:rsidTr="000367F7">
        <w:trPr>
          <w:trHeight w:val="300"/>
        </w:trPr>
        <w:tc>
          <w:tcPr>
            <w:tcW w:w="16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C4FD69"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Islington</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A7219"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Newham</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7F177"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Harrow</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37278A"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Lewisham</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F4B3A6"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Richmond upon Thames</w:t>
            </w:r>
          </w:p>
        </w:tc>
      </w:tr>
      <w:tr w:rsidR="00C95834" w:rsidRPr="00C95834" w14:paraId="2D4AC724" w14:textId="77777777" w:rsidTr="000367F7">
        <w:trPr>
          <w:trHeight w:val="300"/>
        </w:trPr>
        <w:tc>
          <w:tcPr>
            <w:tcW w:w="1691" w:type="dxa"/>
            <w:vMerge w:val="restart"/>
            <w:tcBorders>
              <w:top w:val="nil"/>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bottom"/>
            <w:hideMark/>
          </w:tcPr>
          <w:p w14:paraId="4A57A065" w14:textId="77777777" w:rsidR="00C95834" w:rsidRPr="00C95834" w:rsidRDefault="00C95834" w:rsidP="00C95834">
            <w:pPr>
              <w:spacing w:after="0" w:line="240" w:lineRule="auto"/>
              <w:jc w:val="center"/>
              <w:rPr>
                <w:rFonts w:ascii="Calibri" w:eastAsia="Calibri" w:hAnsi="Calibri" w:cs="Calibri"/>
                <w:color w:val="000000"/>
                <w:lang w:eastAsia="en-GB"/>
              </w:rPr>
            </w:pPr>
            <w:r w:rsidRPr="00C95834">
              <w:rPr>
                <w:rFonts w:ascii="Calibri" w:eastAsia="Calibri" w:hAnsi="Calibri" w:cs="Calibri"/>
                <w:color w:val="000000"/>
                <w:lang w:eastAsia="en-GB"/>
              </w:rPr>
              <w:t> </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1144A"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Newham</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642D4F"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Hillingdon</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2ADBAF"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Southwark</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A93F4"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Sutton</w:t>
            </w:r>
          </w:p>
        </w:tc>
      </w:tr>
      <w:tr w:rsidR="00C95834" w:rsidRPr="00C95834" w14:paraId="620CD7F1" w14:textId="77777777" w:rsidTr="000367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8C67F34" w14:textId="77777777" w:rsidR="00C95834" w:rsidRPr="00C95834" w:rsidRDefault="00C95834" w:rsidP="00C95834">
            <w:pPr>
              <w:spacing w:after="0" w:line="240" w:lineRule="auto"/>
              <w:rPr>
                <w:rFonts w:ascii="Calibri" w:eastAsia="Calibri" w:hAnsi="Calibri" w:cs="Calibri"/>
                <w:color w:val="000000"/>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0AC089"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Redbridge</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892F05"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Hounslow</w:t>
            </w:r>
          </w:p>
        </w:tc>
        <w:tc>
          <w:tcPr>
            <w:tcW w:w="2835"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bottom"/>
            <w:hideMark/>
          </w:tcPr>
          <w:p w14:paraId="16DDB832" w14:textId="77777777" w:rsidR="00C95834" w:rsidRPr="00C95834" w:rsidRDefault="00C95834" w:rsidP="00C95834">
            <w:pPr>
              <w:spacing w:after="0" w:line="240" w:lineRule="auto"/>
              <w:jc w:val="center"/>
              <w:rPr>
                <w:rFonts w:ascii="Calibri" w:eastAsia="Calibri" w:hAnsi="Calibri" w:cs="Calibri"/>
                <w:color w:val="000000"/>
                <w:lang w:eastAsia="en-GB"/>
              </w:rPr>
            </w:pPr>
            <w:r w:rsidRPr="00C95834">
              <w:rPr>
                <w:rFonts w:ascii="Calibri" w:eastAsia="Calibri" w:hAnsi="Calibri" w:cs="Calibri"/>
                <w:color w:val="000000"/>
                <w:lang w:eastAsia="en-GB"/>
              </w:rPr>
              <w:t> </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026C9"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Wandsworth</w:t>
            </w:r>
          </w:p>
        </w:tc>
      </w:tr>
      <w:tr w:rsidR="00C95834" w:rsidRPr="00C95834" w14:paraId="5F6C56F2" w14:textId="77777777" w:rsidTr="000367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1C51A1C" w14:textId="77777777" w:rsidR="00C95834" w:rsidRPr="00C95834" w:rsidRDefault="00C95834" w:rsidP="00C95834">
            <w:pPr>
              <w:spacing w:after="0" w:line="240" w:lineRule="auto"/>
              <w:rPr>
                <w:rFonts w:ascii="Calibri" w:eastAsia="Calibri" w:hAnsi="Calibri" w:cs="Calibri"/>
                <w:color w:val="000000"/>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76AAE"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Tower Hamlets</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146C20"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Kensington &amp; Chelsea</w:t>
            </w:r>
          </w:p>
        </w:tc>
        <w:tc>
          <w:tcPr>
            <w:tcW w:w="2835" w:type="dxa"/>
            <w:vMerge/>
            <w:tcBorders>
              <w:top w:val="nil"/>
              <w:left w:val="nil"/>
              <w:bottom w:val="single" w:sz="8" w:space="0" w:color="000000"/>
              <w:right w:val="single" w:sz="8" w:space="0" w:color="auto"/>
            </w:tcBorders>
            <w:vAlign w:val="center"/>
            <w:hideMark/>
          </w:tcPr>
          <w:p w14:paraId="2184FC71" w14:textId="77777777" w:rsidR="00C95834" w:rsidRPr="00C95834" w:rsidRDefault="00C95834" w:rsidP="00C95834">
            <w:pPr>
              <w:spacing w:after="0" w:line="240" w:lineRule="auto"/>
              <w:rPr>
                <w:rFonts w:ascii="Calibri" w:eastAsia="Calibri" w:hAnsi="Calibri" w:cs="Calibri"/>
                <w:color w:val="000000"/>
                <w:lang w:eastAsia="en-GB"/>
              </w:rPr>
            </w:pPr>
          </w:p>
        </w:tc>
        <w:tc>
          <w:tcPr>
            <w:tcW w:w="3544"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bottom"/>
            <w:hideMark/>
          </w:tcPr>
          <w:p w14:paraId="05D53559" w14:textId="77777777" w:rsidR="00C95834" w:rsidRPr="00C95834" w:rsidRDefault="00C95834" w:rsidP="00C95834">
            <w:pPr>
              <w:spacing w:after="0" w:line="240" w:lineRule="auto"/>
              <w:jc w:val="center"/>
              <w:rPr>
                <w:rFonts w:ascii="Calibri" w:eastAsia="Calibri" w:hAnsi="Calibri" w:cs="Calibri"/>
                <w:color w:val="000000"/>
                <w:lang w:eastAsia="en-GB"/>
              </w:rPr>
            </w:pPr>
            <w:r w:rsidRPr="00C95834">
              <w:rPr>
                <w:rFonts w:ascii="Calibri" w:eastAsia="Calibri" w:hAnsi="Calibri" w:cs="Calibri"/>
                <w:color w:val="000000"/>
                <w:lang w:eastAsia="en-GB"/>
              </w:rPr>
              <w:t> </w:t>
            </w:r>
          </w:p>
        </w:tc>
      </w:tr>
      <w:tr w:rsidR="00C95834" w:rsidRPr="00C95834" w14:paraId="2EDB1F7C" w14:textId="77777777" w:rsidTr="000367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A5063EB" w14:textId="77777777" w:rsidR="00C95834" w:rsidRPr="00C95834" w:rsidRDefault="00C95834" w:rsidP="00C95834">
            <w:pPr>
              <w:spacing w:after="0" w:line="240" w:lineRule="auto"/>
              <w:rPr>
                <w:rFonts w:ascii="Calibri" w:eastAsia="Calibri" w:hAnsi="Calibri" w:cs="Calibri"/>
                <w:color w:val="000000"/>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61EB0"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Tower Hamlets</w:t>
            </w:r>
          </w:p>
        </w:tc>
        <w:tc>
          <w:tcPr>
            <w:tcW w:w="3402" w:type="dxa"/>
            <w:vMerge w:val="restart"/>
            <w:tcBorders>
              <w:top w:val="nil"/>
              <w:left w:val="nil"/>
              <w:bottom w:val="single" w:sz="8" w:space="0" w:color="000000"/>
              <w:right w:val="single" w:sz="8" w:space="0" w:color="auto"/>
            </w:tcBorders>
            <w:shd w:val="clear" w:color="auto" w:fill="D9D9D9"/>
            <w:noWrap/>
            <w:tcMar>
              <w:top w:w="0" w:type="dxa"/>
              <w:left w:w="108" w:type="dxa"/>
              <w:bottom w:w="0" w:type="dxa"/>
              <w:right w:w="108" w:type="dxa"/>
            </w:tcMar>
            <w:vAlign w:val="bottom"/>
            <w:hideMark/>
          </w:tcPr>
          <w:p w14:paraId="40A42A7E" w14:textId="77777777" w:rsidR="00C95834" w:rsidRPr="00C95834" w:rsidRDefault="00C95834" w:rsidP="00C95834">
            <w:pPr>
              <w:spacing w:after="0" w:line="240" w:lineRule="auto"/>
              <w:jc w:val="center"/>
              <w:rPr>
                <w:rFonts w:ascii="Calibri" w:eastAsia="Calibri" w:hAnsi="Calibri" w:cs="Calibri"/>
                <w:color w:val="000000"/>
                <w:lang w:eastAsia="en-GB"/>
              </w:rPr>
            </w:pPr>
            <w:r w:rsidRPr="00C95834">
              <w:rPr>
                <w:rFonts w:ascii="Calibri" w:eastAsia="Calibri" w:hAnsi="Calibri" w:cs="Calibri"/>
                <w:color w:val="000000"/>
                <w:lang w:eastAsia="en-GB"/>
              </w:rPr>
              <w:t> </w:t>
            </w:r>
          </w:p>
        </w:tc>
        <w:tc>
          <w:tcPr>
            <w:tcW w:w="2835" w:type="dxa"/>
            <w:vMerge/>
            <w:tcBorders>
              <w:top w:val="nil"/>
              <w:left w:val="nil"/>
              <w:bottom w:val="single" w:sz="8" w:space="0" w:color="000000"/>
              <w:right w:val="single" w:sz="8" w:space="0" w:color="auto"/>
            </w:tcBorders>
            <w:vAlign w:val="center"/>
            <w:hideMark/>
          </w:tcPr>
          <w:p w14:paraId="74FEF478" w14:textId="77777777" w:rsidR="00C95834" w:rsidRPr="00C95834" w:rsidRDefault="00C95834" w:rsidP="00C95834">
            <w:pPr>
              <w:spacing w:after="0" w:line="240" w:lineRule="auto"/>
              <w:rPr>
                <w:rFonts w:ascii="Calibri" w:eastAsia="Calibri" w:hAnsi="Calibri" w:cs="Calibri"/>
                <w:color w:val="000000"/>
                <w:lang w:eastAsia="en-GB"/>
              </w:rPr>
            </w:pPr>
          </w:p>
        </w:tc>
        <w:tc>
          <w:tcPr>
            <w:tcW w:w="3544" w:type="dxa"/>
            <w:vMerge/>
            <w:tcBorders>
              <w:top w:val="nil"/>
              <w:left w:val="nil"/>
              <w:bottom w:val="single" w:sz="8" w:space="0" w:color="000000"/>
              <w:right w:val="single" w:sz="8" w:space="0" w:color="auto"/>
            </w:tcBorders>
            <w:vAlign w:val="center"/>
            <w:hideMark/>
          </w:tcPr>
          <w:p w14:paraId="73F5917B" w14:textId="77777777" w:rsidR="00C95834" w:rsidRPr="00C95834" w:rsidRDefault="00C95834" w:rsidP="00C95834">
            <w:pPr>
              <w:spacing w:after="0" w:line="240" w:lineRule="auto"/>
              <w:rPr>
                <w:rFonts w:ascii="Calibri" w:eastAsia="Calibri" w:hAnsi="Calibri" w:cs="Calibri"/>
                <w:color w:val="000000"/>
                <w:lang w:eastAsia="en-GB"/>
              </w:rPr>
            </w:pPr>
          </w:p>
        </w:tc>
      </w:tr>
      <w:tr w:rsidR="00C95834" w:rsidRPr="00C95834" w14:paraId="031A7BBD" w14:textId="77777777" w:rsidTr="000367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7539F01" w14:textId="77777777" w:rsidR="00C95834" w:rsidRPr="00C95834" w:rsidRDefault="00C95834" w:rsidP="00C95834">
            <w:pPr>
              <w:spacing w:after="0" w:line="240" w:lineRule="auto"/>
              <w:rPr>
                <w:rFonts w:ascii="Calibri" w:eastAsia="Calibri" w:hAnsi="Calibri" w:cs="Calibri"/>
                <w:color w:val="000000"/>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7C3BA"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Waltham Forest</w:t>
            </w:r>
          </w:p>
        </w:tc>
        <w:tc>
          <w:tcPr>
            <w:tcW w:w="3402" w:type="dxa"/>
            <w:vMerge/>
            <w:tcBorders>
              <w:top w:val="nil"/>
              <w:left w:val="nil"/>
              <w:bottom w:val="single" w:sz="8" w:space="0" w:color="000000"/>
              <w:right w:val="single" w:sz="8" w:space="0" w:color="auto"/>
            </w:tcBorders>
            <w:vAlign w:val="center"/>
            <w:hideMark/>
          </w:tcPr>
          <w:p w14:paraId="1AEC92A9" w14:textId="77777777" w:rsidR="00C95834" w:rsidRPr="00C95834" w:rsidRDefault="00C95834" w:rsidP="00C95834">
            <w:pPr>
              <w:spacing w:after="0" w:line="240" w:lineRule="auto"/>
              <w:rPr>
                <w:rFonts w:ascii="Calibri" w:eastAsia="Calibri" w:hAnsi="Calibri" w:cs="Calibri"/>
                <w:color w:val="000000"/>
                <w:lang w:eastAsia="en-GB"/>
              </w:rPr>
            </w:pPr>
          </w:p>
        </w:tc>
        <w:tc>
          <w:tcPr>
            <w:tcW w:w="2835" w:type="dxa"/>
            <w:vMerge/>
            <w:tcBorders>
              <w:top w:val="nil"/>
              <w:left w:val="nil"/>
              <w:bottom w:val="single" w:sz="8" w:space="0" w:color="000000"/>
              <w:right w:val="single" w:sz="8" w:space="0" w:color="auto"/>
            </w:tcBorders>
            <w:vAlign w:val="center"/>
            <w:hideMark/>
          </w:tcPr>
          <w:p w14:paraId="00C319F1" w14:textId="77777777" w:rsidR="00C95834" w:rsidRPr="00C95834" w:rsidRDefault="00C95834" w:rsidP="00C95834">
            <w:pPr>
              <w:spacing w:after="0" w:line="240" w:lineRule="auto"/>
              <w:rPr>
                <w:rFonts w:ascii="Calibri" w:eastAsia="Calibri" w:hAnsi="Calibri" w:cs="Calibri"/>
                <w:color w:val="000000"/>
                <w:lang w:eastAsia="en-GB"/>
              </w:rPr>
            </w:pPr>
          </w:p>
        </w:tc>
        <w:tc>
          <w:tcPr>
            <w:tcW w:w="3544" w:type="dxa"/>
            <w:vMerge/>
            <w:tcBorders>
              <w:top w:val="nil"/>
              <w:left w:val="nil"/>
              <w:bottom w:val="single" w:sz="8" w:space="0" w:color="000000"/>
              <w:right w:val="single" w:sz="8" w:space="0" w:color="auto"/>
            </w:tcBorders>
            <w:vAlign w:val="center"/>
            <w:hideMark/>
          </w:tcPr>
          <w:p w14:paraId="57C6DD09" w14:textId="77777777" w:rsidR="00C95834" w:rsidRPr="00C95834" w:rsidRDefault="00C95834" w:rsidP="00C95834">
            <w:pPr>
              <w:spacing w:after="0" w:line="240" w:lineRule="auto"/>
              <w:rPr>
                <w:rFonts w:ascii="Calibri" w:eastAsia="Calibri" w:hAnsi="Calibri" w:cs="Calibri"/>
                <w:color w:val="000000"/>
                <w:lang w:eastAsia="en-GB"/>
              </w:rPr>
            </w:pPr>
          </w:p>
        </w:tc>
      </w:tr>
      <w:tr w:rsidR="00C95834" w:rsidRPr="00C95834" w14:paraId="1B065125" w14:textId="77777777" w:rsidTr="000367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2A09BBF5" w14:textId="77777777" w:rsidR="00C95834" w:rsidRPr="00C95834" w:rsidRDefault="00C95834" w:rsidP="00C95834">
            <w:pPr>
              <w:spacing w:after="0" w:line="240" w:lineRule="auto"/>
              <w:rPr>
                <w:rFonts w:ascii="Calibri" w:eastAsia="Calibri" w:hAnsi="Calibri" w:cs="Calibri"/>
                <w:color w:val="000000"/>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7C659F"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Westminster</w:t>
            </w:r>
          </w:p>
        </w:tc>
        <w:tc>
          <w:tcPr>
            <w:tcW w:w="3402" w:type="dxa"/>
            <w:vMerge/>
            <w:tcBorders>
              <w:top w:val="nil"/>
              <w:left w:val="nil"/>
              <w:bottom w:val="single" w:sz="8" w:space="0" w:color="000000"/>
              <w:right w:val="single" w:sz="8" w:space="0" w:color="auto"/>
            </w:tcBorders>
            <w:vAlign w:val="center"/>
            <w:hideMark/>
          </w:tcPr>
          <w:p w14:paraId="09535769" w14:textId="77777777" w:rsidR="00C95834" w:rsidRPr="00C95834" w:rsidRDefault="00C95834" w:rsidP="00C95834">
            <w:pPr>
              <w:spacing w:after="0" w:line="240" w:lineRule="auto"/>
              <w:rPr>
                <w:rFonts w:ascii="Calibri" w:eastAsia="Calibri" w:hAnsi="Calibri" w:cs="Calibri"/>
                <w:color w:val="000000"/>
                <w:lang w:eastAsia="en-GB"/>
              </w:rPr>
            </w:pPr>
          </w:p>
        </w:tc>
        <w:tc>
          <w:tcPr>
            <w:tcW w:w="2835" w:type="dxa"/>
            <w:vMerge/>
            <w:tcBorders>
              <w:top w:val="nil"/>
              <w:left w:val="nil"/>
              <w:bottom w:val="single" w:sz="8" w:space="0" w:color="000000"/>
              <w:right w:val="single" w:sz="8" w:space="0" w:color="auto"/>
            </w:tcBorders>
            <w:vAlign w:val="center"/>
            <w:hideMark/>
          </w:tcPr>
          <w:p w14:paraId="5D4D1808" w14:textId="77777777" w:rsidR="00C95834" w:rsidRPr="00C95834" w:rsidRDefault="00C95834" w:rsidP="00C95834">
            <w:pPr>
              <w:spacing w:after="0" w:line="240" w:lineRule="auto"/>
              <w:rPr>
                <w:rFonts w:ascii="Calibri" w:eastAsia="Calibri" w:hAnsi="Calibri" w:cs="Calibri"/>
                <w:color w:val="000000"/>
                <w:lang w:eastAsia="en-GB"/>
              </w:rPr>
            </w:pPr>
          </w:p>
        </w:tc>
        <w:tc>
          <w:tcPr>
            <w:tcW w:w="3544" w:type="dxa"/>
            <w:vMerge/>
            <w:tcBorders>
              <w:top w:val="nil"/>
              <w:left w:val="nil"/>
              <w:bottom w:val="single" w:sz="8" w:space="0" w:color="000000"/>
              <w:right w:val="single" w:sz="8" w:space="0" w:color="auto"/>
            </w:tcBorders>
            <w:vAlign w:val="center"/>
            <w:hideMark/>
          </w:tcPr>
          <w:p w14:paraId="719FD048" w14:textId="77777777" w:rsidR="00C95834" w:rsidRPr="00C95834" w:rsidRDefault="00C95834" w:rsidP="00C95834">
            <w:pPr>
              <w:spacing w:after="0" w:line="240" w:lineRule="auto"/>
              <w:rPr>
                <w:rFonts w:ascii="Calibri" w:eastAsia="Calibri" w:hAnsi="Calibri" w:cs="Calibri"/>
                <w:color w:val="000000"/>
                <w:lang w:eastAsia="en-GB"/>
              </w:rPr>
            </w:pPr>
          </w:p>
        </w:tc>
      </w:tr>
      <w:tr w:rsidR="00C95834" w:rsidRPr="00C95834" w14:paraId="05F6B220" w14:textId="77777777" w:rsidTr="000367F7">
        <w:trPr>
          <w:trHeight w:val="300"/>
        </w:trPr>
        <w:tc>
          <w:tcPr>
            <w:tcW w:w="1691" w:type="dxa"/>
            <w:vMerge/>
            <w:tcBorders>
              <w:top w:val="nil"/>
              <w:left w:val="single" w:sz="8" w:space="0" w:color="auto"/>
              <w:bottom w:val="single" w:sz="8" w:space="0" w:color="000000"/>
              <w:right w:val="single" w:sz="8" w:space="0" w:color="auto"/>
            </w:tcBorders>
            <w:vAlign w:val="center"/>
            <w:hideMark/>
          </w:tcPr>
          <w:p w14:paraId="5C63BD00" w14:textId="77777777" w:rsidR="00C95834" w:rsidRPr="00C95834" w:rsidRDefault="00C95834" w:rsidP="00C95834">
            <w:pPr>
              <w:spacing w:after="0" w:line="240" w:lineRule="auto"/>
              <w:rPr>
                <w:rFonts w:ascii="Calibri" w:eastAsia="Calibri" w:hAnsi="Calibri" w:cs="Calibri"/>
                <w:color w:val="000000"/>
                <w:lang w:eastAsia="en-GB"/>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68A8E" w14:textId="77777777" w:rsidR="00C95834" w:rsidRPr="00C95834" w:rsidRDefault="00C95834" w:rsidP="00C95834">
            <w:pPr>
              <w:spacing w:after="0" w:line="240" w:lineRule="auto"/>
              <w:rPr>
                <w:rFonts w:ascii="Calibri" w:eastAsia="Calibri" w:hAnsi="Calibri" w:cs="Calibri"/>
                <w:color w:val="000000"/>
                <w:lang w:eastAsia="en-GB"/>
              </w:rPr>
            </w:pPr>
            <w:r w:rsidRPr="00C95834">
              <w:rPr>
                <w:rFonts w:ascii="Calibri" w:eastAsia="Calibri" w:hAnsi="Calibri" w:cs="Calibri"/>
                <w:color w:val="000000"/>
                <w:lang w:eastAsia="en-GB"/>
              </w:rPr>
              <w:t>City of London</w:t>
            </w:r>
          </w:p>
        </w:tc>
        <w:tc>
          <w:tcPr>
            <w:tcW w:w="3402" w:type="dxa"/>
            <w:vMerge/>
            <w:tcBorders>
              <w:top w:val="nil"/>
              <w:left w:val="nil"/>
              <w:bottom w:val="single" w:sz="8" w:space="0" w:color="000000"/>
              <w:right w:val="single" w:sz="8" w:space="0" w:color="auto"/>
            </w:tcBorders>
            <w:vAlign w:val="center"/>
            <w:hideMark/>
          </w:tcPr>
          <w:p w14:paraId="080E5676" w14:textId="77777777" w:rsidR="00C95834" w:rsidRPr="00C95834" w:rsidRDefault="00C95834" w:rsidP="00C95834">
            <w:pPr>
              <w:spacing w:after="0" w:line="240" w:lineRule="auto"/>
              <w:rPr>
                <w:rFonts w:ascii="Calibri" w:eastAsia="Calibri" w:hAnsi="Calibri" w:cs="Calibri"/>
                <w:color w:val="000000"/>
                <w:lang w:eastAsia="en-GB"/>
              </w:rPr>
            </w:pPr>
          </w:p>
        </w:tc>
        <w:tc>
          <w:tcPr>
            <w:tcW w:w="2835" w:type="dxa"/>
            <w:vMerge/>
            <w:tcBorders>
              <w:top w:val="nil"/>
              <w:left w:val="nil"/>
              <w:bottom w:val="single" w:sz="8" w:space="0" w:color="000000"/>
              <w:right w:val="single" w:sz="8" w:space="0" w:color="auto"/>
            </w:tcBorders>
            <w:vAlign w:val="center"/>
            <w:hideMark/>
          </w:tcPr>
          <w:p w14:paraId="29179D7F" w14:textId="77777777" w:rsidR="00C95834" w:rsidRPr="00C95834" w:rsidRDefault="00C95834" w:rsidP="00C95834">
            <w:pPr>
              <w:spacing w:after="0" w:line="240" w:lineRule="auto"/>
              <w:rPr>
                <w:rFonts w:ascii="Calibri" w:eastAsia="Calibri" w:hAnsi="Calibri" w:cs="Calibri"/>
                <w:color w:val="000000"/>
                <w:lang w:eastAsia="en-GB"/>
              </w:rPr>
            </w:pPr>
          </w:p>
        </w:tc>
        <w:tc>
          <w:tcPr>
            <w:tcW w:w="3544" w:type="dxa"/>
            <w:vMerge/>
            <w:tcBorders>
              <w:top w:val="nil"/>
              <w:left w:val="nil"/>
              <w:bottom w:val="single" w:sz="8" w:space="0" w:color="000000"/>
              <w:right w:val="single" w:sz="8" w:space="0" w:color="auto"/>
            </w:tcBorders>
            <w:vAlign w:val="center"/>
            <w:hideMark/>
          </w:tcPr>
          <w:p w14:paraId="0A01E68F" w14:textId="77777777" w:rsidR="00C95834" w:rsidRPr="00C95834" w:rsidRDefault="00C95834" w:rsidP="00C95834">
            <w:pPr>
              <w:spacing w:after="0" w:line="240" w:lineRule="auto"/>
              <w:rPr>
                <w:rFonts w:ascii="Calibri" w:eastAsia="Calibri" w:hAnsi="Calibri" w:cs="Calibri"/>
                <w:color w:val="000000"/>
                <w:lang w:eastAsia="en-GB"/>
              </w:rPr>
            </w:pPr>
          </w:p>
        </w:tc>
      </w:tr>
    </w:tbl>
    <w:p w14:paraId="724527EA" w14:textId="1E37D4D3" w:rsidR="00C95834" w:rsidRPr="000367F7" w:rsidRDefault="004F65EA" w:rsidP="00C95834">
      <w:pPr>
        <w:rPr>
          <w:rFonts w:ascii="Arial" w:hAnsi="Arial" w:cs="Arial"/>
        </w:rPr>
      </w:pPr>
      <w:r>
        <w:rPr>
          <w:rFonts w:ascii="Arial" w:hAnsi="Arial" w:cs="Arial"/>
        </w:rPr>
        <w:t xml:space="preserve">The services contracts are split </w:t>
      </w:r>
      <w:r w:rsidRPr="000367F7">
        <w:rPr>
          <w:rFonts w:ascii="Arial" w:hAnsi="Arial" w:cs="Arial"/>
        </w:rPr>
        <w:t>into 3</w:t>
      </w:r>
      <w:r w:rsidR="0086397C" w:rsidRPr="000367F7">
        <w:rPr>
          <w:rFonts w:ascii="Arial" w:hAnsi="Arial" w:cs="Arial"/>
        </w:rPr>
        <w:t>8</w:t>
      </w:r>
      <w:r>
        <w:rPr>
          <w:rFonts w:ascii="Arial" w:hAnsi="Arial" w:cs="Arial"/>
        </w:rPr>
        <w:t xml:space="preserve"> Lots</w:t>
      </w:r>
      <w:r w:rsidR="00E67426">
        <w:rPr>
          <w:rFonts w:ascii="Arial" w:hAnsi="Arial" w:cs="Arial"/>
        </w:rPr>
        <w:t>.</w:t>
      </w:r>
    </w:p>
    <w:p w14:paraId="5AF47B8F" w14:textId="6DB27526" w:rsidR="00C95834" w:rsidRPr="00C95834" w:rsidRDefault="00C95834" w:rsidP="00C95834">
      <w:pPr>
        <w:rPr>
          <w:rFonts w:ascii="Arial" w:eastAsia="Calibri" w:hAnsi="Arial" w:cs="Arial"/>
        </w:rPr>
      </w:pPr>
    </w:p>
    <w:p w14:paraId="4A60E437" w14:textId="2AD7189C" w:rsidR="00921675" w:rsidRDefault="00921675" w:rsidP="00F74CAF">
      <w:pPr>
        <w:rPr>
          <w:rFonts w:ascii="Arial" w:hAnsi="Arial" w:cs="Arial"/>
        </w:rPr>
      </w:pPr>
    </w:p>
    <w:p w14:paraId="4933C09F" w14:textId="77777777" w:rsidR="005D0DD2" w:rsidRPr="001B5D2D" w:rsidRDefault="005D0DD2" w:rsidP="00F74CAF">
      <w:pPr>
        <w:rPr>
          <w:rFonts w:ascii="Arial" w:hAnsi="Arial" w:cs="Arial"/>
        </w:rPr>
      </w:pPr>
    </w:p>
    <w:p w14:paraId="09FBD223" w14:textId="77777777" w:rsidR="000367F7" w:rsidRDefault="000367F7" w:rsidP="00F74CAF">
      <w:pPr>
        <w:rPr>
          <w:rFonts w:ascii="Arial" w:hAnsi="Arial" w:cs="Arial"/>
        </w:rPr>
      </w:pPr>
    </w:p>
    <w:p w14:paraId="0A71E807" w14:textId="77777777" w:rsidR="000367F7" w:rsidRDefault="000367F7" w:rsidP="00F74CAF">
      <w:pPr>
        <w:rPr>
          <w:rFonts w:ascii="Arial" w:hAnsi="Arial" w:cs="Arial"/>
        </w:rPr>
      </w:pPr>
    </w:p>
    <w:p w14:paraId="3434C7FF" w14:textId="1CB943FC" w:rsidR="00F74CAF" w:rsidRPr="001B5D2D" w:rsidRDefault="00F74CAF" w:rsidP="00F74CAF">
      <w:pPr>
        <w:rPr>
          <w:rFonts w:ascii="Arial" w:hAnsi="Arial" w:cs="Arial"/>
        </w:rPr>
      </w:pPr>
      <w:r w:rsidRPr="001B5D2D">
        <w:rPr>
          <w:rFonts w:ascii="Arial" w:hAnsi="Arial" w:cs="Arial"/>
        </w:rPr>
        <w:t xml:space="preserve">Bidders will be provided with opportunity to feedback on the envisaged approach during the event. </w:t>
      </w:r>
      <w:r w:rsidR="00FC6B53">
        <w:rPr>
          <w:rFonts w:ascii="Arial" w:hAnsi="Arial" w:cs="Arial"/>
        </w:rPr>
        <w:t>The Authority</w:t>
      </w:r>
      <w:r w:rsidRPr="001B5D2D">
        <w:rPr>
          <w:rFonts w:ascii="Arial" w:hAnsi="Arial" w:cs="Arial"/>
        </w:rPr>
        <w:t xml:space="preserve"> will also publish feedback and question and answers after event.</w:t>
      </w:r>
    </w:p>
    <w:p w14:paraId="67E9461E" w14:textId="77777777" w:rsidR="00F74CAF" w:rsidRPr="001B5D2D" w:rsidRDefault="00F74CAF" w:rsidP="00F74CAF">
      <w:pPr>
        <w:rPr>
          <w:rFonts w:ascii="Arial" w:hAnsi="Arial" w:cs="Arial"/>
          <w:lang w:val="en"/>
        </w:rPr>
      </w:pPr>
      <w:r w:rsidRPr="001B5D2D">
        <w:rPr>
          <w:rFonts w:ascii="Arial" w:hAnsi="Arial" w:cs="Arial"/>
          <w:b/>
          <w:lang w:val="en"/>
        </w:rPr>
        <w:t>Background</w:t>
      </w:r>
      <w:r w:rsidRPr="001B5D2D">
        <w:rPr>
          <w:rFonts w:ascii="Arial" w:hAnsi="Arial" w:cs="Arial"/>
          <w:lang w:val="en"/>
        </w:rPr>
        <w:t xml:space="preserve"> </w:t>
      </w:r>
    </w:p>
    <w:p w14:paraId="5E71319D" w14:textId="486A7FFA" w:rsidR="00ED15D7" w:rsidRPr="00ED15D7" w:rsidRDefault="00FC6B53" w:rsidP="00ED15D7">
      <w:pPr>
        <w:rPr>
          <w:rFonts w:ascii="Arial" w:eastAsia="Calibri" w:hAnsi="Arial" w:cs="Arial"/>
          <w:color w:val="000000"/>
          <w:lang w:val="en-US"/>
        </w:rPr>
      </w:pPr>
      <w:r>
        <w:rPr>
          <w:rFonts w:ascii="Arial" w:eastAsia="Calibri" w:hAnsi="Arial" w:cs="Arial"/>
          <w:color w:val="000000"/>
          <w:lang w:val="en-US"/>
        </w:rPr>
        <w:t>D</w:t>
      </w:r>
      <w:r w:rsidR="00ED15D7" w:rsidRPr="00ED15D7">
        <w:rPr>
          <w:rFonts w:ascii="Arial" w:eastAsia="Calibri" w:hAnsi="Arial" w:cs="Arial"/>
          <w:color w:val="000000"/>
          <w:lang w:val="en-US"/>
        </w:rPr>
        <w:t>ental practices were closed from the 25</w:t>
      </w:r>
      <w:r w:rsidR="00ED15D7" w:rsidRPr="00ED15D7">
        <w:rPr>
          <w:rFonts w:ascii="Arial" w:eastAsia="Calibri" w:hAnsi="Arial" w:cs="Arial"/>
          <w:color w:val="000000"/>
          <w:vertAlign w:val="superscript"/>
          <w:lang w:val="en-US"/>
        </w:rPr>
        <w:t>th</w:t>
      </w:r>
      <w:r w:rsidR="00ED15D7" w:rsidRPr="00ED15D7">
        <w:rPr>
          <w:rFonts w:ascii="Arial" w:eastAsia="Calibri" w:hAnsi="Arial" w:cs="Arial"/>
          <w:color w:val="000000"/>
          <w:lang w:val="en-US"/>
        </w:rPr>
        <w:t xml:space="preserve"> March to the 8</w:t>
      </w:r>
      <w:r w:rsidR="00ED15D7" w:rsidRPr="00ED15D7">
        <w:rPr>
          <w:rFonts w:ascii="Arial" w:eastAsia="Calibri" w:hAnsi="Arial" w:cs="Arial"/>
          <w:color w:val="000000"/>
          <w:vertAlign w:val="superscript"/>
          <w:lang w:val="en-US"/>
        </w:rPr>
        <w:t>th</w:t>
      </w:r>
      <w:r w:rsidR="00ED15D7" w:rsidRPr="00ED15D7">
        <w:rPr>
          <w:rFonts w:ascii="Arial" w:eastAsia="Calibri" w:hAnsi="Arial" w:cs="Arial"/>
          <w:color w:val="000000"/>
          <w:lang w:val="en-US"/>
        </w:rPr>
        <w:t xml:space="preserve"> June, </w:t>
      </w:r>
      <w:r>
        <w:rPr>
          <w:rFonts w:ascii="Arial" w:eastAsia="Calibri" w:hAnsi="Arial" w:cs="Arial"/>
          <w:color w:val="000000"/>
          <w:lang w:val="en-US"/>
        </w:rPr>
        <w:t>t</w:t>
      </w:r>
      <w:r w:rsidRPr="00FC6B53">
        <w:rPr>
          <w:rFonts w:ascii="Arial" w:eastAsia="Calibri" w:hAnsi="Arial" w:cs="Arial"/>
          <w:color w:val="000000"/>
          <w:lang w:val="en-US"/>
        </w:rPr>
        <w:t xml:space="preserve">he national direction was to set up Urgent Dental Care </w:t>
      </w:r>
      <w:r w:rsidR="00921675">
        <w:rPr>
          <w:rFonts w:ascii="Arial" w:eastAsia="Calibri" w:hAnsi="Arial" w:cs="Arial"/>
          <w:color w:val="000000"/>
          <w:lang w:val="en-US"/>
        </w:rPr>
        <w:t xml:space="preserve">Services </w:t>
      </w:r>
      <w:r w:rsidRPr="00FC6B53">
        <w:rPr>
          <w:rFonts w:ascii="Arial" w:eastAsia="Calibri" w:hAnsi="Arial" w:cs="Arial"/>
          <w:color w:val="000000"/>
          <w:lang w:val="en-US"/>
        </w:rPr>
        <w:t>(UDC</w:t>
      </w:r>
      <w:r w:rsidR="00921675">
        <w:rPr>
          <w:rFonts w:ascii="Arial" w:eastAsia="Calibri" w:hAnsi="Arial" w:cs="Arial"/>
          <w:color w:val="000000"/>
          <w:lang w:val="en-US"/>
        </w:rPr>
        <w:t>S</w:t>
      </w:r>
      <w:r w:rsidRPr="00FC6B53">
        <w:rPr>
          <w:rFonts w:ascii="Arial" w:eastAsia="Calibri" w:hAnsi="Arial" w:cs="Arial"/>
          <w:color w:val="000000"/>
          <w:lang w:val="en-US"/>
        </w:rPr>
        <w:t xml:space="preserve">) </w:t>
      </w:r>
      <w:r w:rsidR="00ED15D7" w:rsidRPr="00ED15D7">
        <w:rPr>
          <w:rFonts w:ascii="Arial" w:eastAsia="Calibri" w:hAnsi="Arial" w:cs="Arial"/>
          <w:color w:val="000000"/>
          <w:lang w:val="en-US"/>
        </w:rPr>
        <w:t xml:space="preserve">during this period in order to prevent patients </w:t>
      </w:r>
      <w:r>
        <w:rPr>
          <w:rFonts w:ascii="Arial" w:eastAsia="Calibri" w:hAnsi="Arial" w:cs="Arial"/>
          <w:color w:val="000000"/>
          <w:lang w:val="en-US"/>
        </w:rPr>
        <w:t>attending</w:t>
      </w:r>
      <w:r w:rsidR="00ED15D7" w:rsidRPr="00ED15D7">
        <w:rPr>
          <w:rFonts w:ascii="Arial" w:eastAsia="Calibri" w:hAnsi="Arial" w:cs="Arial"/>
          <w:color w:val="000000"/>
          <w:lang w:val="en-US"/>
        </w:rPr>
        <w:t xml:space="preserve"> A&amp;</w:t>
      </w:r>
      <w:r w:rsidR="00ED15D7" w:rsidRPr="000367F7">
        <w:rPr>
          <w:rFonts w:ascii="Arial" w:eastAsia="Calibri" w:hAnsi="Arial" w:cs="Arial"/>
          <w:color w:val="000000"/>
          <w:lang w:val="en-US"/>
        </w:rPr>
        <w:t>E</w:t>
      </w:r>
      <w:r w:rsidRPr="000367F7">
        <w:rPr>
          <w:rFonts w:ascii="Arial" w:eastAsia="Calibri" w:hAnsi="Arial" w:cs="Arial"/>
          <w:color w:val="000000"/>
          <w:lang w:val="en-US"/>
        </w:rPr>
        <w:t xml:space="preserve"> for dental treatment.</w:t>
      </w:r>
      <w:r w:rsidR="00ED15D7" w:rsidRPr="000367F7">
        <w:rPr>
          <w:rFonts w:ascii="Arial" w:eastAsia="Calibri" w:hAnsi="Arial" w:cs="Arial"/>
          <w:color w:val="000000"/>
          <w:lang w:val="en-US"/>
        </w:rPr>
        <w:t xml:space="preserve"> </w:t>
      </w:r>
      <w:r w:rsidRPr="000367F7">
        <w:rPr>
          <w:rFonts w:ascii="Arial" w:eastAsia="Calibri" w:hAnsi="Arial" w:cs="Arial"/>
          <w:color w:val="000000"/>
          <w:lang w:val="en-US"/>
        </w:rPr>
        <w:t>As no vaccine had been created at this time</w:t>
      </w:r>
      <w:r w:rsidR="00ED15D7" w:rsidRPr="000367F7">
        <w:rPr>
          <w:rFonts w:ascii="Arial" w:eastAsia="Calibri" w:hAnsi="Arial" w:cs="Arial"/>
          <w:color w:val="000000"/>
          <w:lang w:val="en-US"/>
        </w:rPr>
        <w:t xml:space="preserve">, it was high risk for </w:t>
      </w:r>
      <w:r w:rsidRPr="000367F7">
        <w:rPr>
          <w:rFonts w:ascii="Arial" w:eastAsia="Calibri" w:hAnsi="Arial" w:cs="Arial"/>
          <w:color w:val="000000"/>
          <w:lang w:val="en-US"/>
        </w:rPr>
        <w:t>participating practices</w:t>
      </w:r>
      <w:r w:rsidR="00ED15D7" w:rsidRPr="000367F7">
        <w:rPr>
          <w:rFonts w:ascii="Arial" w:eastAsia="Calibri" w:hAnsi="Arial" w:cs="Arial"/>
          <w:color w:val="000000"/>
          <w:lang w:val="en-US"/>
        </w:rPr>
        <w:t>, London was the first to set up 35 UDC</w:t>
      </w:r>
      <w:r w:rsidR="000367F7" w:rsidRPr="000367F7">
        <w:rPr>
          <w:rFonts w:ascii="Arial" w:eastAsia="Calibri" w:hAnsi="Arial" w:cs="Arial"/>
          <w:color w:val="000000"/>
          <w:lang w:val="en-US"/>
        </w:rPr>
        <w:t>S</w:t>
      </w:r>
      <w:r w:rsidR="00ED15D7" w:rsidRPr="00ED15D7">
        <w:rPr>
          <w:rFonts w:ascii="Arial" w:eastAsia="Calibri" w:hAnsi="Arial" w:cs="Arial"/>
          <w:color w:val="000000"/>
          <w:lang w:val="en-US"/>
        </w:rPr>
        <w:t xml:space="preserve"> and to </w:t>
      </w:r>
      <w:r>
        <w:rPr>
          <w:rFonts w:ascii="Arial" w:eastAsia="Calibri" w:hAnsi="Arial" w:cs="Arial"/>
          <w:color w:val="000000"/>
          <w:lang w:val="en-US"/>
        </w:rPr>
        <w:t>move</w:t>
      </w:r>
      <w:r w:rsidR="00ED15D7" w:rsidRPr="00ED15D7">
        <w:rPr>
          <w:rFonts w:ascii="Arial" w:eastAsia="Calibri" w:hAnsi="Arial" w:cs="Arial"/>
          <w:color w:val="000000"/>
          <w:lang w:val="en-US"/>
        </w:rPr>
        <w:t xml:space="preserve"> our </w:t>
      </w:r>
      <w:r>
        <w:rPr>
          <w:rFonts w:ascii="Arial" w:eastAsia="Calibri" w:hAnsi="Arial" w:cs="Arial"/>
          <w:color w:val="000000"/>
          <w:lang w:val="en-US"/>
        </w:rPr>
        <w:t>eight O</w:t>
      </w:r>
      <w:r w:rsidR="00ED15D7" w:rsidRPr="00ED15D7">
        <w:rPr>
          <w:rFonts w:ascii="Arial" w:eastAsia="Calibri" w:hAnsi="Arial" w:cs="Arial"/>
          <w:color w:val="000000"/>
          <w:lang w:val="en-US"/>
        </w:rPr>
        <w:t xml:space="preserve">ut of </w:t>
      </w:r>
      <w:r>
        <w:rPr>
          <w:rFonts w:ascii="Arial" w:eastAsia="Calibri" w:hAnsi="Arial" w:cs="Arial"/>
          <w:color w:val="000000"/>
          <w:lang w:val="en-US"/>
        </w:rPr>
        <w:t>H</w:t>
      </w:r>
      <w:r w:rsidR="00ED15D7" w:rsidRPr="00ED15D7">
        <w:rPr>
          <w:rFonts w:ascii="Arial" w:eastAsia="Calibri" w:hAnsi="Arial" w:cs="Arial"/>
          <w:color w:val="000000"/>
          <w:lang w:val="en-US"/>
        </w:rPr>
        <w:t xml:space="preserve">ours practices into Urgent Dental Care </w:t>
      </w:r>
      <w:r w:rsidR="000367F7">
        <w:rPr>
          <w:rFonts w:ascii="Arial" w:eastAsia="Calibri" w:hAnsi="Arial" w:cs="Arial"/>
          <w:color w:val="000000"/>
          <w:lang w:val="en-US"/>
        </w:rPr>
        <w:t>Services</w:t>
      </w:r>
      <w:r w:rsidR="00ED15D7" w:rsidRPr="00ED15D7">
        <w:rPr>
          <w:rFonts w:ascii="Arial" w:eastAsia="Calibri" w:hAnsi="Arial" w:cs="Arial"/>
          <w:color w:val="000000"/>
          <w:lang w:val="en-US"/>
        </w:rPr>
        <w:t xml:space="preserve">. </w:t>
      </w:r>
    </w:p>
    <w:p w14:paraId="6AE9575A" w14:textId="77777777" w:rsidR="00ED15D7" w:rsidRPr="00ED15D7" w:rsidRDefault="00ED15D7" w:rsidP="00ED15D7">
      <w:pPr>
        <w:keepNext/>
        <w:keepLines/>
        <w:numPr>
          <w:ilvl w:val="0"/>
          <w:numId w:val="3"/>
        </w:numPr>
        <w:spacing w:after="0" w:line="240" w:lineRule="auto"/>
        <w:rPr>
          <w:rFonts w:ascii="Arial" w:hAnsi="Arial" w:cs="Arial"/>
          <w:bCs/>
          <w:vanish/>
        </w:rPr>
      </w:pPr>
      <w:r w:rsidRPr="00ED15D7">
        <w:rPr>
          <w:rFonts w:ascii="Arial" w:hAnsi="Arial" w:cs="Arial"/>
          <w:bCs/>
          <w:vanish/>
        </w:rPr>
        <w:t>The current UDCH are continuing to provide services during the next 12 months, however a procurement needs to take place in order for London to have these services in place in line with the road map to recovery of dental services for London.</w:t>
      </w:r>
    </w:p>
    <w:p w14:paraId="14C90698" w14:textId="57801244" w:rsidR="00ED15D7" w:rsidRPr="00ED15D7" w:rsidRDefault="00ED15D7" w:rsidP="00ED15D7">
      <w:pPr>
        <w:keepNext/>
        <w:keepLines/>
        <w:numPr>
          <w:ilvl w:val="0"/>
          <w:numId w:val="3"/>
        </w:numPr>
        <w:spacing w:after="0" w:line="240" w:lineRule="auto"/>
        <w:rPr>
          <w:rFonts w:ascii="Arial" w:hAnsi="Arial" w:cs="Arial"/>
          <w:bCs/>
          <w:vanish/>
        </w:rPr>
      </w:pPr>
      <w:r w:rsidRPr="00ED15D7">
        <w:rPr>
          <w:rFonts w:ascii="Arial" w:hAnsi="Arial" w:cs="Arial"/>
          <w:bCs/>
          <w:vanish/>
        </w:rPr>
        <w:t xml:space="preserve">A procurement </w:t>
      </w:r>
      <w:r w:rsidR="00B426C1" w:rsidRPr="001B5D2D">
        <w:rPr>
          <w:rFonts w:ascii="Arial" w:hAnsi="Arial" w:cs="Arial"/>
          <w:bCs/>
          <w:vanish/>
        </w:rPr>
        <w:t xml:space="preserve">is required to create </w:t>
      </w:r>
      <w:r w:rsidRPr="00ED15D7">
        <w:rPr>
          <w:rFonts w:ascii="Arial" w:hAnsi="Arial" w:cs="Arial"/>
          <w:bCs/>
          <w:vanish/>
        </w:rPr>
        <w:t>these services</w:t>
      </w:r>
      <w:r w:rsidR="00B426C1" w:rsidRPr="001B5D2D">
        <w:rPr>
          <w:rFonts w:ascii="Arial" w:hAnsi="Arial" w:cs="Arial"/>
          <w:bCs/>
          <w:vanish/>
        </w:rPr>
        <w:t xml:space="preserve"> on a longer-term basis, the service would be required to operate from</w:t>
      </w:r>
      <w:r w:rsidRPr="00ED15D7">
        <w:rPr>
          <w:rFonts w:ascii="Arial" w:hAnsi="Arial" w:cs="Arial"/>
          <w:bCs/>
          <w:vanish/>
        </w:rPr>
        <w:t xml:space="preserve"> 8am to 1am </w:t>
      </w:r>
      <w:r w:rsidR="00B426C1" w:rsidRPr="001B5D2D">
        <w:rPr>
          <w:rFonts w:ascii="Arial" w:hAnsi="Arial" w:cs="Arial"/>
          <w:bCs/>
          <w:vanish/>
        </w:rPr>
        <w:t xml:space="preserve">7 days a week </w:t>
      </w:r>
      <w:r w:rsidRPr="00ED15D7">
        <w:rPr>
          <w:rFonts w:ascii="Arial" w:hAnsi="Arial" w:cs="Arial"/>
          <w:bCs/>
          <w:vanish/>
        </w:rPr>
        <w:t>and a minimum of one UDCH per borough. (Some areas may require 2 where the need is</w:t>
      </w:r>
      <w:r w:rsidR="00B426C1" w:rsidRPr="001B5D2D">
        <w:rPr>
          <w:rFonts w:ascii="Arial" w:hAnsi="Arial" w:cs="Arial"/>
          <w:bCs/>
          <w:vanish/>
        </w:rPr>
        <w:t xml:space="preserve"> significantly</w:t>
      </w:r>
      <w:r w:rsidRPr="00ED15D7">
        <w:rPr>
          <w:rFonts w:ascii="Arial" w:hAnsi="Arial" w:cs="Arial"/>
          <w:bCs/>
          <w:vanish/>
        </w:rPr>
        <w:t xml:space="preserve"> higher).</w:t>
      </w:r>
      <w:r w:rsidR="00B426C1" w:rsidRPr="001B5D2D">
        <w:rPr>
          <w:rFonts w:ascii="Arial" w:hAnsi="Arial" w:cs="Arial"/>
          <w:bCs/>
          <w:vanish/>
        </w:rPr>
        <w:t xml:space="preserve"> Provision will include cover during bank holidays/festive season and any other service disruptions e.g. further outbreaks.</w:t>
      </w:r>
    </w:p>
    <w:p w14:paraId="7F0EA219" w14:textId="5F8774EC" w:rsidR="00ED15D7" w:rsidRPr="00ED15D7" w:rsidRDefault="00ED15D7" w:rsidP="00ED15D7">
      <w:pPr>
        <w:keepNext/>
        <w:keepLines/>
        <w:numPr>
          <w:ilvl w:val="0"/>
          <w:numId w:val="3"/>
        </w:numPr>
        <w:spacing w:after="0" w:line="240" w:lineRule="auto"/>
        <w:rPr>
          <w:rFonts w:ascii="Arial" w:hAnsi="Arial" w:cs="Arial"/>
          <w:bCs/>
          <w:vanish/>
        </w:rPr>
      </w:pPr>
      <w:r w:rsidRPr="00ED15D7">
        <w:rPr>
          <w:rFonts w:ascii="Arial" w:hAnsi="Arial" w:cs="Arial"/>
          <w:bCs/>
          <w:vanish/>
        </w:rPr>
        <w:t>The contract</w:t>
      </w:r>
      <w:r w:rsidR="00B426C1" w:rsidRPr="001B5D2D">
        <w:rPr>
          <w:rFonts w:ascii="Arial" w:hAnsi="Arial" w:cs="Arial"/>
          <w:bCs/>
          <w:vanish/>
        </w:rPr>
        <w:t xml:space="preserve"> will be a PDS agreement of</w:t>
      </w:r>
      <w:r w:rsidRPr="00ED15D7">
        <w:rPr>
          <w:rFonts w:ascii="Arial" w:hAnsi="Arial" w:cs="Arial"/>
          <w:bCs/>
          <w:vanish/>
        </w:rPr>
        <w:t xml:space="preserve"> length will be for 3 years (2026) with an option to extend by two.</w:t>
      </w:r>
      <w:r w:rsidR="00B426C1" w:rsidRPr="001B5D2D">
        <w:rPr>
          <w:rFonts w:ascii="Arial" w:hAnsi="Arial" w:cs="Arial"/>
          <w:bCs/>
          <w:vanish/>
        </w:rPr>
        <w:t xml:space="preserve"> The maximum contract period would be 5 years (if an extension is agreed at 3 years.</w:t>
      </w:r>
    </w:p>
    <w:p w14:paraId="5C3545A5" w14:textId="77777777" w:rsidR="000367F7" w:rsidRDefault="000367F7" w:rsidP="00ED15D7">
      <w:pPr>
        <w:rPr>
          <w:rFonts w:ascii="Arial" w:eastAsia="Calibri" w:hAnsi="Arial" w:cs="Arial"/>
          <w:color w:val="000000"/>
          <w:lang w:val="en-US"/>
        </w:rPr>
      </w:pPr>
    </w:p>
    <w:p w14:paraId="1F38D957" w14:textId="4EDF00FA" w:rsidR="00ED15D7" w:rsidRPr="00ED15D7" w:rsidRDefault="004F65EA" w:rsidP="00ED15D7">
      <w:pPr>
        <w:rPr>
          <w:rFonts w:ascii="Arial" w:eastAsia="Calibri" w:hAnsi="Arial" w:cs="Arial"/>
          <w:color w:val="000000"/>
          <w:lang w:val="en-US"/>
        </w:rPr>
      </w:pPr>
      <w:r>
        <w:rPr>
          <w:rFonts w:ascii="Arial" w:eastAsia="Calibri" w:hAnsi="Arial" w:cs="Arial"/>
          <w:color w:val="000000"/>
          <w:lang w:val="en-US"/>
        </w:rPr>
        <w:lastRenderedPageBreak/>
        <w:t>The service providers will be expected to:</w:t>
      </w:r>
    </w:p>
    <w:p w14:paraId="18AF93BB" w14:textId="0F356489" w:rsidR="001B5D2D" w:rsidRDefault="00FC6B53" w:rsidP="00F74CAF">
      <w:pPr>
        <w:rPr>
          <w:rFonts w:ascii="Arial" w:hAnsi="Arial" w:cs="Arial"/>
          <w:lang w:val="en"/>
        </w:rPr>
      </w:pPr>
      <w:r w:rsidRPr="00FC6B53">
        <w:rPr>
          <w:rFonts w:ascii="Arial" w:hAnsi="Arial" w:cs="Arial"/>
          <w:b/>
          <w:bCs/>
          <w:lang w:val="en"/>
        </w:rPr>
        <w:t>UDC</w:t>
      </w:r>
      <w:r w:rsidR="000367F7">
        <w:rPr>
          <w:rFonts w:ascii="Arial" w:hAnsi="Arial" w:cs="Arial"/>
          <w:b/>
          <w:bCs/>
          <w:lang w:val="en"/>
        </w:rPr>
        <w:t>S</w:t>
      </w:r>
      <w:r w:rsidRPr="00FC6B53">
        <w:rPr>
          <w:rFonts w:ascii="Arial" w:hAnsi="Arial" w:cs="Arial"/>
          <w:b/>
          <w:bCs/>
          <w:lang w:val="en"/>
        </w:rPr>
        <w:t xml:space="preserve"> operating model</w:t>
      </w:r>
    </w:p>
    <w:p w14:paraId="3F007289" w14:textId="6EAE1650" w:rsidR="00FC6B53" w:rsidRDefault="00FC6B53" w:rsidP="00FC6B53">
      <w:pPr>
        <w:pStyle w:val="ListParagraph"/>
        <w:numPr>
          <w:ilvl w:val="0"/>
          <w:numId w:val="4"/>
        </w:numPr>
        <w:spacing w:after="0" w:line="240" w:lineRule="auto"/>
        <w:rPr>
          <w:rFonts w:ascii="Arial" w:eastAsia="Calibri" w:hAnsi="Arial" w:cs="Arial"/>
        </w:rPr>
      </w:pPr>
      <w:r>
        <w:rPr>
          <w:rFonts w:ascii="Arial" w:eastAsia="Calibri" w:hAnsi="Arial" w:cs="Arial"/>
        </w:rPr>
        <w:t>Receive triaged patients via NHS111 and London region Dental Triage</w:t>
      </w:r>
    </w:p>
    <w:p w14:paraId="38A5DB31" w14:textId="17E3CF0A" w:rsidR="001B5D2D" w:rsidRPr="00FC6B53" w:rsidRDefault="00FC6B53" w:rsidP="00FC6B53">
      <w:pPr>
        <w:pStyle w:val="ListParagraph"/>
        <w:numPr>
          <w:ilvl w:val="0"/>
          <w:numId w:val="4"/>
        </w:numPr>
        <w:spacing w:after="0" w:line="240" w:lineRule="auto"/>
        <w:rPr>
          <w:rFonts w:ascii="Arial" w:eastAsia="Calibri" w:hAnsi="Arial" w:cs="Arial"/>
        </w:rPr>
      </w:pPr>
      <w:r>
        <w:rPr>
          <w:rFonts w:ascii="Arial" w:eastAsia="Calibri" w:hAnsi="Arial" w:cs="Arial"/>
        </w:rPr>
        <w:t>P</w:t>
      </w:r>
      <w:r w:rsidR="001B5D2D" w:rsidRPr="00FC6B53">
        <w:rPr>
          <w:rFonts w:ascii="Arial" w:eastAsia="Calibri" w:hAnsi="Arial" w:cs="Arial"/>
        </w:rPr>
        <w:t xml:space="preserve">rovide urgent care for all patients accepted and claim a Band 4 </w:t>
      </w:r>
      <w:r>
        <w:rPr>
          <w:rFonts w:ascii="Arial" w:eastAsia="Calibri" w:hAnsi="Arial" w:cs="Arial"/>
        </w:rPr>
        <w:t>course of treatment (</w:t>
      </w:r>
      <w:r w:rsidR="001B5D2D" w:rsidRPr="00FC6B53">
        <w:rPr>
          <w:rFonts w:ascii="Arial" w:eastAsia="Calibri" w:hAnsi="Arial" w:cs="Arial"/>
        </w:rPr>
        <w:t>CoT</w:t>
      </w:r>
      <w:r>
        <w:rPr>
          <w:rFonts w:ascii="Arial" w:eastAsia="Calibri" w:hAnsi="Arial" w:cs="Arial"/>
        </w:rPr>
        <w:t>)</w:t>
      </w:r>
      <w:r w:rsidR="001B5D2D" w:rsidRPr="00FC6B53">
        <w:rPr>
          <w:rFonts w:ascii="Arial" w:eastAsia="Calibri" w:hAnsi="Arial" w:cs="Arial"/>
        </w:rPr>
        <w:t xml:space="preserve"> with the value of 1.2 UDAs</w:t>
      </w:r>
    </w:p>
    <w:p w14:paraId="4DD6CB34" w14:textId="05869960"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Should the patient revisit the practice at a later date with an unrelated dental issue this will constitute a new CoT and a new Band 4 claim should be made</w:t>
      </w:r>
    </w:p>
    <w:p w14:paraId="443E7304" w14:textId="5BE6BE5A"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Should the patient require and meet the acceptance criteria for referral into Intermediate Services, CDS or Secondary Care, the practice will refer the patient</w:t>
      </w:r>
      <w:r w:rsidR="005A507D">
        <w:rPr>
          <w:rFonts w:ascii="Arial" w:eastAsia="Calibri" w:hAnsi="Arial" w:cs="Arial"/>
        </w:rPr>
        <w:t>.</w:t>
      </w:r>
    </w:p>
    <w:p w14:paraId="2ACF3439" w14:textId="63B98D67"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Should the patient be discharged from the referral service with a treatment plan, the practice is not responsible for the provision of the outstanding treatment. Should the practice wish to accept the patient under the mandatory services element of the contract and complete the discharge treatment plan, it is free to do so</w:t>
      </w:r>
    </w:p>
    <w:p w14:paraId="6A134B64" w14:textId="2350A00D"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 xml:space="preserve">All patients who receive a prescription must receive a follow up call from the practice to ensure medication has been effective </w:t>
      </w:r>
    </w:p>
    <w:p w14:paraId="01402F9F" w14:textId="6E1CD32C"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Patients may return to the practice without accessing via 111 if the clinician plans to provide further treatment (e.g. extraction)</w:t>
      </w:r>
    </w:p>
    <w:p w14:paraId="166F96A5" w14:textId="06DA1508"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Where possible semi-permanent or permanent material should be used (e.g. a composite filling rather than a temp</w:t>
      </w:r>
      <w:r w:rsidR="00FC6B53">
        <w:rPr>
          <w:rFonts w:ascii="Arial" w:eastAsia="Calibri" w:hAnsi="Arial" w:cs="Arial"/>
        </w:rPr>
        <w:t>orary filling</w:t>
      </w:r>
      <w:r w:rsidRPr="00FC6B53">
        <w:rPr>
          <w:rFonts w:ascii="Arial" w:eastAsia="Calibri" w:hAnsi="Arial" w:cs="Arial"/>
        </w:rPr>
        <w:t xml:space="preserve"> that may have a very limited lifespan)</w:t>
      </w:r>
    </w:p>
    <w:p w14:paraId="51F2EE0A" w14:textId="141E128C" w:rsidR="001B5D2D" w:rsidRPr="00FC6B53" w:rsidRDefault="001B5D2D" w:rsidP="00FC6B53">
      <w:pPr>
        <w:pStyle w:val="ListParagraph"/>
        <w:numPr>
          <w:ilvl w:val="0"/>
          <w:numId w:val="4"/>
        </w:numPr>
        <w:spacing w:after="0" w:line="240" w:lineRule="auto"/>
        <w:rPr>
          <w:rFonts w:ascii="Arial" w:eastAsia="Calibri" w:hAnsi="Arial" w:cs="Arial"/>
        </w:rPr>
      </w:pPr>
      <w:r w:rsidRPr="00FC6B53">
        <w:rPr>
          <w:rFonts w:ascii="Arial" w:eastAsia="Calibri" w:hAnsi="Arial" w:cs="Arial"/>
        </w:rPr>
        <w:t>Should the practice wish to “register” the patient for future check-ups under their mandatory services activity, it is free to do so</w:t>
      </w:r>
    </w:p>
    <w:p w14:paraId="6FA2E084" w14:textId="77777777" w:rsidR="001B5D2D" w:rsidRPr="001B5D2D" w:rsidRDefault="001B5D2D" w:rsidP="001B5D2D">
      <w:pPr>
        <w:spacing w:after="0" w:line="240" w:lineRule="auto"/>
        <w:rPr>
          <w:rFonts w:ascii="Arial" w:eastAsia="Calibri" w:hAnsi="Arial" w:cs="Arial"/>
        </w:rPr>
      </w:pPr>
      <w:r w:rsidRPr="001B5D2D">
        <w:rPr>
          <w:rFonts w:ascii="Arial" w:eastAsia="Calibri" w:hAnsi="Arial" w:cs="Arial"/>
        </w:rPr>
        <w:t> </w:t>
      </w:r>
    </w:p>
    <w:p w14:paraId="5C1BCA75" w14:textId="5452CCDD" w:rsidR="001B5D2D" w:rsidRDefault="001B5D2D" w:rsidP="001B5D2D">
      <w:pPr>
        <w:spacing w:after="0" w:line="240" w:lineRule="auto"/>
        <w:rPr>
          <w:rFonts w:ascii="Arial" w:eastAsia="Calibri" w:hAnsi="Arial" w:cs="Arial"/>
          <w:b/>
          <w:bCs/>
        </w:rPr>
      </w:pPr>
      <w:r w:rsidRPr="00AA53CB">
        <w:rPr>
          <w:rFonts w:ascii="Arial" w:eastAsia="Calibri" w:hAnsi="Arial" w:cs="Arial"/>
          <w:b/>
          <w:bCs/>
        </w:rPr>
        <w:t>Patient Pathway</w:t>
      </w:r>
    </w:p>
    <w:p w14:paraId="078A207E" w14:textId="77777777" w:rsidR="00AA53CB" w:rsidRPr="00AA53CB" w:rsidRDefault="00AA53CB" w:rsidP="001B5D2D">
      <w:pPr>
        <w:spacing w:after="0" w:line="240" w:lineRule="auto"/>
        <w:rPr>
          <w:rFonts w:ascii="Arial" w:eastAsia="Calibri" w:hAnsi="Arial" w:cs="Arial"/>
          <w:b/>
          <w:bCs/>
        </w:rPr>
      </w:pPr>
    </w:p>
    <w:p w14:paraId="3132CC23" w14:textId="66FD38AD" w:rsidR="001B5D2D" w:rsidRPr="00AA53CB" w:rsidRDefault="001B5D2D" w:rsidP="00AA53CB">
      <w:pPr>
        <w:pStyle w:val="ListParagraph"/>
        <w:numPr>
          <w:ilvl w:val="0"/>
          <w:numId w:val="5"/>
        </w:numPr>
        <w:spacing w:after="0" w:line="240" w:lineRule="auto"/>
        <w:rPr>
          <w:rFonts w:ascii="Arial" w:eastAsia="Calibri" w:hAnsi="Arial" w:cs="Arial"/>
        </w:rPr>
      </w:pPr>
      <w:r w:rsidRPr="00AA53CB">
        <w:rPr>
          <w:rFonts w:ascii="Arial" w:eastAsia="Calibri" w:hAnsi="Arial" w:cs="Arial"/>
        </w:rPr>
        <w:t>Patient access to this service is through Dental Triage only</w:t>
      </w:r>
    </w:p>
    <w:p w14:paraId="04CE2832" w14:textId="5752EE94" w:rsidR="001B5D2D" w:rsidRPr="00AA53CB" w:rsidRDefault="001B5D2D" w:rsidP="00AA53CB">
      <w:pPr>
        <w:pStyle w:val="ListParagraph"/>
        <w:numPr>
          <w:ilvl w:val="0"/>
          <w:numId w:val="5"/>
        </w:numPr>
        <w:spacing w:after="0" w:line="240" w:lineRule="auto"/>
        <w:rPr>
          <w:rFonts w:ascii="Arial" w:eastAsia="Calibri" w:hAnsi="Arial" w:cs="Arial"/>
        </w:rPr>
      </w:pPr>
      <w:r w:rsidRPr="00AA53CB">
        <w:rPr>
          <w:rFonts w:ascii="Arial" w:eastAsia="Calibri" w:hAnsi="Arial" w:cs="Arial"/>
        </w:rPr>
        <w:t>Urgent cases will follow the usual NHS 111 pathway and access care within the Urgent Dental Care Network</w:t>
      </w:r>
    </w:p>
    <w:p w14:paraId="73E8B298" w14:textId="61C8FD42" w:rsidR="001B5D2D" w:rsidRPr="00AA53CB" w:rsidRDefault="001B5D2D" w:rsidP="00AA53CB">
      <w:pPr>
        <w:pStyle w:val="ListParagraph"/>
        <w:numPr>
          <w:ilvl w:val="0"/>
          <w:numId w:val="5"/>
        </w:numPr>
        <w:spacing w:after="0" w:line="240" w:lineRule="auto"/>
        <w:rPr>
          <w:rFonts w:ascii="Arial" w:eastAsia="Calibri" w:hAnsi="Arial" w:cs="Arial"/>
        </w:rPr>
      </w:pPr>
      <w:r w:rsidRPr="00AA53CB">
        <w:rPr>
          <w:rFonts w:ascii="Arial" w:eastAsia="Calibri" w:hAnsi="Arial" w:cs="Arial"/>
        </w:rPr>
        <w:t>Patients meeting the acceptance criteria for urgent care will be directed to those services</w:t>
      </w:r>
    </w:p>
    <w:p w14:paraId="41186668" w14:textId="5EB1C7B0" w:rsidR="001B5D2D" w:rsidRPr="00AA53CB" w:rsidRDefault="001B5D2D" w:rsidP="00AA53CB">
      <w:pPr>
        <w:pStyle w:val="ListParagraph"/>
        <w:numPr>
          <w:ilvl w:val="0"/>
          <w:numId w:val="5"/>
        </w:numPr>
        <w:spacing w:after="0" w:line="240" w:lineRule="auto"/>
        <w:rPr>
          <w:rFonts w:ascii="Arial" w:eastAsia="Calibri" w:hAnsi="Arial" w:cs="Arial"/>
        </w:rPr>
      </w:pPr>
      <w:r w:rsidRPr="00AA53CB">
        <w:rPr>
          <w:rFonts w:ascii="Arial" w:eastAsia="Calibri" w:hAnsi="Arial" w:cs="Arial"/>
        </w:rPr>
        <w:t>Dental Triage will record the necessary patient information and send this to the UDC</w:t>
      </w:r>
      <w:r w:rsidR="004360BC">
        <w:rPr>
          <w:rFonts w:ascii="Arial" w:eastAsia="Calibri" w:hAnsi="Arial" w:cs="Arial"/>
        </w:rPr>
        <w:t>S</w:t>
      </w:r>
      <w:r w:rsidRPr="00AA53CB">
        <w:rPr>
          <w:rFonts w:ascii="Arial" w:eastAsia="Calibri" w:hAnsi="Arial" w:cs="Arial"/>
        </w:rPr>
        <w:t xml:space="preserve"> practices via secure email in adherence with GDPR guidelines</w:t>
      </w:r>
    </w:p>
    <w:p w14:paraId="601D80EA" w14:textId="42305EAF" w:rsidR="001B5D2D" w:rsidRPr="00AA53CB" w:rsidRDefault="001B5D2D" w:rsidP="00AA53CB">
      <w:pPr>
        <w:pStyle w:val="ListParagraph"/>
        <w:numPr>
          <w:ilvl w:val="0"/>
          <w:numId w:val="5"/>
        </w:numPr>
        <w:spacing w:after="0" w:line="240" w:lineRule="auto"/>
        <w:rPr>
          <w:rFonts w:ascii="Arial" w:eastAsia="Calibri" w:hAnsi="Arial" w:cs="Arial"/>
        </w:rPr>
      </w:pPr>
      <w:r w:rsidRPr="00AA53CB">
        <w:rPr>
          <w:rFonts w:ascii="Arial" w:eastAsia="Calibri" w:hAnsi="Arial" w:cs="Arial"/>
        </w:rPr>
        <w:t>Depending on the arrangements agreed, Dental Triage will book the patient into agreed appointment slots or, upon receipt of the email the practice will contact the patient to arrange an appointment</w:t>
      </w:r>
    </w:p>
    <w:p w14:paraId="2C74D2AE" w14:textId="260D14ED" w:rsidR="001B5D2D" w:rsidRPr="00FD4651" w:rsidRDefault="00F74CAF" w:rsidP="00F74CAF">
      <w:pPr>
        <w:rPr>
          <w:rFonts w:ascii="Arial" w:hAnsi="Arial" w:cs="Arial"/>
          <w:lang w:val="en"/>
        </w:rPr>
      </w:pPr>
      <w:r w:rsidRPr="001B5D2D">
        <w:rPr>
          <w:rFonts w:ascii="Arial" w:hAnsi="Arial" w:cs="Arial"/>
          <w:lang w:val="en"/>
        </w:rPr>
        <w:br/>
      </w:r>
      <w:r w:rsidRPr="001B5D2D">
        <w:rPr>
          <w:rFonts w:ascii="Arial" w:hAnsi="Arial" w:cs="Arial"/>
          <w:b/>
          <w:bCs/>
          <w:lang w:val="en"/>
        </w:rPr>
        <w:t>Market Engagement:</w:t>
      </w:r>
      <w:r w:rsidRPr="001B5D2D">
        <w:rPr>
          <w:rFonts w:ascii="Arial" w:hAnsi="Arial" w:cs="Arial"/>
          <w:lang w:val="en"/>
        </w:rPr>
        <w:t xml:space="preserve"> </w:t>
      </w:r>
      <w:r w:rsidR="000B793B" w:rsidRPr="000B793B">
        <w:rPr>
          <w:rFonts w:ascii="Arial" w:hAnsi="Arial" w:cs="Arial"/>
          <w:lang w:val="en"/>
        </w:rPr>
        <w:t>The Authority plans to hold an online interactive engagement event</w:t>
      </w:r>
      <w:r w:rsidR="000B793B">
        <w:rPr>
          <w:rFonts w:ascii="Arial" w:hAnsi="Arial" w:cs="Arial"/>
          <w:lang w:val="en"/>
        </w:rPr>
        <w:t xml:space="preserve"> via MS Teams on </w:t>
      </w:r>
      <w:r w:rsidR="004F65EA">
        <w:rPr>
          <w:rFonts w:ascii="Arial" w:hAnsi="Arial" w:cs="Arial"/>
          <w:lang w:val="en"/>
        </w:rPr>
        <w:t>Monday</w:t>
      </w:r>
      <w:r w:rsidR="00771DB6">
        <w:rPr>
          <w:rFonts w:ascii="Arial" w:hAnsi="Arial" w:cs="Arial"/>
          <w:lang w:val="en"/>
        </w:rPr>
        <w:t xml:space="preserve"> 23 January</w:t>
      </w:r>
      <w:r w:rsidR="004F65EA">
        <w:rPr>
          <w:rFonts w:ascii="Arial" w:hAnsi="Arial" w:cs="Arial"/>
          <w:lang w:val="en"/>
        </w:rPr>
        <w:t xml:space="preserve"> 2023 from 1</w:t>
      </w:r>
      <w:r w:rsidR="00771DB6">
        <w:rPr>
          <w:rFonts w:ascii="Arial" w:hAnsi="Arial" w:cs="Arial"/>
          <w:lang w:val="en"/>
        </w:rPr>
        <w:t>4</w:t>
      </w:r>
      <w:r w:rsidR="004F65EA">
        <w:rPr>
          <w:rFonts w:ascii="Arial" w:hAnsi="Arial" w:cs="Arial"/>
          <w:lang w:val="en"/>
        </w:rPr>
        <w:t>.</w:t>
      </w:r>
      <w:r w:rsidR="00771DB6">
        <w:rPr>
          <w:rFonts w:ascii="Arial" w:hAnsi="Arial" w:cs="Arial"/>
          <w:lang w:val="en"/>
        </w:rPr>
        <w:t>0</w:t>
      </w:r>
      <w:r w:rsidR="004F65EA">
        <w:rPr>
          <w:rFonts w:ascii="Arial" w:hAnsi="Arial" w:cs="Arial"/>
          <w:lang w:val="en"/>
        </w:rPr>
        <w:t>0 to 17.</w:t>
      </w:r>
      <w:r w:rsidR="00771DB6">
        <w:rPr>
          <w:rFonts w:ascii="Arial" w:hAnsi="Arial" w:cs="Arial"/>
          <w:lang w:val="en"/>
        </w:rPr>
        <w:t>3</w:t>
      </w:r>
      <w:r w:rsidR="004F65EA">
        <w:rPr>
          <w:rFonts w:ascii="Arial" w:hAnsi="Arial" w:cs="Arial"/>
          <w:lang w:val="en"/>
        </w:rPr>
        <w:t>0.</w:t>
      </w:r>
    </w:p>
    <w:p w14:paraId="19DBD155" w14:textId="2C339102" w:rsidR="00F74CAF" w:rsidRPr="001B5D2D" w:rsidRDefault="00F74CAF" w:rsidP="00F74CAF">
      <w:pPr>
        <w:rPr>
          <w:rFonts w:ascii="Arial" w:hAnsi="Arial" w:cs="Arial"/>
          <w:b/>
          <w:bCs/>
          <w:lang w:val="en"/>
        </w:rPr>
      </w:pPr>
      <w:r w:rsidRPr="001B5D2D">
        <w:rPr>
          <w:rFonts w:ascii="Arial" w:hAnsi="Arial" w:cs="Arial"/>
          <w:b/>
          <w:bCs/>
          <w:lang w:val="en"/>
        </w:rPr>
        <w:t>The Market Engagement Event will provide:</w:t>
      </w:r>
    </w:p>
    <w:p w14:paraId="20FA67C6" w14:textId="5F3DC27F" w:rsidR="00F74CAF" w:rsidRPr="001B5D2D" w:rsidRDefault="00F74CAF" w:rsidP="00F74CAF">
      <w:pPr>
        <w:pStyle w:val="ListParagraph"/>
        <w:numPr>
          <w:ilvl w:val="0"/>
          <w:numId w:val="1"/>
        </w:numPr>
        <w:rPr>
          <w:rFonts w:ascii="Arial" w:hAnsi="Arial" w:cs="Arial"/>
          <w:lang w:val="en"/>
        </w:rPr>
      </w:pPr>
      <w:r w:rsidRPr="001B5D2D">
        <w:rPr>
          <w:rFonts w:ascii="Arial" w:hAnsi="Arial" w:cs="Arial"/>
          <w:lang w:val="en"/>
        </w:rPr>
        <w:t xml:space="preserve">An overview of the current </w:t>
      </w:r>
      <w:r w:rsidR="001B5D2D" w:rsidRPr="001B5D2D">
        <w:rPr>
          <w:rFonts w:ascii="Arial" w:hAnsi="Arial" w:cs="Arial"/>
          <w:lang w:val="en"/>
        </w:rPr>
        <w:t>UDC</w:t>
      </w:r>
      <w:r w:rsidR="004360BC">
        <w:rPr>
          <w:rFonts w:ascii="Arial" w:hAnsi="Arial" w:cs="Arial"/>
          <w:lang w:val="en"/>
        </w:rPr>
        <w:t>S</w:t>
      </w:r>
      <w:r w:rsidRPr="001B5D2D">
        <w:rPr>
          <w:rFonts w:ascii="Arial" w:hAnsi="Arial" w:cs="Arial"/>
          <w:lang w:val="en"/>
        </w:rPr>
        <w:t xml:space="preserve"> provision across the London Region;</w:t>
      </w:r>
    </w:p>
    <w:p w14:paraId="416BCBC1" w14:textId="77777777" w:rsidR="00F74CAF" w:rsidRPr="001B5D2D" w:rsidRDefault="00F74CAF" w:rsidP="00F74CAF">
      <w:pPr>
        <w:pStyle w:val="ListParagraph"/>
        <w:numPr>
          <w:ilvl w:val="0"/>
          <w:numId w:val="1"/>
        </w:numPr>
        <w:rPr>
          <w:rFonts w:ascii="Arial" w:hAnsi="Arial" w:cs="Arial"/>
          <w:lang w:val="en"/>
        </w:rPr>
      </w:pPr>
      <w:r w:rsidRPr="001B5D2D">
        <w:rPr>
          <w:rFonts w:ascii="Arial" w:hAnsi="Arial" w:cs="Arial"/>
          <w:lang w:val="en"/>
        </w:rPr>
        <w:lastRenderedPageBreak/>
        <w:t>Details of the anticipated contract type, length and particular conditions (</w:t>
      </w:r>
      <w:proofErr w:type="spellStart"/>
      <w:r w:rsidRPr="001B5D2D">
        <w:rPr>
          <w:rFonts w:ascii="Arial" w:hAnsi="Arial" w:cs="Arial"/>
          <w:lang w:val="en"/>
        </w:rPr>
        <w:t>inc</w:t>
      </w:r>
      <w:proofErr w:type="spellEnd"/>
      <w:r w:rsidRPr="001B5D2D">
        <w:rPr>
          <w:rFonts w:ascii="Arial" w:hAnsi="Arial" w:cs="Arial"/>
          <w:lang w:val="en"/>
        </w:rPr>
        <w:t xml:space="preserve"> tariff);</w:t>
      </w:r>
    </w:p>
    <w:p w14:paraId="1470B291" w14:textId="4794478C" w:rsidR="00F74CAF" w:rsidRPr="001B5D2D" w:rsidRDefault="00F74CAF" w:rsidP="001B5D2D">
      <w:pPr>
        <w:pStyle w:val="ListParagraph"/>
        <w:numPr>
          <w:ilvl w:val="0"/>
          <w:numId w:val="1"/>
        </w:numPr>
        <w:rPr>
          <w:rFonts w:ascii="Arial" w:hAnsi="Arial" w:cs="Arial"/>
          <w:lang w:val="en"/>
        </w:rPr>
      </w:pPr>
      <w:r w:rsidRPr="001B5D2D">
        <w:rPr>
          <w:rFonts w:ascii="Arial" w:hAnsi="Arial" w:cs="Arial"/>
          <w:lang w:val="en"/>
        </w:rPr>
        <w:t>An overview of the proposed commissioning approach;</w:t>
      </w:r>
    </w:p>
    <w:p w14:paraId="427F1348" w14:textId="640FF647" w:rsidR="00F74CAF" w:rsidRPr="001B5D2D" w:rsidRDefault="00F74CAF" w:rsidP="00F74CAF">
      <w:pPr>
        <w:pStyle w:val="ListParagraph"/>
        <w:numPr>
          <w:ilvl w:val="0"/>
          <w:numId w:val="1"/>
        </w:numPr>
        <w:rPr>
          <w:rFonts w:ascii="Arial" w:hAnsi="Arial" w:cs="Arial"/>
          <w:lang w:val="en"/>
        </w:rPr>
      </w:pPr>
      <w:r w:rsidRPr="001B5D2D">
        <w:rPr>
          <w:rFonts w:ascii="Arial" w:hAnsi="Arial" w:cs="Arial"/>
          <w:lang w:val="en"/>
        </w:rPr>
        <w:t>Procurement process oversight and bid preparation</w:t>
      </w:r>
    </w:p>
    <w:p w14:paraId="20138A40" w14:textId="77777777" w:rsidR="00F74CAF" w:rsidRPr="001B5D2D" w:rsidRDefault="00F74CAF" w:rsidP="00F74CAF">
      <w:pPr>
        <w:pStyle w:val="ListParagraph"/>
        <w:numPr>
          <w:ilvl w:val="0"/>
          <w:numId w:val="1"/>
        </w:numPr>
        <w:rPr>
          <w:rFonts w:ascii="Arial" w:hAnsi="Arial" w:cs="Arial"/>
          <w:lang w:val="en"/>
        </w:rPr>
      </w:pPr>
      <w:r w:rsidRPr="001B5D2D">
        <w:rPr>
          <w:rFonts w:ascii="Arial" w:hAnsi="Arial" w:cs="Arial"/>
          <w:lang w:val="en"/>
        </w:rPr>
        <w:t>Opportunity to discuss and feedback on NHSE proposals.</w:t>
      </w:r>
    </w:p>
    <w:p w14:paraId="28AB6B9B" w14:textId="77777777" w:rsidR="00F74CAF" w:rsidRPr="001B5D2D" w:rsidRDefault="00F74CAF" w:rsidP="00F74CAF">
      <w:pPr>
        <w:rPr>
          <w:rFonts w:ascii="Arial" w:hAnsi="Arial" w:cs="Arial"/>
          <w:b/>
          <w:lang w:val="en"/>
        </w:rPr>
      </w:pPr>
      <w:r w:rsidRPr="001B5D2D">
        <w:rPr>
          <w:rFonts w:ascii="Arial" w:hAnsi="Arial" w:cs="Arial"/>
          <w:b/>
          <w:lang w:val="en"/>
        </w:rPr>
        <w:t>Registration</w:t>
      </w:r>
    </w:p>
    <w:p w14:paraId="1E58088E" w14:textId="36964ACD" w:rsidR="00F74CAF" w:rsidRPr="000367F7" w:rsidRDefault="00F74CAF" w:rsidP="000367F7">
      <w:pPr>
        <w:rPr>
          <w:rFonts w:ascii="Arial" w:hAnsi="Arial" w:cs="Arial"/>
          <w:highlight w:val="yellow"/>
        </w:rPr>
      </w:pPr>
      <w:r w:rsidRPr="001B5D2D">
        <w:rPr>
          <w:rFonts w:ascii="Arial" w:hAnsi="Arial" w:cs="Arial"/>
          <w:lang w:val="en"/>
        </w:rPr>
        <w:t>Reservations are limited to no more than t</w:t>
      </w:r>
      <w:r w:rsidR="004360BC">
        <w:rPr>
          <w:rFonts w:ascii="Arial" w:hAnsi="Arial" w:cs="Arial"/>
          <w:lang w:val="en"/>
        </w:rPr>
        <w:t>hree</w:t>
      </w:r>
      <w:r w:rsidRPr="001B5D2D">
        <w:rPr>
          <w:rFonts w:ascii="Arial" w:hAnsi="Arial" w:cs="Arial"/>
          <w:lang w:val="en"/>
        </w:rPr>
        <w:t xml:space="preserve"> persons per </w:t>
      </w:r>
      <w:proofErr w:type="spellStart"/>
      <w:r w:rsidRPr="001B5D2D">
        <w:rPr>
          <w:rFonts w:ascii="Arial" w:hAnsi="Arial" w:cs="Arial"/>
          <w:lang w:val="en"/>
        </w:rPr>
        <w:t>organisation</w:t>
      </w:r>
      <w:proofErr w:type="spellEnd"/>
      <w:r w:rsidRPr="001B5D2D">
        <w:rPr>
          <w:rFonts w:ascii="Arial" w:hAnsi="Arial" w:cs="Arial"/>
          <w:lang w:val="en"/>
        </w:rPr>
        <w:t xml:space="preserve">. </w:t>
      </w:r>
      <w:r w:rsidRPr="001B5D2D">
        <w:rPr>
          <w:rFonts w:ascii="Arial" w:hAnsi="Arial" w:cs="Arial"/>
          <w:lang w:val="en"/>
        </w:rPr>
        <w:br/>
      </w:r>
      <w:r w:rsidRPr="001B5D2D">
        <w:rPr>
          <w:rFonts w:ascii="Arial" w:hAnsi="Arial" w:cs="Arial"/>
          <w:lang w:val="en"/>
        </w:rPr>
        <w:br/>
      </w:r>
      <w:r w:rsidR="00921675">
        <w:rPr>
          <w:rFonts w:ascii="Arial" w:hAnsi="Arial" w:cs="Arial"/>
          <w:highlight w:val="yellow"/>
          <w:lang w:val="en"/>
        </w:rPr>
        <w:t xml:space="preserve">Add link </w:t>
      </w:r>
      <w:r w:rsidR="004360BC">
        <w:rPr>
          <w:rFonts w:ascii="Arial" w:hAnsi="Arial" w:cs="Arial"/>
          <w:highlight w:val="yellow"/>
          <w:lang w:val="en"/>
        </w:rPr>
        <w:t xml:space="preserve">: </w:t>
      </w:r>
      <w:hyperlink r:id="rId8" w:history="1">
        <w:r w:rsidR="00B97A3D" w:rsidRPr="008C721C">
          <w:rPr>
            <w:rStyle w:val="Hyperlink"/>
            <w:rFonts w:ascii="Arial" w:hAnsi="Arial" w:cs="Arial"/>
            <w:lang w:val="en"/>
          </w:rPr>
          <w:t>https://forms.</w:t>
        </w:r>
        <w:bookmarkStart w:id="0" w:name="_GoBack"/>
        <w:r w:rsidR="00B97A3D" w:rsidRPr="008C721C">
          <w:rPr>
            <w:rStyle w:val="Hyperlink"/>
            <w:rFonts w:ascii="Arial" w:hAnsi="Arial" w:cs="Arial"/>
            <w:lang w:val="en"/>
          </w:rPr>
          <w:t>office</w:t>
        </w:r>
        <w:bookmarkEnd w:id="0"/>
        <w:r w:rsidR="00B97A3D" w:rsidRPr="008C721C">
          <w:rPr>
            <w:rStyle w:val="Hyperlink"/>
            <w:rFonts w:ascii="Arial" w:hAnsi="Arial" w:cs="Arial"/>
            <w:lang w:val="en"/>
          </w:rPr>
          <w:t>.com/Pages/ResponsePage.aspx?id=slTDN7CF9UeyIge0jXdO4xxO4j6DrWVEsDrKajbLEExUQ0xTUThVVk5ZTEhKMFRBQzdBOEpLQzFNSC4u</w:t>
        </w:r>
      </w:hyperlink>
      <w:r w:rsidR="00B97A3D">
        <w:rPr>
          <w:rFonts w:ascii="Arial" w:hAnsi="Arial" w:cs="Arial"/>
          <w:lang w:val="en"/>
        </w:rPr>
        <w:t xml:space="preserve"> </w:t>
      </w:r>
    </w:p>
    <w:p w14:paraId="6A279F15" w14:textId="690BD698" w:rsidR="00F508B2" w:rsidRPr="000367F7" w:rsidRDefault="00F508B2" w:rsidP="00F508B2">
      <w:pPr>
        <w:rPr>
          <w:rFonts w:ascii="Arial" w:hAnsi="Arial" w:cs="Arial"/>
          <w:b/>
          <w:bCs/>
        </w:rPr>
      </w:pPr>
      <w:r w:rsidRPr="000367F7">
        <w:rPr>
          <w:rFonts w:ascii="Arial" w:hAnsi="Arial" w:cs="Arial"/>
          <w:b/>
          <w:bCs/>
        </w:rPr>
        <w:t>Additional Text</w:t>
      </w:r>
    </w:p>
    <w:p w14:paraId="4DDA4A04" w14:textId="69ACC51C" w:rsidR="00F74CAF" w:rsidRPr="001B5D2D" w:rsidRDefault="00F508B2" w:rsidP="00F74CAF">
      <w:pPr>
        <w:rPr>
          <w:rFonts w:ascii="Arial" w:hAnsi="Arial" w:cs="Arial"/>
          <w:lang w:val="en"/>
        </w:rPr>
      </w:pPr>
      <w:r>
        <w:rPr>
          <w:rFonts w:ascii="Arial" w:hAnsi="Arial" w:cs="Arial"/>
          <w:lang w:val="en"/>
        </w:rPr>
        <w:t>The Procurement and Contracting Hub, h</w:t>
      </w:r>
      <w:r w:rsidRPr="00F508B2">
        <w:rPr>
          <w:rFonts w:ascii="Arial" w:hAnsi="Arial" w:cs="Arial"/>
          <w:lang w:val="en"/>
        </w:rPr>
        <w:t>osted by NHS North East London</w:t>
      </w:r>
      <w:r>
        <w:rPr>
          <w:rFonts w:ascii="Arial" w:hAnsi="Arial" w:cs="Arial"/>
          <w:lang w:val="en"/>
        </w:rPr>
        <w:t xml:space="preserve">, </w:t>
      </w:r>
      <w:r w:rsidRPr="00F508B2">
        <w:rPr>
          <w:rFonts w:ascii="Arial" w:hAnsi="Arial" w:cs="Arial"/>
          <w:lang w:val="en"/>
        </w:rPr>
        <w:t>Part of North East London Health and Care Partnership</w:t>
      </w:r>
      <w:r>
        <w:rPr>
          <w:rFonts w:ascii="Arial" w:hAnsi="Arial" w:cs="Arial"/>
          <w:lang w:val="en"/>
        </w:rPr>
        <w:t xml:space="preserve"> </w:t>
      </w:r>
      <w:r w:rsidRPr="00F508B2">
        <w:rPr>
          <w:rFonts w:ascii="Arial" w:hAnsi="Arial" w:cs="Arial"/>
          <w:lang w:val="en"/>
        </w:rPr>
        <w:t>is managing this Early Engagement process on behalf of NHS England (The Authority). The services to which this advert relates fall within Schedule 3 of the Public Contracts Regulations 2015 (the Regulations) and the "Light Touch Regime" (LTR) governing the procurement of Health, Social, Education and Other service contracts. Neither the reference to the "Open Procedure", "ITT", "SQ", the use of the term "Tender process", nor any other indication shall be taken to mean that The Authority intends to hold itself bound to any of the Regulations, save those applicable to LTR provisions. Information relating to this procurement is provided in good faith and may be subject to amendment by The Authority.</w:t>
      </w:r>
      <w:r w:rsidR="00F74CAF" w:rsidRPr="001B5D2D">
        <w:rPr>
          <w:rFonts w:ascii="Arial" w:hAnsi="Arial" w:cs="Arial"/>
          <w:lang w:val="en"/>
        </w:rPr>
        <w:br/>
      </w:r>
    </w:p>
    <w:p w14:paraId="69DBA3EC" w14:textId="77777777" w:rsidR="00F74CAF" w:rsidRPr="001B5D2D" w:rsidRDefault="00F74CAF" w:rsidP="00F74CAF">
      <w:pPr>
        <w:rPr>
          <w:rFonts w:ascii="Arial" w:hAnsi="Arial" w:cs="Arial"/>
        </w:rPr>
      </w:pPr>
    </w:p>
    <w:p w14:paraId="2A2C84AE" w14:textId="77777777" w:rsidR="00F74CAF" w:rsidRPr="001B5D2D" w:rsidRDefault="00F74CAF" w:rsidP="00F74CAF">
      <w:pPr>
        <w:rPr>
          <w:rFonts w:ascii="Arial" w:hAnsi="Arial" w:cs="Arial"/>
        </w:rPr>
      </w:pPr>
    </w:p>
    <w:p w14:paraId="33D2330E" w14:textId="77777777" w:rsidR="00F74CAF" w:rsidRPr="001B5D2D" w:rsidRDefault="00F74CAF" w:rsidP="00F74CAF">
      <w:pPr>
        <w:rPr>
          <w:rFonts w:ascii="Arial" w:hAnsi="Arial" w:cs="Arial"/>
          <w:u w:val="single"/>
        </w:rPr>
      </w:pPr>
    </w:p>
    <w:sectPr w:rsidR="00F74CAF" w:rsidRPr="001B5D2D" w:rsidSect="000367F7">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9699C" w16cex:dateUtc="2022-10-06T13:50:00Z"/>
  <w16cex:commentExtensible w16cex:durableId="26E96EC1" w16cex:dateUtc="2022-10-06T1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040F0" w14:textId="77777777" w:rsidR="004360BC" w:rsidRDefault="004360BC" w:rsidP="004F65EA">
      <w:pPr>
        <w:spacing w:after="0" w:line="240" w:lineRule="auto"/>
      </w:pPr>
      <w:r>
        <w:separator/>
      </w:r>
    </w:p>
  </w:endnote>
  <w:endnote w:type="continuationSeparator" w:id="0">
    <w:p w14:paraId="0208B877" w14:textId="77777777" w:rsidR="004360BC" w:rsidRDefault="004360BC" w:rsidP="004F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C8A3" w14:textId="2EC4A93B" w:rsidR="004360BC" w:rsidRDefault="004360BC">
    <w:pPr>
      <w:pStyle w:val="Footer"/>
    </w:pPr>
    <w:r>
      <w:rPr>
        <w:noProof/>
      </w:rPr>
      <mc:AlternateContent>
        <mc:Choice Requires="wps">
          <w:drawing>
            <wp:anchor distT="0" distB="0" distL="0" distR="0" simplePos="0" relativeHeight="251659264" behindDoc="0" locked="0" layoutInCell="1" allowOverlap="1" wp14:anchorId="499D0FAE" wp14:editId="2F39721F">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BC921" w14:textId="21FF9F60" w:rsidR="004360BC" w:rsidRPr="004F65EA" w:rsidRDefault="004360BC">
                          <w:pPr>
                            <w:rPr>
                              <w:rFonts w:ascii="Calibri" w:eastAsia="Calibri" w:hAnsi="Calibri" w:cs="Calibri"/>
                              <w:noProof/>
                              <w:color w:val="000000"/>
                              <w:sz w:val="20"/>
                              <w:szCs w:val="20"/>
                            </w:rPr>
                          </w:pPr>
                          <w:r w:rsidRPr="004F65E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9D0FAE"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F+lrZlhAgAAnwQAAA4AAAAAAAAAAAAAAAAALgIAAGRycy9lMm9Eb2Mu&#10;eG1sUEsBAi0AFAAGAAgAAAAhADSBOhbaAAAAAwEAAA8AAAAAAAAAAAAAAAAAuwQAAGRycy9kb3du&#10;cmV2LnhtbFBLBQYAAAAABAAEAPMAAADCBQAAAAA=&#10;" filled="f" stroked="f">
              <v:textbox style="mso-fit-shape-to-text:t" inset="5pt,0,0,0">
                <w:txbxContent>
                  <w:p w14:paraId="011BC921" w14:textId="21FF9F60" w:rsidR="004360BC" w:rsidRPr="004F65EA" w:rsidRDefault="004360BC">
                    <w:pPr>
                      <w:rPr>
                        <w:rFonts w:ascii="Calibri" w:eastAsia="Calibri" w:hAnsi="Calibri" w:cs="Calibri"/>
                        <w:noProof/>
                        <w:color w:val="000000"/>
                        <w:sz w:val="20"/>
                        <w:szCs w:val="20"/>
                      </w:rPr>
                    </w:pPr>
                    <w:r w:rsidRPr="004F65EA">
                      <w:rPr>
                        <w:rFonts w:ascii="Calibri" w:eastAsia="Calibri" w:hAnsi="Calibri" w:cs="Calibri"/>
                        <w:noProof/>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C012" w14:textId="12C4308E" w:rsidR="004360BC" w:rsidRDefault="004360BC">
    <w:pPr>
      <w:pStyle w:val="Footer"/>
    </w:pPr>
    <w:r>
      <w:rPr>
        <w:noProof/>
      </w:rPr>
      <mc:AlternateContent>
        <mc:Choice Requires="wps">
          <w:drawing>
            <wp:anchor distT="0" distB="0" distL="0" distR="0" simplePos="0" relativeHeight="251660288" behindDoc="0" locked="0" layoutInCell="1" allowOverlap="1" wp14:anchorId="0B876991" wp14:editId="208D1F04">
              <wp:simplePos x="635" y="635"/>
              <wp:positionH relativeFrom="leftMargin">
                <wp:align>left</wp:align>
              </wp:positionH>
              <wp:positionV relativeFrom="paragraph">
                <wp:posOffset>635</wp:posOffset>
              </wp:positionV>
              <wp:extent cx="443865" cy="443865"/>
              <wp:effectExtent l="0" t="0" r="10160" b="17145"/>
              <wp:wrapSquare wrapText="bothSides"/>
              <wp:docPr id="3"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08EDC" w14:textId="6B655361" w:rsidR="004360BC" w:rsidRPr="004F65EA" w:rsidRDefault="004360BC">
                          <w:pPr>
                            <w:rPr>
                              <w:rFonts w:ascii="Calibri" w:eastAsia="Calibri" w:hAnsi="Calibri" w:cs="Calibri"/>
                              <w:noProof/>
                              <w:color w:val="000000"/>
                              <w:sz w:val="20"/>
                              <w:szCs w:val="20"/>
                            </w:rPr>
                          </w:pPr>
                          <w:r w:rsidRPr="004F65E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87699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uA5VAWMCAACmBAAADgAAAAAAAAAAAAAAAAAuAgAAZHJzL2Uyb0Rv&#10;Yy54bWxQSwECLQAUAAYACAAAACEANIE6FtoAAAADAQAADwAAAAAAAAAAAAAAAAC9BAAAZHJzL2Rv&#10;d25yZXYueG1sUEsFBgAAAAAEAAQA8wAAAMQFAAAAAA==&#10;" filled="f" stroked="f">
              <v:textbox style="mso-fit-shape-to-text:t" inset="5pt,0,0,0">
                <w:txbxContent>
                  <w:p w14:paraId="17B08EDC" w14:textId="6B655361" w:rsidR="004360BC" w:rsidRPr="004F65EA" w:rsidRDefault="004360BC">
                    <w:pPr>
                      <w:rPr>
                        <w:rFonts w:ascii="Calibri" w:eastAsia="Calibri" w:hAnsi="Calibri" w:cs="Calibri"/>
                        <w:noProof/>
                        <w:color w:val="000000"/>
                        <w:sz w:val="20"/>
                        <w:szCs w:val="20"/>
                      </w:rPr>
                    </w:pPr>
                    <w:r w:rsidRPr="004F65EA">
                      <w:rPr>
                        <w:rFonts w:ascii="Calibri" w:eastAsia="Calibri" w:hAnsi="Calibri" w:cs="Calibri"/>
                        <w:noProof/>
                        <w:color w:val="000000"/>
                        <w:sz w:val="20"/>
                        <w:szCs w:val="20"/>
                      </w:rPr>
                      <w:t>OFFICIAL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A448" w14:textId="153EEB47" w:rsidR="004360BC" w:rsidRDefault="004360BC">
    <w:pPr>
      <w:pStyle w:val="Footer"/>
    </w:pPr>
    <w:r>
      <w:rPr>
        <w:noProof/>
      </w:rPr>
      <mc:AlternateContent>
        <mc:Choice Requires="wps">
          <w:drawing>
            <wp:anchor distT="0" distB="0" distL="0" distR="0" simplePos="0" relativeHeight="251658240" behindDoc="0" locked="0" layoutInCell="1" allowOverlap="1" wp14:anchorId="29D4BE83" wp14:editId="4B89C37E">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42941" w14:textId="188F6AC6" w:rsidR="004360BC" w:rsidRPr="004F65EA" w:rsidRDefault="004360BC">
                          <w:pPr>
                            <w:rPr>
                              <w:rFonts w:ascii="Calibri" w:eastAsia="Calibri" w:hAnsi="Calibri" w:cs="Calibri"/>
                              <w:noProof/>
                              <w:color w:val="000000"/>
                              <w:sz w:val="20"/>
                              <w:szCs w:val="20"/>
                            </w:rPr>
                          </w:pPr>
                          <w:r w:rsidRPr="004F65E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D4BE83"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0nSTFWMCAACmBAAADgAAAAAAAAAAAAAAAAAuAgAAZHJzL2Uyb0Rv&#10;Yy54bWxQSwECLQAUAAYACAAAACEANIE6FtoAAAADAQAADwAAAAAAAAAAAAAAAAC9BAAAZHJzL2Rv&#10;d25yZXYueG1sUEsFBgAAAAAEAAQA8wAAAMQFAAAAAA==&#10;" filled="f" stroked="f">
              <v:textbox style="mso-fit-shape-to-text:t" inset="5pt,0,0,0">
                <w:txbxContent>
                  <w:p w14:paraId="37642941" w14:textId="188F6AC6" w:rsidR="004360BC" w:rsidRPr="004F65EA" w:rsidRDefault="004360BC">
                    <w:pPr>
                      <w:rPr>
                        <w:rFonts w:ascii="Calibri" w:eastAsia="Calibri" w:hAnsi="Calibri" w:cs="Calibri"/>
                        <w:noProof/>
                        <w:color w:val="000000"/>
                        <w:sz w:val="20"/>
                        <w:szCs w:val="20"/>
                      </w:rPr>
                    </w:pPr>
                    <w:r w:rsidRPr="004F65EA">
                      <w:rPr>
                        <w:rFonts w:ascii="Calibri" w:eastAsia="Calibri" w:hAnsi="Calibri" w:cs="Calibri"/>
                        <w:noProof/>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7B978" w14:textId="77777777" w:rsidR="004360BC" w:rsidRDefault="004360BC" w:rsidP="004F65EA">
      <w:pPr>
        <w:spacing w:after="0" w:line="240" w:lineRule="auto"/>
      </w:pPr>
      <w:r>
        <w:separator/>
      </w:r>
    </w:p>
  </w:footnote>
  <w:footnote w:type="continuationSeparator" w:id="0">
    <w:p w14:paraId="7938DECE" w14:textId="77777777" w:rsidR="004360BC" w:rsidRDefault="004360BC" w:rsidP="004F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0325" w14:textId="77777777" w:rsidR="004360BC" w:rsidRDefault="00436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13A7" w14:textId="77777777" w:rsidR="004360BC" w:rsidRDefault="00436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F3C0" w14:textId="77777777" w:rsidR="004360BC" w:rsidRDefault="00436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C51BA"/>
    <w:multiLevelType w:val="hybridMultilevel"/>
    <w:tmpl w:val="870C6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C62ACE"/>
    <w:multiLevelType w:val="hybridMultilevel"/>
    <w:tmpl w:val="EEAA89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C695B"/>
    <w:multiLevelType w:val="hybridMultilevel"/>
    <w:tmpl w:val="2450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965E9"/>
    <w:multiLevelType w:val="hybridMultilevel"/>
    <w:tmpl w:val="C750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82B79"/>
    <w:multiLevelType w:val="hybridMultilevel"/>
    <w:tmpl w:val="08C486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AF"/>
    <w:rsid w:val="000367F7"/>
    <w:rsid w:val="000B793B"/>
    <w:rsid w:val="000E5537"/>
    <w:rsid w:val="001B5D2D"/>
    <w:rsid w:val="002837FB"/>
    <w:rsid w:val="003C44A4"/>
    <w:rsid w:val="004360BC"/>
    <w:rsid w:val="004F65EA"/>
    <w:rsid w:val="005A507D"/>
    <w:rsid w:val="005D0DD2"/>
    <w:rsid w:val="006E06DB"/>
    <w:rsid w:val="00771DB6"/>
    <w:rsid w:val="0086397C"/>
    <w:rsid w:val="00921675"/>
    <w:rsid w:val="00AA53CB"/>
    <w:rsid w:val="00B16652"/>
    <w:rsid w:val="00B426C1"/>
    <w:rsid w:val="00B97A3D"/>
    <w:rsid w:val="00C71711"/>
    <w:rsid w:val="00C95834"/>
    <w:rsid w:val="00CE7443"/>
    <w:rsid w:val="00D4452B"/>
    <w:rsid w:val="00D87AD6"/>
    <w:rsid w:val="00E67426"/>
    <w:rsid w:val="00ED15D7"/>
    <w:rsid w:val="00F508B2"/>
    <w:rsid w:val="00F74CAF"/>
    <w:rsid w:val="00FC6B53"/>
    <w:rsid w:val="00FD4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43FD05"/>
  <w15:chartTrackingRefBased/>
  <w15:docId w15:val="{CDB6101E-F47B-4654-836D-8552E21F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CAF"/>
    <w:rPr>
      <w:color w:val="0563C1" w:themeColor="hyperlink"/>
      <w:u w:val="single"/>
    </w:rPr>
  </w:style>
  <w:style w:type="paragraph" w:styleId="ListParagraph">
    <w:name w:val="List Paragraph"/>
    <w:basedOn w:val="Normal"/>
    <w:uiPriority w:val="34"/>
    <w:qFormat/>
    <w:rsid w:val="00F74CAF"/>
    <w:pPr>
      <w:ind w:left="720"/>
      <w:contextualSpacing/>
    </w:pPr>
  </w:style>
  <w:style w:type="paragraph" w:styleId="NormalWeb">
    <w:name w:val="Normal (Web)"/>
    <w:basedOn w:val="Normal"/>
    <w:uiPriority w:val="99"/>
    <w:semiHidden/>
    <w:unhideWhenUsed/>
    <w:rsid w:val="00F74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6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EA"/>
  </w:style>
  <w:style w:type="paragraph" w:styleId="Footer">
    <w:name w:val="footer"/>
    <w:basedOn w:val="Normal"/>
    <w:link w:val="FooterChar"/>
    <w:uiPriority w:val="99"/>
    <w:unhideWhenUsed/>
    <w:rsid w:val="004F6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EA"/>
  </w:style>
  <w:style w:type="character" w:styleId="CommentReference">
    <w:name w:val="annotation reference"/>
    <w:basedOn w:val="DefaultParagraphFont"/>
    <w:uiPriority w:val="99"/>
    <w:semiHidden/>
    <w:unhideWhenUsed/>
    <w:rsid w:val="004F65EA"/>
    <w:rPr>
      <w:sz w:val="16"/>
      <w:szCs w:val="16"/>
    </w:rPr>
  </w:style>
  <w:style w:type="paragraph" w:styleId="CommentText">
    <w:name w:val="annotation text"/>
    <w:basedOn w:val="Normal"/>
    <w:link w:val="CommentTextChar"/>
    <w:uiPriority w:val="99"/>
    <w:semiHidden/>
    <w:unhideWhenUsed/>
    <w:rsid w:val="004F65EA"/>
    <w:pPr>
      <w:spacing w:line="240" w:lineRule="auto"/>
    </w:pPr>
    <w:rPr>
      <w:sz w:val="20"/>
      <w:szCs w:val="20"/>
    </w:rPr>
  </w:style>
  <w:style w:type="character" w:customStyle="1" w:styleId="CommentTextChar">
    <w:name w:val="Comment Text Char"/>
    <w:basedOn w:val="DefaultParagraphFont"/>
    <w:link w:val="CommentText"/>
    <w:uiPriority w:val="99"/>
    <w:semiHidden/>
    <w:rsid w:val="004F65EA"/>
    <w:rPr>
      <w:sz w:val="20"/>
      <w:szCs w:val="20"/>
    </w:rPr>
  </w:style>
  <w:style w:type="paragraph" w:styleId="CommentSubject">
    <w:name w:val="annotation subject"/>
    <w:basedOn w:val="CommentText"/>
    <w:next w:val="CommentText"/>
    <w:link w:val="CommentSubjectChar"/>
    <w:uiPriority w:val="99"/>
    <w:semiHidden/>
    <w:unhideWhenUsed/>
    <w:rsid w:val="004F65EA"/>
    <w:rPr>
      <w:b/>
      <w:bCs/>
    </w:rPr>
  </w:style>
  <w:style w:type="character" w:customStyle="1" w:styleId="CommentSubjectChar">
    <w:name w:val="Comment Subject Char"/>
    <w:basedOn w:val="CommentTextChar"/>
    <w:link w:val="CommentSubject"/>
    <w:uiPriority w:val="99"/>
    <w:semiHidden/>
    <w:rsid w:val="004F65EA"/>
    <w:rPr>
      <w:b/>
      <w:bCs/>
      <w:sz w:val="20"/>
      <w:szCs w:val="20"/>
    </w:rPr>
  </w:style>
  <w:style w:type="paragraph" w:styleId="BalloonText">
    <w:name w:val="Balloon Text"/>
    <w:basedOn w:val="Normal"/>
    <w:link w:val="BalloonTextChar"/>
    <w:uiPriority w:val="99"/>
    <w:semiHidden/>
    <w:unhideWhenUsed/>
    <w:rsid w:val="0086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97C"/>
    <w:rPr>
      <w:rFonts w:ascii="Segoe UI" w:hAnsi="Segoe UI" w:cs="Segoe UI"/>
      <w:sz w:val="18"/>
      <w:szCs w:val="18"/>
    </w:rPr>
  </w:style>
  <w:style w:type="character" w:styleId="UnresolvedMention">
    <w:name w:val="Unresolved Mention"/>
    <w:basedOn w:val="DefaultParagraphFont"/>
    <w:uiPriority w:val="99"/>
    <w:semiHidden/>
    <w:unhideWhenUsed/>
    <w:rsid w:val="00B9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9273">
      <w:bodyDiv w:val="1"/>
      <w:marLeft w:val="0"/>
      <w:marRight w:val="0"/>
      <w:marTop w:val="0"/>
      <w:marBottom w:val="0"/>
      <w:divBdr>
        <w:top w:val="none" w:sz="0" w:space="0" w:color="auto"/>
        <w:left w:val="none" w:sz="0" w:space="0" w:color="auto"/>
        <w:bottom w:val="none" w:sz="0" w:space="0" w:color="auto"/>
        <w:right w:val="none" w:sz="0" w:space="0" w:color="auto"/>
      </w:divBdr>
    </w:div>
    <w:div w:id="198402436">
      <w:bodyDiv w:val="1"/>
      <w:marLeft w:val="0"/>
      <w:marRight w:val="0"/>
      <w:marTop w:val="0"/>
      <w:marBottom w:val="0"/>
      <w:divBdr>
        <w:top w:val="none" w:sz="0" w:space="0" w:color="auto"/>
        <w:left w:val="none" w:sz="0" w:space="0" w:color="auto"/>
        <w:bottom w:val="none" w:sz="0" w:space="0" w:color="auto"/>
        <w:right w:val="none" w:sz="0" w:space="0" w:color="auto"/>
      </w:divBdr>
    </w:div>
    <w:div w:id="485971425">
      <w:bodyDiv w:val="1"/>
      <w:marLeft w:val="0"/>
      <w:marRight w:val="0"/>
      <w:marTop w:val="0"/>
      <w:marBottom w:val="0"/>
      <w:divBdr>
        <w:top w:val="none" w:sz="0" w:space="0" w:color="auto"/>
        <w:left w:val="none" w:sz="0" w:space="0" w:color="auto"/>
        <w:bottom w:val="none" w:sz="0" w:space="0" w:color="auto"/>
        <w:right w:val="none" w:sz="0" w:space="0" w:color="auto"/>
      </w:divBdr>
    </w:div>
    <w:div w:id="553322103">
      <w:bodyDiv w:val="1"/>
      <w:marLeft w:val="0"/>
      <w:marRight w:val="0"/>
      <w:marTop w:val="0"/>
      <w:marBottom w:val="0"/>
      <w:divBdr>
        <w:top w:val="none" w:sz="0" w:space="0" w:color="auto"/>
        <w:left w:val="none" w:sz="0" w:space="0" w:color="auto"/>
        <w:bottom w:val="none" w:sz="0" w:space="0" w:color="auto"/>
        <w:right w:val="none" w:sz="0" w:space="0" w:color="auto"/>
      </w:divBdr>
    </w:div>
    <w:div w:id="700201977">
      <w:bodyDiv w:val="1"/>
      <w:marLeft w:val="0"/>
      <w:marRight w:val="0"/>
      <w:marTop w:val="0"/>
      <w:marBottom w:val="0"/>
      <w:divBdr>
        <w:top w:val="none" w:sz="0" w:space="0" w:color="auto"/>
        <w:left w:val="none" w:sz="0" w:space="0" w:color="auto"/>
        <w:bottom w:val="none" w:sz="0" w:space="0" w:color="auto"/>
        <w:right w:val="none" w:sz="0" w:space="0" w:color="auto"/>
      </w:divBdr>
    </w:div>
    <w:div w:id="13729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slTDN7CF9UeyIge0jXdO4xxO4j6DrWVEsDrKajbLEExUQ0xTUThVVk5ZTEhKMFRBQzdBOEpLQzFNSC4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03B3-ADF6-4D84-95D6-54C6B55B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NIZZER, Kelly (NHS ENGLAND - X24)</dc:creator>
  <cp:keywords/>
  <dc:description/>
  <cp:lastModifiedBy>Bilan, Sharif - North East London CCG</cp:lastModifiedBy>
  <cp:revision>7</cp:revision>
  <dcterms:created xsi:type="dcterms:W3CDTF">2022-10-06T14:27:00Z</dcterms:created>
  <dcterms:modified xsi:type="dcterms:W3CDTF">2022-12-15T15:16:00Z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2022-10-06T13:47:35Z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d41e978f-9215-435b-9cdb-fa2e3ba5d983</vt:lpwstr>
  </property>
  <property fmtid="{D5CDD505-2E9C-101B-9397-08002B2CF9AE}" pid="11" name="MSIP_Label_3bcdc019-0bea-4b59-b307-3b66a7dbbd6f_ContentBits">
    <vt:lpwstr>2</vt:lpwstr>
  </property>
</Properties>
</file>