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C33" w:rsidRPr="00672D28" w:rsidRDefault="004D7C33" w:rsidP="004D7C33">
      <w:pPr>
        <w:pStyle w:val="Heading1"/>
        <w:numPr>
          <w:ilvl w:val="0"/>
          <w:numId w:val="0"/>
        </w:numPr>
        <w:ind w:left="432" w:hanging="432"/>
        <w:rPr>
          <w:u w:val="single"/>
        </w:rPr>
      </w:pPr>
      <w:r w:rsidRPr="00672D28">
        <w:rPr>
          <w:u w:val="single"/>
        </w:rPr>
        <w:t>Award Criteria</w:t>
      </w:r>
    </w:p>
    <w:p w:rsidR="004D7C33" w:rsidRDefault="004D7C33" w:rsidP="004D7C33">
      <w:pPr>
        <w:pStyle w:val="Heading2"/>
      </w:pPr>
      <w: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7130"/>
        <w:gridCol w:w="1217"/>
      </w:tblGrid>
      <w:tr w:rsidR="004D7C33" w:rsidRPr="005D3614" w:rsidTr="00BC0F9D">
        <w:tc>
          <w:tcPr>
            <w:tcW w:w="670" w:type="dxa"/>
            <w:shd w:val="clear" w:color="auto" w:fill="auto"/>
          </w:tcPr>
          <w:p w:rsidR="004D7C33" w:rsidRPr="005D3614" w:rsidRDefault="004D7C33" w:rsidP="00F16E15">
            <w:pPr>
              <w:pStyle w:val="FCGBBodyText"/>
              <w:rPr>
                <w:b/>
                <w:color w:val="0D0D0D"/>
              </w:rPr>
            </w:pPr>
            <w:r w:rsidRPr="005D3614">
              <w:rPr>
                <w:b/>
                <w:color w:val="0D0D0D"/>
              </w:rPr>
              <w:t>No.</w:t>
            </w:r>
          </w:p>
        </w:tc>
        <w:tc>
          <w:tcPr>
            <w:tcW w:w="7350" w:type="dxa"/>
            <w:shd w:val="clear" w:color="auto" w:fill="auto"/>
          </w:tcPr>
          <w:p w:rsidR="004D7C33" w:rsidRPr="005D3614" w:rsidRDefault="004D7C33" w:rsidP="00F16E15">
            <w:pPr>
              <w:pStyle w:val="FCGBBodyText"/>
              <w:rPr>
                <w:b/>
                <w:color w:val="0D0D0D"/>
              </w:rPr>
            </w:pPr>
            <w:r w:rsidRPr="005D3614">
              <w:rPr>
                <w:b/>
                <w:color w:val="0D0D0D"/>
              </w:rPr>
              <w:t>Question</w:t>
            </w:r>
          </w:p>
        </w:tc>
        <w:tc>
          <w:tcPr>
            <w:tcW w:w="1222" w:type="dxa"/>
            <w:shd w:val="clear" w:color="auto" w:fill="auto"/>
          </w:tcPr>
          <w:p w:rsidR="004D7C33" w:rsidRPr="005D3614" w:rsidRDefault="004D7C33" w:rsidP="00F16E15">
            <w:pPr>
              <w:pStyle w:val="FCGBBodyText"/>
              <w:rPr>
                <w:b/>
                <w:color w:val="0D0D0D"/>
              </w:rPr>
            </w:pPr>
            <w:r w:rsidRPr="005D3614">
              <w:rPr>
                <w:b/>
                <w:color w:val="0D0D0D"/>
              </w:rPr>
              <w:t>Weight %</w:t>
            </w:r>
          </w:p>
        </w:tc>
      </w:tr>
      <w:tr w:rsidR="004D7C33" w:rsidRPr="005D3614" w:rsidTr="00BC0F9D">
        <w:tc>
          <w:tcPr>
            <w:tcW w:w="670" w:type="dxa"/>
            <w:shd w:val="clear" w:color="auto" w:fill="auto"/>
          </w:tcPr>
          <w:p w:rsidR="004D7C33" w:rsidRPr="005D3614" w:rsidRDefault="00BC0F9D" w:rsidP="00F16E15">
            <w:pPr>
              <w:pStyle w:val="FCGBBodyText"/>
              <w:rPr>
                <w:color w:val="0D0D0D"/>
              </w:rPr>
            </w:pPr>
            <w:r>
              <w:rPr>
                <w:color w:val="0D0D0D"/>
              </w:rPr>
              <w:t>1</w:t>
            </w:r>
          </w:p>
        </w:tc>
        <w:tc>
          <w:tcPr>
            <w:tcW w:w="7350" w:type="dxa"/>
            <w:shd w:val="clear" w:color="auto" w:fill="auto"/>
          </w:tcPr>
          <w:p w:rsidR="004D7C33" w:rsidRDefault="00BC0F9D" w:rsidP="00F16E15">
            <w:pPr>
              <w:pStyle w:val="FCGBBodyText"/>
              <w:rPr>
                <w:color w:val="365F91"/>
              </w:rPr>
            </w:pPr>
            <w:r>
              <w:rPr>
                <w:color w:val="365F91"/>
              </w:rPr>
              <w:t>Delivery Programme:</w:t>
            </w:r>
          </w:p>
          <w:p w:rsidR="00BC0F9D" w:rsidRPr="005D3614" w:rsidRDefault="00BC0F9D" w:rsidP="00F16E15">
            <w:pPr>
              <w:pStyle w:val="FCGBBodyText"/>
              <w:rPr>
                <w:color w:val="365F91"/>
              </w:rPr>
            </w:pPr>
            <w:r>
              <w:rPr>
                <w:color w:val="365F91"/>
              </w:rPr>
              <w:t>The Client wishes to have the project works completed as quickly and as effectively as possible.  Through the use of a project programme and description, please identify how you intend on delivering the specified works in the shortest timeframe possible when allowing sufficient time for specific activities.</w:t>
            </w:r>
          </w:p>
        </w:tc>
        <w:tc>
          <w:tcPr>
            <w:tcW w:w="1222" w:type="dxa"/>
            <w:shd w:val="clear" w:color="auto" w:fill="auto"/>
          </w:tcPr>
          <w:p w:rsidR="004D7C33" w:rsidRPr="005D3614" w:rsidRDefault="00BC0F9D" w:rsidP="00F16E15">
            <w:pPr>
              <w:pStyle w:val="FCGBBodyText"/>
              <w:rPr>
                <w:color w:val="0D0D0D"/>
              </w:rPr>
            </w:pPr>
            <w:r>
              <w:rPr>
                <w:color w:val="0D0D0D"/>
              </w:rPr>
              <w:t>10</w:t>
            </w:r>
          </w:p>
        </w:tc>
      </w:tr>
      <w:tr w:rsidR="004D7C33" w:rsidRPr="005D3614" w:rsidTr="00BC0F9D">
        <w:tc>
          <w:tcPr>
            <w:tcW w:w="9242" w:type="dxa"/>
            <w:gridSpan w:val="3"/>
            <w:shd w:val="clear" w:color="auto" w:fill="auto"/>
          </w:tcPr>
          <w:p w:rsidR="004D7C33" w:rsidRPr="005D3614" w:rsidRDefault="004D7C33" w:rsidP="00F16E15">
            <w:pPr>
              <w:pStyle w:val="FCGBBodyText"/>
              <w:rPr>
                <w:color w:val="0D0D0D"/>
              </w:rPr>
            </w:pPr>
            <w:r w:rsidRPr="005D3614">
              <w:rPr>
                <w:color w:val="0D0D0D"/>
              </w:rPr>
              <w:t>Response:</w:t>
            </w:r>
          </w:p>
          <w:p w:rsidR="004D7C33" w:rsidRPr="005D3614" w:rsidRDefault="004D7C33" w:rsidP="00F16E15">
            <w:pPr>
              <w:pStyle w:val="FCGBBodyText"/>
              <w:rPr>
                <w:color w:val="0D0D0D"/>
              </w:rPr>
            </w:pPr>
          </w:p>
          <w:p w:rsidR="004D7C33" w:rsidRPr="005D3614" w:rsidRDefault="004D7C33" w:rsidP="00F16E15">
            <w:pPr>
              <w:pStyle w:val="FCGBBodyText"/>
              <w:rPr>
                <w:color w:val="0D0D0D"/>
              </w:rPr>
            </w:pPr>
          </w:p>
        </w:tc>
      </w:tr>
      <w:tr w:rsidR="004D7C33" w:rsidRPr="005D3614" w:rsidTr="00BC0F9D">
        <w:tc>
          <w:tcPr>
            <w:tcW w:w="670" w:type="dxa"/>
            <w:shd w:val="clear" w:color="auto" w:fill="auto"/>
          </w:tcPr>
          <w:p w:rsidR="004D7C33" w:rsidRPr="005D3614" w:rsidRDefault="004D7C33" w:rsidP="00F16E15">
            <w:pPr>
              <w:pStyle w:val="FCGBBodyText"/>
              <w:rPr>
                <w:b/>
                <w:color w:val="0D0D0D"/>
              </w:rPr>
            </w:pPr>
            <w:r w:rsidRPr="005D3614">
              <w:rPr>
                <w:b/>
                <w:color w:val="0D0D0D"/>
              </w:rPr>
              <w:t>No.</w:t>
            </w:r>
          </w:p>
        </w:tc>
        <w:tc>
          <w:tcPr>
            <w:tcW w:w="7350" w:type="dxa"/>
            <w:shd w:val="clear" w:color="auto" w:fill="auto"/>
          </w:tcPr>
          <w:p w:rsidR="004D7C33" w:rsidRPr="005D3614" w:rsidRDefault="004D7C33" w:rsidP="00F16E15">
            <w:pPr>
              <w:pStyle w:val="FCGBBodyText"/>
              <w:rPr>
                <w:b/>
                <w:color w:val="0D0D0D"/>
              </w:rPr>
            </w:pPr>
            <w:r w:rsidRPr="005D3614">
              <w:rPr>
                <w:b/>
                <w:color w:val="0D0D0D"/>
              </w:rPr>
              <w:t>Question</w:t>
            </w:r>
          </w:p>
        </w:tc>
        <w:tc>
          <w:tcPr>
            <w:tcW w:w="1222" w:type="dxa"/>
            <w:shd w:val="clear" w:color="auto" w:fill="auto"/>
          </w:tcPr>
          <w:p w:rsidR="004D7C33" w:rsidRPr="005D3614" w:rsidRDefault="004D7C33" w:rsidP="00F16E15">
            <w:pPr>
              <w:pStyle w:val="FCGBBodyText"/>
              <w:rPr>
                <w:b/>
                <w:color w:val="0D0D0D"/>
              </w:rPr>
            </w:pPr>
            <w:r w:rsidRPr="005D3614">
              <w:rPr>
                <w:b/>
                <w:color w:val="0D0D0D"/>
              </w:rPr>
              <w:t>Weight %</w:t>
            </w:r>
          </w:p>
        </w:tc>
      </w:tr>
      <w:tr w:rsidR="00BC0F9D" w:rsidRPr="005D3614" w:rsidTr="00BC0F9D">
        <w:tc>
          <w:tcPr>
            <w:tcW w:w="670" w:type="dxa"/>
            <w:shd w:val="clear" w:color="auto" w:fill="auto"/>
          </w:tcPr>
          <w:p w:rsidR="00BC0F9D" w:rsidRPr="005D3614" w:rsidRDefault="00BC0F9D" w:rsidP="00610C23">
            <w:pPr>
              <w:pStyle w:val="FCGBBodyText"/>
              <w:rPr>
                <w:color w:val="0D0D0D"/>
              </w:rPr>
            </w:pPr>
            <w:r>
              <w:rPr>
                <w:color w:val="0D0D0D"/>
              </w:rPr>
              <w:t>2</w:t>
            </w:r>
          </w:p>
        </w:tc>
        <w:tc>
          <w:tcPr>
            <w:tcW w:w="7350" w:type="dxa"/>
            <w:shd w:val="clear" w:color="auto" w:fill="auto"/>
          </w:tcPr>
          <w:p w:rsidR="00BC0F9D" w:rsidRDefault="00C157C3" w:rsidP="00610C23">
            <w:pPr>
              <w:pStyle w:val="FCGBBodyText"/>
              <w:rPr>
                <w:color w:val="365F91"/>
              </w:rPr>
            </w:pPr>
            <w:r>
              <w:rPr>
                <w:color w:val="365F91"/>
              </w:rPr>
              <w:t>After Sales Service:</w:t>
            </w:r>
          </w:p>
          <w:p w:rsidR="00C157C3" w:rsidRPr="005D3614" w:rsidRDefault="00C157C3" w:rsidP="00610C23">
            <w:pPr>
              <w:pStyle w:val="FCGBBodyText"/>
              <w:rPr>
                <w:color w:val="365F91"/>
              </w:rPr>
            </w:pPr>
            <w:r>
              <w:rPr>
                <w:color w:val="365F91"/>
              </w:rPr>
              <w:t>Aspects of the works require involvement of 3</w:t>
            </w:r>
            <w:r w:rsidRPr="00C157C3">
              <w:rPr>
                <w:color w:val="365F91"/>
                <w:vertAlign w:val="superscript"/>
              </w:rPr>
              <w:t>rd</w:t>
            </w:r>
            <w:r>
              <w:rPr>
                <w:color w:val="365F91"/>
              </w:rPr>
              <w:t xml:space="preserve"> parties including the supply and installation of products containing manufacturers warranties and guarantees.  Please provide details of how you will ensure all warranties are complete and passed in full to the Client in addition to how you intend on </w:t>
            </w:r>
            <w:r w:rsidR="0045284E">
              <w:rPr>
                <w:color w:val="365F91"/>
              </w:rPr>
              <w:t xml:space="preserve">providing suitable 12-month defects services.  Your answer is to include the guarantees of the re-commissioning of the heating system via an OFTEC registered engineer. </w:t>
            </w:r>
          </w:p>
        </w:tc>
        <w:tc>
          <w:tcPr>
            <w:tcW w:w="1222" w:type="dxa"/>
            <w:shd w:val="clear" w:color="auto" w:fill="auto"/>
          </w:tcPr>
          <w:p w:rsidR="00BC0F9D" w:rsidRPr="005D3614" w:rsidRDefault="00BC0F9D" w:rsidP="00610C23">
            <w:pPr>
              <w:pStyle w:val="FCGBBodyText"/>
              <w:rPr>
                <w:color w:val="0D0D0D"/>
              </w:rPr>
            </w:pPr>
            <w:r>
              <w:rPr>
                <w:color w:val="0D0D0D"/>
              </w:rPr>
              <w:t>10</w:t>
            </w:r>
          </w:p>
        </w:tc>
      </w:tr>
      <w:tr w:rsidR="004D7C33" w:rsidRPr="005D3614" w:rsidTr="00BC0F9D">
        <w:tc>
          <w:tcPr>
            <w:tcW w:w="9242" w:type="dxa"/>
            <w:gridSpan w:val="3"/>
            <w:shd w:val="clear" w:color="auto" w:fill="auto"/>
          </w:tcPr>
          <w:p w:rsidR="004D7C33" w:rsidRDefault="0045284E" w:rsidP="00F16E15">
            <w:pPr>
              <w:pStyle w:val="FCGBBodyText"/>
              <w:rPr>
                <w:color w:val="0D0D0D"/>
              </w:rPr>
            </w:pPr>
            <w:r>
              <w:rPr>
                <w:color w:val="0D0D0D"/>
              </w:rPr>
              <w:t>Response:</w:t>
            </w:r>
          </w:p>
          <w:p w:rsidR="0045284E" w:rsidRDefault="0045284E" w:rsidP="00F16E15">
            <w:pPr>
              <w:pStyle w:val="FCGBBodyText"/>
              <w:rPr>
                <w:color w:val="0D0D0D"/>
              </w:rPr>
            </w:pPr>
          </w:p>
          <w:p w:rsidR="0045284E" w:rsidRPr="005D3614" w:rsidRDefault="0045284E" w:rsidP="00F16E15">
            <w:pPr>
              <w:pStyle w:val="FCGBBodyText"/>
              <w:rPr>
                <w:color w:val="0D0D0D"/>
              </w:rPr>
            </w:pPr>
          </w:p>
        </w:tc>
      </w:tr>
    </w:tbl>
    <w:p w:rsidR="004D7C33" w:rsidRPr="00391B8E" w:rsidRDefault="004D7C33" w:rsidP="004D7C33">
      <w:pPr>
        <w:pStyle w:val="Heading2"/>
        <w:numPr>
          <w:ilvl w:val="0"/>
          <w:numId w:val="0"/>
        </w:numPr>
        <w:ind w:left="576" w:hanging="576"/>
        <w:rPr>
          <w:sz w:val="28"/>
        </w:rPr>
      </w:pPr>
      <w:r w:rsidRPr="00391B8E">
        <w:rPr>
          <w:sz w:val="28"/>
        </w:rPr>
        <w:t>Evaluation Matrix for Section 4.8</w:t>
      </w:r>
    </w:p>
    <w:p w:rsidR="004D7C33" w:rsidRDefault="004D7C33" w:rsidP="004D7C33">
      <w:pPr>
        <w:pStyle w:val="FCGBBodyText"/>
        <w:rPr>
          <w:b/>
          <w:color w:val="0D0D0D"/>
        </w:rPr>
      </w:pPr>
      <w:r w:rsidRPr="009E5141">
        <w:t xml:space="preserve">Responses to the questions </w:t>
      </w:r>
      <w:r>
        <w:t>in this section</w:t>
      </w:r>
      <w:r w:rsidRPr="009E5141">
        <w:t xml:space="preserve"> will be scored on the basis of the marking criteria detailed in the table below.</w:t>
      </w:r>
    </w:p>
    <w:p w:rsidR="004D7C33" w:rsidRPr="00672D28" w:rsidRDefault="004D7C33" w:rsidP="004D7C33">
      <w:pPr>
        <w:pStyle w:val="FCGBBodyText"/>
        <w:rPr>
          <w:color w:val="365F9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541"/>
        <w:gridCol w:w="6810"/>
      </w:tblGrid>
      <w:tr w:rsidR="004D7C33" w:rsidRPr="005D3614" w:rsidTr="0045284E">
        <w:tc>
          <w:tcPr>
            <w:tcW w:w="665" w:type="dxa"/>
            <w:shd w:val="clear" w:color="auto" w:fill="auto"/>
          </w:tcPr>
          <w:p w:rsidR="004D7C33" w:rsidRPr="005D3614" w:rsidRDefault="004D7C33" w:rsidP="00F16E15">
            <w:pPr>
              <w:pStyle w:val="FCGBBodyText"/>
              <w:rPr>
                <w:b/>
                <w:color w:val="0D0D0D"/>
              </w:rPr>
            </w:pPr>
            <w:r w:rsidRPr="005D3614">
              <w:rPr>
                <w:b/>
                <w:color w:val="0D0D0D"/>
              </w:rPr>
              <w:t>No.</w:t>
            </w:r>
          </w:p>
        </w:tc>
        <w:tc>
          <w:tcPr>
            <w:tcW w:w="1541" w:type="dxa"/>
            <w:shd w:val="clear" w:color="auto" w:fill="auto"/>
          </w:tcPr>
          <w:p w:rsidR="004D7C33" w:rsidRPr="005D3614" w:rsidRDefault="004D7C33" w:rsidP="00F16E15">
            <w:pPr>
              <w:pStyle w:val="FCGBBodyText"/>
              <w:rPr>
                <w:b/>
                <w:color w:val="0D0D0D"/>
              </w:rPr>
            </w:pPr>
            <w:r w:rsidRPr="005D3614">
              <w:rPr>
                <w:b/>
                <w:color w:val="0D0D0D"/>
              </w:rPr>
              <w:t>Weighting</w:t>
            </w:r>
          </w:p>
        </w:tc>
        <w:tc>
          <w:tcPr>
            <w:tcW w:w="6810" w:type="dxa"/>
            <w:shd w:val="clear" w:color="auto" w:fill="auto"/>
          </w:tcPr>
          <w:p w:rsidR="004D7C33" w:rsidRPr="005D3614" w:rsidRDefault="004D7C33" w:rsidP="00F16E15">
            <w:pPr>
              <w:pStyle w:val="FCGBBodyText"/>
              <w:rPr>
                <w:b/>
                <w:color w:val="0D0D0D"/>
              </w:rPr>
            </w:pPr>
            <w:r w:rsidRPr="005D3614">
              <w:rPr>
                <w:b/>
                <w:color w:val="0D0D0D"/>
              </w:rPr>
              <w:t>Marking Criteria</w:t>
            </w:r>
          </w:p>
        </w:tc>
      </w:tr>
      <w:tr w:rsidR="004D7C33" w:rsidRPr="005D3614" w:rsidTr="0045284E">
        <w:tc>
          <w:tcPr>
            <w:tcW w:w="665" w:type="dxa"/>
            <w:shd w:val="clear" w:color="auto" w:fill="auto"/>
          </w:tcPr>
          <w:p w:rsidR="0045284E" w:rsidRDefault="0045284E" w:rsidP="00F16E15">
            <w:pPr>
              <w:pStyle w:val="FCGBBodyText"/>
              <w:rPr>
                <w:color w:val="0D0D0D"/>
              </w:rPr>
            </w:pPr>
            <w:r>
              <w:rPr>
                <w:color w:val="0D0D0D"/>
              </w:rPr>
              <w:t xml:space="preserve">1 </w:t>
            </w:r>
          </w:p>
          <w:p w:rsidR="004D7C33" w:rsidRPr="005D3614" w:rsidRDefault="004D7C33" w:rsidP="00F16E15">
            <w:pPr>
              <w:pStyle w:val="FCGBBodyText"/>
              <w:rPr>
                <w:color w:val="0D0D0D"/>
              </w:rPr>
            </w:pPr>
          </w:p>
        </w:tc>
        <w:tc>
          <w:tcPr>
            <w:tcW w:w="1541" w:type="dxa"/>
            <w:shd w:val="clear" w:color="auto" w:fill="auto"/>
          </w:tcPr>
          <w:p w:rsidR="004D7C33" w:rsidRDefault="0045284E" w:rsidP="00F16E15">
            <w:pPr>
              <w:pStyle w:val="FCGBBodyText"/>
              <w:rPr>
                <w:color w:val="0D0D0D"/>
              </w:rPr>
            </w:pPr>
            <w:r>
              <w:rPr>
                <w:color w:val="0D0D0D"/>
              </w:rPr>
              <w:t>10%</w:t>
            </w:r>
          </w:p>
          <w:p w:rsidR="0045284E" w:rsidRPr="005D3614" w:rsidRDefault="0045284E" w:rsidP="00F16E15">
            <w:pPr>
              <w:pStyle w:val="FCGBBodyText"/>
              <w:rPr>
                <w:color w:val="0D0D0D"/>
              </w:rPr>
            </w:pPr>
          </w:p>
        </w:tc>
        <w:tc>
          <w:tcPr>
            <w:tcW w:w="6810" w:type="dxa"/>
            <w:shd w:val="clear" w:color="auto" w:fill="auto"/>
          </w:tcPr>
          <w:p w:rsidR="004D7C33" w:rsidRPr="00672D28" w:rsidRDefault="004D7C33" w:rsidP="00F16E15">
            <w:pPr>
              <w:pStyle w:val="FCGBBodyText"/>
            </w:pPr>
            <w:r w:rsidRPr="00672D28">
              <w:t>The following evaluation system will be applied</w:t>
            </w:r>
            <w:r>
              <w:t xml:space="preserve"> to this section</w:t>
            </w:r>
            <w:r w:rsidRPr="00672D28">
              <w:t>:</w:t>
            </w:r>
          </w:p>
          <w:p w:rsidR="004D7C33" w:rsidRPr="00672D28" w:rsidRDefault="004D7C33" w:rsidP="00F16E15">
            <w:pPr>
              <w:pStyle w:val="FCGBBodyText"/>
            </w:pPr>
          </w:p>
          <w:p w:rsidR="004D7C33" w:rsidRPr="005D3614" w:rsidRDefault="004D7C33" w:rsidP="00F16E15">
            <w:pPr>
              <w:pStyle w:val="FCGBBodyText"/>
              <w:rPr>
                <w:b/>
              </w:rPr>
            </w:pPr>
            <w:r w:rsidRPr="005D3614">
              <w:rPr>
                <w:b/>
              </w:rPr>
              <w:t>0 – No response or totally inadequate</w:t>
            </w:r>
          </w:p>
          <w:p w:rsidR="004D7C33" w:rsidRPr="00672D28" w:rsidRDefault="004D7C33" w:rsidP="00F16E15">
            <w:pPr>
              <w:pStyle w:val="FCGBBodyText"/>
            </w:pPr>
            <w:r w:rsidRPr="00672D28">
              <w:t>No response or an inadequate response.</w:t>
            </w:r>
          </w:p>
          <w:p w:rsidR="004D7C33" w:rsidRPr="00672D28" w:rsidRDefault="004D7C33" w:rsidP="00F16E15">
            <w:pPr>
              <w:pStyle w:val="FCGBBodyText"/>
            </w:pPr>
          </w:p>
          <w:p w:rsidR="004D7C33" w:rsidRPr="005D3614" w:rsidRDefault="004D7C33" w:rsidP="00F16E15">
            <w:pPr>
              <w:pStyle w:val="FCGBBodyText"/>
              <w:rPr>
                <w:b/>
              </w:rPr>
            </w:pPr>
            <w:r w:rsidRPr="005D3614">
              <w:rPr>
                <w:b/>
              </w:rPr>
              <w:t>1 – Major Reservations / Constraints</w:t>
            </w:r>
          </w:p>
          <w:p w:rsidR="004D7C33" w:rsidRPr="00672D28" w:rsidRDefault="004D7C33" w:rsidP="00F16E15">
            <w:pPr>
              <w:pStyle w:val="FCGBBodyText"/>
            </w:pPr>
            <w:r w:rsidRPr="00672D28">
              <w:t xml:space="preserve">The response simply states that the supplier can meet some of the requirements set out in the question or </w:t>
            </w:r>
            <w:r w:rsidRPr="00672D28">
              <w:lastRenderedPageBreak/>
              <w:t>Specification of Requirements, but have not given information or detail on how they will do this.</w:t>
            </w:r>
          </w:p>
          <w:p w:rsidR="004D7C33" w:rsidRPr="00672D28" w:rsidRDefault="004D7C33" w:rsidP="00F16E15">
            <w:pPr>
              <w:pStyle w:val="FCGBBodyText"/>
            </w:pPr>
          </w:p>
          <w:p w:rsidR="004D7C33" w:rsidRPr="005D3614" w:rsidRDefault="004D7C33" w:rsidP="00F16E15">
            <w:pPr>
              <w:pStyle w:val="FCGBBodyText"/>
              <w:rPr>
                <w:b/>
              </w:rPr>
            </w:pPr>
            <w:r w:rsidRPr="005D3614">
              <w:rPr>
                <w:b/>
              </w:rPr>
              <w:t>2 – Some Reservations/Constraints</w:t>
            </w:r>
          </w:p>
          <w:p w:rsidR="004D7C33" w:rsidRPr="00672D28" w:rsidRDefault="004D7C33" w:rsidP="00F16E15">
            <w:pPr>
              <w:pStyle w:val="FCGBBodyText"/>
            </w:pPr>
            <w:r w:rsidRPr="00672D28">
              <w:t>Bidder has provided some information about how they propose to meet most of the requirements as set out in the question or Specification of Requirements.  There is some doubt in their ability to consistently meet the full range of requirements</w:t>
            </w:r>
            <w:r w:rsidR="0045284E">
              <w:t xml:space="preserve"> due to inappropriate overlap of works.</w:t>
            </w:r>
          </w:p>
          <w:p w:rsidR="004D7C33" w:rsidRPr="00672D28" w:rsidRDefault="004D7C33" w:rsidP="00F16E15">
            <w:pPr>
              <w:pStyle w:val="FCGBBodyText"/>
            </w:pPr>
          </w:p>
          <w:p w:rsidR="004D7C33" w:rsidRPr="005D3614" w:rsidRDefault="004D7C33" w:rsidP="00F16E15">
            <w:pPr>
              <w:pStyle w:val="FCGBBodyText"/>
              <w:rPr>
                <w:b/>
              </w:rPr>
            </w:pPr>
            <w:r w:rsidRPr="005D3614">
              <w:rPr>
                <w:b/>
              </w:rPr>
              <w:t>3 – Fully Compliant</w:t>
            </w:r>
          </w:p>
          <w:p w:rsidR="004D7C33" w:rsidRPr="00672D28" w:rsidRDefault="004D7C33" w:rsidP="00F16E15">
            <w:pPr>
              <w:pStyle w:val="FCGBBodyText"/>
            </w:pPr>
            <w:r w:rsidRPr="00672D28">
              <w:t>Bidder has provided detailed information covering all elements of the question, detailing how they propose to meet all the requirements as set out in the question or Specification of Requirements.  This gives full confidence in their ability to meet the full range of our requirements.</w:t>
            </w:r>
          </w:p>
          <w:p w:rsidR="004D7C33" w:rsidRPr="00672D28" w:rsidRDefault="004D7C33" w:rsidP="00F16E15">
            <w:pPr>
              <w:pStyle w:val="FCGBBodyText"/>
            </w:pPr>
          </w:p>
          <w:p w:rsidR="004D7C33" w:rsidRPr="005D3614" w:rsidRDefault="004D7C33" w:rsidP="00F16E15">
            <w:pPr>
              <w:pStyle w:val="FCGBBodyText"/>
              <w:rPr>
                <w:b/>
              </w:rPr>
            </w:pPr>
            <w:r w:rsidRPr="005D3614">
              <w:rPr>
                <w:b/>
              </w:rPr>
              <w:t>4 – Exceeds Requirements</w:t>
            </w:r>
          </w:p>
          <w:p w:rsidR="004D7C33" w:rsidRDefault="004D7C33" w:rsidP="0045284E">
            <w:pPr>
              <w:pStyle w:val="FCGBBodyText"/>
            </w:pPr>
            <w:r w:rsidRPr="00672D28">
              <w:t>Bidder meets the required standard in all respects and exceeds some or all of the major requirements</w:t>
            </w:r>
            <w:r w:rsidR="0045284E">
              <w:t xml:space="preserve"> by providing risk management measures to mitigate delays or manage time overrun risk</w:t>
            </w:r>
            <w:r w:rsidRPr="00672D28">
              <w:t>, which in turn leads to added value within the</w:t>
            </w:r>
            <w:r w:rsidR="0045284E">
              <w:t xml:space="preserve"> contract. </w:t>
            </w:r>
          </w:p>
          <w:p w:rsidR="0045284E" w:rsidRPr="005D3614" w:rsidRDefault="0045284E" w:rsidP="0045284E">
            <w:pPr>
              <w:pStyle w:val="FCGBBodyText"/>
              <w:rPr>
                <w:color w:val="0D0D0D"/>
              </w:rPr>
            </w:pPr>
          </w:p>
        </w:tc>
      </w:tr>
    </w:tbl>
    <w:p w:rsidR="0045284E" w:rsidRPr="00672D28" w:rsidRDefault="0045284E" w:rsidP="0045284E">
      <w:pPr>
        <w:pStyle w:val="FCGBBodyText"/>
        <w:rPr>
          <w:color w:val="365F9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541"/>
        <w:gridCol w:w="6810"/>
      </w:tblGrid>
      <w:tr w:rsidR="0045284E" w:rsidRPr="005D3614" w:rsidTr="00610C23">
        <w:tc>
          <w:tcPr>
            <w:tcW w:w="675" w:type="dxa"/>
            <w:shd w:val="clear" w:color="auto" w:fill="auto"/>
          </w:tcPr>
          <w:p w:rsidR="0045284E" w:rsidRPr="005D3614" w:rsidRDefault="0045284E" w:rsidP="00610C23">
            <w:pPr>
              <w:pStyle w:val="FCGBBodyText"/>
              <w:rPr>
                <w:b/>
                <w:color w:val="0D0D0D"/>
              </w:rPr>
            </w:pPr>
            <w:r w:rsidRPr="005D3614">
              <w:rPr>
                <w:b/>
                <w:color w:val="0D0D0D"/>
              </w:rPr>
              <w:t>No.</w:t>
            </w:r>
          </w:p>
        </w:tc>
        <w:tc>
          <w:tcPr>
            <w:tcW w:w="1560" w:type="dxa"/>
            <w:shd w:val="clear" w:color="auto" w:fill="auto"/>
          </w:tcPr>
          <w:p w:rsidR="0045284E" w:rsidRPr="005D3614" w:rsidRDefault="0045284E" w:rsidP="00610C23">
            <w:pPr>
              <w:pStyle w:val="FCGBBodyText"/>
              <w:rPr>
                <w:b/>
                <w:color w:val="0D0D0D"/>
              </w:rPr>
            </w:pPr>
            <w:r w:rsidRPr="005D3614">
              <w:rPr>
                <w:b/>
                <w:color w:val="0D0D0D"/>
              </w:rPr>
              <w:t>Weighting</w:t>
            </w:r>
          </w:p>
        </w:tc>
        <w:tc>
          <w:tcPr>
            <w:tcW w:w="7903" w:type="dxa"/>
            <w:shd w:val="clear" w:color="auto" w:fill="auto"/>
          </w:tcPr>
          <w:p w:rsidR="0045284E" w:rsidRPr="005D3614" w:rsidRDefault="0045284E" w:rsidP="00610C23">
            <w:pPr>
              <w:pStyle w:val="FCGBBodyText"/>
              <w:rPr>
                <w:b/>
                <w:color w:val="0D0D0D"/>
              </w:rPr>
            </w:pPr>
            <w:r w:rsidRPr="005D3614">
              <w:rPr>
                <w:b/>
                <w:color w:val="0D0D0D"/>
              </w:rPr>
              <w:t>Marking Criteria</w:t>
            </w:r>
          </w:p>
        </w:tc>
      </w:tr>
      <w:tr w:rsidR="0045284E" w:rsidRPr="005D3614" w:rsidTr="00610C23">
        <w:tc>
          <w:tcPr>
            <w:tcW w:w="675" w:type="dxa"/>
            <w:shd w:val="clear" w:color="auto" w:fill="auto"/>
          </w:tcPr>
          <w:p w:rsidR="0045284E" w:rsidRDefault="0045284E" w:rsidP="00610C23">
            <w:pPr>
              <w:pStyle w:val="FCGBBodyText"/>
              <w:rPr>
                <w:color w:val="0D0D0D"/>
              </w:rPr>
            </w:pPr>
            <w:r>
              <w:rPr>
                <w:color w:val="0D0D0D"/>
              </w:rPr>
              <w:t>2</w:t>
            </w:r>
            <w:r>
              <w:rPr>
                <w:color w:val="0D0D0D"/>
              </w:rPr>
              <w:t xml:space="preserve"> </w:t>
            </w:r>
          </w:p>
          <w:p w:rsidR="0045284E" w:rsidRPr="005D3614" w:rsidRDefault="0045284E" w:rsidP="00610C23">
            <w:pPr>
              <w:pStyle w:val="FCGBBodyText"/>
              <w:rPr>
                <w:color w:val="0D0D0D"/>
              </w:rPr>
            </w:pPr>
          </w:p>
        </w:tc>
        <w:tc>
          <w:tcPr>
            <w:tcW w:w="1560" w:type="dxa"/>
            <w:shd w:val="clear" w:color="auto" w:fill="auto"/>
          </w:tcPr>
          <w:p w:rsidR="0045284E" w:rsidRDefault="0045284E" w:rsidP="00610C23">
            <w:pPr>
              <w:pStyle w:val="FCGBBodyText"/>
              <w:rPr>
                <w:color w:val="0D0D0D"/>
              </w:rPr>
            </w:pPr>
            <w:r>
              <w:rPr>
                <w:color w:val="0D0D0D"/>
              </w:rPr>
              <w:t>10%</w:t>
            </w:r>
          </w:p>
          <w:p w:rsidR="0045284E" w:rsidRPr="005D3614" w:rsidRDefault="0045284E" w:rsidP="00610C23">
            <w:pPr>
              <w:pStyle w:val="FCGBBodyText"/>
              <w:rPr>
                <w:color w:val="0D0D0D"/>
              </w:rPr>
            </w:pPr>
          </w:p>
        </w:tc>
        <w:tc>
          <w:tcPr>
            <w:tcW w:w="7903" w:type="dxa"/>
            <w:shd w:val="clear" w:color="auto" w:fill="auto"/>
          </w:tcPr>
          <w:p w:rsidR="0045284E" w:rsidRPr="00672D28" w:rsidRDefault="0045284E" w:rsidP="00610C23">
            <w:pPr>
              <w:pStyle w:val="FCGBBodyText"/>
            </w:pPr>
            <w:r w:rsidRPr="00672D28">
              <w:t>The following evaluation system will be applied</w:t>
            </w:r>
            <w:r>
              <w:t xml:space="preserve"> to this section</w:t>
            </w:r>
            <w:r w:rsidRPr="00672D28">
              <w:t>:</w:t>
            </w:r>
          </w:p>
          <w:p w:rsidR="0045284E" w:rsidRPr="00672D28" w:rsidRDefault="0045284E" w:rsidP="00610C23">
            <w:pPr>
              <w:pStyle w:val="FCGBBodyText"/>
            </w:pPr>
          </w:p>
          <w:p w:rsidR="0045284E" w:rsidRPr="005D3614" w:rsidRDefault="0045284E" w:rsidP="00610C23">
            <w:pPr>
              <w:pStyle w:val="FCGBBodyText"/>
              <w:rPr>
                <w:b/>
              </w:rPr>
            </w:pPr>
            <w:r w:rsidRPr="005D3614">
              <w:rPr>
                <w:b/>
              </w:rPr>
              <w:t>0 – No response or totally inadequate</w:t>
            </w:r>
          </w:p>
          <w:p w:rsidR="0045284E" w:rsidRPr="00672D28" w:rsidRDefault="0045284E" w:rsidP="00610C23">
            <w:pPr>
              <w:pStyle w:val="FCGBBodyText"/>
            </w:pPr>
            <w:r w:rsidRPr="00672D28">
              <w:t>No response or an inadequate response.</w:t>
            </w:r>
          </w:p>
          <w:p w:rsidR="0045284E" w:rsidRPr="00672D28" w:rsidRDefault="0045284E" w:rsidP="00610C23">
            <w:pPr>
              <w:pStyle w:val="FCGBBodyText"/>
            </w:pPr>
          </w:p>
          <w:p w:rsidR="0045284E" w:rsidRPr="005D3614" w:rsidRDefault="0045284E" w:rsidP="00610C23">
            <w:pPr>
              <w:pStyle w:val="FCGBBodyText"/>
              <w:rPr>
                <w:b/>
              </w:rPr>
            </w:pPr>
            <w:r w:rsidRPr="005D3614">
              <w:rPr>
                <w:b/>
              </w:rPr>
              <w:t>1 – Major Reservations / Constraints</w:t>
            </w:r>
          </w:p>
          <w:p w:rsidR="0045284E" w:rsidRPr="00672D28" w:rsidRDefault="0045284E" w:rsidP="00610C23">
            <w:pPr>
              <w:pStyle w:val="FCGBBodyText"/>
            </w:pPr>
            <w:r w:rsidRPr="00672D28">
              <w:t>The response simply states that the supplier can meet some of the requirements set out in the question or Specification of Requirements, but have not given information or detail on how they will do this.</w:t>
            </w:r>
            <w:r>
              <w:t xml:space="preserve"> I.e. just states that warranty and guarantee documents will be left for the Client.</w:t>
            </w:r>
          </w:p>
          <w:p w:rsidR="0045284E" w:rsidRPr="00672D28" w:rsidRDefault="0045284E" w:rsidP="00610C23">
            <w:pPr>
              <w:pStyle w:val="FCGBBodyText"/>
            </w:pPr>
          </w:p>
          <w:p w:rsidR="0045284E" w:rsidRPr="005D3614" w:rsidRDefault="0045284E" w:rsidP="00610C23">
            <w:pPr>
              <w:pStyle w:val="FCGBBodyText"/>
              <w:rPr>
                <w:b/>
              </w:rPr>
            </w:pPr>
            <w:r w:rsidRPr="005D3614">
              <w:rPr>
                <w:b/>
              </w:rPr>
              <w:t>2 – Some Reservations/Constraints</w:t>
            </w:r>
          </w:p>
          <w:p w:rsidR="0045284E" w:rsidRPr="00672D28" w:rsidRDefault="0045284E" w:rsidP="00610C23">
            <w:pPr>
              <w:pStyle w:val="FCGBBodyText"/>
            </w:pPr>
            <w:r w:rsidRPr="00672D28">
              <w:t xml:space="preserve">Bidder has provided some information about how they propose to meet most of the requirements as set out in the question or Specification of Requirements.  There is </w:t>
            </w:r>
            <w:r w:rsidRPr="00672D28">
              <w:lastRenderedPageBreak/>
              <w:t>some doubt in their ability to consistently meet the full range of requirements</w:t>
            </w:r>
            <w:r>
              <w:t>.</w:t>
            </w:r>
          </w:p>
          <w:p w:rsidR="0045284E" w:rsidRPr="00672D28" w:rsidRDefault="0045284E" w:rsidP="00610C23">
            <w:pPr>
              <w:pStyle w:val="FCGBBodyText"/>
            </w:pPr>
          </w:p>
          <w:p w:rsidR="0045284E" w:rsidRPr="005D3614" w:rsidRDefault="0045284E" w:rsidP="00610C23">
            <w:pPr>
              <w:pStyle w:val="FCGBBodyText"/>
              <w:rPr>
                <w:b/>
              </w:rPr>
            </w:pPr>
            <w:r w:rsidRPr="005D3614">
              <w:rPr>
                <w:b/>
              </w:rPr>
              <w:t>3 – Fully Compliant</w:t>
            </w:r>
          </w:p>
          <w:p w:rsidR="0045284E" w:rsidRPr="00672D28" w:rsidRDefault="0045284E" w:rsidP="00610C23">
            <w:pPr>
              <w:pStyle w:val="FCGBBodyText"/>
            </w:pPr>
            <w:r w:rsidRPr="00672D28">
              <w:t>Bidder has provided detailed information covering all elements of the question, detailing how they propose to meet all the requirements as set out in the question or Specification of Requirements.  This gives full confidence in their ability to meet the full range of our requirements.</w:t>
            </w:r>
          </w:p>
          <w:p w:rsidR="0045284E" w:rsidRPr="00672D28" w:rsidRDefault="0045284E" w:rsidP="00610C23">
            <w:pPr>
              <w:pStyle w:val="FCGBBodyText"/>
            </w:pPr>
          </w:p>
          <w:p w:rsidR="0045284E" w:rsidRPr="005D3614" w:rsidRDefault="0045284E" w:rsidP="00610C23">
            <w:pPr>
              <w:pStyle w:val="FCGBBodyText"/>
              <w:rPr>
                <w:b/>
              </w:rPr>
            </w:pPr>
            <w:r w:rsidRPr="005D3614">
              <w:rPr>
                <w:b/>
              </w:rPr>
              <w:t>4 – Exceeds Requirements</w:t>
            </w:r>
          </w:p>
          <w:p w:rsidR="0045284E" w:rsidRDefault="0045284E" w:rsidP="00610C23">
            <w:pPr>
              <w:pStyle w:val="FCGBBodyText"/>
            </w:pPr>
            <w:r w:rsidRPr="00672D28">
              <w:t>Bidder meets the required standard in all respects and exceeds some or all of the major requirements</w:t>
            </w:r>
            <w:r>
              <w:t xml:space="preserve"> </w:t>
            </w:r>
            <w:r w:rsidRPr="00672D28">
              <w:t>which in turn leads to added value within the</w:t>
            </w:r>
            <w:r>
              <w:t xml:space="preserve"> contract. </w:t>
            </w:r>
            <w:r>
              <w:t xml:space="preserve"> This may include full details of proposed sub-contractors and the individual guarantees they provide.</w:t>
            </w:r>
          </w:p>
          <w:p w:rsidR="0045284E" w:rsidRPr="005D3614" w:rsidRDefault="0045284E" w:rsidP="00610C23">
            <w:pPr>
              <w:pStyle w:val="FCGBBodyText"/>
              <w:rPr>
                <w:color w:val="0D0D0D"/>
              </w:rPr>
            </w:pPr>
          </w:p>
        </w:tc>
      </w:tr>
    </w:tbl>
    <w:p w:rsidR="004D7C33" w:rsidRDefault="004D7C33" w:rsidP="004D7C33">
      <w:pPr>
        <w:pStyle w:val="Heading2"/>
        <w:numPr>
          <w:ilvl w:val="0"/>
          <w:numId w:val="0"/>
        </w:numPr>
        <w:ind w:left="576"/>
      </w:pPr>
    </w:p>
    <w:p w:rsidR="004D7C33" w:rsidRDefault="004D7C33" w:rsidP="004D7C33">
      <w:pPr>
        <w:pStyle w:val="Heading2"/>
      </w:pPr>
      <w:r>
        <w:br w:type="page"/>
      </w:r>
      <w:r>
        <w:lastRenderedPageBreak/>
        <w:t>Pricing Schedule</w:t>
      </w:r>
    </w:p>
    <w:p w:rsidR="004D7C33" w:rsidRPr="005D3614" w:rsidRDefault="004D7C33" w:rsidP="004D7C33">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4D7C33" w:rsidRPr="00093B5A" w:rsidTr="00F16E15">
        <w:trPr>
          <w:cantSplit/>
          <w:trHeight w:val="324"/>
        </w:trPr>
        <w:tc>
          <w:tcPr>
            <w:tcW w:w="8798" w:type="dxa"/>
            <w:shd w:val="clear" w:color="auto" w:fill="auto"/>
          </w:tcPr>
          <w:p w:rsidR="004D7C33" w:rsidRPr="00093B5A" w:rsidRDefault="004D7C33" w:rsidP="00F16E15">
            <w:pPr>
              <w:rPr>
                <w:b/>
                <w:color w:val="365F91"/>
              </w:rPr>
            </w:pPr>
          </w:p>
        </w:tc>
        <w:tc>
          <w:tcPr>
            <w:tcW w:w="1187" w:type="dxa"/>
            <w:shd w:val="clear" w:color="auto" w:fill="auto"/>
          </w:tcPr>
          <w:p w:rsidR="004D7C33" w:rsidRPr="00093B5A" w:rsidRDefault="004D7C33" w:rsidP="00F16E15">
            <w:pPr>
              <w:jc w:val="center"/>
              <w:rPr>
                <w:b/>
                <w:color w:val="365F91"/>
              </w:rPr>
            </w:pPr>
            <w:r w:rsidRPr="00093B5A">
              <w:rPr>
                <w:b/>
                <w:i/>
                <w:color w:val="365F91"/>
              </w:rPr>
              <w:t>Weight %</w:t>
            </w:r>
          </w:p>
        </w:tc>
      </w:tr>
      <w:tr w:rsidR="004D7C33" w:rsidRPr="00093B5A" w:rsidTr="00F16E15">
        <w:trPr>
          <w:trHeight w:val="348"/>
        </w:trPr>
        <w:tc>
          <w:tcPr>
            <w:tcW w:w="8798" w:type="dxa"/>
            <w:shd w:val="clear" w:color="auto" w:fill="auto"/>
          </w:tcPr>
          <w:p w:rsidR="004D7C33" w:rsidRPr="00093B5A" w:rsidRDefault="004D7C33" w:rsidP="00F16E15">
            <w:pPr>
              <w:rPr>
                <w:b/>
                <w:color w:val="365F91"/>
              </w:rPr>
            </w:pPr>
            <w:r w:rsidRPr="00093B5A">
              <w:rPr>
                <w:b/>
                <w:color w:val="365F91"/>
              </w:rPr>
              <w:t xml:space="preserve">Please provide details of your pricing in the </w:t>
            </w:r>
            <w:r w:rsidR="0045284E">
              <w:rPr>
                <w:b/>
                <w:color w:val="365F91"/>
              </w:rPr>
              <w:t>collection page</w:t>
            </w:r>
            <w:r w:rsidRPr="00093B5A">
              <w:rPr>
                <w:b/>
                <w:color w:val="365F91"/>
              </w:rPr>
              <w:t xml:space="preserve"> provided </w:t>
            </w:r>
            <w:r w:rsidR="0045284E">
              <w:rPr>
                <w:b/>
                <w:color w:val="365F91"/>
              </w:rPr>
              <w:t>within the Specification of Works document.</w:t>
            </w:r>
          </w:p>
          <w:p w:rsidR="004D7C33" w:rsidRPr="00093B5A" w:rsidRDefault="004D7C33" w:rsidP="00F16E15">
            <w:pPr>
              <w:rPr>
                <w:b/>
                <w:color w:val="365F91"/>
              </w:rPr>
            </w:pPr>
          </w:p>
        </w:tc>
        <w:tc>
          <w:tcPr>
            <w:tcW w:w="1187" w:type="dxa"/>
            <w:shd w:val="clear" w:color="auto" w:fill="auto"/>
          </w:tcPr>
          <w:p w:rsidR="004D7C33" w:rsidRPr="00093B5A" w:rsidRDefault="00BC0F9D" w:rsidP="00F16E15">
            <w:pPr>
              <w:jc w:val="center"/>
              <w:rPr>
                <w:color w:val="365F91"/>
              </w:rPr>
            </w:pPr>
            <w:r>
              <w:rPr>
                <w:color w:val="365F91"/>
              </w:rPr>
              <w:t>80</w:t>
            </w:r>
          </w:p>
          <w:p w:rsidR="004D7C33" w:rsidRPr="00093B5A" w:rsidRDefault="004D7C33" w:rsidP="00F16E15">
            <w:pPr>
              <w:jc w:val="center"/>
              <w:rPr>
                <w:color w:val="365F91"/>
              </w:rPr>
            </w:pPr>
          </w:p>
        </w:tc>
      </w:tr>
    </w:tbl>
    <w:p w:rsidR="004D7C33" w:rsidRPr="009E5141" w:rsidRDefault="004D7C33" w:rsidP="004D7C33">
      <w:pPr>
        <w:rPr>
          <w:b/>
          <w:color w:val="008080"/>
        </w:rPr>
      </w:pPr>
    </w:p>
    <w:p w:rsidR="004D7C33" w:rsidRPr="00391B8E" w:rsidRDefault="004D7C33" w:rsidP="004D7C33">
      <w:pPr>
        <w:pStyle w:val="Heading2"/>
        <w:numPr>
          <w:ilvl w:val="0"/>
          <w:numId w:val="0"/>
        </w:numPr>
        <w:rPr>
          <w:sz w:val="28"/>
        </w:rPr>
      </w:pPr>
      <w:bookmarkStart w:id="0" w:name="_GoBack"/>
      <w:bookmarkEnd w:id="0"/>
      <w:r w:rsidRPr="00391B8E">
        <w:rPr>
          <w:sz w:val="28"/>
        </w:rPr>
        <w:t>Evaluation Matrix for Section 4.9</w:t>
      </w:r>
    </w:p>
    <w:p w:rsidR="004D7C33" w:rsidRDefault="004D7C33" w:rsidP="004D7C33">
      <w:pPr>
        <w:pStyle w:val="FCGBBodyText"/>
      </w:pPr>
      <w:r>
        <w:t>Responses to this section</w:t>
      </w:r>
      <w:r w:rsidRPr="009E5141">
        <w:t xml:space="preserve"> will be scored on the basis of the marking criteria detailed in the table below.</w:t>
      </w:r>
    </w:p>
    <w:p w:rsidR="004D7C33" w:rsidRDefault="004D7C33" w:rsidP="004D7C33">
      <w:pPr>
        <w:pStyle w:val="FCGBBodyText"/>
        <w:rPr>
          <w:b/>
          <w:color w:val="0D0D0D"/>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7816"/>
      </w:tblGrid>
      <w:tr w:rsidR="004D7C33" w:rsidRPr="009E5141" w:rsidTr="00F16E15">
        <w:tc>
          <w:tcPr>
            <w:tcW w:w="619" w:type="pct"/>
            <w:shd w:val="clear" w:color="auto" w:fill="auto"/>
          </w:tcPr>
          <w:p w:rsidR="004D7C33" w:rsidRPr="009E5141" w:rsidRDefault="004D7C33" w:rsidP="00F16E15">
            <w:pPr>
              <w:jc w:val="center"/>
              <w:rPr>
                <w:b/>
                <w:color w:val="003300"/>
              </w:rPr>
            </w:pPr>
            <w:r w:rsidRPr="009E5141">
              <w:rPr>
                <w:b/>
                <w:color w:val="003300"/>
              </w:rPr>
              <w:t>Weight</w:t>
            </w:r>
          </w:p>
        </w:tc>
        <w:tc>
          <w:tcPr>
            <w:tcW w:w="4381" w:type="pct"/>
            <w:shd w:val="clear" w:color="auto" w:fill="auto"/>
          </w:tcPr>
          <w:p w:rsidR="004D7C33" w:rsidRPr="009E5141" w:rsidRDefault="004D7C33" w:rsidP="00F16E15">
            <w:pPr>
              <w:spacing w:line="240" w:lineRule="auto"/>
              <w:rPr>
                <w:b/>
                <w:color w:val="003300"/>
              </w:rPr>
            </w:pPr>
            <w:r w:rsidRPr="009E5141">
              <w:rPr>
                <w:b/>
                <w:color w:val="003300"/>
              </w:rPr>
              <w:t>Agreed Marking Criteria</w:t>
            </w:r>
          </w:p>
        </w:tc>
      </w:tr>
      <w:tr w:rsidR="004D7C33" w:rsidRPr="009E5141" w:rsidTr="00F16E15">
        <w:tc>
          <w:tcPr>
            <w:tcW w:w="619" w:type="pct"/>
            <w:shd w:val="clear" w:color="auto" w:fill="auto"/>
          </w:tcPr>
          <w:p w:rsidR="004D7C33" w:rsidRPr="009E5141" w:rsidRDefault="0045284E" w:rsidP="00F16E15">
            <w:r>
              <w:t>80</w:t>
            </w:r>
            <w:r w:rsidR="004D7C33" w:rsidRPr="009E5141">
              <w:t>%</w:t>
            </w:r>
          </w:p>
          <w:p w:rsidR="004D7C33" w:rsidRPr="009E5141" w:rsidRDefault="004D7C33" w:rsidP="00F16E15"/>
        </w:tc>
        <w:tc>
          <w:tcPr>
            <w:tcW w:w="4381" w:type="pct"/>
            <w:shd w:val="clear" w:color="auto" w:fill="auto"/>
          </w:tcPr>
          <w:p w:rsidR="004D7C33" w:rsidRPr="009E5141" w:rsidRDefault="004D7C33" w:rsidP="0023302D">
            <w:pPr>
              <w:spacing w:after="200" w:line="276" w:lineRule="auto"/>
              <w:rPr>
                <w:snapToGrid w:val="0"/>
                <w:color w:val="FF0000"/>
              </w:rPr>
            </w:pPr>
            <w:r w:rsidRPr="005D3614">
              <w:rPr>
                <w:rFonts w:eastAsia="Calibri" w:cs="Verdana"/>
                <w:color w:val="365F91"/>
                <w:lang w:eastAsia="en-GB"/>
              </w:rPr>
              <w:t xml:space="preserve">Price will be evaluated using the ‘standard differential method’ – each bidder receives 100% of the available marks less the percentage by which their tender is more expensive than the lowest; with 4 being the maximum score achievable. </w:t>
            </w:r>
          </w:p>
        </w:tc>
      </w:tr>
    </w:tbl>
    <w:p w:rsidR="007E17E1" w:rsidRDefault="007E17E1"/>
    <w:sectPr w:rsidR="007E1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6571C"/>
    <w:multiLevelType w:val="multilevel"/>
    <w:tmpl w:val="91A4DC56"/>
    <w:lvl w:ilvl="0">
      <w:start w:val="1"/>
      <w:numFmt w:val="decimal"/>
      <w:pStyle w:val="Heading1"/>
      <w:lvlText w:val="%1"/>
      <w:lvlJc w:val="left"/>
      <w:pPr>
        <w:ind w:left="432" w:hanging="432"/>
      </w:pPr>
      <w:rPr>
        <w:i w:val="0"/>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33"/>
    <w:rsid w:val="0023302D"/>
    <w:rsid w:val="00307418"/>
    <w:rsid w:val="0045284E"/>
    <w:rsid w:val="004D7C33"/>
    <w:rsid w:val="007E17E1"/>
    <w:rsid w:val="00BC0F9D"/>
    <w:rsid w:val="00C1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3599"/>
  <w15:docId w15:val="{D7A62D81-19D4-4DF7-BE33-21274F69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C33"/>
    <w:pPr>
      <w:spacing w:after="0" w:line="300" w:lineRule="exact"/>
    </w:pPr>
    <w:rPr>
      <w:rFonts w:ascii="Verdana" w:eastAsia="Times New Roman" w:hAnsi="Verdana" w:cs="Times New Roman"/>
    </w:rPr>
  </w:style>
  <w:style w:type="paragraph" w:styleId="Heading1">
    <w:name w:val="heading 1"/>
    <w:basedOn w:val="Normal"/>
    <w:next w:val="FCGBBodyText"/>
    <w:link w:val="Heading1Char"/>
    <w:qFormat/>
    <w:rsid w:val="004D7C33"/>
    <w:pPr>
      <w:keepNext/>
      <w:numPr>
        <w:numId w:val="1"/>
      </w:numPr>
      <w:spacing w:after="120" w:line="240" w:lineRule="auto"/>
      <w:outlineLvl w:val="0"/>
    </w:pPr>
    <w:rPr>
      <w:rFonts w:cs="Arial"/>
      <w:bCs/>
      <w:color w:val="004E2E"/>
      <w:kern w:val="32"/>
      <w:sz w:val="48"/>
      <w:szCs w:val="32"/>
    </w:rPr>
  </w:style>
  <w:style w:type="paragraph" w:styleId="Heading2">
    <w:name w:val="heading 2"/>
    <w:basedOn w:val="Normal"/>
    <w:next w:val="FCGBBodyText"/>
    <w:link w:val="Heading2Char"/>
    <w:qFormat/>
    <w:rsid w:val="004D7C33"/>
    <w:pPr>
      <w:keepNext/>
      <w:numPr>
        <w:ilvl w:val="1"/>
        <w:numId w:val="1"/>
      </w:numPr>
      <w:spacing w:before="240" w:after="60" w:line="240" w:lineRule="auto"/>
      <w:outlineLvl w:val="1"/>
    </w:pPr>
    <w:rPr>
      <w:rFonts w:cs="Arial"/>
      <w:bCs/>
      <w:iCs/>
      <w:color w:val="004E2E"/>
      <w:sz w:val="36"/>
      <w:szCs w:val="28"/>
    </w:rPr>
  </w:style>
  <w:style w:type="paragraph" w:styleId="Heading3">
    <w:name w:val="heading 3"/>
    <w:basedOn w:val="Normal"/>
    <w:next w:val="FCGBBodyText"/>
    <w:link w:val="Heading3Char"/>
    <w:qFormat/>
    <w:rsid w:val="004D7C33"/>
    <w:pPr>
      <w:keepNext/>
      <w:numPr>
        <w:ilvl w:val="2"/>
        <w:numId w:val="1"/>
      </w:numPr>
      <w:spacing w:before="240" w:after="60" w:line="240" w:lineRule="auto"/>
      <w:outlineLvl w:val="2"/>
    </w:pPr>
    <w:rPr>
      <w:rFonts w:cs="Arial"/>
      <w:bCs/>
      <w:color w:val="004E2E"/>
      <w:sz w:val="28"/>
      <w:szCs w:val="26"/>
    </w:rPr>
  </w:style>
  <w:style w:type="paragraph" w:styleId="Heading4">
    <w:name w:val="heading 4"/>
    <w:basedOn w:val="Normal"/>
    <w:next w:val="FCGBBodyText"/>
    <w:link w:val="Heading4Char"/>
    <w:qFormat/>
    <w:rsid w:val="004D7C33"/>
    <w:pPr>
      <w:keepNext/>
      <w:numPr>
        <w:ilvl w:val="3"/>
        <w:numId w:val="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4D7C33"/>
    <w:pPr>
      <w:numPr>
        <w:ilvl w:val="4"/>
        <w:numId w:val="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4D7C33"/>
    <w:pPr>
      <w:numPr>
        <w:ilvl w:val="5"/>
        <w:numId w:val="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4D7C33"/>
    <w:pPr>
      <w:numPr>
        <w:ilvl w:val="6"/>
        <w:numId w:val="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4D7C33"/>
    <w:pPr>
      <w:numPr>
        <w:ilvl w:val="7"/>
        <w:numId w:val="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4D7C33"/>
    <w:pPr>
      <w:numPr>
        <w:ilvl w:val="8"/>
        <w:numId w:val="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C33"/>
    <w:rPr>
      <w:rFonts w:ascii="Verdana" w:eastAsia="Times New Roman" w:hAnsi="Verdana" w:cs="Arial"/>
      <w:bCs/>
      <w:color w:val="004E2E"/>
      <w:kern w:val="32"/>
      <w:sz w:val="48"/>
      <w:szCs w:val="32"/>
    </w:rPr>
  </w:style>
  <w:style w:type="character" w:customStyle="1" w:styleId="Heading2Char">
    <w:name w:val="Heading 2 Char"/>
    <w:basedOn w:val="DefaultParagraphFont"/>
    <w:link w:val="Heading2"/>
    <w:rsid w:val="004D7C33"/>
    <w:rPr>
      <w:rFonts w:ascii="Verdana" w:eastAsia="Times New Roman" w:hAnsi="Verdana" w:cs="Arial"/>
      <w:bCs/>
      <w:iCs/>
      <w:color w:val="004E2E"/>
      <w:sz w:val="36"/>
      <w:szCs w:val="28"/>
    </w:rPr>
  </w:style>
  <w:style w:type="character" w:customStyle="1" w:styleId="Heading3Char">
    <w:name w:val="Heading 3 Char"/>
    <w:basedOn w:val="DefaultParagraphFont"/>
    <w:link w:val="Heading3"/>
    <w:rsid w:val="004D7C33"/>
    <w:rPr>
      <w:rFonts w:ascii="Verdana" w:eastAsia="Times New Roman" w:hAnsi="Verdana" w:cs="Arial"/>
      <w:bCs/>
      <w:color w:val="004E2E"/>
      <w:sz w:val="28"/>
      <w:szCs w:val="26"/>
    </w:rPr>
  </w:style>
  <w:style w:type="character" w:customStyle="1" w:styleId="Heading4Char">
    <w:name w:val="Heading 4 Char"/>
    <w:basedOn w:val="DefaultParagraphFont"/>
    <w:link w:val="Heading4"/>
    <w:rsid w:val="004D7C33"/>
    <w:rPr>
      <w:rFonts w:ascii="Verdana" w:eastAsia="Times New Roman" w:hAnsi="Verdana" w:cs="Times New Roman"/>
      <w:bCs/>
      <w:color w:val="004E2E"/>
      <w:sz w:val="24"/>
      <w:szCs w:val="28"/>
    </w:rPr>
  </w:style>
  <w:style w:type="character" w:customStyle="1" w:styleId="Heading5Char">
    <w:name w:val="Heading 5 Char"/>
    <w:basedOn w:val="DefaultParagraphFont"/>
    <w:link w:val="Heading5"/>
    <w:rsid w:val="004D7C3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4D7C33"/>
    <w:rPr>
      <w:rFonts w:ascii="Calibri" w:eastAsia="Times New Roman" w:hAnsi="Calibri" w:cs="Times New Roman"/>
      <w:b/>
      <w:bCs/>
    </w:rPr>
  </w:style>
  <w:style w:type="character" w:customStyle="1" w:styleId="Heading7Char">
    <w:name w:val="Heading 7 Char"/>
    <w:basedOn w:val="DefaultParagraphFont"/>
    <w:link w:val="Heading7"/>
    <w:rsid w:val="004D7C33"/>
    <w:rPr>
      <w:rFonts w:ascii="Calibri" w:eastAsia="Times New Roman" w:hAnsi="Calibri" w:cs="Times New Roman"/>
      <w:sz w:val="24"/>
      <w:szCs w:val="24"/>
    </w:rPr>
  </w:style>
  <w:style w:type="character" w:customStyle="1" w:styleId="Heading8Char">
    <w:name w:val="Heading 8 Char"/>
    <w:basedOn w:val="DefaultParagraphFont"/>
    <w:link w:val="Heading8"/>
    <w:rsid w:val="004D7C33"/>
    <w:rPr>
      <w:rFonts w:ascii="Calibri" w:eastAsia="Times New Roman" w:hAnsi="Calibri" w:cs="Times New Roman"/>
      <w:i/>
      <w:iCs/>
      <w:sz w:val="24"/>
      <w:szCs w:val="24"/>
    </w:rPr>
  </w:style>
  <w:style w:type="character" w:customStyle="1" w:styleId="Heading9Char">
    <w:name w:val="Heading 9 Char"/>
    <w:basedOn w:val="DefaultParagraphFont"/>
    <w:link w:val="Heading9"/>
    <w:rsid w:val="004D7C33"/>
    <w:rPr>
      <w:rFonts w:ascii="Cambria" w:eastAsia="Times New Roman" w:hAnsi="Cambria" w:cs="Times New Roman"/>
    </w:rPr>
  </w:style>
  <w:style w:type="paragraph" w:customStyle="1" w:styleId="FCGBBodyText">
    <w:name w:val="FCGB Body Text"/>
    <w:basedOn w:val="Normal"/>
    <w:rsid w:val="004D7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James</dc:creator>
  <cp:lastModifiedBy>Chris Barrett</cp:lastModifiedBy>
  <cp:revision>2</cp:revision>
  <dcterms:created xsi:type="dcterms:W3CDTF">2017-12-15T14:07:00Z</dcterms:created>
  <dcterms:modified xsi:type="dcterms:W3CDTF">2017-12-15T14:07:00Z</dcterms:modified>
</cp:coreProperties>
</file>