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228C" w14:textId="77777777" w:rsidR="00683D94" w:rsidRDefault="00683D94" w:rsidP="003D48CD">
      <w:pPr>
        <w:rPr>
          <w:color w:val="FF0000"/>
        </w:rPr>
      </w:pPr>
    </w:p>
    <w:p w14:paraId="6226E585" w14:textId="661596B2" w:rsidR="003D48CD" w:rsidRPr="00AF4590" w:rsidRDefault="007267D2" w:rsidP="003D48CD">
      <w:pPr>
        <w:rPr>
          <w:color w:val="FF0000"/>
        </w:rPr>
      </w:pPr>
      <w:r>
        <w:rPr>
          <w:color w:val="FF0000"/>
        </w:rPr>
        <w:t xml:space="preserve">             </w:t>
      </w:r>
    </w:p>
    <w:p w14:paraId="6226E587" w14:textId="4A1A85E9" w:rsidR="00325F7E" w:rsidRPr="00AF4590" w:rsidRDefault="00325F7E" w:rsidP="000031C0">
      <w:pPr>
        <w:pStyle w:val="ListParagraph"/>
        <w:rPr>
          <w:color w:val="FF0000"/>
        </w:rPr>
      </w:pPr>
      <w:r w:rsidRPr="00AF4590">
        <w:rPr>
          <w:color w:val="FF0000"/>
        </w:rPr>
        <w:t>.</w:t>
      </w:r>
    </w:p>
    <w:p w14:paraId="6226E588" w14:textId="66261CF7" w:rsidR="003B49DF" w:rsidRDefault="003B49DF" w:rsidP="003B49DF">
      <w:pPr>
        <w:jc w:val="center"/>
        <w:rPr>
          <w:rFonts w:cs="Arial"/>
          <w:color w:val="FF0000"/>
          <w:szCs w:val="24"/>
        </w:rPr>
      </w:pPr>
    </w:p>
    <w:p w14:paraId="6226E58C" w14:textId="77777777" w:rsidR="00951B45" w:rsidRPr="00D014DA" w:rsidRDefault="00951B45" w:rsidP="003B49DF">
      <w:pPr>
        <w:pStyle w:val="Heading1"/>
        <w:rPr>
          <w:sz w:val="72"/>
          <w:szCs w:val="72"/>
        </w:rPr>
      </w:pPr>
      <w:r w:rsidRPr="00D014DA">
        <w:rPr>
          <w:sz w:val="72"/>
          <w:szCs w:val="72"/>
        </w:rPr>
        <w:t>Soft Market Test</w:t>
      </w:r>
    </w:p>
    <w:p w14:paraId="6226E58D" w14:textId="77777777" w:rsidR="00951B45" w:rsidRPr="00D014DA" w:rsidRDefault="00951B45" w:rsidP="00207253">
      <w:pPr>
        <w:jc w:val="center"/>
        <w:rPr>
          <w:rFonts w:cs="Arial"/>
          <w:sz w:val="40"/>
          <w:szCs w:val="40"/>
        </w:rPr>
      </w:pPr>
      <w:r w:rsidRPr="00D014DA">
        <w:rPr>
          <w:rFonts w:cs="Arial"/>
          <w:sz w:val="40"/>
          <w:szCs w:val="40"/>
        </w:rPr>
        <w:t>For</w:t>
      </w:r>
    </w:p>
    <w:p w14:paraId="3A7E4C8A" w14:textId="45C5D3CA" w:rsidR="00C81796" w:rsidRPr="00D014DA" w:rsidRDefault="00C81796" w:rsidP="007267D2">
      <w:pPr>
        <w:jc w:val="center"/>
        <w:rPr>
          <w:rFonts w:cs="Arial"/>
          <w:sz w:val="72"/>
          <w:szCs w:val="72"/>
        </w:rPr>
      </w:pPr>
      <w:r w:rsidRPr="00D014DA">
        <w:rPr>
          <w:rFonts w:cs="Arial"/>
          <w:sz w:val="72"/>
          <w:szCs w:val="72"/>
        </w:rPr>
        <w:t>Cambridgeshire County Council Construction Framework 202</w:t>
      </w:r>
      <w:r w:rsidR="00272D11">
        <w:rPr>
          <w:rFonts w:cs="Arial"/>
          <w:sz w:val="72"/>
          <w:szCs w:val="72"/>
        </w:rPr>
        <w:t>6</w:t>
      </w:r>
    </w:p>
    <w:p w14:paraId="4E80E81F" w14:textId="77777777" w:rsidR="00C81796" w:rsidRPr="002D3CC3" w:rsidRDefault="00C81796" w:rsidP="007267D2">
      <w:pPr>
        <w:jc w:val="center"/>
        <w:rPr>
          <w:rFonts w:cs="Arial"/>
          <w:sz w:val="32"/>
          <w:szCs w:val="32"/>
        </w:rPr>
      </w:pPr>
    </w:p>
    <w:p w14:paraId="6226E592" w14:textId="77777777" w:rsidR="00AF4590" w:rsidRDefault="00AF4590" w:rsidP="00AF4590">
      <w:pPr>
        <w:sectPr w:rsidR="00AF4590">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Pr="00F469B6" w:rsidRDefault="00CC58BD" w:rsidP="008F632F">
      <w:pPr>
        <w:pStyle w:val="Heading2"/>
        <w:rPr>
          <w:color w:val="auto"/>
        </w:rPr>
      </w:pPr>
      <w:r w:rsidRPr="00F469B6">
        <w:rPr>
          <w:color w:val="auto"/>
        </w:rPr>
        <w:t>General Requirements</w:t>
      </w:r>
    </w:p>
    <w:p w14:paraId="6226E595" w14:textId="7F5B8F89" w:rsidR="00AF4590" w:rsidRPr="00F469B6" w:rsidRDefault="00AF4590" w:rsidP="00D05B83">
      <w:pPr>
        <w:pStyle w:val="BodyNumbered"/>
        <w:ind w:left="851" w:hanging="567"/>
      </w:pPr>
      <w:r w:rsidRPr="00F469B6">
        <w:t xml:space="preserve">The purpose of this document is to briefly explain to suppliers the business and technical requirements and the expected scope of </w:t>
      </w:r>
      <w:r w:rsidR="00F32026" w:rsidRPr="00F469B6">
        <w:rPr>
          <w:rFonts w:cs="Arial"/>
          <w:szCs w:val="24"/>
        </w:rPr>
        <w:t xml:space="preserve">this requirement </w:t>
      </w:r>
      <w:r w:rsidRPr="00F469B6">
        <w:t>in order that suppliers can explain the relevance of their experience to the requirements.</w:t>
      </w:r>
    </w:p>
    <w:p w14:paraId="4C745577" w14:textId="77777777" w:rsidR="000501F2" w:rsidRPr="00F469B6" w:rsidRDefault="000501F2" w:rsidP="00D05B83">
      <w:pPr>
        <w:pStyle w:val="BodyNumbered"/>
        <w:numPr>
          <w:ilvl w:val="0"/>
          <w:numId w:val="0"/>
        </w:numPr>
        <w:ind w:left="851" w:hanging="567"/>
      </w:pPr>
    </w:p>
    <w:p w14:paraId="44ED2865" w14:textId="4D5107C0" w:rsidR="000501F2" w:rsidRPr="00F469B6" w:rsidRDefault="000501F2" w:rsidP="00D05B83">
      <w:pPr>
        <w:pStyle w:val="BodyNumbered"/>
        <w:ind w:left="851" w:hanging="567"/>
      </w:pPr>
      <w:r w:rsidRPr="00F469B6">
        <w:t xml:space="preserve">Suppliers can find out </w:t>
      </w:r>
      <w:r w:rsidR="00BD2257" w:rsidRPr="00F469B6">
        <w:t xml:space="preserve">more </w:t>
      </w:r>
      <w:r w:rsidR="00296EBA" w:rsidRPr="00F469B6">
        <w:t xml:space="preserve">about </w:t>
      </w:r>
      <w:r w:rsidR="00BD2257" w:rsidRPr="00F469B6">
        <w:t xml:space="preserve">the Procurement and Commercial Teams </w:t>
      </w:r>
      <w:r w:rsidR="00D72613" w:rsidRPr="00F469B6">
        <w:t xml:space="preserve">tender process, role </w:t>
      </w:r>
      <w:r w:rsidR="00BD2257" w:rsidRPr="00F469B6">
        <w:t xml:space="preserve">and strategies via </w:t>
      </w:r>
      <w:r w:rsidRPr="00F469B6">
        <w:t xml:space="preserve">the </w:t>
      </w:r>
      <w:hyperlink r:id="rId13" w:history="1">
        <w:r w:rsidR="00296EBA" w:rsidRPr="00F469B6">
          <w:rPr>
            <w:rStyle w:val="Hyperlink"/>
            <w:color w:val="auto"/>
          </w:rPr>
          <w:t>Supplying to the Council</w:t>
        </w:r>
      </w:hyperlink>
      <w:r w:rsidR="00296EBA" w:rsidRPr="00F469B6">
        <w:rPr>
          <w:rStyle w:val="Hyperlink"/>
          <w:color w:val="auto"/>
        </w:rPr>
        <w:t xml:space="preserve"> </w:t>
      </w:r>
      <w:r w:rsidR="00296EBA" w:rsidRPr="00F469B6">
        <w:t>webpage.</w:t>
      </w:r>
    </w:p>
    <w:p w14:paraId="4F3A3959" w14:textId="77777777" w:rsidR="000501F2" w:rsidRPr="00F469B6" w:rsidRDefault="000501F2" w:rsidP="00D05B83">
      <w:pPr>
        <w:pStyle w:val="BodyNumbered"/>
        <w:numPr>
          <w:ilvl w:val="0"/>
          <w:numId w:val="0"/>
        </w:numPr>
        <w:ind w:left="851" w:hanging="567"/>
      </w:pPr>
    </w:p>
    <w:p w14:paraId="6F414EF0" w14:textId="6205FC6C" w:rsidR="003E34E1" w:rsidRPr="00F469B6" w:rsidRDefault="00D72613" w:rsidP="00D05B83">
      <w:pPr>
        <w:pStyle w:val="BodyNumbered"/>
        <w:ind w:left="851" w:hanging="567"/>
        <w:rPr>
          <w:szCs w:val="24"/>
        </w:rPr>
      </w:pPr>
      <w:r w:rsidRPr="00F469B6">
        <w:rPr>
          <w:szCs w:val="24"/>
        </w:rPr>
        <w:t xml:space="preserve">Suppliers should also note that </w:t>
      </w:r>
      <w:r w:rsidR="00296EBA" w:rsidRPr="00F469B6">
        <w:rPr>
          <w:szCs w:val="24"/>
        </w:rPr>
        <w:t xml:space="preserve">Cambridgeshire </w:t>
      </w:r>
      <w:r w:rsidR="000501F2" w:rsidRPr="00F469B6">
        <w:rPr>
          <w:szCs w:val="24"/>
        </w:rPr>
        <w:t>Coun</w:t>
      </w:r>
      <w:r w:rsidR="00F32026" w:rsidRPr="00F469B6">
        <w:rPr>
          <w:szCs w:val="24"/>
        </w:rPr>
        <w:t>ty</w:t>
      </w:r>
      <w:r w:rsidR="00296EBA" w:rsidRPr="00F469B6">
        <w:rPr>
          <w:szCs w:val="24"/>
        </w:rPr>
        <w:t xml:space="preserve"> Council (CCC)</w:t>
      </w:r>
      <w:r w:rsidR="000501F2" w:rsidRPr="00F469B6">
        <w:rPr>
          <w:szCs w:val="24"/>
        </w:rPr>
        <w:t xml:space="preserve"> also </w:t>
      </w:r>
      <w:r w:rsidR="003E34E1" w:rsidRPr="00F469B6">
        <w:rPr>
          <w:szCs w:val="24"/>
        </w:rPr>
        <w:t>evaluates Social Value within its tender process</w:t>
      </w:r>
      <w:r w:rsidR="006406DE" w:rsidRPr="00F469B6">
        <w:rPr>
          <w:szCs w:val="24"/>
        </w:rPr>
        <w:t xml:space="preserve"> where appropriate</w:t>
      </w:r>
      <w:r w:rsidR="00F32026" w:rsidRPr="00F469B6">
        <w:rPr>
          <w:szCs w:val="24"/>
        </w:rPr>
        <w:t>.</w:t>
      </w:r>
    </w:p>
    <w:p w14:paraId="3B1EC2F7" w14:textId="77777777" w:rsidR="003E34E1" w:rsidRPr="00F469B6" w:rsidRDefault="003E34E1" w:rsidP="00D05B83">
      <w:pPr>
        <w:pStyle w:val="BodyNumbered"/>
        <w:numPr>
          <w:ilvl w:val="0"/>
          <w:numId w:val="0"/>
        </w:numPr>
        <w:ind w:left="851" w:hanging="567"/>
        <w:rPr>
          <w:szCs w:val="24"/>
        </w:rPr>
      </w:pPr>
    </w:p>
    <w:p w14:paraId="6226E597" w14:textId="6B1667B7" w:rsidR="00AF4590" w:rsidRDefault="00AF4590" w:rsidP="00D05B83">
      <w:pPr>
        <w:pStyle w:val="BodyNumbered"/>
        <w:ind w:left="851" w:hanging="567"/>
      </w:pPr>
      <w:r w:rsidRPr="00F469B6">
        <w:rPr>
          <w:rStyle w:val="Strong"/>
        </w:rPr>
        <w:t>Please note:</w:t>
      </w:r>
      <w:r w:rsidRPr="00F469B6">
        <w:t xml:space="preserve"> this market testing exercise is </w:t>
      </w:r>
      <w:r w:rsidRPr="00F469B6">
        <w:rPr>
          <w:rStyle w:val="Strong"/>
        </w:rPr>
        <w:t>not</w:t>
      </w:r>
      <w:r w:rsidRPr="00F469B6">
        <w:t xml:space="preserve"> an invitation to tender or a request for formal expressions of interest. This document does not form any part of an invitation to tender. </w:t>
      </w:r>
      <w:r w:rsidR="00AC7D97" w:rsidRPr="00F469B6">
        <w:t>CCC</w:t>
      </w:r>
      <w:r w:rsidRPr="00F469B6">
        <w:t xml:space="preserve"> is issuing this request for </w:t>
      </w:r>
      <w:r w:rsidRPr="00F469B6">
        <w:rPr>
          <w:rStyle w:val="Strong"/>
        </w:rPr>
        <w:t>information only</w:t>
      </w:r>
      <w:r w:rsidRPr="00F469B6">
        <w:t xml:space="preserve">. Any supplier invited to present to </w:t>
      </w:r>
      <w:r w:rsidR="00AC7D97" w:rsidRPr="00F469B6">
        <w:t>CCC</w:t>
      </w:r>
      <w:r w:rsidRPr="00F469B6">
        <w:t xml:space="preserve"> is doing so to support market research only and to help make any potential procurement process more focused and efficient. No supplier selection or supplier preference is implied.</w:t>
      </w:r>
    </w:p>
    <w:p w14:paraId="71FE0E0B" w14:textId="77777777" w:rsidR="003B42C5" w:rsidRDefault="003B42C5" w:rsidP="003B42C5">
      <w:pPr>
        <w:pStyle w:val="ListParagraph"/>
      </w:pPr>
    </w:p>
    <w:p w14:paraId="6226E598" w14:textId="77777777" w:rsidR="00AF4590" w:rsidRDefault="00AF4590" w:rsidP="008F632F">
      <w:pPr>
        <w:pStyle w:val="Heading2"/>
      </w:pPr>
      <w:r>
        <w:t>Confidentiality</w:t>
      </w:r>
      <w:r w:rsidR="00207253">
        <w:t xml:space="preserve"> and Freedom of Information (FOI)</w:t>
      </w:r>
    </w:p>
    <w:p w14:paraId="47A7325F" w14:textId="77777777" w:rsidR="003B42C5" w:rsidRPr="003B42C5" w:rsidRDefault="003B42C5" w:rsidP="003B42C5"/>
    <w:p w14:paraId="6226E599" w14:textId="77777777" w:rsidR="00AF4590" w:rsidRDefault="00AF4590" w:rsidP="00D05B83">
      <w:pPr>
        <w:pStyle w:val="BodyNumbered"/>
        <w:ind w:left="851" w:hanging="567"/>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D05B83">
      <w:pPr>
        <w:pStyle w:val="BodyNumbered"/>
        <w:numPr>
          <w:ilvl w:val="0"/>
          <w:numId w:val="0"/>
        </w:numPr>
        <w:ind w:left="851" w:hanging="567"/>
      </w:pPr>
    </w:p>
    <w:p w14:paraId="6226E59B" w14:textId="77777777" w:rsidR="00AF4590" w:rsidRDefault="00AF4590" w:rsidP="00D05B83">
      <w:pPr>
        <w:pStyle w:val="BodyNumbered"/>
        <w:ind w:left="851" w:hanging="425"/>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216D57F2" w14:textId="77777777" w:rsidR="002355DE" w:rsidRDefault="002355DE" w:rsidP="002355DE">
      <w:pPr>
        <w:pStyle w:val="ListParagraph"/>
      </w:pPr>
    </w:p>
    <w:p w14:paraId="2FD13B36" w14:textId="77777777" w:rsidR="00F469B6" w:rsidRDefault="00F469B6" w:rsidP="002355DE">
      <w:pPr>
        <w:pStyle w:val="ListParagraph"/>
      </w:pPr>
    </w:p>
    <w:p w14:paraId="119930C1" w14:textId="77777777" w:rsidR="00F469B6" w:rsidRDefault="00F469B6" w:rsidP="002355DE">
      <w:pPr>
        <w:pStyle w:val="ListParagraph"/>
      </w:pPr>
    </w:p>
    <w:p w14:paraId="626A5051" w14:textId="77777777" w:rsidR="00F469B6" w:rsidRDefault="00F469B6" w:rsidP="002355DE">
      <w:pPr>
        <w:pStyle w:val="ListParagraph"/>
      </w:pPr>
    </w:p>
    <w:p w14:paraId="15F4A986" w14:textId="77777777" w:rsidR="002355DE" w:rsidRPr="002355DE" w:rsidRDefault="002355DE" w:rsidP="002355DE">
      <w:pPr>
        <w:pStyle w:val="Heading2"/>
        <w:numPr>
          <w:ilvl w:val="0"/>
          <w:numId w:val="0"/>
        </w:numPr>
        <w:ind w:left="360"/>
      </w:pPr>
    </w:p>
    <w:p w14:paraId="62A219FF" w14:textId="46F94014" w:rsidR="003B42C5" w:rsidRPr="003B42C5" w:rsidRDefault="00CC58BD" w:rsidP="007E4F0C">
      <w:pPr>
        <w:pStyle w:val="Heading2"/>
      </w:pPr>
      <w:r>
        <w:t>Background</w:t>
      </w:r>
    </w:p>
    <w:p w14:paraId="6226E59F" w14:textId="104BBC9F" w:rsidR="00CC58BD" w:rsidRDefault="009131E6" w:rsidP="009B0817">
      <w:pPr>
        <w:pStyle w:val="Optional"/>
        <w:ind w:left="851" w:hanging="425"/>
        <w:rPr>
          <w:color w:val="auto"/>
        </w:rPr>
      </w:pPr>
      <w:r w:rsidRPr="009131E6">
        <w:rPr>
          <w:color w:val="auto"/>
        </w:rPr>
        <w:t xml:space="preserve">Cambridgeshire County Council currently have 2 frameworks covering Construction Requirements, </w:t>
      </w:r>
      <w:r w:rsidR="003A39A5">
        <w:rPr>
          <w:color w:val="auto"/>
        </w:rPr>
        <w:t xml:space="preserve">both of which are mature in terms of being the latest iterations of similar frameworks held by the </w:t>
      </w:r>
      <w:r w:rsidR="00124CEA">
        <w:rPr>
          <w:color w:val="auto"/>
        </w:rPr>
        <w:t>Authority</w:t>
      </w:r>
      <w:r w:rsidR="003A39A5">
        <w:rPr>
          <w:color w:val="auto"/>
        </w:rPr>
        <w:t xml:space="preserve"> for </w:t>
      </w:r>
      <w:r w:rsidR="009B0817">
        <w:rPr>
          <w:color w:val="auto"/>
        </w:rPr>
        <w:t>several</w:t>
      </w:r>
      <w:r w:rsidR="003A39A5">
        <w:rPr>
          <w:color w:val="auto"/>
        </w:rPr>
        <w:t xml:space="preserve"> years.</w:t>
      </w:r>
    </w:p>
    <w:p w14:paraId="25C3B61F" w14:textId="77777777" w:rsidR="003A39A5" w:rsidRDefault="003A39A5" w:rsidP="009B0817">
      <w:pPr>
        <w:pStyle w:val="Optional"/>
        <w:numPr>
          <w:ilvl w:val="0"/>
          <w:numId w:val="0"/>
        </w:numPr>
        <w:ind w:left="851" w:hanging="425"/>
        <w:rPr>
          <w:color w:val="auto"/>
        </w:rPr>
      </w:pPr>
    </w:p>
    <w:p w14:paraId="6689B578" w14:textId="59DB88D9" w:rsidR="0048439C" w:rsidRDefault="003A39A5" w:rsidP="00994DA2">
      <w:pPr>
        <w:pStyle w:val="Optional"/>
        <w:numPr>
          <w:ilvl w:val="0"/>
          <w:numId w:val="0"/>
        </w:numPr>
        <w:ind w:left="851"/>
        <w:rPr>
          <w:rFonts w:cstheme="minorHAnsi"/>
          <w:color w:val="000000"/>
          <w:szCs w:val="24"/>
          <w:shd w:val="clear" w:color="auto" w:fill="FFFFFF"/>
        </w:rPr>
      </w:pPr>
      <w:r w:rsidRPr="0048439C">
        <w:rPr>
          <w:rFonts w:cstheme="minorHAnsi"/>
          <w:color w:val="auto"/>
          <w:szCs w:val="24"/>
        </w:rPr>
        <w:t xml:space="preserve">The Design &amp; Build (D&amp;B) </w:t>
      </w:r>
      <w:r w:rsidR="003715AE">
        <w:rPr>
          <w:rFonts w:cstheme="minorHAnsi"/>
          <w:color w:val="auto"/>
          <w:szCs w:val="24"/>
        </w:rPr>
        <w:t xml:space="preserve">Contractor </w:t>
      </w:r>
      <w:r w:rsidRPr="0048439C">
        <w:rPr>
          <w:rFonts w:cstheme="minorHAnsi"/>
          <w:color w:val="auto"/>
          <w:szCs w:val="24"/>
        </w:rPr>
        <w:t xml:space="preserve">Framework </w:t>
      </w:r>
      <w:r w:rsidR="0048439C" w:rsidRPr="0048439C">
        <w:rPr>
          <w:rFonts w:cstheme="minorHAnsi"/>
          <w:color w:val="auto"/>
          <w:szCs w:val="24"/>
        </w:rPr>
        <w:t xml:space="preserve">commenced in November 2021 and put in place a framework of Contractors to </w:t>
      </w:r>
      <w:r w:rsidR="00E6249C" w:rsidRPr="0048439C">
        <w:rPr>
          <w:rFonts w:cstheme="minorHAnsi"/>
          <w:color w:val="000000"/>
          <w:szCs w:val="24"/>
          <w:shd w:val="clear" w:color="auto" w:fill="FFFFFF"/>
        </w:rPr>
        <w:t>carry out Design and Build services across a variety of properties within the geographical boundaries of Cambridgeshire</w:t>
      </w:r>
      <w:r w:rsidR="003F2647">
        <w:rPr>
          <w:rFonts w:cstheme="minorHAnsi"/>
          <w:color w:val="000000"/>
          <w:szCs w:val="24"/>
          <w:shd w:val="clear" w:color="auto" w:fill="FFFFFF"/>
        </w:rPr>
        <w:t xml:space="preserve">. </w:t>
      </w:r>
      <w:r w:rsidR="0048439C">
        <w:rPr>
          <w:rFonts w:cstheme="minorHAnsi"/>
          <w:color w:val="000000"/>
          <w:szCs w:val="24"/>
          <w:shd w:val="clear" w:color="auto" w:fill="FFFFFF"/>
        </w:rPr>
        <w:t>It concludes in November 2025.</w:t>
      </w:r>
    </w:p>
    <w:p w14:paraId="42AA4B22" w14:textId="77777777" w:rsidR="0048439C" w:rsidRDefault="0048439C" w:rsidP="00994DA2">
      <w:pPr>
        <w:pStyle w:val="Optional"/>
        <w:numPr>
          <w:ilvl w:val="0"/>
          <w:numId w:val="0"/>
        </w:numPr>
        <w:ind w:left="851"/>
        <w:rPr>
          <w:rFonts w:cstheme="minorHAnsi"/>
          <w:color w:val="000000"/>
          <w:szCs w:val="24"/>
          <w:shd w:val="clear" w:color="auto" w:fill="FFFFFF"/>
        </w:rPr>
      </w:pPr>
    </w:p>
    <w:p w14:paraId="4A640E01" w14:textId="27C8747C" w:rsidR="0048439C" w:rsidRDefault="00E6249C" w:rsidP="00994DA2">
      <w:pPr>
        <w:pStyle w:val="Optional"/>
        <w:numPr>
          <w:ilvl w:val="0"/>
          <w:numId w:val="0"/>
        </w:numPr>
        <w:ind w:left="851"/>
        <w:rPr>
          <w:rFonts w:cstheme="minorHAnsi"/>
          <w:color w:val="000000"/>
          <w:szCs w:val="24"/>
          <w:shd w:val="clear" w:color="auto" w:fill="FFFFFF"/>
        </w:rPr>
      </w:pPr>
      <w:r w:rsidRPr="0048439C">
        <w:rPr>
          <w:rFonts w:cstheme="minorHAnsi"/>
          <w:color w:val="000000"/>
          <w:szCs w:val="24"/>
          <w:shd w:val="clear" w:color="auto" w:fill="FFFFFF"/>
        </w:rPr>
        <w:t xml:space="preserve"> </w:t>
      </w:r>
      <w:r w:rsidR="0048439C">
        <w:rPr>
          <w:rFonts w:cstheme="minorHAnsi"/>
          <w:color w:val="000000"/>
          <w:szCs w:val="24"/>
          <w:shd w:val="clear" w:color="auto" w:fill="FFFFFF"/>
        </w:rPr>
        <w:t xml:space="preserve">The formation of the Lots </w:t>
      </w:r>
      <w:r w:rsidR="00994DA2">
        <w:rPr>
          <w:rFonts w:cstheme="minorHAnsi"/>
          <w:color w:val="000000"/>
          <w:szCs w:val="24"/>
          <w:shd w:val="clear" w:color="auto" w:fill="FFFFFF"/>
        </w:rPr>
        <w:t>is</w:t>
      </w:r>
      <w:r w:rsidR="0048439C">
        <w:rPr>
          <w:rFonts w:cstheme="minorHAnsi"/>
          <w:color w:val="000000"/>
          <w:szCs w:val="24"/>
          <w:shd w:val="clear" w:color="auto" w:fill="FFFFFF"/>
        </w:rPr>
        <w:t>:</w:t>
      </w:r>
    </w:p>
    <w:p w14:paraId="17F46092" w14:textId="77777777" w:rsidR="0048439C" w:rsidRDefault="0048439C" w:rsidP="0048439C">
      <w:pPr>
        <w:pStyle w:val="Optional"/>
        <w:numPr>
          <w:ilvl w:val="0"/>
          <w:numId w:val="0"/>
        </w:numPr>
        <w:ind w:left="792"/>
        <w:rPr>
          <w:rFonts w:cstheme="minorHAnsi"/>
          <w:color w:val="000000"/>
          <w:szCs w:val="24"/>
          <w:shd w:val="clear" w:color="auto" w:fill="FFFFFF"/>
        </w:rPr>
      </w:pPr>
    </w:p>
    <w:tbl>
      <w:tblPr>
        <w:tblStyle w:val="TableGrid1"/>
        <w:tblW w:w="8926" w:type="dxa"/>
        <w:tblLook w:val="04A0" w:firstRow="1" w:lastRow="0" w:firstColumn="1" w:lastColumn="0" w:noHBand="0" w:noVBand="1"/>
      </w:tblPr>
      <w:tblGrid>
        <w:gridCol w:w="4390"/>
        <w:gridCol w:w="4536"/>
      </w:tblGrid>
      <w:tr w:rsidR="0048439C" w14:paraId="09A9390D" w14:textId="77777777" w:rsidTr="0010220D">
        <w:tc>
          <w:tcPr>
            <w:tcW w:w="4390" w:type="dxa"/>
          </w:tcPr>
          <w:p w14:paraId="0127F1B3" w14:textId="77777777" w:rsidR="0048439C" w:rsidRPr="003E5FA5" w:rsidRDefault="0048439C" w:rsidP="0010220D">
            <w:pPr>
              <w:autoSpaceDE w:val="0"/>
              <w:autoSpaceDN w:val="0"/>
              <w:adjustRightInd w:val="0"/>
              <w:jc w:val="center"/>
              <w:rPr>
                <w:rFonts w:ascii="Calibri" w:hAnsi="Calibri" w:cs="Calibri"/>
                <w:b/>
                <w:bCs/>
              </w:rPr>
            </w:pPr>
            <w:bookmarkStart w:id="0" w:name="_Hlk67564259"/>
            <w:r w:rsidRPr="003E5FA5">
              <w:rPr>
                <w:rFonts w:ascii="Calibri" w:hAnsi="Calibri" w:cs="Calibri"/>
                <w:b/>
                <w:bCs/>
              </w:rPr>
              <w:t>Lot Number</w:t>
            </w:r>
          </w:p>
        </w:tc>
        <w:tc>
          <w:tcPr>
            <w:tcW w:w="4536" w:type="dxa"/>
          </w:tcPr>
          <w:p w14:paraId="74700CD5" w14:textId="77777777" w:rsidR="0048439C" w:rsidRPr="003E5FA5" w:rsidRDefault="0048439C" w:rsidP="0010220D">
            <w:pPr>
              <w:autoSpaceDE w:val="0"/>
              <w:autoSpaceDN w:val="0"/>
              <w:adjustRightInd w:val="0"/>
              <w:jc w:val="center"/>
              <w:rPr>
                <w:rFonts w:ascii="Calibri" w:hAnsi="Calibri" w:cs="Calibri"/>
                <w:b/>
                <w:bCs/>
              </w:rPr>
            </w:pPr>
            <w:r w:rsidRPr="003E5FA5">
              <w:rPr>
                <w:rFonts w:ascii="Calibri" w:hAnsi="Calibri" w:cs="Calibri"/>
                <w:b/>
                <w:bCs/>
              </w:rPr>
              <w:t>Lot Value</w:t>
            </w:r>
          </w:p>
        </w:tc>
      </w:tr>
      <w:tr w:rsidR="0048439C" w14:paraId="07045F3B" w14:textId="77777777" w:rsidTr="0010220D">
        <w:tc>
          <w:tcPr>
            <w:tcW w:w="4390" w:type="dxa"/>
          </w:tcPr>
          <w:p w14:paraId="3BFE5581" w14:textId="77777777" w:rsidR="0048439C" w:rsidRDefault="0048439C" w:rsidP="0010220D">
            <w:pPr>
              <w:autoSpaceDE w:val="0"/>
              <w:autoSpaceDN w:val="0"/>
              <w:adjustRightInd w:val="0"/>
              <w:rPr>
                <w:rFonts w:ascii="Calibri" w:hAnsi="Calibri" w:cs="Calibri"/>
              </w:rPr>
            </w:pPr>
            <w:r>
              <w:rPr>
                <w:rFonts w:ascii="Calibri" w:hAnsi="Calibri" w:cs="Calibri"/>
              </w:rPr>
              <w:t>Lot 1 a)</w:t>
            </w:r>
          </w:p>
        </w:tc>
        <w:tc>
          <w:tcPr>
            <w:tcW w:w="4536" w:type="dxa"/>
          </w:tcPr>
          <w:p w14:paraId="27230F08" w14:textId="77777777" w:rsidR="0048439C" w:rsidRDefault="0048439C" w:rsidP="0010220D">
            <w:pPr>
              <w:autoSpaceDE w:val="0"/>
              <w:autoSpaceDN w:val="0"/>
              <w:adjustRightInd w:val="0"/>
              <w:rPr>
                <w:rFonts w:ascii="Calibri" w:hAnsi="Calibri" w:cs="Calibri"/>
              </w:rPr>
            </w:pPr>
            <w:r>
              <w:rPr>
                <w:rFonts w:ascii="Calibri" w:hAnsi="Calibri" w:cs="Calibri"/>
              </w:rPr>
              <w:t>£1m - £2,499,999m</w:t>
            </w:r>
          </w:p>
        </w:tc>
      </w:tr>
      <w:tr w:rsidR="0048439C" w14:paraId="241DFA55" w14:textId="77777777" w:rsidTr="0010220D">
        <w:tc>
          <w:tcPr>
            <w:tcW w:w="4390" w:type="dxa"/>
          </w:tcPr>
          <w:p w14:paraId="4DC60C2F" w14:textId="77777777" w:rsidR="0048439C" w:rsidRDefault="0048439C" w:rsidP="0010220D">
            <w:pPr>
              <w:autoSpaceDE w:val="0"/>
              <w:autoSpaceDN w:val="0"/>
              <w:adjustRightInd w:val="0"/>
              <w:rPr>
                <w:rFonts w:ascii="Calibri" w:hAnsi="Calibri" w:cs="Calibri"/>
              </w:rPr>
            </w:pPr>
            <w:r>
              <w:rPr>
                <w:rFonts w:ascii="Calibri" w:hAnsi="Calibri" w:cs="Calibri"/>
              </w:rPr>
              <w:t>Lot 1 b)</w:t>
            </w:r>
          </w:p>
        </w:tc>
        <w:tc>
          <w:tcPr>
            <w:tcW w:w="4536" w:type="dxa"/>
          </w:tcPr>
          <w:p w14:paraId="41CE584B" w14:textId="77777777" w:rsidR="0048439C" w:rsidRDefault="0048439C" w:rsidP="0010220D">
            <w:pPr>
              <w:autoSpaceDE w:val="0"/>
              <w:autoSpaceDN w:val="0"/>
              <w:adjustRightInd w:val="0"/>
              <w:rPr>
                <w:rFonts w:ascii="Calibri" w:hAnsi="Calibri" w:cs="Calibri"/>
              </w:rPr>
            </w:pPr>
            <w:r>
              <w:rPr>
                <w:rFonts w:ascii="Calibri" w:hAnsi="Calibri" w:cs="Calibri"/>
              </w:rPr>
              <w:t>£2.5m - £4,499,999m</w:t>
            </w:r>
          </w:p>
        </w:tc>
      </w:tr>
      <w:tr w:rsidR="0048439C" w14:paraId="6C1BEEDC" w14:textId="77777777" w:rsidTr="0010220D">
        <w:tc>
          <w:tcPr>
            <w:tcW w:w="4390" w:type="dxa"/>
          </w:tcPr>
          <w:p w14:paraId="2D19547D" w14:textId="77777777" w:rsidR="0048439C" w:rsidRDefault="0048439C" w:rsidP="0010220D">
            <w:pPr>
              <w:autoSpaceDE w:val="0"/>
              <w:autoSpaceDN w:val="0"/>
              <w:adjustRightInd w:val="0"/>
              <w:rPr>
                <w:rFonts w:ascii="Calibri" w:hAnsi="Calibri" w:cs="Calibri"/>
              </w:rPr>
            </w:pPr>
            <w:r>
              <w:rPr>
                <w:rFonts w:ascii="Calibri" w:hAnsi="Calibri" w:cs="Calibri"/>
              </w:rPr>
              <w:t>Lot 2</w:t>
            </w:r>
          </w:p>
        </w:tc>
        <w:tc>
          <w:tcPr>
            <w:tcW w:w="4536" w:type="dxa"/>
          </w:tcPr>
          <w:p w14:paraId="3FCB0F6F" w14:textId="77777777" w:rsidR="0048439C" w:rsidRDefault="0048439C" w:rsidP="0010220D">
            <w:pPr>
              <w:autoSpaceDE w:val="0"/>
              <w:autoSpaceDN w:val="0"/>
              <w:adjustRightInd w:val="0"/>
              <w:rPr>
                <w:rFonts w:ascii="Calibri" w:hAnsi="Calibri" w:cs="Calibri"/>
              </w:rPr>
            </w:pPr>
            <w:r>
              <w:rPr>
                <w:rFonts w:ascii="Calibri" w:hAnsi="Calibri" w:cs="Calibri"/>
              </w:rPr>
              <w:t>£4m - £7,999,999m</w:t>
            </w:r>
          </w:p>
        </w:tc>
      </w:tr>
      <w:tr w:rsidR="0048439C" w14:paraId="5004365A" w14:textId="77777777" w:rsidTr="0010220D">
        <w:tc>
          <w:tcPr>
            <w:tcW w:w="4390" w:type="dxa"/>
          </w:tcPr>
          <w:p w14:paraId="06A77073" w14:textId="77777777" w:rsidR="0048439C" w:rsidRDefault="0048439C" w:rsidP="0010220D">
            <w:pPr>
              <w:autoSpaceDE w:val="0"/>
              <w:autoSpaceDN w:val="0"/>
              <w:adjustRightInd w:val="0"/>
              <w:rPr>
                <w:rFonts w:ascii="Calibri" w:hAnsi="Calibri" w:cs="Calibri"/>
              </w:rPr>
            </w:pPr>
            <w:r>
              <w:rPr>
                <w:rFonts w:ascii="Calibri" w:hAnsi="Calibri" w:cs="Calibri"/>
              </w:rPr>
              <w:t>Lot 3 a)</w:t>
            </w:r>
          </w:p>
        </w:tc>
        <w:tc>
          <w:tcPr>
            <w:tcW w:w="4536" w:type="dxa"/>
          </w:tcPr>
          <w:p w14:paraId="6091AF70" w14:textId="77777777" w:rsidR="0048439C" w:rsidRDefault="0048439C" w:rsidP="0010220D">
            <w:pPr>
              <w:autoSpaceDE w:val="0"/>
              <w:autoSpaceDN w:val="0"/>
              <w:adjustRightInd w:val="0"/>
              <w:rPr>
                <w:rFonts w:ascii="Calibri" w:hAnsi="Calibri" w:cs="Calibri"/>
              </w:rPr>
            </w:pPr>
            <w:r>
              <w:rPr>
                <w:rFonts w:ascii="Calibri" w:hAnsi="Calibri" w:cs="Calibri"/>
              </w:rPr>
              <w:t>£7.5m - £10,999,999m</w:t>
            </w:r>
          </w:p>
        </w:tc>
      </w:tr>
      <w:tr w:rsidR="0048439C" w14:paraId="46A03178" w14:textId="77777777" w:rsidTr="0010220D">
        <w:tc>
          <w:tcPr>
            <w:tcW w:w="4390" w:type="dxa"/>
          </w:tcPr>
          <w:p w14:paraId="4CA5EC4B" w14:textId="77777777" w:rsidR="0048439C" w:rsidRDefault="0048439C" w:rsidP="0010220D">
            <w:pPr>
              <w:autoSpaceDE w:val="0"/>
              <w:autoSpaceDN w:val="0"/>
              <w:adjustRightInd w:val="0"/>
              <w:rPr>
                <w:rFonts w:ascii="Calibri" w:hAnsi="Calibri" w:cs="Calibri"/>
              </w:rPr>
            </w:pPr>
            <w:r>
              <w:rPr>
                <w:rFonts w:ascii="Calibri" w:hAnsi="Calibri" w:cs="Calibri"/>
              </w:rPr>
              <w:t>Lot 3 b)</w:t>
            </w:r>
          </w:p>
        </w:tc>
        <w:tc>
          <w:tcPr>
            <w:tcW w:w="4536" w:type="dxa"/>
          </w:tcPr>
          <w:p w14:paraId="1466CBAC" w14:textId="77777777" w:rsidR="0048439C" w:rsidRDefault="0048439C" w:rsidP="0010220D">
            <w:pPr>
              <w:autoSpaceDE w:val="0"/>
              <w:autoSpaceDN w:val="0"/>
              <w:adjustRightInd w:val="0"/>
              <w:rPr>
                <w:rFonts w:ascii="Calibri" w:hAnsi="Calibri" w:cs="Calibri"/>
              </w:rPr>
            </w:pPr>
            <w:r>
              <w:rPr>
                <w:rFonts w:ascii="Calibri" w:hAnsi="Calibri" w:cs="Calibri"/>
              </w:rPr>
              <w:t>£11m - £15,499,999m</w:t>
            </w:r>
          </w:p>
        </w:tc>
      </w:tr>
      <w:tr w:rsidR="0048439C" w14:paraId="14C13422" w14:textId="77777777" w:rsidTr="0010220D">
        <w:tc>
          <w:tcPr>
            <w:tcW w:w="4390" w:type="dxa"/>
          </w:tcPr>
          <w:p w14:paraId="0A9693FA" w14:textId="77777777" w:rsidR="0048439C" w:rsidRDefault="0048439C" w:rsidP="0010220D">
            <w:pPr>
              <w:autoSpaceDE w:val="0"/>
              <w:autoSpaceDN w:val="0"/>
              <w:adjustRightInd w:val="0"/>
              <w:rPr>
                <w:rFonts w:ascii="Calibri" w:hAnsi="Calibri" w:cs="Calibri"/>
              </w:rPr>
            </w:pPr>
            <w:r>
              <w:rPr>
                <w:rFonts w:ascii="Calibri" w:hAnsi="Calibri" w:cs="Calibri"/>
              </w:rPr>
              <w:t>Lot 4</w:t>
            </w:r>
          </w:p>
        </w:tc>
        <w:tc>
          <w:tcPr>
            <w:tcW w:w="4536" w:type="dxa"/>
          </w:tcPr>
          <w:p w14:paraId="4DB786F5" w14:textId="77777777" w:rsidR="0048439C" w:rsidRDefault="0048439C" w:rsidP="0010220D">
            <w:pPr>
              <w:autoSpaceDE w:val="0"/>
              <w:autoSpaceDN w:val="0"/>
              <w:adjustRightInd w:val="0"/>
              <w:rPr>
                <w:rFonts w:ascii="Calibri" w:hAnsi="Calibri" w:cs="Calibri"/>
              </w:rPr>
            </w:pPr>
            <w:r>
              <w:rPr>
                <w:rFonts w:ascii="Calibri" w:hAnsi="Calibri" w:cs="Calibri"/>
              </w:rPr>
              <w:t>£15m+</w:t>
            </w:r>
          </w:p>
        </w:tc>
      </w:tr>
      <w:bookmarkEnd w:id="0"/>
    </w:tbl>
    <w:p w14:paraId="7A9993F2" w14:textId="77777777" w:rsidR="0048439C" w:rsidRDefault="0048439C" w:rsidP="0048439C">
      <w:pPr>
        <w:pStyle w:val="Optional"/>
        <w:numPr>
          <w:ilvl w:val="0"/>
          <w:numId w:val="0"/>
        </w:numPr>
        <w:ind w:left="792"/>
        <w:rPr>
          <w:rFonts w:cstheme="minorHAnsi"/>
          <w:color w:val="000000"/>
          <w:szCs w:val="24"/>
          <w:shd w:val="clear" w:color="auto" w:fill="FFFFFF"/>
        </w:rPr>
      </w:pPr>
    </w:p>
    <w:p w14:paraId="54F95B4F" w14:textId="2C4D9065" w:rsidR="0048439C" w:rsidRDefault="00A660FE"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 xml:space="preserve">Each Lot has 5 providers. </w:t>
      </w:r>
      <w:r w:rsidR="002E56CB">
        <w:rPr>
          <w:rFonts w:cstheme="minorHAnsi"/>
          <w:color w:val="000000"/>
          <w:szCs w:val="24"/>
          <w:shd w:val="clear" w:color="auto" w:fill="FFFFFF"/>
        </w:rPr>
        <w:t>Whilst</w:t>
      </w:r>
      <w:r w:rsidR="009A2BF8">
        <w:rPr>
          <w:rFonts w:cstheme="minorHAnsi"/>
          <w:color w:val="000000"/>
          <w:szCs w:val="24"/>
          <w:shd w:val="clear" w:color="auto" w:fill="FFFFFF"/>
        </w:rPr>
        <w:t xml:space="preserve"> most</w:t>
      </w:r>
      <w:r w:rsidR="002E56CB">
        <w:rPr>
          <w:rFonts w:cstheme="minorHAnsi"/>
          <w:color w:val="000000"/>
          <w:szCs w:val="24"/>
          <w:shd w:val="clear" w:color="auto" w:fill="FFFFFF"/>
        </w:rPr>
        <w:t xml:space="preserve"> projects to date have purely been for our Education Capital Team to </w:t>
      </w:r>
      <w:r w:rsidR="009B490B">
        <w:rPr>
          <w:rFonts w:cstheme="minorHAnsi"/>
          <w:color w:val="000000"/>
          <w:szCs w:val="24"/>
          <w:shd w:val="clear" w:color="auto" w:fill="FFFFFF"/>
        </w:rPr>
        <w:t>construct</w:t>
      </w:r>
      <w:r w:rsidR="002E56CB">
        <w:rPr>
          <w:rFonts w:cstheme="minorHAnsi"/>
          <w:color w:val="000000"/>
          <w:szCs w:val="24"/>
          <w:shd w:val="clear" w:color="auto" w:fill="FFFFFF"/>
        </w:rPr>
        <w:t xml:space="preserve"> </w:t>
      </w:r>
      <w:r w:rsidR="009B490B">
        <w:rPr>
          <w:rFonts w:cstheme="minorHAnsi"/>
          <w:color w:val="000000"/>
          <w:szCs w:val="24"/>
          <w:shd w:val="clear" w:color="auto" w:fill="FFFFFF"/>
        </w:rPr>
        <w:t>new</w:t>
      </w:r>
      <w:r w:rsidR="002E56CB">
        <w:rPr>
          <w:rFonts w:cstheme="minorHAnsi"/>
          <w:color w:val="000000"/>
          <w:szCs w:val="24"/>
          <w:shd w:val="clear" w:color="auto" w:fill="FFFFFF"/>
        </w:rPr>
        <w:t xml:space="preserve"> school</w:t>
      </w:r>
      <w:r w:rsidR="009B490B">
        <w:rPr>
          <w:rFonts w:cstheme="minorHAnsi"/>
          <w:color w:val="000000"/>
          <w:szCs w:val="24"/>
          <w:shd w:val="clear" w:color="auto" w:fill="FFFFFF"/>
        </w:rPr>
        <w:t>s</w:t>
      </w:r>
      <w:r w:rsidR="002E56CB">
        <w:rPr>
          <w:rFonts w:cstheme="minorHAnsi"/>
          <w:color w:val="000000"/>
          <w:szCs w:val="24"/>
          <w:shd w:val="clear" w:color="auto" w:fill="FFFFFF"/>
        </w:rPr>
        <w:t xml:space="preserve"> or</w:t>
      </w:r>
      <w:r w:rsidR="009B490B">
        <w:rPr>
          <w:rFonts w:cstheme="minorHAnsi"/>
          <w:color w:val="000000"/>
          <w:szCs w:val="24"/>
          <w:shd w:val="clear" w:color="auto" w:fill="FFFFFF"/>
        </w:rPr>
        <w:t xml:space="preserve"> </w:t>
      </w:r>
      <w:r w:rsidR="00E53538">
        <w:rPr>
          <w:rFonts w:cstheme="minorHAnsi"/>
          <w:color w:val="000000"/>
          <w:szCs w:val="24"/>
          <w:shd w:val="clear" w:color="auto" w:fill="FFFFFF"/>
        </w:rPr>
        <w:t>extend existing ones</w:t>
      </w:r>
      <w:r w:rsidR="002E56CB">
        <w:rPr>
          <w:rFonts w:cstheme="minorHAnsi"/>
          <w:color w:val="000000"/>
          <w:szCs w:val="24"/>
          <w:shd w:val="clear" w:color="auto" w:fill="FFFFFF"/>
        </w:rPr>
        <w:t xml:space="preserve">, </w:t>
      </w:r>
      <w:r w:rsidR="009A2BF8">
        <w:rPr>
          <w:rFonts w:cstheme="minorHAnsi"/>
          <w:color w:val="000000"/>
          <w:szCs w:val="24"/>
          <w:shd w:val="clear" w:color="auto" w:fill="FFFFFF"/>
        </w:rPr>
        <w:t xml:space="preserve">we have also used it to remodel Household Recycling Centres, and </w:t>
      </w:r>
      <w:r w:rsidR="002E56CB">
        <w:rPr>
          <w:rFonts w:cstheme="minorHAnsi"/>
          <w:color w:val="000000"/>
          <w:szCs w:val="24"/>
          <w:shd w:val="clear" w:color="auto" w:fill="FFFFFF"/>
        </w:rPr>
        <w:t xml:space="preserve">previous iterations of the </w:t>
      </w:r>
      <w:r w:rsidR="00E53538">
        <w:rPr>
          <w:rFonts w:cstheme="minorHAnsi"/>
          <w:color w:val="000000"/>
          <w:szCs w:val="24"/>
          <w:shd w:val="clear" w:color="auto" w:fill="FFFFFF"/>
        </w:rPr>
        <w:t>framework</w:t>
      </w:r>
      <w:r w:rsidR="002E56CB">
        <w:rPr>
          <w:rFonts w:cstheme="minorHAnsi"/>
          <w:color w:val="000000"/>
          <w:szCs w:val="24"/>
          <w:shd w:val="clear" w:color="auto" w:fill="FFFFFF"/>
        </w:rPr>
        <w:t xml:space="preserve"> have been used to construct our Corporate Headquarters in Alconbury, Adult Care Homes and Libraries </w:t>
      </w:r>
    </w:p>
    <w:p w14:paraId="5347B642" w14:textId="77777777" w:rsidR="0048439C" w:rsidRDefault="0048439C" w:rsidP="0048439C">
      <w:pPr>
        <w:pStyle w:val="Optional"/>
        <w:numPr>
          <w:ilvl w:val="0"/>
          <w:numId w:val="0"/>
        </w:numPr>
        <w:ind w:left="792"/>
        <w:rPr>
          <w:rFonts w:cstheme="minorHAnsi"/>
          <w:color w:val="000000"/>
          <w:szCs w:val="24"/>
          <w:shd w:val="clear" w:color="auto" w:fill="FFFFFF"/>
        </w:rPr>
      </w:pPr>
    </w:p>
    <w:p w14:paraId="330738E7" w14:textId="5DB9C61A" w:rsidR="00994DA2" w:rsidRDefault="00994DA2"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Every project is awarded via further competition to the providers within each Lot</w:t>
      </w:r>
      <w:r w:rsidR="00E53538">
        <w:rPr>
          <w:rFonts w:cstheme="minorHAnsi"/>
          <w:color w:val="000000"/>
          <w:szCs w:val="24"/>
          <w:shd w:val="clear" w:color="auto" w:fill="FFFFFF"/>
        </w:rPr>
        <w:t xml:space="preserve"> based on a mixture of Quality and Price</w:t>
      </w:r>
      <w:r>
        <w:rPr>
          <w:rFonts w:cstheme="minorHAnsi"/>
          <w:color w:val="000000"/>
          <w:szCs w:val="24"/>
          <w:shd w:val="clear" w:color="auto" w:fill="FFFFFF"/>
        </w:rPr>
        <w:t xml:space="preserve">. </w:t>
      </w:r>
    </w:p>
    <w:p w14:paraId="31D35125" w14:textId="77777777" w:rsidR="00994DA2" w:rsidRDefault="00994DA2" w:rsidP="0048439C">
      <w:pPr>
        <w:pStyle w:val="Optional"/>
        <w:numPr>
          <w:ilvl w:val="0"/>
          <w:numId w:val="0"/>
        </w:numPr>
        <w:ind w:left="792"/>
        <w:rPr>
          <w:rFonts w:cstheme="minorHAnsi"/>
          <w:color w:val="000000"/>
          <w:szCs w:val="24"/>
          <w:shd w:val="clear" w:color="auto" w:fill="FFFFFF"/>
        </w:rPr>
      </w:pPr>
    </w:p>
    <w:p w14:paraId="022AF57E"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The contractor</w:t>
      </w:r>
      <w:r w:rsidR="00994DA2">
        <w:rPr>
          <w:rFonts w:cstheme="minorHAnsi"/>
          <w:color w:val="000000"/>
          <w:szCs w:val="24"/>
          <w:shd w:val="clear" w:color="auto" w:fill="FFFFFF"/>
        </w:rPr>
        <w:t xml:space="preserve">s are </w:t>
      </w:r>
      <w:r w:rsidRPr="0048439C">
        <w:rPr>
          <w:rFonts w:cstheme="minorHAnsi"/>
          <w:color w:val="000000"/>
          <w:szCs w:val="24"/>
          <w:shd w:val="clear" w:color="auto" w:fill="FFFFFF"/>
        </w:rPr>
        <w:t>expected to primarily undertake Design &amp; Build services for education capital projects, but the scope of the framework also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adult social care, offices, community and public buildings. The framework cover</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construction works and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but </w:t>
      </w:r>
      <w:proofErr w:type="gramStart"/>
      <w:r w:rsidR="00994DA2">
        <w:rPr>
          <w:rFonts w:cstheme="minorHAnsi"/>
          <w:color w:val="000000"/>
          <w:szCs w:val="24"/>
          <w:shd w:val="clear" w:color="auto" w:fill="FFFFFF"/>
        </w:rPr>
        <w:t xml:space="preserve">is </w:t>
      </w:r>
      <w:r w:rsidRPr="0048439C">
        <w:rPr>
          <w:rFonts w:cstheme="minorHAnsi"/>
          <w:color w:val="000000"/>
          <w:szCs w:val="24"/>
          <w:shd w:val="clear" w:color="auto" w:fill="FFFFFF"/>
        </w:rPr>
        <w:t>not be</w:t>
      </w:r>
      <w:proofErr w:type="gramEnd"/>
      <w:r w:rsidRPr="0048439C">
        <w:rPr>
          <w:rFonts w:cstheme="minorHAnsi"/>
          <w:color w:val="000000"/>
          <w:szCs w:val="24"/>
          <w:shd w:val="clear" w:color="auto" w:fill="FFFFFF"/>
        </w:rPr>
        <w:t xml:space="preserve"> limited to, new build, demolitions, capital replacements, extensions, repairs and renovation programs. </w:t>
      </w:r>
    </w:p>
    <w:p w14:paraId="5D906CAB" w14:textId="77777777" w:rsidR="00994DA2" w:rsidRDefault="00994DA2" w:rsidP="0048439C">
      <w:pPr>
        <w:pStyle w:val="Optional"/>
        <w:numPr>
          <w:ilvl w:val="0"/>
          <w:numId w:val="0"/>
        </w:numPr>
        <w:ind w:left="792"/>
        <w:rPr>
          <w:rFonts w:cstheme="minorHAnsi"/>
          <w:color w:val="000000"/>
          <w:szCs w:val="24"/>
          <w:shd w:val="clear" w:color="auto" w:fill="FFFFFF"/>
        </w:rPr>
      </w:pPr>
    </w:p>
    <w:p w14:paraId="15D425F1"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 xml:space="preserve">The framework providers </w:t>
      </w:r>
      <w:r w:rsidR="00994DA2">
        <w:rPr>
          <w:rFonts w:cstheme="minorHAnsi"/>
          <w:color w:val="000000"/>
          <w:szCs w:val="24"/>
          <w:shd w:val="clear" w:color="auto" w:fill="FFFFFF"/>
        </w:rPr>
        <w:t>are</w:t>
      </w:r>
      <w:r w:rsidRPr="0048439C">
        <w:rPr>
          <w:rFonts w:cstheme="minorHAnsi"/>
          <w:color w:val="000000"/>
          <w:szCs w:val="24"/>
          <w:shd w:val="clear" w:color="auto" w:fill="FFFFFF"/>
        </w:rPr>
        <w:t xml:space="preserve"> building contractors who are supported by </w:t>
      </w:r>
      <w:proofErr w:type="gramStart"/>
      <w:r w:rsidRPr="0048439C">
        <w:rPr>
          <w:rFonts w:cstheme="minorHAnsi"/>
          <w:color w:val="000000"/>
          <w:szCs w:val="24"/>
          <w:shd w:val="clear" w:color="auto" w:fill="FFFFFF"/>
        </w:rPr>
        <w:t>a number of</w:t>
      </w:r>
      <w:proofErr w:type="gramEnd"/>
      <w:r w:rsidRPr="0048439C">
        <w:rPr>
          <w:rFonts w:cstheme="minorHAnsi"/>
          <w:color w:val="000000"/>
          <w:szCs w:val="24"/>
          <w:shd w:val="clear" w:color="auto" w:fill="FFFFFF"/>
        </w:rPr>
        <w:t xml:space="preserve"> architectural consultancies and other appropriate specialist consultants as required. The framework providers w</w:t>
      </w:r>
      <w:r w:rsidR="00994DA2">
        <w:rPr>
          <w:rFonts w:cstheme="minorHAnsi"/>
          <w:color w:val="000000"/>
          <w:szCs w:val="24"/>
          <w:shd w:val="clear" w:color="auto" w:fill="FFFFFF"/>
        </w:rPr>
        <w:t xml:space="preserve">ere </w:t>
      </w:r>
      <w:r w:rsidRPr="0048439C">
        <w:rPr>
          <w:rFonts w:cstheme="minorHAnsi"/>
          <w:color w:val="000000"/>
          <w:szCs w:val="24"/>
          <w:shd w:val="clear" w:color="auto" w:fill="FFFFFF"/>
        </w:rPr>
        <w:t>appointed to the framework through the NEC Framework Agreement</w:t>
      </w:r>
      <w:r w:rsidR="00994DA2">
        <w:rPr>
          <w:rFonts w:cstheme="minorHAnsi"/>
          <w:color w:val="000000"/>
          <w:szCs w:val="24"/>
          <w:shd w:val="clear" w:color="auto" w:fill="FFFFFF"/>
        </w:rPr>
        <w:t xml:space="preserve">, and </w:t>
      </w:r>
      <w:r w:rsidRPr="0048439C">
        <w:rPr>
          <w:rFonts w:cstheme="minorHAnsi"/>
          <w:color w:val="000000"/>
          <w:szCs w:val="24"/>
          <w:shd w:val="clear" w:color="auto" w:fill="FFFFFF"/>
        </w:rPr>
        <w:t>Works</w:t>
      </w:r>
      <w:r w:rsidR="00994DA2">
        <w:rPr>
          <w:rFonts w:cstheme="minorHAnsi"/>
          <w:color w:val="000000"/>
          <w:szCs w:val="24"/>
          <w:shd w:val="clear" w:color="auto" w:fill="FFFFFF"/>
        </w:rPr>
        <w:t xml:space="preserve"> are</w:t>
      </w:r>
      <w:r w:rsidRPr="0048439C">
        <w:rPr>
          <w:rFonts w:cstheme="minorHAnsi"/>
          <w:color w:val="000000"/>
          <w:szCs w:val="24"/>
          <w:shd w:val="clear" w:color="auto" w:fill="FFFFFF"/>
        </w:rPr>
        <w:t xml:space="preserve"> procured using NEC 4 Engineering Construction Contract (ECC) and Professional Services Contract (PSC). </w:t>
      </w:r>
    </w:p>
    <w:p w14:paraId="18197F12" w14:textId="77777777" w:rsidR="00994DA2" w:rsidRDefault="00994DA2" w:rsidP="0048439C">
      <w:pPr>
        <w:pStyle w:val="Optional"/>
        <w:numPr>
          <w:ilvl w:val="0"/>
          <w:numId w:val="0"/>
        </w:numPr>
        <w:ind w:left="792"/>
        <w:rPr>
          <w:rFonts w:cstheme="minorHAnsi"/>
          <w:color w:val="000000"/>
          <w:szCs w:val="24"/>
          <w:shd w:val="clear" w:color="auto" w:fill="FFFFFF"/>
        </w:rPr>
      </w:pPr>
    </w:p>
    <w:p w14:paraId="39315533" w14:textId="77777777" w:rsidR="00B534A9" w:rsidRDefault="00B534A9" w:rsidP="003A39A5">
      <w:pPr>
        <w:pStyle w:val="Optional"/>
        <w:numPr>
          <w:ilvl w:val="0"/>
          <w:numId w:val="0"/>
        </w:numPr>
        <w:ind w:left="792"/>
        <w:rPr>
          <w:color w:val="auto"/>
        </w:rPr>
      </w:pPr>
    </w:p>
    <w:p w14:paraId="38B2425C" w14:textId="77777777" w:rsidR="00B534A9" w:rsidRDefault="00B534A9" w:rsidP="003A39A5">
      <w:pPr>
        <w:pStyle w:val="Optional"/>
        <w:numPr>
          <w:ilvl w:val="0"/>
          <w:numId w:val="0"/>
        </w:numPr>
        <w:ind w:left="792"/>
        <w:rPr>
          <w:color w:val="auto"/>
        </w:rPr>
      </w:pPr>
    </w:p>
    <w:p w14:paraId="447D6462" w14:textId="52493098" w:rsidR="002C01C8" w:rsidRDefault="00230E5B" w:rsidP="003A39A5">
      <w:pPr>
        <w:pStyle w:val="Optional"/>
        <w:numPr>
          <w:ilvl w:val="0"/>
          <w:numId w:val="0"/>
        </w:numPr>
        <w:ind w:left="792"/>
        <w:rPr>
          <w:color w:val="auto"/>
        </w:rPr>
      </w:pPr>
      <w:r>
        <w:rPr>
          <w:color w:val="auto"/>
        </w:rPr>
        <w:t>Separately, t</w:t>
      </w:r>
      <w:r w:rsidR="002C01C8">
        <w:rPr>
          <w:color w:val="auto"/>
        </w:rPr>
        <w:t xml:space="preserve">he Minor Works Framework </w:t>
      </w:r>
      <w:r>
        <w:rPr>
          <w:color w:val="auto"/>
        </w:rPr>
        <w:t xml:space="preserve">concludes in April 2026, and </w:t>
      </w:r>
      <w:r w:rsidR="00DA2EF3">
        <w:rPr>
          <w:color w:val="auto"/>
        </w:rPr>
        <w:t>covers a variety of projects in different Lots, based on value of work and Discipline:</w:t>
      </w:r>
    </w:p>
    <w:p w14:paraId="40991AC9" w14:textId="77777777" w:rsidR="00994DA2" w:rsidRDefault="00994DA2" w:rsidP="003A39A5">
      <w:pPr>
        <w:pStyle w:val="Optional"/>
        <w:numPr>
          <w:ilvl w:val="0"/>
          <w:numId w:val="0"/>
        </w:numPr>
        <w:ind w:left="792"/>
        <w:rPr>
          <w:color w:val="auto"/>
        </w:rPr>
      </w:pPr>
    </w:p>
    <w:p w14:paraId="7EB9C5D8" w14:textId="77777777" w:rsidR="00994DA2" w:rsidRDefault="00994DA2" w:rsidP="003A39A5">
      <w:pPr>
        <w:pStyle w:val="Optional"/>
        <w:numPr>
          <w:ilvl w:val="0"/>
          <w:numId w:val="0"/>
        </w:numPr>
        <w:ind w:left="792"/>
        <w:rPr>
          <w:color w:val="auto"/>
        </w:rPr>
      </w:pPr>
    </w:p>
    <w:tbl>
      <w:tblPr>
        <w:tblStyle w:val="TableGrid1"/>
        <w:tblW w:w="8926" w:type="dxa"/>
        <w:tblLook w:val="04A0" w:firstRow="1" w:lastRow="0" w:firstColumn="1" w:lastColumn="0" w:noHBand="0" w:noVBand="1"/>
      </w:tblPr>
      <w:tblGrid>
        <w:gridCol w:w="3397"/>
        <w:gridCol w:w="5529"/>
      </w:tblGrid>
      <w:tr w:rsidR="00994DA2" w14:paraId="503D78C8" w14:textId="77777777" w:rsidTr="008279D4">
        <w:tc>
          <w:tcPr>
            <w:tcW w:w="3397" w:type="dxa"/>
          </w:tcPr>
          <w:p w14:paraId="695A0824" w14:textId="77777777" w:rsidR="00994DA2" w:rsidRPr="003E5FA5" w:rsidRDefault="00994DA2"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DF73873" w14:textId="38D3D6D4" w:rsidR="00994DA2" w:rsidRPr="003E5FA5" w:rsidRDefault="008279D4" w:rsidP="0010220D">
            <w:pPr>
              <w:autoSpaceDE w:val="0"/>
              <w:autoSpaceDN w:val="0"/>
              <w:adjustRightInd w:val="0"/>
              <w:jc w:val="center"/>
              <w:rPr>
                <w:rFonts w:ascii="Calibri" w:hAnsi="Calibri" w:cs="Calibri"/>
                <w:b/>
                <w:bCs/>
              </w:rPr>
            </w:pPr>
            <w:r>
              <w:rPr>
                <w:rFonts w:ascii="Calibri" w:hAnsi="Calibri" w:cs="Calibri"/>
                <w:b/>
                <w:bCs/>
              </w:rPr>
              <w:t>Discipline</w:t>
            </w:r>
            <w:r w:rsidR="00994DA2">
              <w:rPr>
                <w:rFonts w:ascii="Calibri" w:hAnsi="Calibri" w:cs="Calibri"/>
                <w:b/>
                <w:bCs/>
              </w:rPr>
              <w:t xml:space="preserve"> and </w:t>
            </w:r>
            <w:r w:rsidR="00994DA2" w:rsidRPr="003E5FA5">
              <w:rPr>
                <w:rFonts w:ascii="Calibri" w:hAnsi="Calibri" w:cs="Calibri"/>
                <w:b/>
                <w:bCs/>
              </w:rPr>
              <w:t>Lot Value</w:t>
            </w:r>
          </w:p>
        </w:tc>
      </w:tr>
      <w:tr w:rsidR="00994DA2" w14:paraId="11A87DE7" w14:textId="77777777" w:rsidTr="008279D4">
        <w:tc>
          <w:tcPr>
            <w:tcW w:w="3397" w:type="dxa"/>
          </w:tcPr>
          <w:p w14:paraId="614F64CD" w14:textId="09410D8C" w:rsidR="00994DA2" w:rsidRDefault="00994DA2"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3DDAE5A3" w14:textId="69616C57"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994DA2" w14:paraId="4E6AADA9" w14:textId="77777777" w:rsidTr="008279D4">
        <w:tc>
          <w:tcPr>
            <w:tcW w:w="3397" w:type="dxa"/>
          </w:tcPr>
          <w:p w14:paraId="30ED92E9" w14:textId="77777777" w:rsidR="00994DA2" w:rsidRDefault="00994DA2" w:rsidP="0010220D">
            <w:pPr>
              <w:autoSpaceDE w:val="0"/>
              <w:autoSpaceDN w:val="0"/>
              <w:adjustRightInd w:val="0"/>
              <w:rPr>
                <w:rFonts w:ascii="Calibri" w:hAnsi="Calibri" w:cs="Calibri"/>
              </w:rPr>
            </w:pPr>
            <w:r>
              <w:rPr>
                <w:rFonts w:ascii="Calibri" w:hAnsi="Calibri" w:cs="Calibri"/>
              </w:rPr>
              <w:t>Lot 2</w:t>
            </w:r>
          </w:p>
        </w:tc>
        <w:tc>
          <w:tcPr>
            <w:tcW w:w="5529" w:type="dxa"/>
          </w:tcPr>
          <w:p w14:paraId="2529C4AB" w14:textId="562C9FCF"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994DA2" w14:paraId="12BB90AC" w14:textId="77777777" w:rsidTr="008279D4">
        <w:tc>
          <w:tcPr>
            <w:tcW w:w="3397" w:type="dxa"/>
          </w:tcPr>
          <w:p w14:paraId="6D95088E" w14:textId="7340CFF6" w:rsidR="00994DA2" w:rsidRDefault="00994DA2"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09761977" w14:textId="677EBE01"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994DA2" w14:paraId="015D34DC" w14:textId="77777777" w:rsidTr="008279D4">
        <w:tc>
          <w:tcPr>
            <w:tcW w:w="3397" w:type="dxa"/>
          </w:tcPr>
          <w:p w14:paraId="40A9D0EE" w14:textId="62B48366" w:rsidR="00994DA2" w:rsidRDefault="00994DA2" w:rsidP="0010220D">
            <w:pPr>
              <w:autoSpaceDE w:val="0"/>
              <w:autoSpaceDN w:val="0"/>
              <w:adjustRightInd w:val="0"/>
              <w:rPr>
                <w:rFonts w:ascii="Calibri" w:hAnsi="Calibri" w:cs="Calibri"/>
              </w:rPr>
            </w:pPr>
            <w:r>
              <w:rPr>
                <w:rFonts w:ascii="Calibri" w:hAnsi="Calibri" w:cs="Calibri"/>
              </w:rPr>
              <w:t>Lot 4</w:t>
            </w:r>
          </w:p>
        </w:tc>
        <w:tc>
          <w:tcPr>
            <w:tcW w:w="5529" w:type="dxa"/>
          </w:tcPr>
          <w:p w14:paraId="4DC10803" w14:textId="6856900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£74,999</w:t>
            </w:r>
          </w:p>
        </w:tc>
      </w:tr>
      <w:tr w:rsidR="00994DA2" w14:paraId="7336EF95" w14:textId="77777777" w:rsidTr="008279D4">
        <w:tc>
          <w:tcPr>
            <w:tcW w:w="3397" w:type="dxa"/>
          </w:tcPr>
          <w:p w14:paraId="6FC18042" w14:textId="0F14ADAF" w:rsidR="00994DA2" w:rsidRDefault="00994DA2" w:rsidP="0010220D">
            <w:pPr>
              <w:autoSpaceDE w:val="0"/>
              <w:autoSpaceDN w:val="0"/>
              <w:adjustRightInd w:val="0"/>
              <w:rPr>
                <w:rFonts w:ascii="Calibri" w:hAnsi="Calibri" w:cs="Calibri"/>
              </w:rPr>
            </w:pPr>
            <w:r>
              <w:rPr>
                <w:rFonts w:ascii="Calibri" w:hAnsi="Calibri" w:cs="Calibri"/>
              </w:rPr>
              <w:t>Lot 5</w:t>
            </w:r>
          </w:p>
        </w:tc>
        <w:tc>
          <w:tcPr>
            <w:tcW w:w="5529" w:type="dxa"/>
          </w:tcPr>
          <w:p w14:paraId="6D6267D9" w14:textId="1C6322A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£75,000 - £500,000</w:t>
            </w:r>
          </w:p>
        </w:tc>
      </w:tr>
    </w:tbl>
    <w:p w14:paraId="181E7920" w14:textId="085F245E" w:rsidR="001D0BAE" w:rsidRDefault="001D0BAE" w:rsidP="003A39A5">
      <w:pPr>
        <w:pStyle w:val="Optional"/>
        <w:numPr>
          <w:ilvl w:val="0"/>
          <w:numId w:val="0"/>
        </w:numPr>
        <w:ind w:left="792"/>
        <w:rPr>
          <w:color w:val="auto"/>
        </w:rPr>
      </w:pPr>
    </w:p>
    <w:p w14:paraId="1422C4E6" w14:textId="59AC32BA" w:rsidR="00E95097" w:rsidRDefault="0092376E" w:rsidP="00EC077F">
      <w:pPr>
        <w:pStyle w:val="BodyNumbered"/>
        <w:numPr>
          <w:ilvl w:val="0"/>
          <w:numId w:val="0"/>
        </w:numPr>
        <w:ind w:left="792"/>
      </w:pPr>
      <w:r>
        <w:t xml:space="preserve"> </w:t>
      </w:r>
      <w:r w:rsidR="00DA2EF3">
        <w:t xml:space="preserve">The scope of projects </w:t>
      </w:r>
      <w:r w:rsidR="00F379FE">
        <w:t>currently put through this framework is wide</w:t>
      </w:r>
      <w:r w:rsidR="00EC077F">
        <w:t>, ran</w:t>
      </w:r>
      <w:r w:rsidR="008279D4">
        <w:t>g</w:t>
      </w:r>
      <w:r w:rsidR="00EC077F">
        <w:t xml:space="preserve">ing from </w:t>
      </w:r>
      <w:r w:rsidR="00E95097">
        <w:t xml:space="preserve">small jobs and minor works </w:t>
      </w:r>
      <w:r w:rsidR="008279D4">
        <w:t>to</w:t>
      </w:r>
      <w:r w:rsidR="00E95097">
        <w:t xml:space="preserve"> building services replacement and refurbishment </w:t>
      </w:r>
      <w:r w:rsidR="004261F5">
        <w:t>work; from</w:t>
      </w:r>
      <w:r w:rsidR="00E95097">
        <w:t xml:space="preserve"> "handyman" work to replacement of failed building elements such as roofs and refurbishing facilities such as kitchens and toilets as well as minor building modifications. </w:t>
      </w:r>
      <w:r w:rsidR="00E53538">
        <w:t xml:space="preserve">This </w:t>
      </w:r>
      <w:r w:rsidR="00BA6E98">
        <w:t>framework</w:t>
      </w:r>
      <w:r w:rsidR="00E53538">
        <w:t xml:space="preserve"> is mainly used by the Education </w:t>
      </w:r>
      <w:r w:rsidR="004261F5">
        <w:t>Capital</w:t>
      </w:r>
      <w:r w:rsidR="00E53538">
        <w:t xml:space="preserve"> Team as with the D&amp;B Framework </w:t>
      </w:r>
      <w:r w:rsidR="00434F2D">
        <w:t>above but</w:t>
      </w:r>
      <w:r w:rsidR="00E53538">
        <w:t xml:space="preserve"> is also used by </w:t>
      </w:r>
      <w:r w:rsidR="00BA6E98">
        <w:t>colleagues</w:t>
      </w:r>
      <w:r w:rsidR="00E53538">
        <w:t xml:space="preserve"> in our Rural Estates and Facilities Management teams, for </w:t>
      </w:r>
      <w:r w:rsidR="004261F5">
        <w:t>projects</w:t>
      </w:r>
      <w:r w:rsidR="00E53538">
        <w:t xml:space="preserve"> such as construct</w:t>
      </w:r>
      <w:r w:rsidR="00BA6E98">
        <w:t>ing/refurbishing Agricultural buildings and ventilation work including decarbonisation on our Corporate Estate</w:t>
      </w:r>
      <w:r w:rsidR="00434F2D">
        <w:t xml:space="preserve"> and in Local Authority-maintained schools.</w:t>
      </w:r>
    </w:p>
    <w:p w14:paraId="68306696" w14:textId="77777777" w:rsidR="00E95097" w:rsidRDefault="00E95097" w:rsidP="0092376E">
      <w:pPr>
        <w:pStyle w:val="BodyNumbered"/>
        <w:numPr>
          <w:ilvl w:val="0"/>
          <w:numId w:val="0"/>
        </w:numPr>
        <w:ind w:left="792"/>
      </w:pPr>
    </w:p>
    <w:p w14:paraId="0BD26EF1" w14:textId="5BD1B4B8" w:rsidR="00A660FE" w:rsidRDefault="00A660FE" w:rsidP="0092376E">
      <w:pPr>
        <w:pStyle w:val="BodyNumbered"/>
        <w:numPr>
          <w:ilvl w:val="0"/>
          <w:numId w:val="0"/>
        </w:numPr>
        <w:ind w:left="792"/>
      </w:pPr>
      <w:r>
        <w:t xml:space="preserve">Each Lot has 6 providers. </w:t>
      </w:r>
      <w:r w:rsidR="00E53538" w:rsidRPr="00E53538">
        <w:t>Every project is awarded via further competition to the providers within each Lot</w:t>
      </w:r>
      <w:r w:rsidR="00E53538">
        <w:t xml:space="preserve">, with the lowest compliant bid </w:t>
      </w:r>
      <w:r w:rsidR="004261F5">
        <w:t>being</w:t>
      </w:r>
      <w:r w:rsidR="00E53538">
        <w:t xml:space="preserve"> awarded the contract. </w:t>
      </w:r>
    </w:p>
    <w:p w14:paraId="5D7231F9" w14:textId="77777777" w:rsidR="00E95097" w:rsidRDefault="00E95097" w:rsidP="0092376E">
      <w:pPr>
        <w:pStyle w:val="BodyNumbered"/>
        <w:numPr>
          <w:ilvl w:val="0"/>
          <w:numId w:val="0"/>
        </w:numPr>
        <w:ind w:left="792"/>
      </w:pPr>
    </w:p>
    <w:p w14:paraId="148973EC" w14:textId="6293F824" w:rsidR="002F7FAD" w:rsidRDefault="002F7FAD" w:rsidP="0092376E">
      <w:pPr>
        <w:pStyle w:val="BodyNumbered"/>
        <w:numPr>
          <w:ilvl w:val="0"/>
          <w:numId w:val="0"/>
        </w:numPr>
        <w:ind w:left="792"/>
      </w:pPr>
      <w:r w:rsidRPr="002F7FAD">
        <w:t xml:space="preserve">Works are procured using JCT suite of Construction </w:t>
      </w:r>
      <w:r w:rsidR="00667A77" w:rsidRPr="002F7FAD">
        <w:t>Contracts and</w:t>
      </w:r>
      <w:r w:rsidRPr="002F7FAD">
        <w:t xml:space="preserve"> Professional Services Contract (PSC).</w:t>
      </w:r>
    </w:p>
    <w:p w14:paraId="2E28C4D4" w14:textId="77777777" w:rsidR="00E95097" w:rsidRPr="0092376E" w:rsidRDefault="00E95097" w:rsidP="0092376E">
      <w:pPr>
        <w:pStyle w:val="BodyNumbered"/>
        <w:numPr>
          <w:ilvl w:val="0"/>
          <w:numId w:val="0"/>
        </w:numPr>
        <w:ind w:left="792"/>
      </w:pPr>
    </w:p>
    <w:p w14:paraId="6226E5A4" w14:textId="77777777" w:rsidR="00CC58BD" w:rsidRDefault="00CC58BD" w:rsidP="008F632F">
      <w:pPr>
        <w:pStyle w:val="Heading2"/>
      </w:pPr>
      <w:r>
        <w:t>Soft Market Test Timetable</w:t>
      </w:r>
    </w:p>
    <w:p w14:paraId="09D325B8" w14:textId="6D173E0B" w:rsidR="00021338" w:rsidRDefault="00CC58BD" w:rsidP="00021338">
      <w:pPr>
        <w:pStyle w:val="BodyNumbered"/>
        <w:ind w:left="993" w:hanging="567"/>
      </w:pPr>
      <w:r>
        <w:t xml:space="preserve">Please read this document and if you feel that your organisation is able to contribute to this exercise please complete the questionnaire at the end of this document and return, via email to </w:t>
      </w:r>
      <w:hyperlink r:id="rId14" w:history="1">
        <w:r w:rsidR="00575C0F" w:rsidRPr="00A56083">
          <w:rPr>
            <w:rStyle w:val="Hyperlink"/>
          </w:rPr>
          <w:t>Jon.collyns@cambridgeshire</w:t>
        </w:r>
      </w:hyperlink>
      <w:r w:rsidR="00575C0F">
        <w:rPr>
          <w:color w:val="FF0000"/>
        </w:rPr>
        <w:t xml:space="preserve"> </w:t>
      </w:r>
      <w:r>
        <w:t xml:space="preserve">by </w:t>
      </w:r>
      <w:r w:rsidR="00E17F8E" w:rsidRPr="00E17F8E">
        <w:rPr>
          <w:b/>
          <w:bCs/>
        </w:rPr>
        <w:t>5pm on Friday 14</w:t>
      </w:r>
      <w:r w:rsidR="00E17F8E" w:rsidRPr="00E17F8E">
        <w:rPr>
          <w:b/>
          <w:bCs/>
          <w:vertAlign w:val="superscript"/>
        </w:rPr>
        <w:t>th</w:t>
      </w:r>
      <w:r w:rsidR="00E17F8E" w:rsidRPr="00E17F8E">
        <w:rPr>
          <w:b/>
          <w:bCs/>
        </w:rPr>
        <w:t xml:space="preserve"> March 2025.</w:t>
      </w:r>
    </w:p>
    <w:p w14:paraId="6226E5B6" w14:textId="4EE600FC" w:rsidR="00CC58BD" w:rsidRDefault="00021338" w:rsidP="00021338">
      <w:pPr>
        <w:pStyle w:val="BodyNumbered"/>
        <w:numPr>
          <w:ilvl w:val="0"/>
          <w:numId w:val="0"/>
        </w:numPr>
        <w:ind w:left="993" w:hanging="567"/>
      </w:pPr>
      <w:r>
        <w:t xml:space="preserve">4.2     </w:t>
      </w:r>
      <w:r w:rsidR="00CC58BD" w:rsidRPr="00AF4590">
        <w:t>Potential responders will not be prejudiced in any future procurement processes by either responding or not responding to this soft market test exercise.</w:t>
      </w:r>
    </w:p>
    <w:p w14:paraId="460C31B0" w14:textId="77777777" w:rsidR="00D33F77" w:rsidRDefault="00D33F77" w:rsidP="00021338">
      <w:pPr>
        <w:pStyle w:val="BodyNumbered"/>
        <w:numPr>
          <w:ilvl w:val="0"/>
          <w:numId w:val="0"/>
        </w:numPr>
        <w:ind w:left="993" w:hanging="567"/>
      </w:pPr>
    </w:p>
    <w:p w14:paraId="7832B9A4" w14:textId="23063676" w:rsidR="00A8401F" w:rsidRPr="00124CEA" w:rsidRDefault="00575C0F" w:rsidP="00021338">
      <w:pPr>
        <w:pStyle w:val="BodyNumbered"/>
        <w:numPr>
          <w:ilvl w:val="0"/>
          <w:numId w:val="0"/>
        </w:numPr>
        <w:ind w:left="993"/>
      </w:pPr>
      <w:r w:rsidRPr="00124CEA">
        <w:lastRenderedPageBreak/>
        <w:t xml:space="preserve">It is envisaged that a formal </w:t>
      </w:r>
      <w:r w:rsidR="004D14DB" w:rsidRPr="00124CEA">
        <w:t>Procurement</w:t>
      </w:r>
      <w:r w:rsidRPr="00124CEA">
        <w:t xml:space="preserve"> process following this engagement shall take place in the summer of 2025</w:t>
      </w:r>
      <w:r w:rsidR="00776089">
        <w:t>, for a contract start of 1</w:t>
      </w:r>
      <w:r w:rsidR="00776089" w:rsidRPr="00776089">
        <w:rPr>
          <w:vertAlign w:val="superscript"/>
        </w:rPr>
        <w:t>st</w:t>
      </w:r>
      <w:r w:rsidR="00776089">
        <w:t xml:space="preserve"> April 2026.</w:t>
      </w:r>
      <w:r w:rsidRPr="00124CEA">
        <w:t xml:space="preserve"> All </w:t>
      </w:r>
      <w:r w:rsidR="004D14DB" w:rsidRPr="00124CEA">
        <w:t>organisations</w:t>
      </w:r>
      <w:r w:rsidR="00124CEA">
        <w:t xml:space="preserve"> </w:t>
      </w:r>
      <w:r w:rsidR="004D14DB" w:rsidRPr="00124CEA">
        <w:t>responding</w:t>
      </w:r>
      <w:r w:rsidRPr="00124CEA">
        <w:t xml:space="preserve"> to this </w:t>
      </w:r>
      <w:r w:rsidR="004D14DB" w:rsidRPr="00124CEA">
        <w:t xml:space="preserve">document will be notified when the resulting tender is published. </w:t>
      </w: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0256B2BC" w:rsidR="000352F9" w:rsidRPr="00E03CEF" w:rsidRDefault="003E5565" w:rsidP="00021338">
      <w:pPr>
        <w:pStyle w:val="Optional"/>
        <w:ind w:left="851"/>
        <w:rPr>
          <w:color w:val="auto"/>
        </w:rPr>
      </w:pPr>
      <w:r w:rsidRPr="00E03CEF">
        <w:rPr>
          <w:color w:val="auto"/>
        </w:rPr>
        <w:t xml:space="preserve">As stated at Section 3 above, </w:t>
      </w:r>
      <w:r w:rsidR="00021338">
        <w:rPr>
          <w:color w:val="auto"/>
        </w:rPr>
        <w:t xml:space="preserve">the </w:t>
      </w:r>
      <w:r w:rsidR="003B515E">
        <w:rPr>
          <w:color w:val="auto"/>
        </w:rPr>
        <w:t>Authority</w:t>
      </w:r>
      <w:r w:rsidR="00021338">
        <w:rPr>
          <w:color w:val="auto"/>
        </w:rPr>
        <w:t xml:space="preserve"> currently has 2 Frameworks. It is felt that the current pipeline </w:t>
      </w:r>
      <w:r w:rsidR="003B515E">
        <w:rPr>
          <w:color w:val="auto"/>
        </w:rPr>
        <w:t>for the period 2026-2030 does not justify a major work</w:t>
      </w:r>
      <w:r w:rsidR="00EC0932">
        <w:rPr>
          <w:color w:val="auto"/>
        </w:rPr>
        <w:t>s</w:t>
      </w:r>
      <w:r w:rsidR="003B515E">
        <w:rPr>
          <w:color w:val="auto"/>
        </w:rPr>
        <w:t xml:space="preserve"> framework; </w:t>
      </w:r>
      <w:r w:rsidR="00C0322D">
        <w:rPr>
          <w:color w:val="auto"/>
        </w:rPr>
        <w:t>however,</w:t>
      </w:r>
      <w:r w:rsidR="003B515E">
        <w:rPr>
          <w:color w:val="auto"/>
        </w:rPr>
        <w:t xml:space="preserve"> there is forecast demand for a con</w:t>
      </w:r>
      <w:r w:rsidR="00B24B9E">
        <w:rPr>
          <w:color w:val="auto"/>
        </w:rPr>
        <w:t>tinuation</w:t>
      </w:r>
      <w:r w:rsidR="003B515E">
        <w:rPr>
          <w:color w:val="auto"/>
        </w:rPr>
        <w:t xml:space="preserve"> </w:t>
      </w:r>
      <w:r w:rsidR="00B24B9E">
        <w:rPr>
          <w:color w:val="auto"/>
        </w:rPr>
        <w:t xml:space="preserve">of the </w:t>
      </w:r>
      <w:r w:rsidR="0019598E">
        <w:rPr>
          <w:color w:val="auto"/>
        </w:rPr>
        <w:t>Minor Works framework, potentially</w:t>
      </w:r>
      <w:r w:rsidR="00B75D8C">
        <w:rPr>
          <w:color w:val="auto"/>
        </w:rPr>
        <w:t xml:space="preserve"> slightly </w:t>
      </w:r>
      <w:r w:rsidR="0019598E">
        <w:rPr>
          <w:color w:val="auto"/>
        </w:rPr>
        <w:t>increasingly its scope.</w:t>
      </w:r>
      <w:r w:rsidR="003B515E">
        <w:rPr>
          <w:color w:val="auto"/>
        </w:rPr>
        <w:t xml:space="preserve"> </w:t>
      </w:r>
    </w:p>
    <w:p w14:paraId="6226E5BA" w14:textId="3D8A2F75" w:rsidR="000352F9" w:rsidRPr="00E03CEF" w:rsidRDefault="003E5565" w:rsidP="00021338">
      <w:pPr>
        <w:pStyle w:val="Optional"/>
        <w:ind w:left="851"/>
        <w:rPr>
          <w:color w:val="auto"/>
        </w:rPr>
      </w:pPr>
      <w:r w:rsidRPr="00E03CEF">
        <w:rPr>
          <w:color w:val="auto"/>
        </w:rPr>
        <w:t xml:space="preserve">The purpose of this </w:t>
      </w:r>
      <w:r w:rsidR="00E03CEF" w:rsidRPr="00E03CEF">
        <w:rPr>
          <w:color w:val="auto"/>
        </w:rPr>
        <w:t>engagement</w:t>
      </w:r>
      <w:r w:rsidRPr="00E03CEF">
        <w:rPr>
          <w:color w:val="auto"/>
        </w:rPr>
        <w:t xml:space="preserve"> process is to </w:t>
      </w:r>
      <w:r w:rsidR="00E03CEF" w:rsidRPr="00E03CEF">
        <w:rPr>
          <w:color w:val="auto"/>
        </w:rPr>
        <w:t>gauge</w:t>
      </w:r>
      <w:r w:rsidRPr="00E03CEF">
        <w:rPr>
          <w:color w:val="auto"/>
        </w:rPr>
        <w:t xml:space="preserve"> the market’s </w:t>
      </w:r>
      <w:r w:rsidR="00E03CEF" w:rsidRPr="00E03CEF">
        <w:rPr>
          <w:color w:val="auto"/>
        </w:rPr>
        <w:t>responses</w:t>
      </w:r>
      <w:r w:rsidRPr="00E03CEF">
        <w:rPr>
          <w:color w:val="auto"/>
        </w:rPr>
        <w:t xml:space="preserve"> to some key areas of the </w:t>
      </w:r>
      <w:r w:rsidR="00A13CEF">
        <w:rPr>
          <w:color w:val="auto"/>
        </w:rPr>
        <w:t>procurement</w:t>
      </w:r>
      <w:r w:rsidRPr="00E03CEF">
        <w:rPr>
          <w:color w:val="auto"/>
        </w:rPr>
        <w:t xml:space="preserve"> process, with a view to </w:t>
      </w:r>
      <w:r w:rsidR="00E03CEF" w:rsidRPr="00E03CEF">
        <w:rPr>
          <w:color w:val="auto"/>
        </w:rPr>
        <w:t>designing</w:t>
      </w:r>
      <w:r w:rsidRPr="00E03CEF">
        <w:rPr>
          <w:color w:val="auto"/>
        </w:rPr>
        <w:t xml:space="preserve"> a process most likely to </w:t>
      </w:r>
      <w:r w:rsidR="00E03CEF" w:rsidRPr="00E03CEF">
        <w:rPr>
          <w:color w:val="auto"/>
        </w:rPr>
        <w:t>attract interest and competitive bids from providers.</w:t>
      </w:r>
    </w:p>
    <w:p w14:paraId="259A81C7" w14:textId="1E502650" w:rsidR="00D073E3" w:rsidRPr="00D073E3" w:rsidRDefault="00D56EA8" w:rsidP="00D073E3">
      <w:pPr>
        <w:pStyle w:val="Heading2"/>
      </w:pPr>
      <w:r>
        <w:t>Our Requirements</w:t>
      </w:r>
    </w:p>
    <w:p w14:paraId="46507469" w14:textId="2251FD4E" w:rsidR="00692E6B" w:rsidRDefault="00692E6B" w:rsidP="00692E6B">
      <w:pPr>
        <w:pStyle w:val="Optional"/>
        <w:numPr>
          <w:ilvl w:val="0"/>
          <w:numId w:val="0"/>
        </w:numPr>
        <w:ind w:left="426"/>
        <w:rPr>
          <w:color w:val="auto"/>
        </w:rPr>
      </w:pPr>
      <w:r>
        <w:rPr>
          <w:color w:val="auto"/>
        </w:rPr>
        <w:t xml:space="preserve">6.1 </w:t>
      </w:r>
      <w:r w:rsidR="0019598E" w:rsidRPr="00692E6B">
        <w:rPr>
          <w:color w:val="auto"/>
        </w:rPr>
        <w:t xml:space="preserve">The current thinking of the project team is that </w:t>
      </w:r>
      <w:r w:rsidR="00A31993" w:rsidRPr="00692E6B">
        <w:rPr>
          <w:color w:val="auto"/>
        </w:rPr>
        <w:t xml:space="preserve">there is not the </w:t>
      </w:r>
      <w:r w:rsidR="005E09AF">
        <w:rPr>
          <w:color w:val="auto"/>
        </w:rPr>
        <w:t xml:space="preserve">forecast pipeline </w:t>
      </w:r>
      <w:r w:rsidR="00A31993" w:rsidRPr="00692E6B">
        <w:rPr>
          <w:color w:val="auto"/>
        </w:rPr>
        <w:t xml:space="preserve">for significant new builds within Cambridgeshire to justify the cost and time of </w:t>
      </w:r>
      <w:r w:rsidR="00093EE0">
        <w:rPr>
          <w:color w:val="auto"/>
        </w:rPr>
        <w:t>reprocuring</w:t>
      </w:r>
      <w:r w:rsidR="00A31993" w:rsidRPr="00692E6B">
        <w:rPr>
          <w:color w:val="auto"/>
        </w:rPr>
        <w:t xml:space="preserve"> our own Major Works Framework, and any projects that do come forward can be sourced via external </w:t>
      </w:r>
      <w:r w:rsidRPr="00692E6B">
        <w:rPr>
          <w:color w:val="auto"/>
        </w:rPr>
        <w:t>frameworks</w:t>
      </w:r>
      <w:r w:rsidR="00A31993" w:rsidRPr="00692E6B">
        <w:rPr>
          <w:color w:val="auto"/>
        </w:rPr>
        <w:t xml:space="preserve"> or an open tender.</w:t>
      </w:r>
    </w:p>
    <w:p w14:paraId="651E0F87" w14:textId="77777777" w:rsidR="00692E6B" w:rsidRDefault="00692E6B" w:rsidP="00692E6B">
      <w:pPr>
        <w:pStyle w:val="Optional"/>
        <w:numPr>
          <w:ilvl w:val="0"/>
          <w:numId w:val="0"/>
        </w:numPr>
        <w:ind w:left="426"/>
        <w:rPr>
          <w:color w:val="auto"/>
        </w:rPr>
      </w:pPr>
    </w:p>
    <w:p w14:paraId="112219D4" w14:textId="3D402CD1" w:rsidR="00692E6B" w:rsidRDefault="00692E6B" w:rsidP="00692E6B">
      <w:pPr>
        <w:pStyle w:val="Optional"/>
        <w:numPr>
          <w:ilvl w:val="0"/>
          <w:numId w:val="0"/>
        </w:numPr>
        <w:ind w:left="426"/>
        <w:rPr>
          <w:color w:val="auto"/>
        </w:rPr>
      </w:pPr>
      <w:r>
        <w:rPr>
          <w:color w:val="auto"/>
        </w:rPr>
        <w:t xml:space="preserve">6.2 </w:t>
      </w:r>
      <w:r w:rsidR="006B7794">
        <w:rPr>
          <w:color w:val="auto"/>
        </w:rPr>
        <w:t xml:space="preserve">It is felt that the current Minor Works Framework can be expanded in a </w:t>
      </w:r>
      <w:r w:rsidR="0000431B">
        <w:rPr>
          <w:color w:val="auto"/>
        </w:rPr>
        <w:t>replacement</w:t>
      </w:r>
      <w:r w:rsidR="006B7794">
        <w:rPr>
          <w:color w:val="auto"/>
        </w:rPr>
        <w:t xml:space="preserve"> framework to cover higher values and </w:t>
      </w:r>
      <w:r w:rsidR="0000431B">
        <w:rPr>
          <w:color w:val="auto"/>
        </w:rPr>
        <w:t xml:space="preserve">potentially cover </w:t>
      </w:r>
      <w:r w:rsidR="00A13CEF">
        <w:rPr>
          <w:color w:val="auto"/>
        </w:rPr>
        <w:t>some of</w:t>
      </w:r>
      <w:r w:rsidR="0000431B">
        <w:rPr>
          <w:color w:val="auto"/>
        </w:rPr>
        <w:t xml:space="preserve"> the smaller</w:t>
      </w:r>
      <w:r w:rsidR="003E7B38">
        <w:rPr>
          <w:color w:val="auto"/>
        </w:rPr>
        <w:t xml:space="preserve"> work currently put through our D&amp;B Framework.</w:t>
      </w:r>
    </w:p>
    <w:p w14:paraId="5560835A" w14:textId="77777777" w:rsidR="003E7B38" w:rsidRDefault="003E7B38" w:rsidP="00692E6B">
      <w:pPr>
        <w:pStyle w:val="Optional"/>
        <w:numPr>
          <w:ilvl w:val="0"/>
          <w:numId w:val="0"/>
        </w:numPr>
        <w:ind w:left="426"/>
        <w:rPr>
          <w:color w:val="auto"/>
        </w:rPr>
      </w:pPr>
    </w:p>
    <w:p w14:paraId="6259396C" w14:textId="1917930E" w:rsidR="003E7B38" w:rsidRDefault="003E7B38" w:rsidP="00692E6B">
      <w:pPr>
        <w:pStyle w:val="Optional"/>
        <w:numPr>
          <w:ilvl w:val="0"/>
          <w:numId w:val="0"/>
        </w:numPr>
        <w:ind w:left="426"/>
        <w:rPr>
          <w:color w:val="auto"/>
        </w:rPr>
      </w:pPr>
      <w:r>
        <w:rPr>
          <w:color w:val="auto"/>
        </w:rPr>
        <w:t xml:space="preserve">6.3 It is envisaged that this new framework has </w:t>
      </w:r>
      <w:r w:rsidR="00182C0C">
        <w:rPr>
          <w:color w:val="auto"/>
        </w:rPr>
        <w:t>6</w:t>
      </w:r>
      <w:r>
        <w:rPr>
          <w:color w:val="auto"/>
        </w:rPr>
        <w:t xml:space="preserve"> Lots:</w:t>
      </w:r>
    </w:p>
    <w:p w14:paraId="07437762" w14:textId="77777777" w:rsidR="003E7B38" w:rsidRDefault="003E7B38" w:rsidP="00692E6B">
      <w:pPr>
        <w:pStyle w:val="Optional"/>
        <w:numPr>
          <w:ilvl w:val="0"/>
          <w:numId w:val="0"/>
        </w:numPr>
        <w:ind w:left="426"/>
        <w:rPr>
          <w:color w:val="auto"/>
        </w:rPr>
      </w:pPr>
    </w:p>
    <w:tbl>
      <w:tblPr>
        <w:tblStyle w:val="TableGrid1"/>
        <w:tblW w:w="8926" w:type="dxa"/>
        <w:tblLook w:val="04A0" w:firstRow="1" w:lastRow="0" w:firstColumn="1" w:lastColumn="0" w:noHBand="0" w:noVBand="1"/>
      </w:tblPr>
      <w:tblGrid>
        <w:gridCol w:w="3397"/>
        <w:gridCol w:w="5529"/>
      </w:tblGrid>
      <w:tr w:rsidR="003E7B38" w14:paraId="14F59495" w14:textId="77777777" w:rsidTr="0010220D">
        <w:tc>
          <w:tcPr>
            <w:tcW w:w="3397" w:type="dxa"/>
          </w:tcPr>
          <w:p w14:paraId="1E6F9E9F" w14:textId="77777777" w:rsidR="003E7B38" w:rsidRPr="003E5FA5" w:rsidRDefault="003E7B38"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B24FC73" w14:textId="77777777" w:rsidR="003E7B38" w:rsidRPr="003E5FA5" w:rsidRDefault="003E7B38" w:rsidP="0010220D">
            <w:pPr>
              <w:autoSpaceDE w:val="0"/>
              <w:autoSpaceDN w:val="0"/>
              <w:adjustRightInd w:val="0"/>
              <w:jc w:val="center"/>
              <w:rPr>
                <w:rFonts w:ascii="Calibri" w:hAnsi="Calibri" w:cs="Calibri"/>
                <w:b/>
                <w:bCs/>
              </w:rPr>
            </w:pPr>
            <w:r>
              <w:rPr>
                <w:rFonts w:ascii="Calibri" w:hAnsi="Calibri" w:cs="Calibri"/>
                <w:b/>
                <w:bCs/>
              </w:rPr>
              <w:t xml:space="preserve">Discipline and </w:t>
            </w:r>
            <w:r w:rsidRPr="003E5FA5">
              <w:rPr>
                <w:rFonts w:ascii="Calibri" w:hAnsi="Calibri" w:cs="Calibri"/>
                <w:b/>
                <w:bCs/>
              </w:rPr>
              <w:t>Lot Value</w:t>
            </w:r>
          </w:p>
        </w:tc>
      </w:tr>
      <w:tr w:rsidR="003E7B38" w14:paraId="04985069" w14:textId="77777777" w:rsidTr="0010220D">
        <w:tc>
          <w:tcPr>
            <w:tcW w:w="3397" w:type="dxa"/>
          </w:tcPr>
          <w:p w14:paraId="2C51D293"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5A081EF4"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3E7B38" w14:paraId="021B95CE" w14:textId="77777777" w:rsidTr="0010220D">
        <w:tc>
          <w:tcPr>
            <w:tcW w:w="3397" w:type="dxa"/>
          </w:tcPr>
          <w:p w14:paraId="6251707C" w14:textId="77777777" w:rsidR="003E7B38" w:rsidRDefault="003E7B38" w:rsidP="0010220D">
            <w:pPr>
              <w:autoSpaceDE w:val="0"/>
              <w:autoSpaceDN w:val="0"/>
              <w:adjustRightInd w:val="0"/>
              <w:rPr>
                <w:rFonts w:ascii="Calibri" w:hAnsi="Calibri" w:cs="Calibri"/>
              </w:rPr>
            </w:pPr>
            <w:r>
              <w:rPr>
                <w:rFonts w:ascii="Calibri" w:hAnsi="Calibri" w:cs="Calibri"/>
              </w:rPr>
              <w:t>Lot 2</w:t>
            </w:r>
          </w:p>
        </w:tc>
        <w:tc>
          <w:tcPr>
            <w:tcW w:w="5529" w:type="dxa"/>
          </w:tcPr>
          <w:p w14:paraId="6955228E"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3E7B38" w14:paraId="38E92B1B" w14:textId="77777777" w:rsidTr="0010220D">
        <w:tc>
          <w:tcPr>
            <w:tcW w:w="3397" w:type="dxa"/>
          </w:tcPr>
          <w:p w14:paraId="774EA8BE"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1FAC87F9"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F72DD2" w14:paraId="61780A82" w14:textId="77777777" w:rsidTr="0010220D">
        <w:tc>
          <w:tcPr>
            <w:tcW w:w="3397" w:type="dxa"/>
          </w:tcPr>
          <w:p w14:paraId="642787DE" w14:textId="0AA28C11" w:rsidR="00F72DD2" w:rsidRDefault="00F72DD2" w:rsidP="00F72DD2">
            <w:pPr>
              <w:autoSpaceDE w:val="0"/>
              <w:autoSpaceDN w:val="0"/>
              <w:adjustRightInd w:val="0"/>
              <w:rPr>
                <w:rFonts w:ascii="Calibri" w:hAnsi="Calibri" w:cs="Calibri"/>
              </w:rPr>
            </w:pPr>
            <w:r>
              <w:rPr>
                <w:rFonts w:ascii="Calibri" w:hAnsi="Calibri" w:cs="Calibri"/>
              </w:rPr>
              <w:t>Lot 4</w:t>
            </w:r>
          </w:p>
        </w:tc>
        <w:tc>
          <w:tcPr>
            <w:tcW w:w="5529" w:type="dxa"/>
          </w:tcPr>
          <w:p w14:paraId="5B94406A" w14:textId="32862E3F" w:rsidR="00F72DD2" w:rsidRDefault="00F72DD2" w:rsidP="00F72DD2">
            <w:pPr>
              <w:autoSpaceDE w:val="0"/>
              <w:autoSpaceDN w:val="0"/>
              <w:adjustRightInd w:val="0"/>
              <w:rPr>
                <w:rFonts w:ascii="Calibri" w:hAnsi="Calibri" w:cs="Calibri"/>
              </w:rPr>
            </w:pPr>
            <w:r w:rsidRPr="00FF0ADF">
              <w:rPr>
                <w:rFonts w:ascii="Calibri" w:hAnsi="Calibri" w:cs="Calibri"/>
              </w:rPr>
              <w:t>Building Fabric Works</w:t>
            </w:r>
            <w:r>
              <w:rPr>
                <w:rFonts w:ascii="Calibri" w:hAnsi="Calibri" w:cs="Calibri"/>
              </w:rPr>
              <w:t xml:space="preserve"> £1m - £</w:t>
            </w:r>
            <w:r w:rsidR="00182C0C">
              <w:rPr>
                <w:rFonts w:ascii="Calibri" w:hAnsi="Calibri" w:cs="Calibri"/>
              </w:rPr>
              <w:t>5</w:t>
            </w:r>
            <w:r>
              <w:rPr>
                <w:rFonts w:ascii="Calibri" w:hAnsi="Calibri" w:cs="Calibri"/>
              </w:rPr>
              <w:t>m</w:t>
            </w:r>
          </w:p>
        </w:tc>
      </w:tr>
      <w:tr w:rsidR="00F72DD2" w14:paraId="6438A213" w14:textId="77777777" w:rsidTr="0010220D">
        <w:tc>
          <w:tcPr>
            <w:tcW w:w="3397" w:type="dxa"/>
          </w:tcPr>
          <w:p w14:paraId="1221DA35" w14:textId="37A10177"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5</w:t>
            </w:r>
          </w:p>
        </w:tc>
        <w:tc>
          <w:tcPr>
            <w:tcW w:w="5529" w:type="dxa"/>
          </w:tcPr>
          <w:p w14:paraId="37BCE20B" w14:textId="55BEDE70"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w:t>
            </w:r>
            <w:r>
              <w:rPr>
                <w:rFonts w:ascii="Calibri" w:hAnsi="Calibri" w:cs="Calibri"/>
              </w:rPr>
              <w:t>500,000</w:t>
            </w:r>
          </w:p>
        </w:tc>
      </w:tr>
      <w:tr w:rsidR="00F72DD2" w14:paraId="2666B1B9" w14:textId="77777777" w:rsidTr="0010220D">
        <w:tc>
          <w:tcPr>
            <w:tcW w:w="3397" w:type="dxa"/>
          </w:tcPr>
          <w:p w14:paraId="41A3E329" w14:textId="4B2B192C"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6</w:t>
            </w:r>
          </w:p>
        </w:tc>
        <w:tc>
          <w:tcPr>
            <w:tcW w:w="5529" w:type="dxa"/>
          </w:tcPr>
          <w:p w14:paraId="474E6ADE" w14:textId="6657197F"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£500,000</w:t>
            </w:r>
            <w:r>
              <w:rPr>
                <w:rFonts w:ascii="Calibri" w:hAnsi="Calibri" w:cs="Calibri"/>
              </w:rPr>
              <w:t xml:space="preserve"> - £1m</w:t>
            </w:r>
          </w:p>
        </w:tc>
      </w:tr>
    </w:tbl>
    <w:p w14:paraId="4F042865" w14:textId="77777777" w:rsidR="003E7B38" w:rsidRDefault="003E7B38" w:rsidP="00692E6B">
      <w:pPr>
        <w:pStyle w:val="Optional"/>
        <w:numPr>
          <w:ilvl w:val="0"/>
          <w:numId w:val="0"/>
        </w:numPr>
        <w:ind w:left="426"/>
        <w:rPr>
          <w:color w:val="auto"/>
        </w:rPr>
      </w:pPr>
    </w:p>
    <w:p w14:paraId="546AC0B4" w14:textId="77777777" w:rsidR="003E7B38" w:rsidRDefault="003E7B38" w:rsidP="00692E6B">
      <w:pPr>
        <w:pStyle w:val="Optional"/>
        <w:numPr>
          <w:ilvl w:val="0"/>
          <w:numId w:val="0"/>
        </w:numPr>
        <w:ind w:left="426"/>
        <w:rPr>
          <w:color w:val="auto"/>
        </w:rPr>
      </w:pPr>
    </w:p>
    <w:p w14:paraId="1250A69F" w14:textId="34C36EC3" w:rsidR="003E7B38" w:rsidRDefault="00F72DD2" w:rsidP="00C003AD">
      <w:pPr>
        <w:pStyle w:val="Optional"/>
        <w:numPr>
          <w:ilvl w:val="0"/>
          <w:numId w:val="0"/>
        </w:numPr>
        <w:rPr>
          <w:color w:val="auto"/>
        </w:rPr>
      </w:pPr>
      <w:r>
        <w:rPr>
          <w:color w:val="auto"/>
        </w:rPr>
        <w:t>Bidders</w:t>
      </w:r>
      <w:r w:rsidR="003E7B38">
        <w:rPr>
          <w:color w:val="auto"/>
        </w:rPr>
        <w:t xml:space="preserve"> </w:t>
      </w:r>
      <w:r w:rsidR="00D10850">
        <w:rPr>
          <w:color w:val="auto"/>
        </w:rPr>
        <w:t xml:space="preserve">may </w:t>
      </w:r>
      <w:r w:rsidR="0021711C">
        <w:rPr>
          <w:color w:val="auto"/>
        </w:rPr>
        <w:t>be</w:t>
      </w:r>
      <w:r w:rsidR="00D10850">
        <w:rPr>
          <w:color w:val="auto"/>
        </w:rPr>
        <w:t xml:space="preserve"> </w:t>
      </w:r>
      <w:r w:rsidR="0021711C">
        <w:rPr>
          <w:color w:val="auto"/>
        </w:rPr>
        <w:t>restricted</w:t>
      </w:r>
      <w:r w:rsidR="00D10850">
        <w:rPr>
          <w:color w:val="auto"/>
        </w:rPr>
        <w:t xml:space="preserve"> to </w:t>
      </w:r>
      <w:r w:rsidR="0021711C">
        <w:rPr>
          <w:color w:val="auto"/>
        </w:rPr>
        <w:t xml:space="preserve">only bidding and achieving a place on some of the Lots, please see </w:t>
      </w:r>
      <w:r w:rsidR="00182C0C">
        <w:rPr>
          <w:color w:val="auto"/>
        </w:rPr>
        <w:t>t</w:t>
      </w:r>
      <w:r w:rsidR="0021711C">
        <w:rPr>
          <w:color w:val="auto"/>
        </w:rPr>
        <w:t>h</w:t>
      </w:r>
      <w:r w:rsidR="00182C0C">
        <w:rPr>
          <w:color w:val="auto"/>
        </w:rPr>
        <w:t>e</w:t>
      </w:r>
      <w:r w:rsidR="0021711C">
        <w:rPr>
          <w:color w:val="auto"/>
        </w:rPr>
        <w:t xml:space="preserve"> question in the table below to confirm your thoughts</w:t>
      </w:r>
      <w:r w:rsidR="00990AAA">
        <w:rPr>
          <w:color w:val="auto"/>
        </w:rPr>
        <w:t xml:space="preserve"> and preferences</w:t>
      </w:r>
      <w:r w:rsidR="0021711C">
        <w:rPr>
          <w:color w:val="auto"/>
        </w:rPr>
        <w:t xml:space="preserve"> on this. </w:t>
      </w:r>
    </w:p>
    <w:p w14:paraId="5BFE219F" w14:textId="77777777" w:rsidR="00692E6B" w:rsidRDefault="00692E6B" w:rsidP="00FF502A">
      <w:pPr>
        <w:pStyle w:val="Optional"/>
        <w:numPr>
          <w:ilvl w:val="0"/>
          <w:numId w:val="0"/>
        </w:numPr>
        <w:ind w:left="993"/>
        <w:rPr>
          <w:color w:val="auto"/>
        </w:rPr>
      </w:pPr>
    </w:p>
    <w:p w14:paraId="6226E5BC" w14:textId="07CC5E75" w:rsidR="000352F9" w:rsidRPr="00692E6B" w:rsidRDefault="00A31993" w:rsidP="00FF502A">
      <w:pPr>
        <w:pStyle w:val="Optional"/>
        <w:numPr>
          <w:ilvl w:val="0"/>
          <w:numId w:val="0"/>
        </w:numPr>
        <w:ind w:left="993"/>
        <w:rPr>
          <w:color w:val="auto"/>
        </w:rPr>
      </w:pPr>
      <w:r w:rsidRPr="00692E6B">
        <w:rPr>
          <w:color w:val="auto"/>
        </w:rPr>
        <w:t xml:space="preserve"> </w:t>
      </w:r>
    </w:p>
    <w:p w14:paraId="674B1947" w14:textId="32E59862" w:rsidR="00F36DD8" w:rsidRPr="00F36DD8" w:rsidRDefault="00D073E3" w:rsidP="00F36DD8">
      <w:pPr>
        <w:pStyle w:val="paragraph"/>
        <w:numPr>
          <w:ilvl w:val="0"/>
          <w:numId w:val="18"/>
        </w:numPr>
        <w:tabs>
          <w:tab w:val="clear" w:pos="720"/>
        </w:tabs>
        <w:spacing w:before="0" w:beforeAutospacing="0" w:after="0" w:afterAutospacing="0"/>
        <w:ind w:left="426" w:hanging="426"/>
        <w:textAlignment w:val="baseline"/>
        <w:rPr>
          <w:rStyle w:val="eop"/>
          <w:rFonts w:ascii="Calibri" w:hAnsi="Calibri" w:cs="Calibri"/>
          <w:b/>
          <w:bCs/>
          <w:color w:val="0D0D0D" w:themeColor="text1" w:themeTint="F2"/>
        </w:rPr>
      </w:pPr>
      <w:r w:rsidRPr="00F36DD8">
        <w:rPr>
          <w:rStyle w:val="normaltextrun"/>
          <w:rFonts w:ascii="Calibri" w:hAnsi="Calibri" w:cs="Calibri"/>
          <w:b/>
          <w:bCs/>
          <w:color w:val="0D0D0D" w:themeColor="text1" w:themeTint="F2"/>
        </w:rPr>
        <w:lastRenderedPageBreak/>
        <w:t>Background – Social Value</w:t>
      </w:r>
      <w:r w:rsidRPr="00F36DD8">
        <w:rPr>
          <w:rStyle w:val="eop"/>
          <w:rFonts w:ascii="Calibri" w:hAnsi="Calibri" w:cs="Calibri"/>
          <w:b/>
          <w:bCs/>
          <w:color w:val="0D0D0D" w:themeColor="text1" w:themeTint="F2"/>
        </w:rPr>
        <w:t> </w:t>
      </w:r>
      <w:r w:rsidR="00163389">
        <w:rPr>
          <w:rStyle w:val="eop"/>
          <w:rFonts w:ascii="Calibri" w:hAnsi="Calibri" w:cs="Calibri"/>
          <w:b/>
          <w:bCs/>
          <w:color w:val="0D0D0D" w:themeColor="text1" w:themeTint="F2"/>
        </w:rPr>
        <w:t xml:space="preserve"> </w:t>
      </w:r>
    </w:p>
    <w:p w14:paraId="39323D93" w14:textId="77777777" w:rsidR="00F36DD8" w:rsidRDefault="00F36DD8"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7272233B" w14:textId="77777777" w:rsidR="00E8219F" w:rsidRDefault="00E8219F" w:rsidP="00E8219F">
      <w:pPr>
        <w:rPr>
          <w:sz w:val="22"/>
        </w:rPr>
      </w:pPr>
      <w:r>
        <w:t xml:space="preserve">The Authority are currently working on the implementation of the Match My Project online portal to support their delivery of place based Social Value. Match My Project will be where businesses can find, and support Cambridgeshire based community and other related projects. </w:t>
      </w:r>
    </w:p>
    <w:p w14:paraId="5D4602E8" w14:textId="143EA4AD" w:rsidR="00E8219F" w:rsidRDefault="00E8219F" w:rsidP="00E8219F">
      <w:r>
        <w:rPr>
          <w:lang w:val="en-US"/>
        </w:rPr>
        <w:t>Please note that the platform will be  there to support the delivery of Social Value but that other outcomes could be included within process.</w:t>
      </w:r>
      <w:r>
        <w:t xml:space="preserve">Please see the main </w:t>
      </w:r>
      <w:hyperlink r:id="rId15" w:history="1">
        <w:r>
          <w:rPr>
            <w:rStyle w:val="Hyperlink"/>
            <w:lang w:val="en-US"/>
          </w:rPr>
          <w:t>Match my project</w:t>
        </w:r>
      </w:hyperlink>
      <w:r>
        <w:t xml:space="preserve"> website to see where the Cambridgeshire portal will be once it is in launched in 2025. </w:t>
      </w:r>
    </w:p>
    <w:p w14:paraId="7AB5BBB8" w14:textId="77777777" w:rsidR="00E8219F" w:rsidRDefault="00E8219F" w:rsidP="00E8219F">
      <w:r>
        <w:t>In addition, there are some videos:</w:t>
      </w:r>
    </w:p>
    <w:p w14:paraId="28EF6CEB" w14:textId="77777777" w:rsidR="00E8219F" w:rsidRDefault="00E8219F" w:rsidP="00E8219F">
      <w:pPr>
        <w:pStyle w:val="ListParagraph"/>
        <w:numPr>
          <w:ilvl w:val="0"/>
          <w:numId w:val="33"/>
        </w:numPr>
        <w:spacing w:after="0" w:line="240" w:lineRule="auto"/>
        <w:ind w:left="993" w:hanging="993"/>
      </w:pPr>
      <w:r w:rsidRPr="00E8219F">
        <w:rPr>
          <w:lang w:val="en-US"/>
        </w:rPr>
        <w:t>An Introduction to Match My Project for Community Organisations - </w:t>
      </w:r>
      <w:hyperlink r:id="rId16" w:tgtFrame="_blank" w:tooltip="https://vimeo.com/859395473/ed40320689" w:history="1">
        <w:r w:rsidRPr="00E8219F">
          <w:rPr>
            <w:rStyle w:val="Hyperlink"/>
            <w:lang w:val="en-US"/>
          </w:rPr>
          <w:t>MMP intro for Community Orgs</w:t>
        </w:r>
      </w:hyperlink>
    </w:p>
    <w:p w14:paraId="04323C94" w14:textId="77777777" w:rsidR="00E8219F" w:rsidRDefault="00E8219F" w:rsidP="00E8219F">
      <w:pPr>
        <w:pStyle w:val="ListParagraph"/>
        <w:numPr>
          <w:ilvl w:val="0"/>
          <w:numId w:val="33"/>
        </w:numPr>
        <w:spacing w:after="0" w:line="240" w:lineRule="auto"/>
        <w:ind w:left="993" w:hanging="993"/>
      </w:pPr>
      <w:r>
        <w:t> </w:t>
      </w:r>
      <w:r w:rsidRPr="00E8219F">
        <w:rPr>
          <w:lang w:val="en-US"/>
        </w:rPr>
        <w:t>An Introduction to Match My Project for Supply-Chain - </w:t>
      </w:r>
      <w:hyperlink r:id="rId17" w:tgtFrame="_blank" w:tooltip="https://vimeo.com/868771473/516477e028" w:history="1">
        <w:r w:rsidRPr="00E8219F">
          <w:rPr>
            <w:rStyle w:val="Hyperlink"/>
            <w:lang w:val="en-US"/>
          </w:rPr>
          <w:t>MMP intro for Businesses</w:t>
        </w:r>
      </w:hyperlink>
      <w:r>
        <w:t xml:space="preserve">, </w:t>
      </w:r>
      <w:r w:rsidRPr="00E8219F">
        <w:rPr>
          <w:lang w:val="en-US"/>
        </w:rPr>
        <w:t>How to post Job and Training Opportunities to Match My Project (Supply-Chain Partners only)</w:t>
      </w:r>
    </w:p>
    <w:p w14:paraId="164ABF01" w14:textId="77777777" w:rsidR="00E8219F" w:rsidRDefault="00E8219F" w:rsidP="00E8219F">
      <w:pPr>
        <w:pStyle w:val="ListParagraph"/>
        <w:numPr>
          <w:ilvl w:val="0"/>
          <w:numId w:val="33"/>
        </w:numPr>
        <w:spacing w:after="0" w:line="240" w:lineRule="auto"/>
        <w:ind w:left="993" w:hanging="993"/>
      </w:pPr>
      <w:hyperlink r:id="rId18" w:tgtFrame="_blank" w:tooltip="https://vimeo.com/845970399?share=copy" w:history="1">
        <w:r w:rsidRPr="00E8219F">
          <w:rPr>
            <w:rStyle w:val="Hyperlink"/>
            <w:lang w:val="en-US"/>
          </w:rPr>
          <w:t>How to post a job</w:t>
        </w:r>
      </w:hyperlink>
      <w:r>
        <w:t xml:space="preserve"> which shows the Match My Project user journey for businesses, including signing up and finding projects to support, getting started on a project, and giving feedback on the </w:t>
      </w:r>
      <w:hyperlink r:id="rId19" w:history="1">
        <w:r>
          <w:rPr>
            <w:rStyle w:val="Hyperlink"/>
          </w:rPr>
          <w:t>Match My Project</w:t>
        </w:r>
      </w:hyperlink>
      <w:r>
        <w:t xml:space="preserve"> platform for your information.</w:t>
      </w:r>
    </w:p>
    <w:p w14:paraId="5EFDD2AA" w14:textId="77777777" w:rsidR="00E8219F" w:rsidRPr="00F36DD8" w:rsidRDefault="00E8219F"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44751A63"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28DC3E9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B9179DC"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8F20911"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34F65B7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4FBFB782"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72AC323E"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6226E5C0" w14:textId="77777777" w:rsidR="00CC58BD" w:rsidRDefault="00CC58BD" w:rsidP="00CC58BD">
      <w:pPr>
        <w:pStyle w:val="Heading1"/>
      </w:pPr>
      <w:r>
        <w:t>Section 3: Supporting information</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6226E5C2" w14:textId="77777777" w:rsidR="00207253" w:rsidRPr="000E295A" w:rsidRDefault="00207253" w:rsidP="00D073E3">
      <w:pPr>
        <w:pStyle w:val="Heading2"/>
        <w:numPr>
          <w:ilvl w:val="0"/>
          <w:numId w:val="27"/>
        </w:numPr>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5666"/>
        <w:gridCol w:w="3350"/>
      </w:tblGrid>
      <w:tr w:rsidR="00207253" w:rsidRPr="000A60CE" w14:paraId="6226E5C5" w14:textId="77777777" w:rsidTr="00D33F77">
        <w:tc>
          <w:tcPr>
            <w:tcW w:w="314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85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D33F77">
        <w:tc>
          <w:tcPr>
            <w:tcW w:w="3142" w:type="pct"/>
            <w:shd w:val="clear" w:color="auto" w:fill="D9D9D9" w:themeFill="background1" w:themeFillShade="D9"/>
          </w:tcPr>
          <w:p w14:paraId="6226E5C6" w14:textId="0D79557D" w:rsidR="000A60CE" w:rsidRDefault="000A60CE" w:rsidP="00CC58BD">
            <w:r>
              <w:t xml:space="preserve">Name </w:t>
            </w:r>
            <w:r w:rsidR="00A25DFD">
              <w:t xml:space="preserve">and </w:t>
            </w:r>
            <w:r w:rsidR="00D775CE">
              <w:t>Head Office Address</w:t>
            </w:r>
            <w:r w:rsidR="00A25DFD">
              <w:t xml:space="preserve"> of </w:t>
            </w:r>
            <w:r w:rsidR="009F3DC7">
              <w:t xml:space="preserve">your </w:t>
            </w:r>
            <w:r w:rsidR="00A25DFD">
              <w:t>Business</w:t>
            </w:r>
          </w:p>
        </w:tc>
        <w:tc>
          <w:tcPr>
            <w:tcW w:w="1858" w:type="pct"/>
          </w:tcPr>
          <w:p w14:paraId="6226E5C7" w14:textId="77777777" w:rsidR="000A60CE" w:rsidRDefault="000A60CE" w:rsidP="00CC58BD"/>
        </w:tc>
      </w:tr>
      <w:tr w:rsidR="00207253" w14:paraId="6226E5D1" w14:textId="77777777" w:rsidTr="00D33F77">
        <w:tc>
          <w:tcPr>
            <w:tcW w:w="314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858" w:type="pct"/>
          </w:tcPr>
          <w:p w14:paraId="6226E5D0" w14:textId="77777777" w:rsidR="000E295A" w:rsidRDefault="000E295A" w:rsidP="00CC58BD"/>
        </w:tc>
      </w:tr>
      <w:tr w:rsidR="00D775CE" w14:paraId="7143040B" w14:textId="77777777" w:rsidTr="00D33F77">
        <w:tc>
          <w:tcPr>
            <w:tcW w:w="3142" w:type="pct"/>
            <w:shd w:val="clear" w:color="auto" w:fill="D9D9D9" w:themeFill="background1" w:themeFillShade="D9"/>
          </w:tcPr>
          <w:p w14:paraId="0760ED57" w14:textId="2C280D9A" w:rsidR="00D775CE" w:rsidRDefault="00D775CE" w:rsidP="00207253">
            <w:r>
              <w:t xml:space="preserve">What if any experience </w:t>
            </w:r>
            <w:proofErr w:type="gramStart"/>
            <w:r>
              <w:t>do</w:t>
            </w:r>
            <w:proofErr w:type="gramEnd"/>
            <w:r>
              <w:t xml:space="preserve"> you have of working within Cambridgeshire? </w:t>
            </w:r>
          </w:p>
        </w:tc>
        <w:tc>
          <w:tcPr>
            <w:tcW w:w="1858" w:type="pct"/>
          </w:tcPr>
          <w:p w14:paraId="2C7DCD8A" w14:textId="77777777" w:rsidR="00D775CE" w:rsidRDefault="00D775CE" w:rsidP="00CC58BD"/>
        </w:tc>
      </w:tr>
      <w:tr w:rsidR="00207253" w14:paraId="6226E5D4" w14:textId="77777777" w:rsidTr="00D33F77">
        <w:tc>
          <w:tcPr>
            <w:tcW w:w="3142" w:type="pct"/>
            <w:shd w:val="clear" w:color="auto" w:fill="D9D9D9" w:themeFill="background1" w:themeFillShade="D9"/>
          </w:tcPr>
          <w:p w14:paraId="6226E5D2" w14:textId="59CF9DAD" w:rsidR="000E295A" w:rsidRDefault="00A25DFD" w:rsidP="00CC58BD">
            <w:r>
              <w:t>Contact Details</w:t>
            </w:r>
            <w:r w:rsidR="00AF7238">
              <w:t xml:space="preserve"> (Name, Mobile No</w:t>
            </w:r>
            <w:r w:rsidR="00CA6470">
              <w:t>. and email)</w:t>
            </w:r>
          </w:p>
        </w:tc>
        <w:tc>
          <w:tcPr>
            <w:tcW w:w="1858" w:type="pct"/>
          </w:tcPr>
          <w:p w14:paraId="6226E5D3"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tbl>
      <w:tblPr>
        <w:tblStyle w:val="TableGrid"/>
        <w:tblW w:w="5000" w:type="pct"/>
        <w:tblLook w:val="04A0" w:firstRow="1" w:lastRow="0" w:firstColumn="1" w:lastColumn="0" w:noHBand="0" w:noVBand="1"/>
      </w:tblPr>
      <w:tblGrid>
        <w:gridCol w:w="5666"/>
        <w:gridCol w:w="3350"/>
      </w:tblGrid>
      <w:tr w:rsidR="000A60CE" w:rsidRPr="000A60CE" w14:paraId="6226E5E2" w14:textId="77777777" w:rsidTr="00B306DC">
        <w:tc>
          <w:tcPr>
            <w:tcW w:w="3142"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858"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B306DC">
        <w:tc>
          <w:tcPr>
            <w:tcW w:w="3142" w:type="pct"/>
            <w:shd w:val="clear" w:color="auto" w:fill="D9D9D9" w:themeFill="background1" w:themeFillShade="D9"/>
          </w:tcPr>
          <w:p w14:paraId="6226E5E3" w14:textId="39FD82A5" w:rsidR="000A60CE" w:rsidRPr="00EA12B1" w:rsidRDefault="00EA12B1" w:rsidP="008F632F">
            <w:r w:rsidRPr="00EA12B1">
              <w:t>Do you think the Lot strategy as set out above is appropriate?</w:t>
            </w:r>
          </w:p>
        </w:tc>
        <w:tc>
          <w:tcPr>
            <w:tcW w:w="1858" w:type="pct"/>
          </w:tcPr>
          <w:p w14:paraId="6226E5E4" w14:textId="77777777" w:rsidR="000A60CE" w:rsidRDefault="000A60CE" w:rsidP="008F632F"/>
        </w:tc>
      </w:tr>
      <w:tr w:rsidR="000A60CE" w14:paraId="6226E5E8" w14:textId="77777777" w:rsidTr="00B306DC">
        <w:tc>
          <w:tcPr>
            <w:tcW w:w="3142" w:type="pct"/>
            <w:shd w:val="clear" w:color="auto" w:fill="D9D9D9" w:themeFill="background1" w:themeFillShade="D9"/>
          </w:tcPr>
          <w:p w14:paraId="6226E5E6" w14:textId="065BDA2F" w:rsidR="000A60CE" w:rsidRPr="00EA12B1" w:rsidRDefault="00EA12B1" w:rsidP="008F632F">
            <w:r w:rsidRPr="00EA12B1">
              <w:t>If yes which Lot(s) would your organisation be interested in bidding fo</w:t>
            </w:r>
            <w:r>
              <w:t>r</w:t>
            </w:r>
            <w:r w:rsidRPr="00EA12B1">
              <w:t>?</w:t>
            </w:r>
          </w:p>
        </w:tc>
        <w:tc>
          <w:tcPr>
            <w:tcW w:w="1858" w:type="pct"/>
          </w:tcPr>
          <w:p w14:paraId="6226E5E7" w14:textId="77777777" w:rsidR="000A60CE" w:rsidRDefault="000A60CE" w:rsidP="008F632F"/>
        </w:tc>
      </w:tr>
      <w:tr w:rsidR="000A60CE" w14:paraId="6226E5EB" w14:textId="77777777" w:rsidTr="00B306DC">
        <w:tc>
          <w:tcPr>
            <w:tcW w:w="3142" w:type="pct"/>
            <w:shd w:val="clear" w:color="auto" w:fill="D9D9D9" w:themeFill="background1" w:themeFillShade="D9"/>
          </w:tcPr>
          <w:p w14:paraId="40A7FA5C" w14:textId="58E068DD" w:rsidR="000A60CE" w:rsidRDefault="00B6432F" w:rsidP="008F632F">
            <w:r>
              <w:t>How do you consider it is be</w:t>
            </w:r>
            <w:r w:rsidR="00DC4989">
              <w:t>s</w:t>
            </w:r>
            <w:r>
              <w:t xml:space="preserve">t to award work under the framework; please enter </w:t>
            </w:r>
            <w:r w:rsidR="00586C6C">
              <w:t>your thoughts on all options below and your view on which is most attractive:</w:t>
            </w:r>
          </w:p>
          <w:p w14:paraId="3488473B" w14:textId="77777777" w:rsidR="00B6432F" w:rsidRDefault="00B6432F" w:rsidP="008F632F"/>
          <w:p w14:paraId="114CF941" w14:textId="440477E1" w:rsidR="00B6432F" w:rsidRDefault="00B6432F" w:rsidP="008F632F">
            <w:r>
              <w:t xml:space="preserve">Option A: Further Competition to all providers on the </w:t>
            </w:r>
            <w:r w:rsidR="0013702F">
              <w:t xml:space="preserve">relevant </w:t>
            </w:r>
            <w:r>
              <w:t>Lot for every opportunity</w:t>
            </w:r>
            <w:r w:rsidR="00586C6C">
              <w:t xml:space="preserve">, using a </w:t>
            </w:r>
            <w:r w:rsidR="00F67F28">
              <w:t>mix of qualitative assessment and pricing based on the specific project in each case</w:t>
            </w:r>
          </w:p>
          <w:p w14:paraId="7AEDC7BC" w14:textId="77777777" w:rsidR="00B6432F" w:rsidRDefault="00B6432F" w:rsidP="008F632F"/>
          <w:p w14:paraId="4016E26C" w14:textId="28F28ED2" w:rsidR="00F67F28" w:rsidRDefault="00F67F28" w:rsidP="008F632F">
            <w:r>
              <w:t>Option B: A Further Competition to all providers on the Lot for every opportunity based purely on lowest price on the specific project in each case</w:t>
            </w:r>
          </w:p>
          <w:p w14:paraId="19EE5420" w14:textId="77777777" w:rsidR="00F67F28" w:rsidRDefault="00F67F28" w:rsidP="008F632F"/>
          <w:p w14:paraId="6226E5E9" w14:textId="44E9C89A" w:rsidR="00B6432F" w:rsidRPr="00EA12B1" w:rsidRDefault="00B6432F" w:rsidP="008F632F">
            <w:r>
              <w:t xml:space="preserve">Option </w:t>
            </w:r>
            <w:r w:rsidR="00F67F28">
              <w:t>C</w:t>
            </w:r>
            <w:r>
              <w:t xml:space="preserve">: Awarding work </w:t>
            </w:r>
            <w:r w:rsidR="00B30578">
              <w:t xml:space="preserve">based on the outcome of the original tender exercise, so the first placed bidder in each lot provides a </w:t>
            </w:r>
            <w:r w:rsidR="00D710C9">
              <w:t>competitively</w:t>
            </w:r>
            <w:r w:rsidR="00B30578">
              <w:t xml:space="preserve"> </w:t>
            </w:r>
            <w:r w:rsidR="006641FF">
              <w:t xml:space="preserve">priced submission, and if they are unable </w:t>
            </w:r>
            <w:r w:rsidR="00D710C9">
              <w:t xml:space="preserve">to service the requirement then the </w:t>
            </w:r>
            <w:r w:rsidR="00422C05">
              <w:t>bidder w</w:t>
            </w:r>
            <w:r w:rsidR="00D710C9">
              <w:t xml:space="preserve">ho finished second is given the opportunity, </w:t>
            </w:r>
            <w:r w:rsidR="00422C05">
              <w:t>and</w:t>
            </w:r>
            <w:r w:rsidR="00D710C9">
              <w:t xml:space="preserve"> so on down the list </w:t>
            </w:r>
          </w:p>
        </w:tc>
        <w:tc>
          <w:tcPr>
            <w:tcW w:w="1858" w:type="pct"/>
          </w:tcPr>
          <w:p w14:paraId="6226E5EA" w14:textId="77777777" w:rsidR="000A60CE" w:rsidRDefault="000A60CE" w:rsidP="008F632F"/>
        </w:tc>
      </w:tr>
      <w:tr w:rsidR="000A60CE" w14:paraId="6226E5EE" w14:textId="77777777" w:rsidTr="00B306DC">
        <w:tc>
          <w:tcPr>
            <w:tcW w:w="3142" w:type="pct"/>
            <w:shd w:val="clear" w:color="auto" w:fill="D9D9D9" w:themeFill="background1" w:themeFillShade="D9"/>
          </w:tcPr>
          <w:p w14:paraId="6226E5EC" w14:textId="15087C3E" w:rsidR="000A60CE" w:rsidRPr="00EA12B1" w:rsidRDefault="008C1851" w:rsidP="008F632F">
            <w:r>
              <w:t xml:space="preserve">What do you consider the optimum number of </w:t>
            </w:r>
            <w:r w:rsidR="00422C05">
              <w:t>organisations</w:t>
            </w:r>
            <w:r>
              <w:t xml:space="preserve"> </w:t>
            </w:r>
            <w:r w:rsidR="00EF06AE">
              <w:t>t</w:t>
            </w:r>
            <w:r w:rsidR="00422C05">
              <w:t>o</w:t>
            </w:r>
            <w:r>
              <w:t xml:space="preserve"> be on each Lot (assuming that every project is sent to all bidders </w:t>
            </w:r>
            <w:r w:rsidR="00422C05">
              <w:t>within that</w:t>
            </w:r>
            <w:r>
              <w:t xml:space="preserve"> lot as a further </w:t>
            </w:r>
            <w:r w:rsidR="00422C05">
              <w:t>competition</w:t>
            </w:r>
            <w:r>
              <w:t xml:space="preserve">). </w:t>
            </w:r>
            <w:r w:rsidR="00422C05">
              <w:t>This does not need to be the same number for every lot.</w:t>
            </w:r>
          </w:p>
        </w:tc>
        <w:tc>
          <w:tcPr>
            <w:tcW w:w="1858" w:type="pct"/>
          </w:tcPr>
          <w:p w14:paraId="6226E5ED" w14:textId="01AE358A" w:rsidR="000A60CE" w:rsidRDefault="000A60CE" w:rsidP="00C0322D"/>
        </w:tc>
      </w:tr>
      <w:tr w:rsidR="006863D2" w14:paraId="12AEEE49" w14:textId="77777777" w:rsidTr="00B306DC">
        <w:tc>
          <w:tcPr>
            <w:tcW w:w="3142" w:type="pct"/>
            <w:shd w:val="clear" w:color="auto" w:fill="D9D9D9" w:themeFill="background1" w:themeFillShade="D9"/>
          </w:tcPr>
          <w:p w14:paraId="66A453C3" w14:textId="400AA8B5" w:rsidR="00FF46AB" w:rsidRDefault="00C57612" w:rsidP="008F632F">
            <w:r>
              <w:t>Assuming the Lot structure is as stated at 6.1</w:t>
            </w:r>
            <w:r w:rsidR="00FF46AB">
              <w:t xml:space="preserve"> or similar, the Authority </w:t>
            </w:r>
            <w:r w:rsidR="00357EB5">
              <w:t>may</w:t>
            </w:r>
            <w:r w:rsidR="00FF46AB">
              <w:t xml:space="preserve"> restrict the number of Lots any bidder could bid for, to ensure each Lot only featured bidders </w:t>
            </w:r>
            <w:r w:rsidR="00680CE5">
              <w:t>who would prioritise b</w:t>
            </w:r>
            <w:r w:rsidR="00357EB5">
              <w:t>i</w:t>
            </w:r>
            <w:r w:rsidR="00680CE5">
              <w:t xml:space="preserve">dding for such work if awarded a place. </w:t>
            </w:r>
          </w:p>
          <w:p w14:paraId="0F2245F8" w14:textId="77777777" w:rsidR="00FF46AB" w:rsidRDefault="00FF46AB" w:rsidP="008F632F"/>
          <w:p w14:paraId="03056FE1" w14:textId="1A380602" w:rsidR="006863D2" w:rsidRDefault="00065B81" w:rsidP="008F632F">
            <w:r>
              <w:t xml:space="preserve">If we were to restrict the number of Lots your organisation could </w:t>
            </w:r>
            <w:r w:rsidR="00680CE5">
              <w:t>have a place on</w:t>
            </w:r>
            <w:r>
              <w:t xml:space="preserve"> to</w:t>
            </w:r>
            <w:r w:rsidR="00357EB5">
              <w:t xml:space="preserve"> a maximum of</w:t>
            </w:r>
            <w:r>
              <w:t xml:space="preserve"> 3, which Lot</w:t>
            </w:r>
            <w:r w:rsidR="00357EB5">
              <w:t>(</w:t>
            </w:r>
            <w:r>
              <w:t>s</w:t>
            </w:r>
            <w:r w:rsidR="00357EB5">
              <w:t>)</w:t>
            </w:r>
            <w:r>
              <w:t xml:space="preserve"> would you prioritise bidding for and why?</w:t>
            </w:r>
          </w:p>
        </w:tc>
        <w:tc>
          <w:tcPr>
            <w:tcW w:w="1858" w:type="pct"/>
          </w:tcPr>
          <w:p w14:paraId="02A1C27D" w14:textId="77777777" w:rsidR="006863D2" w:rsidRDefault="006863D2" w:rsidP="00C0322D"/>
        </w:tc>
      </w:tr>
      <w:tr w:rsidR="007A486D" w14:paraId="79E12F19" w14:textId="77777777" w:rsidTr="00B306DC">
        <w:tc>
          <w:tcPr>
            <w:tcW w:w="3142" w:type="pct"/>
            <w:shd w:val="clear" w:color="auto" w:fill="D9D9D9" w:themeFill="background1" w:themeFillShade="D9"/>
          </w:tcPr>
          <w:p w14:paraId="66140758" w14:textId="554B3FBB" w:rsidR="007A486D" w:rsidRDefault="00357EB5" w:rsidP="008F632F">
            <w:r>
              <w:t>If your organisation was interested in bidding on</w:t>
            </w:r>
            <w:r w:rsidR="007A486D" w:rsidRPr="007A486D">
              <w:t xml:space="preserve"> </w:t>
            </w:r>
            <w:r w:rsidR="007A486D">
              <w:t xml:space="preserve">the proposed </w:t>
            </w:r>
            <w:r w:rsidR="007A486D" w:rsidRPr="007A486D">
              <w:t>Lot</w:t>
            </w:r>
            <w:r w:rsidR="00C711E4">
              <w:t xml:space="preserve"> </w:t>
            </w:r>
            <w:r w:rsidR="000E6C81">
              <w:t>4 (Fabric £1m - £5m)</w:t>
            </w:r>
            <w:r w:rsidR="00C711E4">
              <w:t>,</w:t>
            </w:r>
            <w:r w:rsidR="007A486D" w:rsidRPr="007A486D">
              <w:t xml:space="preserve"> please could you expand on whether your company has the skills and expertise required to deliver school extensions, including considering the extra requirements from BB103, DfE guidance, using project milestones etc?</w:t>
            </w:r>
          </w:p>
        </w:tc>
        <w:tc>
          <w:tcPr>
            <w:tcW w:w="1858" w:type="pct"/>
          </w:tcPr>
          <w:p w14:paraId="296A9BA1" w14:textId="77777777" w:rsidR="007A486D" w:rsidRDefault="007A486D" w:rsidP="00C0322D"/>
        </w:tc>
      </w:tr>
      <w:tr w:rsidR="000A60CE" w14:paraId="6226E5F1" w14:textId="77777777" w:rsidTr="00B306DC">
        <w:tc>
          <w:tcPr>
            <w:tcW w:w="3142" w:type="pct"/>
            <w:shd w:val="clear" w:color="auto" w:fill="D9D9D9" w:themeFill="background1" w:themeFillShade="D9"/>
          </w:tcPr>
          <w:p w14:paraId="6226E5EF" w14:textId="3FA67BAC" w:rsidR="000A60CE" w:rsidRDefault="00DB41CC" w:rsidP="008F632F">
            <w:r>
              <w:t xml:space="preserve">What do you consider the </w:t>
            </w:r>
            <w:r w:rsidR="00C21D0F">
              <w:t>most sensible method</w:t>
            </w:r>
            <w:r>
              <w:t xml:space="preserve"> to evaluate pricing</w:t>
            </w:r>
            <w:r w:rsidR="00C21D0F">
              <w:t xml:space="preserve"> when establishing the Lots, given that all projects issued will be </w:t>
            </w:r>
            <w:r w:rsidR="009F63BC">
              <w:t>individually</w:t>
            </w:r>
            <w:r w:rsidR="00C21D0F">
              <w:t xml:space="preserve"> priced? Use of a sample project, rate cards for various disciplines and </w:t>
            </w:r>
            <w:r w:rsidR="009F63BC">
              <w:t xml:space="preserve">a % figure on Overheads and/or Preliminaries are possibilities, but we welcome the view from bidders on </w:t>
            </w:r>
            <w:r w:rsidR="0030438A">
              <w:t>alternative</w:t>
            </w:r>
            <w:r w:rsidR="009F63BC">
              <w:t xml:space="preserve"> options. </w:t>
            </w:r>
          </w:p>
        </w:tc>
        <w:tc>
          <w:tcPr>
            <w:tcW w:w="1858" w:type="pct"/>
          </w:tcPr>
          <w:p w14:paraId="6226E5F0" w14:textId="77777777" w:rsidR="000A60CE" w:rsidRDefault="000A60CE" w:rsidP="008F632F"/>
        </w:tc>
      </w:tr>
      <w:tr w:rsidR="0032744F" w:rsidRPr="000F6E06" w14:paraId="7CED52A5" w14:textId="77777777" w:rsidTr="00B306DC">
        <w:trPr>
          <w:trHeight w:val="1024"/>
        </w:trPr>
        <w:tc>
          <w:tcPr>
            <w:tcW w:w="3142" w:type="pct"/>
            <w:shd w:val="clear" w:color="auto" w:fill="D9D9D9" w:themeFill="background1" w:themeFillShade="D9"/>
          </w:tcPr>
          <w:p w14:paraId="3A806D9F" w14:textId="38203F1B" w:rsidR="0032744F" w:rsidRPr="000F6E06" w:rsidRDefault="00C4407B" w:rsidP="0032744F">
            <w:pPr>
              <w:pStyle w:val="BodyNumbered"/>
              <w:numPr>
                <w:ilvl w:val="0"/>
                <w:numId w:val="0"/>
              </w:numPr>
              <w:ind w:left="22"/>
              <w:rPr>
                <w:color w:val="FF0000"/>
              </w:rPr>
            </w:pPr>
            <w:r>
              <w:t xml:space="preserve">Where you hold </w:t>
            </w:r>
            <w:r w:rsidR="008B28C0">
              <w:t xml:space="preserve">similar contracts to that discussed here, how have you captured the Social Value benefits you have delivered for the public body in question? </w:t>
            </w:r>
            <w:r w:rsidR="008B28C0">
              <w:lastRenderedPageBreak/>
              <w:t>Please include any systems you have and do use to capture Social Value in this regard.</w:t>
            </w:r>
          </w:p>
        </w:tc>
        <w:tc>
          <w:tcPr>
            <w:tcW w:w="1858" w:type="pct"/>
          </w:tcPr>
          <w:p w14:paraId="6BFA5074" w14:textId="77777777" w:rsidR="0032744F" w:rsidRPr="000F6E06" w:rsidRDefault="0032744F" w:rsidP="008F632F">
            <w:pPr>
              <w:rPr>
                <w:color w:val="FF0000"/>
              </w:rPr>
            </w:pPr>
          </w:p>
        </w:tc>
      </w:tr>
      <w:tr w:rsidR="001F1F3E" w:rsidRPr="000F6E06" w14:paraId="298E6FEF" w14:textId="77777777" w:rsidTr="00B306DC">
        <w:trPr>
          <w:trHeight w:val="1024"/>
        </w:trPr>
        <w:tc>
          <w:tcPr>
            <w:tcW w:w="3142" w:type="pct"/>
            <w:shd w:val="clear" w:color="auto" w:fill="D9D9D9" w:themeFill="background1" w:themeFillShade="D9"/>
          </w:tcPr>
          <w:p w14:paraId="416CE8F3" w14:textId="7F853539" w:rsidR="001F1F3E" w:rsidRDefault="00555D09" w:rsidP="0032744F">
            <w:pPr>
              <w:pStyle w:val="BodyNumbered"/>
              <w:numPr>
                <w:ilvl w:val="0"/>
                <w:numId w:val="0"/>
              </w:numPr>
              <w:ind w:left="22"/>
            </w:pPr>
            <w:r>
              <w:t>Where possible CCC lik</w:t>
            </w:r>
            <w:r w:rsidR="00FA1D83">
              <w:t>e</w:t>
            </w:r>
            <w:r>
              <w:t xml:space="preserve"> to </w:t>
            </w:r>
            <w:r w:rsidR="006D3BC4">
              <w:t xml:space="preserve">demonstrate Social Value </w:t>
            </w:r>
            <w:r w:rsidR="005E5700">
              <w:t>benefits by</w:t>
            </w:r>
            <w:r w:rsidR="006D3BC4">
              <w:t xml:space="preserve"> </w:t>
            </w:r>
            <w:r>
              <w:t>support</w:t>
            </w:r>
            <w:r w:rsidR="006D3BC4">
              <w:t>ing</w:t>
            </w:r>
            <w:r>
              <w:t xml:space="preserve"> Local (Cambridgeshire-based) providers</w:t>
            </w:r>
            <w:r w:rsidR="00FA1D83">
              <w:t xml:space="preserve">; do you consider this as a barrier to bidding for the opportunity? Note: this does not mean that we will only contract with Cambridgeshire-based providers. </w:t>
            </w:r>
            <w:r w:rsidR="00F2793E">
              <w:t xml:space="preserve">Please also confirm if you consider that Social Value </w:t>
            </w:r>
            <w:r w:rsidR="006C0ADC">
              <w:t>should be treated differently in</w:t>
            </w:r>
            <w:r w:rsidR="00F2793E">
              <w:t xml:space="preserve"> the lower valued proposed Lots.</w:t>
            </w:r>
          </w:p>
        </w:tc>
        <w:tc>
          <w:tcPr>
            <w:tcW w:w="1858" w:type="pct"/>
          </w:tcPr>
          <w:p w14:paraId="0A318A2C" w14:textId="77777777" w:rsidR="001F1F3E" w:rsidRPr="000F6E06" w:rsidRDefault="001F1F3E" w:rsidP="008F632F">
            <w:pPr>
              <w:rPr>
                <w:color w:val="FF0000"/>
              </w:rPr>
            </w:pPr>
          </w:p>
        </w:tc>
      </w:tr>
      <w:tr w:rsidR="00AF799D" w:rsidRPr="000F6E06" w14:paraId="4D48F09D" w14:textId="77777777" w:rsidTr="00B306DC">
        <w:trPr>
          <w:trHeight w:val="1024"/>
        </w:trPr>
        <w:tc>
          <w:tcPr>
            <w:tcW w:w="3142" w:type="pct"/>
            <w:shd w:val="clear" w:color="auto" w:fill="D9D9D9" w:themeFill="background1" w:themeFillShade="D9"/>
          </w:tcPr>
          <w:p w14:paraId="01F0FB94" w14:textId="77777777" w:rsidR="00EB56B2" w:rsidRDefault="006E06AB" w:rsidP="0032744F">
            <w:pPr>
              <w:pStyle w:val="BodyNumbered"/>
              <w:numPr>
                <w:ilvl w:val="0"/>
                <w:numId w:val="0"/>
              </w:numPr>
              <w:ind w:left="22"/>
            </w:pPr>
            <w:r>
              <w:t xml:space="preserve">When this procurement is published it shall fall under the </w:t>
            </w:r>
            <w:hyperlink r:id="rId20" w:history="1">
              <w:r>
                <w:rPr>
                  <w:rStyle w:val="Hyperlink"/>
                </w:rPr>
                <w:t>Procurement Act 23</w:t>
              </w:r>
            </w:hyperlink>
            <w:r>
              <w:t xml:space="preserve"> Legislation. This legislation allows Contracting </w:t>
            </w:r>
            <w:r w:rsidR="00EB56B2">
              <w:t>Authorities</w:t>
            </w:r>
            <w:r>
              <w:t xml:space="preserve"> to let either </w:t>
            </w:r>
            <w:r w:rsidR="008F79F5">
              <w:t xml:space="preserve">“Open” or “Closed” frameworks. </w:t>
            </w:r>
            <w:r>
              <w:t xml:space="preserve"> </w:t>
            </w:r>
          </w:p>
          <w:p w14:paraId="5AA2F590" w14:textId="77777777" w:rsidR="00EB56B2" w:rsidRDefault="00EB56B2" w:rsidP="0032744F">
            <w:pPr>
              <w:pStyle w:val="BodyNumbered"/>
              <w:numPr>
                <w:ilvl w:val="0"/>
                <w:numId w:val="0"/>
              </w:numPr>
              <w:ind w:left="22"/>
            </w:pPr>
          </w:p>
          <w:p w14:paraId="0499F94D" w14:textId="77777777" w:rsidR="00AF799D" w:rsidRDefault="00EB56B2" w:rsidP="0032744F">
            <w:pPr>
              <w:pStyle w:val="BodyNumbered"/>
              <w:numPr>
                <w:ilvl w:val="0"/>
                <w:numId w:val="0"/>
              </w:numPr>
              <w:ind w:left="22"/>
            </w:pPr>
            <w:r>
              <w:t>A brief explanation of the difference is detailed below at Appendix 1.</w:t>
            </w:r>
          </w:p>
          <w:p w14:paraId="1BBF6272" w14:textId="77777777" w:rsidR="00EB56B2" w:rsidRDefault="00EB56B2" w:rsidP="0032744F">
            <w:pPr>
              <w:pStyle w:val="BodyNumbered"/>
              <w:numPr>
                <w:ilvl w:val="0"/>
                <w:numId w:val="0"/>
              </w:numPr>
              <w:ind w:left="22"/>
            </w:pPr>
          </w:p>
          <w:p w14:paraId="6B8A4F15" w14:textId="552FF177" w:rsidR="00295AFF" w:rsidRDefault="00FC5F14" w:rsidP="00295AFF">
            <w:pPr>
              <w:pStyle w:val="BodyNumbered"/>
              <w:numPr>
                <w:ilvl w:val="0"/>
                <w:numId w:val="0"/>
              </w:numPr>
              <w:ind w:left="22"/>
            </w:pPr>
            <w:r>
              <w:t>The current thinking of the Authority is to let a “Closed” framework, very much in the style of Frameworks as they currently exist, with a maximum length of 4 years and</w:t>
            </w:r>
            <w:r w:rsidR="00295AFF">
              <w:t xml:space="preserve"> closed to any new entrants, but </w:t>
            </w:r>
            <w:r w:rsidR="000074B8">
              <w:t xml:space="preserve">we </w:t>
            </w:r>
            <w:r w:rsidR="00295AFF">
              <w:t>would welcome the market’s view on this issue.</w:t>
            </w:r>
          </w:p>
        </w:tc>
        <w:tc>
          <w:tcPr>
            <w:tcW w:w="1858" w:type="pct"/>
          </w:tcPr>
          <w:p w14:paraId="3408B65E" w14:textId="77777777" w:rsidR="00AF799D" w:rsidRPr="000F6E06" w:rsidRDefault="00AF799D" w:rsidP="008F632F">
            <w:pPr>
              <w:rPr>
                <w:color w:val="FF0000"/>
              </w:rPr>
            </w:pPr>
          </w:p>
        </w:tc>
      </w:tr>
      <w:tr w:rsidR="00E841FA" w14:paraId="20BA81D3" w14:textId="77777777" w:rsidTr="00B306DC">
        <w:tc>
          <w:tcPr>
            <w:tcW w:w="3142" w:type="pct"/>
            <w:shd w:val="clear" w:color="auto" w:fill="D9D9D9" w:themeFill="background1" w:themeFillShade="D9"/>
          </w:tcPr>
          <w:p w14:paraId="086F4EC5" w14:textId="1BECB60B" w:rsidR="009C1DD0" w:rsidRDefault="004F6AFE" w:rsidP="00E841FA">
            <w:pPr>
              <w:pStyle w:val="BodyNumbered"/>
              <w:numPr>
                <w:ilvl w:val="0"/>
                <w:numId w:val="0"/>
              </w:numPr>
              <w:ind w:left="22"/>
            </w:pPr>
            <w:r>
              <w:t xml:space="preserve">Some mandatory accreditations such as GasSafe, </w:t>
            </w:r>
            <w:r w:rsidR="00BE3EEE">
              <w:t>NICEIC will be mandatory for bidders to hold</w:t>
            </w:r>
            <w:r w:rsidR="009674B5">
              <w:t xml:space="preserve"> in certain Lots</w:t>
            </w:r>
            <w:r w:rsidR="00BE3EEE">
              <w:t>;</w:t>
            </w:r>
            <w:r w:rsidR="009C1DD0">
              <w:t xml:space="preserve"> in addition, </w:t>
            </w:r>
            <w:r w:rsidR="009C1DD0" w:rsidRPr="009C1DD0">
              <w:t>CHAS elite membership or the SSP equivalent</w:t>
            </w:r>
            <w:r w:rsidR="009C1DD0">
              <w:t xml:space="preserve"> will likely be required for all Lots</w:t>
            </w:r>
            <w:r w:rsidR="00967F73">
              <w:t>, in line with use of the</w:t>
            </w:r>
            <w:r w:rsidR="00476569">
              <w:t xml:space="preserve"> </w:t>
            </w:r>
            <w:hyperlink r:id="rId21" w:history="1">
              <w:r w:rsidR="00476569">
                <w:rPr>
                  <w:rStyle w:val="Hyperlink"/>
                </w:rPr>
                <w:t>Common Assessment Standard.</w:t>
              </w:r>
            </w:hyperlink>
            <w:r w:rsidR="00476569">
              <w:t xml:space="preserve"> </w:t>
            </w:r>
            <w:r w:rsidR="00967F73">
              <w:t xml:space="preserve"> </w:t>
            </w:r>
          </w:p>
          <w:p w14:paraId="488954FA" w14:textId="77777777" w:rsidR="009C1DD0" w:rsidRDefault="009C1DD0" w:rsidP="00E841FA">
            <w:pPr>
              <w:pStyle w:val="BodyNumbered"/>
              <w:numPr>
                <w:ilvl w:val="0"/>
                <w:numId w:val="0"/>
              </w:numPr>
              <w:ind w:left="22"/>
            </w:pPr>
          </w:p>
          <w:p w14:paraId="052EF3EB" w14:textId="1DC2782F" w:rsidR="00E841FA" w:rsidRPr="004F6AFE" w:rsidRDefault="004462BE" w:rsidP="00E841FA">
            <w:pPr>
              <w:pStyle w:val="BodyNumbered"/>
              <w:numPr>
                <w:ilvl w:val="0"/>
                <w:numId w:val="0"/>
              </w:numPr>
              <w:ind w:left="22"/>
            </w:pPr>
            <w:r w:rsidRPr="004F6AFE">
              <w:t>CCC</w:t>
            </w:r>
            <w:r w:rsidR="00E841FA" w:rsidRPr="004F6AFE">
              <w:t xml:space="preserve"> are </w:t>
            </w:r>
            <w:r w:rsidR="004F6AFE">
              <w:t>keen to understand</w:t>
            </w:r>
            <w:r w:rsidR="00E841FA" w:rsidRPr="004F6AFE">
              <w:t xml:space="preserve"> what barriers </w:t>
            </w:r>
            <w:r w:rsidR="009674B5">
              <w:t xml:space="preserve">may be perceived as </w:t>
            </w:r>
            <w:r w:rsidR="009A6C1A">
              <w:t xml:space="preserve">precluding organisations from bidding for this opportunity, either relating to specific accreditation or any other factors. </w:t>
            </w:r>
          </w:p>
        </w:tc>
        <w:tc>
          <w:tcPr>
            <w:tcW w:w="1858" w:type="pct"/>
          </w:tcPr>
          <w:p w14:paraId="755032D1" w14:textId="77777777" w:rsidR="00E841FA" w:rsidRDefault="00E841FA" w:rsidP="00E841FA"/>
        </w:tc>
      </w:tr>
      <w:tr w:rsidR="00F23872" w14:paraId="34399416" w14:textId="77777777" w:rsidTr="00B306DC">
        <w:tc>
          <w:tcPr>
            <w:tcW w:w="3142" w:type="pct"/>
            <w:shd w:val="clear" w:color="auto" w:fill="D9D9D9" w:themeFill="background1" w:themeFillShade="D9"/>
          </w:tcPr>
          <w:p w14:paraId="45C58065" w14:textId="15FCDAFB" w:rsidR="00F23872" w:rsidRDefault="00F23872" w:rsidP="00E841FA">
            <w:pPr>
              <w:pStyle w:val="BodyNumbered"/>
              <w:numPr>
                <w:ilvl w:val="0"/>
                <w:numId w:val="0"/>
              </w:numPr>
              <w:ind w:left="22"/>
            </w:pPr>
            <w:r w:rsidRPr="00F23872">
              <w:t>Is there anything we could do to encourage bidders to bid (</w:t>
            </w:r>
            <w:r>
              <w:t>w</w:t>
            </w:r>
            <w:r w:rsidRPr="00F23872">
              <w:t>ithin reason)?</w:t>
            </w:r>
          </w:p>
        </w:tc>
        <w:tc>
          <w:tcPr>
            <w:tcW w:w="1858" w:type="pct"/>
          </w:tcPr>
          <w:p w14:paraId="44DB82E6" w14:textId="77777777" w:rsidR="00F23872" w:rsidRDefault="00F23872" w:rsidP="00E841FA"/>
        </w:tc>
      </w:tr>
      <w:tr w:rsidR="00E841FA" w14:paraId="6193CFD0" w14:textId="77777777" w:rsidTr="00B306DC">
        <w:tc>
          <w:tcPr>
            <w:tcW w:w="3142" w:type="pct"/>
            <w:shd w:val="clear" w:color="auto" w:fill="D9D9D9" w:themeFill="background1" w:themeFillShade="D9"/>
          </w:tcPr>
          <w:p w14:paraId="23738AED" w14:textId="58829259" w:rsidR="00E841FA" w:rsidRPr="004F6AFE" w:rsidRDefault="00E841FA" w:rsidP="00E841FA">
            <w:pPr>
              <w:pStyle w:val="BodyNumbered"/>
              <w:numPr>
                <w:ilvl w:val="0"/>
                <w:numId w:val="0"/>
              </w:numPr>
              <w:ind w:left="22"/>
            </w:pPr>
            <w:r w:rsidRPr="004F6AFE">
              <w:t>Please add in any further suggestions</w:t>
            </w:r>
            <w:r w:rsidR="0030438A" w:rsidRPr="004F6AFE">
              <w:t xml:space="preserve"> and comments relevant to the requirement stated </w:t>
            </w:r>
            <w:r w:rsidR="004F6AFE" w:rsidRPr="004F6AFE">
              <w:t>above that</w:t>
            </w:r>
            <w:r w:rsidRPr="004F6AFE">
              <w:t xml:space="preserve"> </w:t>
            </w:r>
            <w:r w:rsidR="0030438A" w:rsidRPr="004F6AFE">
              <w:t xml:space="preserve">you </w:t>
            </w:r>
            <w:r w:rsidRPr="004F6AFE">
              <w:t xml:space="preserve">feel will benefit </w:t>
            </w:r>
            <w:r w:rsidR="004462BE" w:rsidRPr="004F6AFE">
              <w:t>CCC</w:t>
            </w:r>
            <w:r w:rsidRPr="004F6AFE">
              <w:t xml:space="preserve"> for its procurement process.</w:t>
            </w:r>
          </w:p>
          <w:p w14:paraId="3C58EEDA" w14:textId="77777777" w:rsidR="0030438A" w:rsidRPr="004F6AFE" w:rsidRDefault="0030438A" w:rsidP="00E841FA">
            <w:pPr>
              <w:pStyle w:val="BodyNumbered"/>
              <w:numPr>
                <w:ilvl w:val="0"/>
                <w:numId w:val="0"/>
              </w:numPr>
              <w:ind w:left="22"/>
            </w:pPr>
          </w:p>
          <w:p w14:paraId="6EECA98B" w14:textId="785C5F49" w:rsidR="0030438A" w:rsidRPr="004F6AFE" w:rsidRDefault="0030438A" w:rsidP="00E841FA">
            <w:pPr>
              <w:pStyle w:val="BodyNumbered"/>
              <w:numPr>
                <w:ilvl w:val="0"/>
                <w:numId w:val="0"/>
              </w:numPr>
              <w:ind w:left="22"/>
            </w:pPr>
            <w:r w:rsidRPr="004F6AFE">
              <w:t>Please DO NOT provide marketing</w:t>
            </w:r>
            <w:r w:rsidR="004F6AFE" w:rsidRPr="004F6AFE">
              <w:t xml:space="preserve"> or promotional literature. </w:t>
            </w:r>
          </w:p>
        </w:tc>
        <w:tc>
          <w:tcPr>
            <w:tcW w:w="1858" w:type="pct"/>
          </w:tcPr>
          <w:p w14:paraId="08312CE4" w14:textId="77777777" w:rsidR="00E841FA" w:rsidRDefault="00E841FA" w:rsidP="00E841FA"/>
        </w:tc>
      </w:tr>
    </w:tbl>
    <w:p w14:paraId="6226E5F8" w14:textId="77777777" w:rsidR="00207253" w:rsidRDefault="00207253" w:rsidP="00207253"/>
    <w:p w14:paraId="3E4CEA0D" w14:textId="2C53E4A1" w:rsidR="00D67398" w:rsidRDefault="00D67398" w:rsidP="00207253"/>
    <w:p w14:paraId="0051014A" w14:textId="77777777" w:rsidR="009E5C9B" w:rsidRDefault="009E5C9B" w:rsidP="00207253"/>
    <w:p w14:paraId="7FF0364F" w14:textId="77777777" w:rsidR="009E5C9B" w:rsidRDefault="009E5C9B" w:rsidP="00730414">
      <w:pPr>
        <w:spacing w:after="0" w:line="240" w:lineRule="auto"/>
        <w:rPr>
          <w:rFonts w:ascii="Times New Roman" w:eastAsia="Times New Roman" w:hAnsi="Times New Roman" w:cs="Times New Roman"/>
          <w:szCs w:val="24"/>
          <w:lang w:eastAsia="en-GB"/>
        </w:rPr>
      </w:pPr>
    </w:p>
    <w:p w14:paraId="385D747F" w14:textId="00C550B8" w:rsidR="009E5C9B" w:rsidRPr="00D035A6" w:rsidRDefault="009E5C9B" w:rsidP="00730414">
      <w:pPr>
        <w:spacing w:after="0" w:line="240" w:lineRule="auto"/>
        <w:rPr>
          <w:rFonts w:eastAsia="Times New Roman" w:cstheme="minorHAnsi"/>
          <w:b/>
          <w:bCs/>
          <w:szCs w:val="24"/>
          <w:u w:val="single"/>
          <w:lang w:eastAsia="en-GB"/>
        </w:rPr>
      </w:pPr>
      <w:r w:rsidRPr="00D035A6">
        <w:rPr>
          <w:rFonts w:eastAsia="Times New Roman" w:cstheme="minorHAnsi"/>
          <w:b/>
          <w:bCs/>
          <w:szCs w:val="24"/>
          <w:u w:val="single"/>
          <w:lang w:eastAsia="en-GB"/>
        </w:rPr>
        <w:t>Appendix 1: Open &amp; Closed Frameworks under PA23</w:t>
      </w:r>
    </w:p>
    <w:p w14:paraId="75E8709C" w14:textId="3D607461" w:rsidR="000B68D6" w:rsidRPr="009E5C9B" w:rsidRDefault="00730414" w:rsidP="00730414">
      <w:pPr>
        <w:spacing w:after="0" w:line="240" w:lineRule="auto"/>
        <w:rPr>
          <w:rFonts w:eastAsia="Times New Roman" w:cstheme="minorHAnsi"/>
          <w:szCs w:val="24"/>
          <w:lang w:eastAsia="en-GB"/>
        </w:rPr>
      </w:pPr>
      <w:r w:rsidRPr="00730414">
        <w:rPr>
          <w:rFonts w:eastAsia="Times New Roman" w:cstheme="minorHAnsi"/>
          <w:szCs w:val="24"/>
          <w:lang w:eastAsia="en-GB"/>
        </w:rPr>
        <w:t> </w:t>
      </w:r>
    </w:p>
    <w:tbl>
      <w:tblPr>
        <w:tblW w:w="9062" w:type="dxa"/>
        <w:tblCellMar>
          <w:left w:w="0" w:type="dxa"/>
          <w:right w:w="0" w:type="dxa"/>
        </w:tblCellMar>
        <w:tblLook w:val="04A0" w:firstRow="1" w:lastRow="0" w:firstColumn="1" w:lastColumn="0" w:noHBand="0" w:noVBand="1"/>
        <w:tblCaption w:val=""/>
        <w:tblDescription w:val=""/>
      </w:tblPr>
      <w:tblGrid>
        <w:gridCol w:w="3403"/>
        <w:gridCol w:w="1911"/>
        <w:gridCol w:w="3748"/>
      </w:tblGrid>
      <w:tr w:rsidR="009E5C9B" w:rsidRPr="009E5C9B" w14:paraId="2AC716BF" w14:textId="77777777" w:rsidTr="00EB56B2">
        <w:tc>
          <w:tcPr>
            <w:tcW w:w="34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50781" w14:textId="77777777" w:rsidR="009E5C9B" w:rsidRPr="009E5C9B" w:rsidRDefault="009E5C9B">
            <w:pPr>
              <w:rPr>
                <w:rFonts w:cstheme="minorHAnsi"/>
                <w:sz w:val="22"/>
              </w:rPr>
            </w:pPr>
            <w:r w:rsidRPr="009E5C9B">
              <w:rPr>
                <w:rFonts w:cstheme="minorHAnsi"/>
              </w:rPr>
              <w:t>Area</w:t>
            </w:r>
          </w:p>
        </w:tc>
        <w:tc>
          <w:tcPr>
            <w:tcW w:w="191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A6DE35D" w14:textId="4BEDC7FC" w:rsidR="009E5C9B" w:rsidRPr="009E5C9B" w:rsidRDefault="007236E0">
            <w:pPr>
              <w:rPr>
                <w:rFonts w:cstheme="minorHAnsi"/>
              </w:rPr>
            </w:pPr>
            <w:r>
              <w:rPr>
                <w:rFonts w:cstheme="minorHAnsi"/>
              </w:rPr>
              <w:t xml:space="preserve">“Closed” </w:t>
            </w:r>
            <w:r w:rsidR="009E5C9B" w:rsidRPr="009E5C9B">
              <w:rPr>
                <w:rFonts w:cstheme="minorHAnsi"/>
              </w:rPr>
              <w:t>Framework</w:t>
            </w:r>
          </w:p>
        </w:tc>
        <w:tc>
          <w:tcPr>
            <w:tcW w:w="374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04B8383C" w14:textId="5D9B30CC" w:rsidR="009E5C9B" w:rsidRPr="009E5C9B" w:rsidRDefault="007236E0">
            <w:pPr>
              <w:rPr>
                <w:rFonts w:cstheme="minorHAnsi"/>
              </w:rPr>
            </w:pPr>
            <w:r>
              <w:rPr>
                <w:rFonts w:cstheme="minorHAnsi"/>
              </w:rPr>
              <w:t>“</w:t>
            </w:r>
            <w:r w:rsidR="009E5C9B" w:rsidRPr="009E5C9B">
              <w:rPr>
                <w:rFonts w:cstheme="minorHAnsi"/>
              </w:rPr>
              <w:t>Open</w:t>
            </w:r>
            <w:r>
              <w:rPr>
                <w:rFonts w:cstheme="minorHAnsi"/>
              </w:rPr>
              <w:t>”</w:t>
            </w:r>
            <w:r w:rsidR="009E5C9B" w:rsidRPr="009E5C9B">
              <w:rPr>
                <w:rFonts w:cstheme="minorHAnsi"/>
              </w:rPr>
              <w:t xml:space="preserve"> Framework</w:t>
            </w:r>
          </w:p>
        </w:tc>
      </w:tr>
      <w:tr w:rsidR="009E5C9B" w:rsidRPr="009E5C9B" w14:paraId="0B01DA2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B70BF91"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Maximum Duration</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F71D771" w14:textId="743F0858" w:rsidR="009E5C9B" w:rsidRPr="009E5C9B" w:rsidRDefault="009E5C9B">
            <w:pPr>
              <w:rPr>
                <w:rFonts w:cstheme="minorHAnsi"/>
              </w:rPr>
            </w:pPr>
            <w:r w:rsidRPr="009E5C9B">
              <w:rPr>
                <w:rFonts w:cstheme="minorHAnsi"/>
              </w:rPr>
              <w:t>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4D630BFA" w14:textId="31300D02" w:rsidR="009E5C9B" w:rsidRPr="009E5C9B" w:rsidRDefault="009E5C9B">
            <w:pPr>
              <w:rPr>
                <w:rFonts w:cstheme="minorHAnsi"/>
              </w:rPr>
            </w:pPr>
            <w:r w:rsidRPr="009E5C9B">
              <w:rPr>
                <w:rFonts w:cstheme="minorHAnsi"/>
              </w:rPr>
              <w:t xml:space="preserve">Maximum </w:t>
            </w:r>
            <w:proofErr w:type="gramStart"/>
            <w:r w:rsidRPr="009E5C9B">
              <w:rPr>
                <w:rFonts w:cstheme="minorHAnsi"/>
              </w:rPr>
              <w:t>8 year</w:t>
            </w:r>
            <w:proofErr w:type="gramEnd"/>
            <w:r w:rsidRPr="009E5C9B">
              <w:rPr>
                <w:rFonts w:cstheme="minorHAnsi"/>
              </w:rPr>
              <w:t xml:space="preserve"> term (with minimum reopening periods) final framework in the scheme to expire 8 years from the day the first framework was awarded</w:t>
            </w:r>
          </w:p>
        </w:tc>
      </w:tr>
      <w:tr w:rsidR="009E5C9B" w:rsidRPr="009E5C9B" w14:paraId="0E8DCC05"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11A3F76"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Number of Suppliers</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47018E66" w14:textId="77777777" w:rsidR="009E5C9B" w:rsidRPr="009E5C9B" w:rsidRDefault="009E5C9B">
            <w:pPr>
              <w:rPr>
                <w:rFonts w:cstheme="minorHAnsi"/>
              </w:rPr>
            </w:pPr>
            <w:r w:rsidRPr="009E5C9B">
              <w:rPr>
                <w:rFonts w:cstheme="minorHAnsi"/>
              </w:rPr>
              <w:t>No minimum or maximum</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21C0B48D" w14:textId="3DA9ADEA" w:rsidR="009E5C9B" w:rsidRPr="009E5C9B" w:rsidRDefault="009E5C9B">
            <w:pPr>
              <w:rPr>
                <w:rFonts w:cstheme="minorHAnsi"/>
              </w:rPr>
            </w:pPr>
            <w:r w:rsidRPr="009E5C9B">
              <w:rPr>
                <w:rFonts w:cstheme="minorHAnsi"/>
              </w:rPr>
              <w:t xml:space="preserve">Minimum of 2 suppliers, no maximum to take advantage of the maximum </w:t>
            </w:r>
            <w:r w:rsidR="00FC5F14" w:rsidRPr="009E5C9B">
              <w:rPr>
                <w:rFonts w:cstheme="minorHAnsi"/>
              </w:rPr>
              <w:t>8-year</w:t>
            </w:r>
            <w:r w:rsidRPr="009E5C9B">
              <w:rPr>
                <w:rFonts w:cstheme="minorHAnsi"/>
              </w:rPr>
              <w:t xml:space="preserve"> term</w:t>
            </w:r>
          </w:p>
        </w:tc>
      </w:tr>
      <w:tr w:rsidR="009E5C9B" w:rsidRPr="009E5C9B" w14:paraId="18EE80F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0D89462"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Can the number of Suppliers be limited</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3FC17920" w14:textId="77777777" w:rsidR="009E5C9B" w:rsidRPr="009E5C9B" w:rsidRDefault="009E5C9B">
            <w:pPr>
              <w:rPr>
                <w:rFonts w:cstheme="minorHAnsi"/>
              </w:rPr>
            </w:pPr>
            <w:r w:rsidRPr="009E5C9B">
              <w:rPr>
                <w:rFonts w:cstheme="minorHAnsi"/>
              </w:rPr>
              <w:t>Yes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7C508E79" w14:textId="77777777" w:rsidR="009E5C9B" w:rsidRPr="009E5C9B" w:rsidRDefault="009E5C9B">
            <w:pPr>
              <w:rPr>
                <w:rFonts w:cstheme="minorHAnsi"/>
              </w:rPr>
            </w:pPr>
            <w:r w:rsidRPr="009E5C9B">
              <w:rPr>
                <w:rFonts w:cstheme="minorHAnsi"/>
              </w:rPr>
              <w:t>Yes</w:t>
            </w:r>
          </w:p>
        </w:tc>
      </w:tr>
      <w:tr w:rsidR="009E5C9B" w:rsidRPr="009E5C9B" w14:paraId="5DB8044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0D5D73A"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Ability to add additional suppliers throughout the term</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6AE8397" w14:textId="550AB229" w:rsidR="009E5C9B" w:rsidRPr="009E5C9B" w:rsidRDefault="009E5C9B">
            <w:pPr>
              <w:rPr>
                <w:rFonts w:cstheme="minorHAnsi"/>
              </w:rPr>
            </w:pPr>
            <w:r w:rsidRPr="009E5C9B">
              <w:rPr>
                <w:rFonts w:cstheme="minorHAnsi"/>
              </w:rPr>
              <w:t>No, suppliers are fixed from point of award to termination (up to 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1FFB288D" w14:textId="77777777" w:rsidR="009E5C9B" w:rsidRPr="009E5C9B" w:rsidRDefault="009E5C9B">
            <w:pPr>
              <w:rPr>
                <w:rFonts w:cstheme="minorHAnsi"/>
              </w:rPr>
            </w:pPr>
            <w:r w:rsidRPr="009E5C9B">
              <w:rPr>
                <w:rFonts w:cstheme="minorHAnsi"/>
              </w:rPr>
              <w:t>Yes, when the framework is reopened</w:t>
            </w:r>
          </w:p>
        </w:tc>
      </w:tr>
      <w:tr w:rsidR="009E5C9B" w:rsidRPr="009E5C9B" w14:paraId="238DED7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78931EB"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Awarding contracts (calling off)</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654D0206" w14:textId="77777777" w:rsidR="009E5C9B" w:rsidRPr="009E5C9B" w:rsidRDefault="009E5C9B">
            <w:pPr>
              <w:rPr>
                <w:rFonts w:cstheme="minorHAnsi"/>
              </w:rPr>
            </w:pPr>
            <w:r w:rsidRPr="009E5C9B">
              <w:rPr>
                <w:rFonts w:cstheme="minorHAnsi"/>
              </w:rPr>
              <w:t>Award with or without further competition</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5653918C" w14:textId="77777777" w:rsidR="009E5C9B" w:rsidRPr="009E5C9B" w:rsidRDefault="009E5C9B">
            <w:pPr>
              <w:rPr>
                <w:rFonts w:cstheme="minorHAnsi"/>
              </w:rPr>
            </w:pPr>
            <w:r w:rsidRPr="009E5C9B">
              <w:rPr>
                <w:rFonts w:cstheme="minorHAnsi"/>
              </w:rPr>
              <w:t>Award with or without further competition</w:t>
            </w:r>
          </w:p>
        </w:tc>
      </w:tr>
    </w:tbl>
    <w:p w14:paraId="51A1D87D" w14:textId="08B72A8F" w:rsidR="00730414" w:rsidRPr="00730414" w:rsidRDefault="00730414" w:rsidP="00730414">
      <w:pPr>
        <w:spacing w:after="0" w:line="240" w:lineRule="auto"/>
        <w:rPr>
          <w:rFonts w:eastAsia="Times New Roman" w:cstheme="minorHAnsi"/>
          <w:szCs w:val="24"/>
          <w:lang w:eastAsia="en-GB"/>
        </w:rPr>
      </w:pPr>
    </w:p>
    <w:p w14:paraId="6B073AF3" w14:textId="77777777" w:rsidR="00D67398" w:rsidRPr="009E5C9B" w:rsidRDefault="00D67398" w:rsidP="00207253">
      <w:pPr>
        <w:rPr>
          <w:rFonts w:cstheme="minorHAnsi"/>
        </w:rPr>
      </w:pPr>
    </w:p>
    <w:p w14:paraId="714B461B" w14:textId="77777777" w:rsidR="00D67398" w:rsidRPr="009E5C9B" w:rsidRDefault="00D67398" w:rsidP="00207253">
      <w:pPr>
        <w:rPr>
          <w:rFonts w:cstheme="minorHAnsi"/>
        </w:rPr>
      </w:pPr>
    </w:p>
    <w:p w14:paraId="3083F3E7" w14:textId="77777777" w:rsidR="004166F2" w:rsidRPr="009E5C9B" w:rsidRDefault="004166F2" w:rsidP="00207253">
      <w:pPr>
        <w:rPr>
          <w:rFonts w:cstheme="minorHAnsi"/>
        </w:rPr>
      </w:pPr>
    </w:p>
    <w:p w14:paraId="21E0945F" w14:textId="0C1C9265" w:rsidR="004623DF" w:rsidRPr="009E5C9B" w:rsidRDefault="004623DF" w:rsidP="00207253">
      <w:pPr>
        <w:rPr>
          <w:rFonts w:cstheme="minorHAnsi"/>
        </w:rPr>
      </w:pPr>
    </w:p>
    <w:sectPr w:rsidR="004623DF" w:rsidRPr="009E5C9B"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6641" w14:textId="77777777" w:rsidR="00E670D3" w:rsidRDefault="00E670D3" w:rsidP="00E02C0A">
      <w:pPr>
        <w:spacing w:after="0" w:line="240" w:lineRule="auto"/>
      </w:pPr>
      <w:r>
        <w:separator/>
      </w:r>
    </w:p>
  </w:endnote>
  <w:endnote w:type="continuationSeparator" w:id="0">
    <w:p w14:paraId="5E27EBAE" w14:textId="77777777" w:rsidR="00E670D3" w:rsidRDefault="00E670D3"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69D" w14:textId="537A5BE6" w:rsidR="00E02C0A" w:rsidRDefault="00FD369A">
    <w:pPr>
      <w:pStyle w:val="Footer"/>
    </w:pPr>
    <w:r>
      <w:rPr>
        <w:noProof/>
      </w:rPr>
      <mc:AlternateContent>
        <mc:Choice Requires="wps">
          <w:drawing>
            <wp:anchor distT="0" distB="0" distL="114300" distR="114300" simplePos="0" relativeHeight="251659264"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6"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961E" w14:textId="77777777" w:rsidR="00E670D3" w:rsidRDefault="00E670D3" w:rsidP="00E02C0A">
      <w:pPr>
        <w:spacing w:after="0" w:line="240" w:lineRule="auto"/>
      </w:pPr>
      <w:r>
        <w:separator/>
      </w:r>
    </w:p>
  </w:footnote>
  <w:footnote w:type="continuationSeparator" w:id="0">
    <w:p w14:paraId="28D90056" w14:textId="77777777" w:rsidR="00E670D3" w:rsidRDefault="00E670D3"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E2CA" w14:textId="0B615E02"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D7CFF"/>
    <w:multiLevelType w:val="multilevel"/>
    <w:tmpl w:val="2FD8F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41608"/>
    <w:multiLevelType w:val="multilevel"/>
    <w:tmpl w:val="F0300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51EC5"/>
    <w:multiLevelType w:val="multilevel"/>
    <w:tmpl w:val="6106B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4584"/>
    <w:multiLevelType w:val="multilevel"/>
    <w:tmpl w:val="892CF758"/>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19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91B4E"/>
    <w:multiLevelType w:val="multilevel"/>
    <w:tmpl w:val="4E22D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82250"/>
    <w:multiLevelType w:val="multilevel"/>
    <w:tmpl w:val="947E3CD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5E3BBC"/>
    <w:multiLevelType w:val="hybridMultilevel"/>
    <w:tmpl w:val="BF84CA7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5" w15:restartNumberingAfterBreak="0">
    <w:nsid w:val="54906F3B"/>
    <w:multiLevelType w:val="multilevel"/>
    <w:tmpl w:val="D21E7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66462"/>
    <w:multiLevelType w:val="hybridMultilevel"/>
    <w:tmpl w:val="955A16CE"/>
    <w:lvl w:ilvl="0" w:tplc="A380FDA6">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7"/>
  </w:num>
  <w:num w:numId="2" w16cid:durableId="2109347013">
    <w:abstractNumId w:val="19"/>
  </w:num>
  <w:num w:numId="3" w16cid:durableId="620111956">
    <w:abstractNumId w:val="22"/>
  </w:num>
  <w:num w:numId="4" w16cid:durableId="1809935521">
    <w:abstractNumId w:val="31"/>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33"/>
  </w:num>
  <w:num w:numId="16" w16cid:durableId="1028145706">
    <w:abstractNumId w:val="15"/>
  </w:num>
  <w:num w:numId="17" w16cid:durableId="247272127">
    <w:abstractNumId w:val="17"/>
  </w:num>
  <w:num w:numId="18" w16cid:durableId="697972898">
    <w:abstractNumId w:val="16"/>
  </w:num>
  <w:num w:numId="19" w16cid:durableId="1481919352">
    <w:abstractNumId w:val="13"/>
  </w:num>
  <w:num w:numId="20" w16cid:durableId="1877691506">
    <w:abstractNumId w:val="28"/>
  </w:num>
  <w:num w:numId="21" w16cid:durableId="1886215213">
    <w:abstractNumId w:val="34"/>
  </w:num>
  <w:num w:numId="22" w16cid:durableId="1918322965">
    <w:abstractNumId w:val="18"/>
  </w:num>
  <w:num w:numId="23" w16cid:durableId="1753355842">
    <w:abstractNumId w:val="21"/>
  </w:num>
  <w:num w:numId="24" w16cid:durableId="670839423">
    <w:abstractNumId w:val="29"/>
  </w:num>
  <w:num w:numId="25" w16cid:durableId="1779062512">
    <w:abstractNumId w:val="35"/>
  </w:num>
  <w:num w:numId="26" w16cid:durableId="29189937">
    <w:abstractNumId w:val="10"/>
  </w:num>
  <w:num w:numId="27" w16cid:durableId="17388464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32"/>
  </w:num>
  <w:num w:numId="29" w16cid:durableId="914824708">
    <w:abstractNumId w:val="26"/>
  </w:num>
  <w:num w:numId="30" w16cid:durableId="1057162996">
    <w:abstractNumId w:val="23"/>
  </w:num>
  <w:num w:numId="31" w16cid:durableId="313797334">
    <w:abstractNumId w:val="30"/>
  </w:num>
  <w:num w:numId="32" w16cid:durableId="196276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9197693">
    <w:abstractNumId w:val="24"/>
  </w:num>
  <w:num w:numId="34" w16cid:durableId="2042968659">
    <w:abstractNumId w:val="25"/>
    <w:lvlOverride w:ilvl="0"/>
    <w:lvlOverride w:ilvl="1">
      <w:startOverride w:val="2"/>
    </w:lvlOverride>
    <w:lvlOverride w:ilvl="2"/>
    <w:lvlOverride w:ilvl="3"/>
    <w:lvlOverride w:ilvl="4"/>
    <w:lvlOverride w:ilvl="5"/>
    <w:lvlOverride w:ilvl="6"/>
    <w:lvlOverride w:ilvl="7"/>
    <w:lvlOverride w:ilvl="8"/>
  </w:num>
  <w:num w:numId="35" w16cid:durableId="766535587">
    <w:abstractNumId w:val="12"/>
    <w:lvlOverride w:ilvl="0"/>
    <w:lvlOverride w:ilvl="1">
      <w:startOverride w:val="3"/>
    </w:lvlOverride>
    <w:lvlOverride w:ilvl="2"/>
    <w:lvlOverride w:ilvl="3"/>
    <w:lvlOverride w:ilvl="4"/>
    <w:lvlOverride w:ilvl="5"/>
    <w:lvlOverride w:ilvl="6"/>
    <w:lvlOverride w:ilvl="7"/>
    <w:lvlOverride w:ilvl="8"/>
  </w:num>
  <w:num w:numId="36" w16cid:durableId="1528979263">
    <w:abstractNumId w:val="11"/>
    <w:lvlOverride w:ilvl="0"/>
    <w:lvlOverride w:ilvl="1">
      <w:startOverride w:val="4"/>
    </w:lvlOverride>
    <w:lvlOverride w:ilvl="2"/>
    <w:lvlOverride w:ilvl="3"/>
    <w:lvlOverride w:ilvl="4"/>
    <w:lvlOverride w:ilvl="5"/>
    <w:lvlOverride w:ilvl="6"/>
    <w:lvlOverride w:ilvl="7"/>
    <w:lvlOverride w:ilvl="8"/>
  </w:num>
  <w:num w:numId="37" w16cid:durableId="1238443698">
    <w:abstractNumId w:val="20"/>
    <w:lvlOverride w:ilvl="0"/>
    <w:lvlOverride w:ilvl="1">
      <w:startOverride w:val="5"/>
    </w:lvlOverride>
    <w:lvlOverride w:ilvl="2"/>
    <w:lvlOverride w:ilvl="3"/>
    <w:lvlOverride w:ilvl="4"/>
    <w:lvlOverride w:ilvl="5"/>
    <w:lvlOverride w:ilvl="6"/>
    <w:lvlOverride w:ilvl="7"/>
    <w:lvlOverride w:ilvl="8"/>
  </w:num>
  <w:num w:numId="38" w16cid:durableId="1093084581">
    <w:abstractNumId w:val="14"/>
    <w:lvlOverride w:ilvl="0"/>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31C0"/>
    <w:rsid w:val="0000431B"/>
    <w:rsid w:val="000074B8"/>
    <w:rsid w:val="00021338"/>
    <w:rsid w:val="000352F9"/>
    <w:rsid w:val="00035E2A"/>
    <w:rsid w:val="00046422"/>
    <w:rsid w:val="000501F2"/>
    <w:rsid w:val="00065B81"/>
    <w:rsid w:val="00072B00"/>
    <w:rsid w:val="00076A6F"/>
    <w:rsid w:val="00076B27"/>
    <w:rsid w:val="00093EE0"/>
    <w:rsid w:val="000A60CE"/>
    <w:rsid w:val="000B68D6"/>
    <w:rsid w:val="000B6B6B"/>
    <w:rsid w:val="000D2F02"/>
    <w:rsid w:val="000E295A"/>
    <w:rsid w:val="000E6C81"/>
    <w:rsid w:val="000F0CCA"/>
    <w:rsid w:val="000F6E06"/>
    <w:rsid w:val="00124CEA"/>
    <w:rsid w:val="0013702F"/>
    <w:rsid w:val="0015285C"/>
    <w:rsid w:val="00163389"/>
    <w:rsid w:val="00163E2F"/>
    <w:rsid w:val="00182C0C"/>
    <w:rsid w:val="0019598E"/>
    <w:rsid w:val="001B1BCF"/>
    <w:rsid w:val="001C347C"/>
    <w:rsid w:val="001C611F"/>
    <w:rsid w:val="001C7B51"/>
    <w:rsid w:val="001D0BAE"/>
    <w:rsid w:val="001F1F3E"/>
    <w:rsid w:val="0020010B"/>
    <w:rsid w:val="00207253"/>
    <w:rsid w:val="0021711C"/>
    <w:rsid w:val="00230E5B"/>
    <w:rsid w:val="002355DE"/>
    <w:rsid w:val="0025408F"/>
    <w:rsid w:val="00272D11"/>
    <w:rsid w:val="0028397E"/>
    <w:rsid w:val="00290002"/>
    <w:rsid w:val="00295AFF"/>
    <w:rsid w:val="00296EBA"/>
    <w:rsid w:val="002B4949"/>
    <w:rsid w:val="002B7C81"/>
    <w:rsid w:val="002C01C8"/>
    <w:rsid w:val="002D3CC3"/>
    <w:rsid w:val="002E56CB"/>
    <w:rsid w:val="002F5D5A"/>
    <w:rsid w:val="002F7FAD"/>
    <w:rsid w:val="0030438A"/>
    <w:rsid w:val="00305B69"/>
    <w:rsid w:val="003176C1"/>
    <w:rsid w:val="00325F7E"/>
    <w:rsid w:val="0032744F"/>
    <w:rsid w:val="003413D7"/>
    <w:rsid w:val="00357EB5"/>
    <w:rsid w:val="003715AE"/>
    <w:rsid w:val="003A389C"/>
    <w:rsid w:val="003A39A5"/>
    <w:rsid w:val="003A73C6"/>
    <w:rsid w:val="003B3198"/>
    <w:rsid w:val="003B42C5"/>
    <w:rsid w:val="003B49DF"/>
    <w:rsid w:val="003B515E"/>
    <w:rsid w:val="003D48CD"/>
    <w:rsid w:val="003E34E1"/>
    <w:rsid w:val="003E5565"/>
    <w:rsid w:val="003E7B38"/>
    <w:rsid w:val="003F2647"/>
    <w:rsid w:val="003F5906"/>
    <w:rsid w:val="00406648"/>
    <w:rsid w:val="00412B9C"/>
    <w:rsid w:val="00413A42"/>
    <w:rsid w:val="00414EC9"/>
    <w:rsid w:val="00415E0D"/>
    <w:rsid w:val="004166F2"/>
    <w:rsid w:val="00422C05"/>
    <w:rsid w:val="004261F5"/>
    <w:rsid w:val="00434F2D"/>
    <w:rsid w:val="004462BE"/>
    <w:rsid w:val="004623DF"/>
    <w:rsid w:val="00476569"/>
    <w:rsid w:val="00483DAE"/>
    <w:rsid w:val="0048439C"/>
    <w:rsid w:val="00491E99"/>
    <w:rsid w:val="00493A39"/>
    <w:rsid w:val="004B11BF"/>
    <w:rsid w:val="004C28B1"/>
    <w:rsid w:val="004D14DB"/>
    <w:rsid w:val="004E1561"/>
    <w:rsid w:val="004F6AFE"/>
    <w:rsid w:val="005109A4"/>
    <w:rsid w:val="00522ADB"/>
    <w:rsid w:val="0055544B"/>
    <w:rsid w:val="00555D09"/>
    <w:rsid w:val="00562A88"/>
    <w:rsid w:val="00575C0F"/>
    <w:rsid w:val="00586C6C"/>
    <w:rsid w:val="005B083C"/>
    <w:rsid w:val="005B28D5"/>
    <w:rsid w:val="005C5EDA"/>
    <w:rsid w:val="005C69CF"/>
    <w:rsid w:val="005E09AF"/>
    <w:rsid w:val="005E0BF1"/>
    <w:rsid w:val="005E5700"/>
    <w:rsid w:val="005E6901"/>
    <w:rsid w:val="005F4765"/>
    <w:rsid w:val="006031F1"/>
    <w:rsid w:val="006406DE"/>
    <w:rsid w:val="006641FF"/>
    <w:rsid w:val="00667A77"/>
    <w:rsid w:val="00680CE5"/>
    <w:rsid w:val="00683D94"/>
    <w:rsid w:val="006863D2"/>
    <w:rsid w:val="00692E6B"/>
    <w:rsid w:val="006971A2"/>
    <w:rsid w:val="00697234"/>
    <w:rsid w:val="006B0354"/>
    <w:rsid w:val="006B3CFE"/>
    <w:rsid w:val="006B7794"/>
    <w:rsid w:val="006C0ADC"/>
    <w:rsid w:val="006C51E8"/>
    <w:rsid w:val="006D3BC4"/>
    <w:rsid w:val="006E06AB"/>
    <w:rsid w:val="006F18FA"/>
    <w:rsid w:val="006F2ED3"/>
    <w:rsid w:val="007236E0"/>
    <w:rsid w:val="00725B41"/>
    <w:rsid w:val="007267D2"/>
    <w:rsid w:val="00730414"/>
    <w:rsid w:val="00772773"/>
    <w:rsid w:val="00776089"/>
    <w:rsid w:val="0077774B"/>
    <w:rsid w:val="007A486D"/>
    <w:rsid w:val="007A5B87"/>
    <w:rsid w:val="007E1182"/>
    <w:rsid w:val="00807E62"/>
    <w:rsid w:val="00811B58"/>
    <w:rsid w:val="00817BAB"/>
    <w:rsid w:val="008279D4"/>
    <w:rsid w:val="00852FDC"/>
    <w:rsid w:val="00861B69"/>
    <w:rsid w:val="008811C7"/>
    <w:rsid w:val="008813BD"/>
    <w:rsid w:val="00895439"/>
    <w:rsid w:val="008B28C0"/>
    <w:rsid w:val="008C1851"/>
    <w:rsid w:val="008D0B17"/>
    <w:rsid w:val="008D77D9"/>
    <w:rsid w:val="008E065E"/>
    <w:rsid w:val="008F632F"/>
    <w:rsid w:val="008F79F5"/>
    <w:rsid w:val="009021F5"/>
    <w:rsid w:val="009131E6"/>
    <w:rsid w:val="00920950"/>
    <w:rsid w:val="0092376E"/>
    <w:rsid w:val="00951B45"/>
    <w:rsid w:val="009542AB"/>
    <w:rsid w:val="00954957"/>
    <w:rsid w:val="00960625"/>
    <w:rsid w:val="009674B5"/>
    <w:rsid w:val="00967F73"/>
    <w:rsid w:val="0097512F"/>
    <w:rsid w:val="00975B69"/>
    <w:rsid w:val="00990AAA"/>
    <w:rsid w:val="00991E88"/>
    <w:rsid w:val="00994DA2"/>
    <w:rsid w:val="009A2BF8"/>
    <w:rsid w:val="009A6C1A"/>
    <w:rsid w:val="009B0817"/>
    <w:rsid w:val="009B490B"/>
    <w:rsid w:val="009C1DD0"/>
    <w:rsid w:val="009C681C"/>
    <w:rsid w:val="009E5C9B"/>
    <w:rsid w:val="009E76B5"/>
    <w:rsid w:val="009F2F68"/>
    <w:rsid w:val="009F3DC7"/>
    <w:rsid w:val="009F63BC"/>
    <w:rsid w:val="00A13CEF"/>
    <w:rsid w:val="00A25DFD"/>
    <w:rsid w:val="00A31993"/>
    <w:rsid w:val="00A660FE"/>
    <w:rsid w:val="00A6754F"/>
    <w:rsid w:val="00A8401F"/>
    <w:rsid w:val="00A8654F"/>
    <w:rsid w:val="00A9153C"/>
    <w:rsid w:val="00A92DF8"/>
    <w:rsid w:val="00AC7D97"/>
    <w:rsid w:val="00AE7091"/>
    <w:rsid w:val="00AF4590"/>
    <w:rsid w:val="00AF7238"/>
    <w:rsid w:val="00AF799D"/>
    <w:rsid w:val="00B24B9E"/>
    <w:rsid w:val="00B30578"/>
    <w:rsid w:val="00B306DC"/>
    <w:rsid w:val="00B450F2"/>
    <w:rsid w:val="00B52967"/>
    <w:rsid w:val="00B534A9"/>
    <w:rsid w:val="00B5367F"/>
    <w:rsid w:val="00B6432F"/>
    <w:rsid w:val="00B75D8C"/>
    <w:rsid w:val="00B80C42"/>
    <w:rsid w:val="00B92ED7"/>
    <w:rsid w:val="00BA6E98"/>
    <w:rsid w:val="00BD2257"/>
    <w:rsid w:val="00BD7DFF"/>
    <w:rsid w:val="00BE3EEE"/>
    <w:rsid w:val="00C003AD"/>
    <w:rsid w:val="00C0322D"/>
    <w:rsid w:val="00C12843"/>
    <w:rsid w:val="00C130D9"/>
    <w:rsid w:val="00C21D0F"/>
    <w:rsid w:val="00C37394"/>
    <w:rsid w:val="00C4407B"/>
    <w:rsid w:val="00C57612"/>
    <w:rsid w:val="00C711E4"/>
    <w:rsid w:val="00C81796"/>
    <w:rsid w:val="00C948C2"/>
    <w:rsid w:val="00CA1895"/>
    <w:rsid w:val="00CA6470"/>
    <w:rsid w:val="00CB3E86"/>
    <w:rsid w:val="00CB5758"/>
    <w:rsid w:val="00CC58BD"/>
    <w:rsid w:val="00CD169F"/>
    <w:rsid w:val="00D014DA"/>
    <w:rsid w:val="00D035A6"/>
    <w:rsid w:val="00D05B83"/>
    <w:rsid w:val="00D073E3"/>
    <w:rsid w:val="00D07708"/>
    <w:rsid w:val="00D10850"/>
    <w:rsid w:val="00D20A5D"/>
    <w:rsid w:val="00D21394"/>
    <w:rsid w:val="00D33F77"/>
    <w:rsid w:val="00D40A5D"/>
    <w:rsid w:val="00D44815"/>
    <w:rsid w:val="00D5096D"/>
    <w:rsid w:val="00D55296"/>
    <w:rsid w:val="00D56EA8"/>
    <w:rsid w:val="00D67398"/>
    <w:rsid w:val="00D710C9"/>
    <w:rsid w:val="00D72613"/>
    <w:rsid w:val="00D775CE"/>
    <w:rsid w:val="00D829E9"/>
    <w:rsid w:val="00DA2EF3"/>
    <w:rsid w:val="00DB41CC"/>
    <w:rsid w:val="00DC4989"/>
    <w:rsid w:val="00DD1D6E"/>
    <w:rsid w:val="00DD376D"/>
    <w:rsid w:val="00DE4C37"/>
    <w:rsid w:val="00DE6B42"/>
    <w:rsid w:val="00DF0578"/>
    <w:rsid w:val="00DF05AF"/>
    <w:rsid w:val="00DF21D7"/>
    <w:rsid w:val="00E023AD"/>
    <w:rsid w:val="00E02C0A"/>
    <w:rsid w:val="00E03CEF"/>
    <w:rsid w:val="00E13DD6"/>
    <w:rsid w:val="00E17F8E"/>
    <w:rsid w:val="00E21895"/>
    <w:rsid w:val="00E32437"/>
    <w:rsid w:val="00E53538"/>
    <w:rsid w:val="00E61F2D"/>
    <w:rsid w:val="00E6249C"/>
    <w:rsid w:val="00E670D3"/>
    <w:rsid w:val="00E76242"/>
    <w:rsid w:val="00E8219F"/>
    <w:rsid w:val="00E841FA"/>
    <w:rsid w:val="00E90D85"/>
    <w:rsid w:val="00E95097"/>
    <w:rsid w:val="00EA12B1"/>
    <w:rsid w:val="00EA3E22"/>
    <w:rsid w:val="00EA7946"/>
    <w:rsid w:val="00EB56B2"/>
    <w:rsid w:val="00EC077F"/>
    <w:rsid w:val="00EC0932"/>
    <w:rsid w:val="00EC0C18"/>
    <w:rsid w:val="00EF06AE"/>
    <w:rsid w:val="00F0177B"/>
    <w:rsid w:val="00F1425B"/>
    <w:rsid w:val="00F2287F"/>
    <w:rsid w:val="00F23872"/>
    <w:rsid w:val="00F2793E"/>
    <w:rsid w:val="00F32026"/>
    <w:rsid w:val="00F36DD8"/>
    <w:rsid w:val="00F379FE"/>
    <w:rsid w:val="00F469B6"/>
    <w:rsid w:val="00F55C7D"/>
    <w:rsid w:val="00F67F28"/>
    <w:rsid w:val="00F72DD2"/>
    <w:rsid w:val="00F75AEA"/>
    <w:rsid w:val="00F87F63"/>
    <w:rsid w:val="00FA1D83"/>
    <w:rsid w:val="00FA2061"/>
    <w:rsid w:val="00FC1115"/>
    <w:rsid w:val="00FC5F14"/>
    <w:rsid w:val="00FD369A"/>
    <w:rsid w:val="00FF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 w:type="table" w:customStyle="1" w:styleId="TableGrid1">
    <w:name w:val="Table Grid1"/>
    <w:basedOn w:val="TableNormal"/>
    <w:next w:val="TableGrid"/>
    <w:uiPriority w:val="39"/>
    <w:rsid w:val="00B534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3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9158">
      <w:bodyDiv w:val="1"/>
      <w:marLeft w:val="0"/>
      <w:marRight w:val="0"/>
      <w:marTop w:val="0"/>
      <w:marBottom w:val="0"/>
      <w:divBdr>
        <w:top w:val="none" w:sz="0" w:space="0" w:color="auto"/>
        <w:left w:val="none" w:sz="0" w:space="0" w:color="auto"/>
        <w:bottom w:val="none" w:sz="0" w:space="0" w:color="auto"/>
        <w:right w:val="none" w:sz="0" w:space="0" w:color="auto"/>
      </w:divBdr>
      <w:divsChild>
        <w:div w:id="2007130626">
          <w:marLeft w:val="0"/>
          <w:marRight w:val="0"/>
          <w:marTop w:val="0"/>
          <w:marBottom w:val="0"/>
          <w:divBdr>
            <w:top w:val="none" w:sz="0" w:space="0" w:color="auto"/>
            <w:left w:val="none" w:sz="0" w:space="0" w:color="auto"/>
            <w:bottom w:val="none" w:sz="0" w:space="0" w:color="auto"/>
            <w:right w:val="none" w:sz="0" w:space="0" w:color="auto"/>
          </w:divBdr>
        </w:div>
        <w:div w:id="498082225">
          <w:marLeft w:val="0"/>
          <w:marRight w:val="0"/>
          <w:marTop w:val="0"/>
          <w:marBottom w:val="0"/>
          <w:divBdr>
            <w:top w:val="none" w:sz="0" w:space="0" w:color="auto"/>
            <w:left w:val="none" w:sz="0" w:space="0" w:color="auto"/>
            <w:bottom w:val="none" w:sz="0" w:space="0" w:color="auto"/>
            <w:right w:val="none" w:sz="0" w:space="0" w:color="auto"/>
          </w:divBdr>
        </w:div>
        <w:div w:id="213129532">
          <w:marLeft w:val="0"/>
          <w:marRight w:val="0"/>
          <w:marTop w:val="0"/>
          <w:marBottom w:val="0"/>
          <w:divBdr>
            <w:top w:val="none" w:sz="0" w:space="0" w:color="auto"/>
            <w:left w:val="none" w:sz="0" w:space="0" w:color="auto"/>
            <w:bottom w:val="none" w:sz="0" w:space="0" w:color="auto"/>
            <w:right w:val="none" w:sz="0" w:space="0" w:color="auto"/>
          </w:divBdr>
        </w:div>
      </w:divsChild>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 w:id="1678537390">
      <w:bodyDiv w:val="1"/>
      <w:marLeft w:val="0"/>
      <w:marRight w:val="0"/>
      <w:marTop w:val="0"/>
      <w:marBottom w:val="0"/>
      <w:divBdr>
        <w:top w:val="none" w:sz="0" w:space="0" w:color="auto"/>
        <w:left w:val="none" w:sz="0" w:space="0" w:color="auto"/>
        <w:bottom w:val="none" w:sz="0" w:space="0" w:color="auto"/>
        <w:right w:val="none" w:sz="0" w:space="0" w:color="auto"/>
      </w:divBdr>
    </w:div>
    <w:div w:id="1949776289">
      <w:bodyDiv w:val="1"/>
      <w:marLeft w:val="0"/>
      <w:marRight w:val="0"/>
      <w:marTop w:val="0"/>
      <w:marBottom w:val="0"/>
      <w:divBdr>
        <w:top w:val="none" w:sz="0" w:space="0" w:color="auto"/>
        <w:left w:val="none" w:sz="0" w:space="0" w:color="auto"/>
        <w:bottom w:val="none" w:sz="0" w:space="0" w:color="auto"/>
        <w:right w:val="none" w:sz="0" w:space="0" w:color="auto"/>
      </w:divBdr>
      <w:divsChild>
        <w:div w:id="739866095">
          <w:marLeft w:val="0"/>
          <w:marRight w:val="0"/>
          <w:marTop w:val="0"/>
          <w:marBottom w:val="0"/>
          <w:divBdr>
            <w:top w:val="none" w:sz="0" w:space="0" w:color="auto"/>
            <w:left w:val="none" w:sz="0" w:space="0" w:color="auto"/>
            <w:bottom w:val="none" w:sz="0" w:space="0" w:color="auto"/>
            <w:right w:val="none" w:sz="0" w:space="0" w:color="auto"/>
          </w:divBdr>
        </w:div>
      </w:divsChild>
    </w:div>
    <w:div w:id="20424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shire.gov.uk/business/supplying-to-the-council" TargetMode="External"/><Relationship Id="rId18" Type="http://schemas.openxmlformats.org/officeDocument/2006/relationships/hyperlink" Target="https://vimeo.com/845970399?share=copy" TargetMode="External"/><Relationship Id="rId3" Type="http://schemas.openxmlformats.org/officeDocument/2006/relationships/customXml" Target="../customXml/item3.xml"/><Relationship Id="rId21" Type="http://schemas.openxmlformats.org/officeDocument/2006/relationships/hyperlink" Target="Common%20Assessment%20Stand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meo.com/868771473/516477e028" TargetMode="External"/><Relationship Id="rId2" Type="http://schemas.openxmlformats.org/officeDocument/2006/relationships/customXml" Target="../customXml/item2.xml"/><Relationship Id="rId16" Type="http://schemas.openxmlformats.org/officeDocument/2006/relationships/hyperlink" Target="https://vimeo.com/859395473/ed40320689" TargetMode="External"/><Relationship Id="rId20" Type="http://schemas.openxmlformats.org/officeDocument/2006/relationships/hyperlink" Target="https://www.gov.uk/government/publications/procurement-act-2023-short-guides/the-procurement-act-2023-a-short-guide-for-suppli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tchmyprojec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meo.com/matchmy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collyns@cambridgeshi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20" ma:contentTypeDescription="Create a new document." ma:contentTypeScope="" ma:versionID="4d37104e8a3790870201e1757843a06d">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139654bcac7ed58665c59408f742884"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CDB99-B077-46E0-8931-B41C8F94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3.xml><?xml version="1.0" encoding="utf-8"?>
<ds:datastoreItem xmlns:ds="http://schemas.openxmlformats.org/officeDocument/2006/customXml" ds:itemID="{E81736E8-71A2-471D-80EC-B5BBDEB907CF}">
  <ds:schemaRefs>
    <ds:schemaRef ds:uri="http://schemas.microsoft.com/office/2006/documentManagement/types"/>
    <ds:schemaRef ds:uri="http://schemas.openxmlformats.org/package/2006/metadata/core-properties"/>
    <ds:schemaRef ds:uri="2ef90c7a-f505-45cf-a1ab-2dc9040cfcc1"/>
    <ds:schemaRef ds:uri="http://purl.org/dc/elements/1.1/"/>
    <ds:schemaRef ds:uri="http://schemas.microsoft.com/office/infopath/2007/PartnerControls"/>
    <ds:schemaRef ds:uri="http://purl.org/dc/dcmitype/"/>
    <ds:schemaRef ds:uri="http://www.w3.org/XML/1998/namespace"/>
    <ds:schemaRef ds:uri="284c636a-04d3-4383-8c75-bf975b29a04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3</cp:revision>
  <dcterms:created xsi:type="dcterms:W3CDTF">2025-02-13T16:42:00Z</dcterms:created>
  <dcterms:modified xsi:type="dcterms:W3CDTF">2025-02-18T11:01:00Z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