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2A7E" w14:textId="77777777" w:rsidR="00E8652C" w:rsidRDefault="00E8652C" w:rsidP="00CB420C">
      <w:pPr>
        <w:jc w:val="center"/>
        <w:rPr>
          <w:rFonts w:cstheme="minorHAnsi"/>
          <w:b/>
        </w:rPr>
      </w:pPr>
      <w:bookmarkStart w:id="0" w:name="_Hlk158971219"/>
      <w:bookmarkStart w:id="1" w:name="_Hlk199408127"/>
    </w:p>
    <w:p w14:paraId="20A17036" w14:textId="77777777" w:rsidR="00E8652C" w:rsidRPr="00960115" w:rsidRDefault="00E8652C" w:rsidP="00CB420C">
      <w:pPr>
        <w:jc w:val="center"/>
        <w:rPr>
          <w:rFonts w:cstheme="minorHAnsi"/>
          <w:b/>
          <w:sz w:val="40"/>
          <w:szCs w:val="40"/>
        </w:rPr>
      </w:pPr>
    </w:p>
    <w:p w14:paraId="674DAC96" w14:textId="77777777" w:rsidR="00E8652C" w:rsidRPr="00960115" w:rsidRDefault="00E8652C" w:rsidP="00CB420C">
      <w:pPr>
        <w:jc w:val="center"/>
        <w:rPr>
          <w:rFonts w:cstheme="minorHAnsi"/>
          <w:b/>
          <w:sz w:val="40"/>
          <w:szCs w:val="40"/>
        </w:rPr>
      </w:pPr>
    </w:p>
    <w:p w14:paraId="7F6A4703" w14:textId="77777777" w:rsidR="00E8652C" w:rsidRPr="00960115" w:rsidRDefault="00E8652C" w:rsidP="00CB420C">
      <w:pPr>
        <w:jc w:val="center"/>
        <w:rPr>
          <w:rFonts w:cstheme="minorHAnsi"/>
          <w:b/>
          <w:sz w:val="40"/>
          <w:szCs w:val="40"/>
        </w:rPr>
      </w:pPr>
    </w:p>
    <w:p w14:paraId="1CCEB5DB" w14:textId="77777777" w:rsidR="00960115" w:rsidRPr="00960115" w:rsidRDefault="00960115" w:rsidP="00960115">
      <w:pPr>
        <w:jc w:val="center"/>
        <w:rPr>
          <w:rFonts w:cstheme="minorHAnsi"/>
          <w:b/>
          <w:bCs/>
          <w:sz w:val="40"/>
          <w:szCs w:val="40"/>
        </w:rPr>
      </w:pPr>
      <w:r w:rsidRPr="00960115">
        <w:rPr>
          <w:rFonts w:cstheme="minorHAnsi"/>
          <w:b/>
          <w:bCs/>
          <w:sz w:val="40"/>
          <w:szCs w:val="40"/>
        </w:rPr>
        <w:t>Preliminary Market Engagement</w:t>
      </w:r>
    </w:p>
    <w:p w14:paraId="412366C7" w14:textId="54FDC44E" w:rsidR="00960115" w:rsidRPr="00960115" w:rsidRDefault="00E76C3C" w:rsidP="00960115">
      <w:pPr>
        <w:jc w:val="center"/>
        <w:rPr>
          <w:rFonts w:cstheme="minorHAnsi"/>
          <w:b/>
          <w:sz w:val="40"/>
          <w:szCs w:val="40"/>
        </w:rPr>
      </w:pPr>
      <w:r>
        <w:rPr>
          <w:rFonts w:cstheme="minorHAnsi"/>
          <w:b/>
          <w:sz w:val="40"/>
          <w:szCs w:val="40"/>
        </w:rPr>
        <w:t>The provision</w:t>
      </w:r>
      <w:r w:rsidR="008F2D0F">
        <w:rPr>
          <w:rFonts w:cstheme="minorHAnsi"/>
          <w:b/>
          <w:sz w:val="40"/>
          <w:szCs w:val="40"/>
        </w:rPr>
        <w:t xml:space="preserve"> of General Practitioner Services for Forensic Inpatients</w:t>
      </w:r>
    </w:p>
    <w:p w14:paraId="3124F129" w14:textId="77777777" w:rsidR="00960115" w:rsidRPr="00960115" w:rsidRDefault="00960115" w:rsidP="00960115">
      <w:pPr>
        <w:jc w:val="center"/>
        <w:rPr>
          <w:rFonts w:cstheme="minorHAnsi"/>
          <w:b/>
          <w:bCs/>
          <w:sz w:val="40"/>
          <w:szCs w:val="40"/>
        </w:rPr>
      </w:pPr>
    </w:p>
    <w:p w14:paraId="71448A62" w14:textId="580CD1A7" w:rsidR="00960115" w:rsidRPr="00960115" w:rsidRDefault="00413EA2" w:rsidP="00960115">
      <w:pPr>
        <w:jc w:val="center"/>
        <w:rPr>
          <w:rFonts w:cstheme="minorHAnsi"/>
          <w:b/>
          <w:bCs/>
          <w:sz w:val="40"/>
          <w:szCs w:val="40"/>
        </w:rPr>
      </w:pPr>
      <w:r>
        <w:rPr>
          <w:rFonts w:cstheme="minorHAnsi"/>
          <w:b/>
          <w:bCs/>
          <w:sz w:val="40"/>
          <w:szCs w:val="40"/>
        </w:rPr>
        <w:t xml:space="preserve">September </w:t>
      </w:r>
      <w:r w:rsidR="00960115" w:rsidRPr="00960115">
        <w:rPr>
          <w:rFonts w:cstheme="minorHAnsi"/>
          <w:b/>
          <w:bCs/>
          <w:sz w:val="40"/>
          <w:szCs w:val="40"/>
        </w:rPr>
        <w:t>2025</w:t>
      </w:r>
    </w:p>
    <w:p w14:paraId="6D7DBF4B" w14:textId="77777777" w:rsidR="00960115" w:rsidRPr="00960115" w:rsidRDefault="00960115" w:rsidP="00960115">
      <w:pPr>
        <w:jc w:val="center"/>
        <w:rPr>
          <w:rFonts w:cstheme="minorHAnsi"/>
          <w:b/>
          <w:bCs/>
          <w:sz w:val="40"/>
          <w:szCs w:val="40"/>
        </w:rPr>
      </w:pPr>
    </w:p>
    <w:p w14:paraId="0C209D74" w14:textId="5664DCC0" w:rsidR="00960115" w:rsidRDefault="00960115" w:rsidP="00960115">
      <w:pPr>
        <w:jc w:val="center"/>
        <w:rPr>
          <w:rFonts w:cstheme="minorHAnsi"/>
          <w:b/>
          <w:bCs/>
          <w:sz w:val="40"/>
          <w:szCs w:val="40"/>
        </w:rPr>
      </w:pPr>
      <w:r w:rsidRPr="00960115">
        <w:rPr>
          <w:rFonts w:cstheme="minorHAnsi"/>
          <w:b/>
          <w:bCs/>
          <w:sz w:val="40"/>
          <w:szCs w:val="40"/>
        </w:rPr>
        <w:t xml:space="preserve">Project Reference: </w:t>
      </w:r>
      <w:r w:rsidR="006F407D">
        <w:rPr>
          <w:rFonts w:cstheme="minorHAnsi"/>
          <w:b/>
          <w:bCs/>
          <w:sz w:val="40"/>
          <w:szCs w:val="40"/>
        </w:rPr>
        <w:t>Proc 90.025</w:t>
      </w:r>
    </w:p>
    <w:p w14:paraId="19E2CA37" w14:textId="5BB3B4A8" w:rsidR="006F407D" w:rsidRPr="00960115" w:rsidRDefault="006F407D" w:rsidP="00960115">
      <w:pPr>
        <w:jc w:val="center"/>
        <w:rPr>
          <w:rFonts w:cstheme="minorHAnsi"/>
          <w:b/>
          <w:bCs/>
          <w:sz w:val="40"/>
          <w:szCs w:val="40"/>
        </w:rPr>
      </w:pPr>
      <w:proofErr w:type="spellStart"/>
      <w:r>
        <w:rPr>
          <w:rFonts w:cstheme="minorHAnsi"/>
          <w:b/>
          <w:bCs/>
          <w:sz w:val="40"/>
          <w:szCs w:val="40"/>
        </w:rPr>
        <w:t>Atamis</w:t>
      </w:r>
      <w:proofErr w:type="spellEnd"/>
      <w:r>
        <w:rPr>
          <w:rFonts w:cstheme="minorHAnsi"/>
          <w:b/>
          <w:bCs/>
          <w:sz w:val="40"/>
          <w:szCs w:val="40"/>
        </w:rPr>
        <w:t xml:space="preserve"> Reference: </w:t>
      </w:r>
      <w:r w:rsidRPr="006F407D">
        <w:rPr>
          <w:rFonts w:cstheme="minorHAnsi"/>
          <w:b/>
          <w:bCs/>
          <w:sz w:val="40"/>
          <w:szCs w:val="40"/>
        </w:rPr>
        <w:t>C385831</w:t>
      </w:r>
    </w:p>
    <w:p w14:paraId="64ADBA3D" w14:textId="77777777" w:rsidR="00E8652C" w:rsidRDefault="00E8652C" w:rsidP="00CB420C">
      <w:pPr>
        <w:jc w:val="center"/>
        <w:rPr>
          <w:rFonts w:cstheme="minorHAnsi"/>
          <w:b/>
        </w:rPr>
      </w:pPr>
    </w:p>
    <w:p w14:paraId="4B153A8F" w14:textId="77777777" w:rsidR="00E8652C" w:rsidRDefault="00E8652C" w:rsidP="00CB420C">
      <w:pPr>
        <w:jc w:val="center"/>
        <w:rPr>
          <w:rFonts w:cstheme="minorHAnsi"/>
          <w:b/>
        </w:rPr>
      </w:pPr>
    </w:p>
    <w:p w14:paraId="731E269F" w14:textId="77777777" w:rsidR="00E8652C" w:rsidRDefault="00E8652C" w:rsidP="00CB420C">
      <w:pPr>
        <w:jc w:val="center"/>
        <w:rPr>
          <w:rFonts w:cstheme="minorHAnsi"/>
          <w:b/>
        </w:rPr>
      </w:pPr>
    </w:p>
    <w:p w14:paraId="6A9BF522" w14:textId="77777777" w:rsidR="00E8652C" w:rsidRDefault="00E8652C" w:rsidP="00CB420C">
      <w:pPr>
        <w:jc w:val="center"/>
        <w:rPr>
          <w:rFonts w:cstheme="minorHAnsi"/>
          <w:b/>
        </w:rPr>
      </w:pPr>
    </w:p>
    <w:p w14:paraId="435CD0F9" w14:textId="77777777" w:rsidR="00E8652C" w:rsidRDefault="00E8652C" w:rsidP="00CB420C">
      <w:pPr>
        <w:jc w:val="center"/>
        <w:rPr>
          <w:rFonts w:cstheme="minorHAnsi"/>
          <w:b/>
        </w:rPr>
      </w:pPr>
    </w:p>
    <w:p w14:paraId="0966F6FD" w14:textId="77777777" w:rsidR="00E8652C" w:rsidRDefault="00E8652C" w:rsidP="00CB420C">
      <w:pPr>
        <w:jc w:val="center"/>
        <w:rPr>
          <w:rFonts w:cstheme="minorHAnsi"/>
          <w:b/>
        </w:rPr>
      </w:pPr>
    </w:p>
    <w:p w14:paraId="71DCB8A1" w14:textId="77777777" w:rsidR="00E8652C" w:rsidRDefault="00E8652C" w:rsidP="00CB420C">
      <w:pPr>
        <w:jc w:val="center"/>
        <w:rPr>
          <w:rFonts w:cstheme="minorHAnsi"/>
          <w:b/>
        </w:rPr>
      </w:pPr>
    </w:p>
    <w:p w14:paraId="1CEA2BA7" w14:textId="77777777" w:rsidR="00E8652C" w:rsidRDefault="00E8652C" w:rsidP="00CB420C">
      <w:pPr>
        <w:jc w:val="center"/>
        <w:rPr>
          <w:rFonts w:cstheme="minorHAnsi"/>
          <w:b/>
        </w:rPr>
      </w:pPr>
    </w:p>
    <w:p w14:paraId="3EF76FD8" w14:textId="77777777" w:rsidR="00E8652C" w:rsidRDefault="00E8652C" w:rsidP="00CB420C">
      <w:pPr>
        <w:jc w:val="center"/>
        <w:rPr>
          <w:rFonts w:cstheme="minorHAnsi"/>
          <w:b/>
        </w:rPr>
      </w:pPr>
    </w:p>
    <w:p w14:paraId="1C4EE70F" w14:textId="77777777" w:rsidR="00E8652C" w:rsidRDefault="00E8652C" w:rsidP="00CB420C">
      <w:pPr>
        <w:jc w:val="center"/>
        <w:rPr>
          <w:rFonts w:cstheme="minorHAnsi"/>
          <w:b/>
        </w:rPr>
      </w:pPr>
    </w:p>
    <w:p w14:paraId="7CCBEA76" w14:textId="77777777" w:rsidR="00E8652C" w:rsidRDefault="00E8652C" w:rsidP="00CB420C">
      <w:pPr>
        <w:jc w:val="center"/>
        <w:rPr>
          <w:rFonts w:cstheme="minorHAnsi"/>
          <w:b/>
        </w:rPr>
      </w:pPr>
    </w:p>
    <w:p w14:paraId="436F7AF8" w14:textId="77777777" w:rsidR="00E8652C" w:rsidRDefault="00E8652C" w:rsidP="008F2D0F">
      <w:pPr>
        <w:rPr>
          <w:rFonts w:cstheme="minorHAnsi"/>
          <w:b/>
        </w:rPr>
      </w:pPr>
    </w:p>
    <w:p w14:paraId="29D506DC" w14:textId="363E310A" w:rsidR="00BA60FA" w:rsidRPr="00BA60FA" w:rsidRDefault="00BA60FA" w:rsidP="00BA60FA">
      <w:pPr>
        <w:rPr>
          <w:rFonts w:cstheme="minorHAnsi"/>
          <w:b/>
          <w:u w:val="single"/>
        </w:rPr>
      </w:pPr>
      <w:r w:rsidRPr="00BA60FA">
        <w:rPr>
          <w:rFonts w:cstheme="minorHAnsi"/>
          <w:b/>
          <w:u w:val="single"/>
        </w:rPr>
        <w:t>Preliminary Market Engagement</w:t>
      </w:r>
    </w:p>
    <w:p w14:paraId="4EDACFA8" w14:textId="7D9A7705" w:rsidR="00BA60FA" w:rsidRPr="000640E9" w:rsidRDefault="00CB420C" w:rsidP="00BA60FA">
      <w:pPr>
        <w:rPr>
          <w:rFonts w:cstheme="minorHAnsi"/>
          <w:bCs/>
        </w:rPr>
      </w:pPr>
      <w:r w:rsidRPr="000640E9">
        <w:rPr>
          <w:rFonts w:cstheme="minorHAnsi"/>
          <w:bCs/>
        </w:rPr>
        <w:t xml:space="preserve">Birmingham and Solihull Mental Health NHS Foundation </w:t>
      </w:r>
      <w:r w:rsidR="00BA60FA" w:rsidRPr="000640E9">
        <w:rPr>
          <w:rFonts w:cstheme="minorHAnsi"/>
          <w:bCs/>
        </w:rPr>
        <w:t xml:space="preserve">Trust - </w:t>
      </w:r>
      <w:r w:rsidRPr="000640E9">
        <w:rPr>
          <w:rFonts w:eastAsia="Calibri" w:cstheme="minorHAnsi"/>
          <w:bCs/>
        </w:rPr>
        <w:t xml:space="preserve">The provision </w:t>
      </w:r>
      <w:bookmarkEnd w:id="0"/>
      <w:r w:rsidRPr="000640E9">
        <w:rPr>
          <w:rFonts w:eastAsia="Calibri" w:cstheme="minorHAnsi"/>
          <w:bCs/>
        </w:rPr>
        <w:t>of G</w:t>
      </w:r>
      <w:r w:rsidR="005D7F74" w:rsidRPr="000640E9">
        <w:rPr>
          <w:rFonts w:eastAsia="Calibri" w:cstheme="minorHAnsi"/>
          <w:bCs/>
        </w:rPr>
        <w:t>eneral Practitioner (GP)</w:t>
      </w:r>
      <w:r w:rsidRPr="000640E9">
        <w:rPr>
          <w:rFonts w:eastAsia="Calibri" w:cstheme="minorHAnsi"/>
          <w:bCs/>
        </w:rPr>
        <w:t xml:space="preserve"> Services for Forensic Inpatients</w:t>
      </w:r>
      <w:bookmarkEnd w:id="1"/>
      <w:r w:rsidR="00BA60FA" w:rsidRPr="000640E9">
        <w:rPr>
          <w:rFonts w:eastAsia="Calibri" w:cstheme="minorHAnsi"/>
          <w:bCs/>
        </w:rPr>
        <w:t xml:space="preserve"> </w:t>
      </w:r>
    </w:p>
    <w:p w14:paraId="3C0ADA29" w14:textId="5F819213" w:rsidR="00CB420C" w:rsidRDefault="00CB420C" w:rsidP="00CB420C">
      <w:pPr>
        <w:jc w:val="both"/>
        <w:rPr>
          <w:rFonts w:cstheme="minorHAnsi"/>
          <w:bCs/>
          <w:iCs/>
        </w:rPr>
      </w:pPr>
      <w:bookmarkStart w:id="2" w:name="_Hlk158962059"/>
      <w:r w:rsidRPr="000640E9">
        <w:rPr>
          <w:rFonts w:cstheme="minorHAnsi"/>
          <w:bCs/>
          <w:iCs/>
        </w:rPr>
        <w:t xml:space="preserve">This is </w:t>
      </w:r>
      <w:r w:rsidRPr="0018687C">
        <w:rPr>
          <w:rFonts w:cstheme="minorHAnsi"/>
          <w:b/>
          <w:iCs/>
        </w:rPr>
        <w:t>NOT</w:t>
      </w:r>
      <w:r w:rsidRPr="000640E9">
        <w:rPr>
          <w:rFonts w:cstheme="minorHAnsi"/>
          <w:bCs/>
          <w:iCs/>
        </w:rPr>
        <w:t xml:space="preserve"> a call for competition. This exercise does not form part of the competitiv</w:t>
      </w:r>
      <w:r w:rsidR="0098471B" w:rsidRPr="000640E9">
        <w:rPr>
          <w:rFonts w:cstheme="minorHAnsi"/>
          <w:bCs/>
          <w:iCs/>
        </w:rPr>
        <w:t>e process</w:t>
      </w:r>
      <w:r w:rsidRPr="000640E9">
        <w:rPr>
          <w:rFonts w:cstheme="minorHAnsi"/>
          <w:bCs/>
          <w:iCs/>
        </w:rPr>
        <w:t xml:space="preserve"> and serves as an opportunity to understand how its requirements may be met by engaging the market. </w:t>
      </w:r>
    </w:p>
    <w:p w14:paraId="5AB43554" w14:textId="067F0ED2" w:rsidR="0053185B" w:rsidRPr="000640E9" w:rsidRDefault="0053185B" w:rsidP="00CB420C">
      <w:pPr>
        <w:jc w:val="both"/>
        <w:rPr>
          <w:rFonts w:cstheme="minorHAnsi"/>
          <w:bCs/>
          <w:iCs/>
        </w:rPr>
      </w:pPr>
      <w:r>
        <w:rPr>
          <w:rFonts w:cstheme="minorHAnsi"/>
          <w:bCs/>
          <w:iCs/>
        </w:rPr>
        <w:t>The publication of this notice</w:t>
      </w:r>
      <w:r w:rsidR="00E5697A">
        <w:rPr>
          <w:rFonts w:cstheme="minorHAnsi"/>
          <w:bCs/>
          <w:iCs/>
        </w:rPr>
        <w:t xml:space="preserve"> or the </w:t>
      </w:r>
      <w:r w:rsidR="005C232C">
        <w:rPr>
          <w:rFonts w:cstheme="minorHAnsi"/>
          <w:bCs/>
          <w:iCs/>
        </w:rPr>
        <w:t>engagement in PME does</w:t>
      </w:r>
      <w:r w:rsidR="00627ECE">
        <w:rPr>
          <w:rFonts w:cstheme="minorHAnsi"/>
          <w:bCs/>
          <w:iCs/>
        </w:rPr>
        <w:t xml:space="preserve"> not bind the trust to </w:t>
      </w:r>
      <w:r w:rsidR="005C232C">
        <w:rPr>
          <w:rFonts w:cstheme="minorHAnsi"/>
          <w:bCs/>
          <w:iCs/>
        </w:rPr>
        <w:t xml:space="preserve">undergo </w:t>
      </w:r>
      <w:r w:rsidR="00E5697A">
        <w:rPr>
          <w:rFonts w:cstheme="minorHAnsi"/>
          <w:bCs/>
          <w:iCs/>
        </w:rPr>
        <w:t>disclosed or stated processes</w:t>
      </w:r>
      <w:r w:rsidR="005C232C">
        <w:rPr>
          <w:rFonts w:cstheme="minorHAnsi"/>
          <w:bCs/>
          <w:iCs/>
        </w:rPr>
        <w:t xml:space="preserve">, and the authority retains the right to alter compliant routes to market as necessary, possibly based on information gathered during PME. </w:t>
      </w:r>
    </w:p>
    <w:p w14:paraId="0760317D" w14:textId="77777777" w:rsidR="00CB420C" w:rsidRPr="000640E9" w:rsidRDefault="00CB420C" w:rsidP="00CB420C">
      <w:pPr>
        <w:jc w:val="both"/>
        <w:rPr>
          <w:rFonts w:cstheme="minorHAnsi"/>
          <w:bCs/>
          <w:iCs/>
        </w:rPr>
      </w:pPr>
      <w:r w:rsidRPr="000640E9">
        <w:rPr>
          <w:rFonts w:cstheme="minorHAnsi"/>
          <w:bCs/>
          <w:iCs/>
        </w:rPr>
        <w:t>Engagement in this exercise does not positively or negatively impact the standing of any organisation through the procurement process.</w:t>
      </w:r>
    </w:p>
    <w:p w14:paraId="65D05E9D" w14:textId="77777777" w:rsidR="002808B2" w:rsidRPr="002808B2" w:rsidRDefault="002808B2" w:rsidP="002808B2">
      <w:pPr>
        <w:jc w:val="both"/>
        <w:rPr>
          <w:rFonts w:cstheme="minorHAnsi"/>
          <w:b/>
          <w:bCs/>
          <w:iCs/>
          <w:u w:val="single"/>
        </w:rPr>
      </w:pPr>
      <w:r w:rsidRPr="002808B2">
        <w:rPr>
          <w:rFonts w:cstheme="minorHAnsi"/>
          <w:b/>
          <w:bCs/>
          <w:iCs/>
          <w:u w:val="single"/>
        </w:rPr>
        <w:t>Disclaimer</w:t>
      </w:r>
    </w:p>
    <w:p w14:paraId="05CA91AB" w14:textId="77777777" w:rsidR="002808B2" w:rsidRPr="002808B2" w:rsidRDefault="002808B2" w:rsidP="002808B2">
      <w:pPr>
        <w:jc w:val="both"/>
        <w:rPr>
          <w:rFonts w:cstheme="minorHAnsi"/>
          <w:iCs/>
        </w:rPr>
      </w:pPr>
      <w:r w:rsidRPr="002808B2">
        <w:rPr>
          <w:rFonts w:cstheme="minorHAnsi"/>
          <w:iCs/>
        </w:rPr>
        <w:t xml:space="preserve">The Authority does not warrant any of the statements made in the PME and expressly informs organisations that information given out at the PME stage is liable to change; even information set out as statements of fact. </w:t>
      </w:r>
    </w:p>
    <w:p w14:paraId="4742FE6C" w14:textId="77777777" w:rsidR="002808B2" w:rsidRPr="002808B2" w:rsidRDefault="002808B2" w:rsidP="002808B2">
      <w:pPr>
        <w:jc w:val="both"/>
        <w:rPr>
          <w:rFonts w:cstheme="minorHAnsi"/>
          <w:iCs/>
        </w:rPr>
      </w:pPr>
      <w:r w:rsidRPr="002808B2">
        <w:rPr>
          <w:rFonts w:cstheme="minorHAnsi"/>
          <w:iCs/>
        </w:rPr>
        <w:t>The Authority has a duty to avoid the distortion of competition and to adhere to the procurement principles and transparency requirements required by The Health Care Services (Provider Selection Regime) Regulations 2023. It will take all necessary measures to discharge this duty, including (for example) making relevant information from this market engagement available to candidates and tenderers in a future procurement and maintaining suitable records of correspondence. Accordingly, no information supplied by the market during this engagement, either in written response or in discussion between interested organisations and the Authority as part of the market engagement process will be considered confidential or will be exempt from disclosure under the Freedom of Information Act 2000. Any future procurement will be conducted in accordance with The Health Care Services (Provider Selection Regime) Regulations 2023.</w:t>
      </w:r>
    </w:p>
    <w:p w14:paraId="12C7060E" w14:textId="44BAD0F2" w:rsidR="002808B2" w:rsidRPr="002808B2" w:rsidRDefault="002808B2" w:rsidP="00CB420C">
      <w:pPr>
        <w:jc w:val="both"/>
        <w:rPr>
          <w:rFonts w:cstheme="minorHAnsi"/>
          <w:iCs/>
        </w:rPr>
      </w:pPr>
      <w:r w:rsidRPr="002808B2">
        <w:rPr>
          <w:rFonts w:cstheme="minorHAnsi"/>
          <w:iCs/>
        </w:rPr>
        <w:t>No expense in responding to this market engagement will be reimbursed by the Authority.</w:t>
      </w:r>
    </w:p>
    <w:p w14:paraId="25ABDA96" w14:textId="1B5D38B5" w:rsidR="00B33788" w:rsidRPr="00B33788" w:rsidRDefault="00B33788" w:rsidP="00CB420C">
      <w:pPr>
        <w:jc w:val="both"/>
        <w:rPr>
          <w:rFonts w:cstheme="minorHAnsi"/>
          <w:b/>
          <w:bCs/>
          <w:iCs/>
          <w:u w:val="single"/>
        </w:rPr>
      </w:pPr>
      <w:r w:rsidRPr="00B33788">
        <w:rPr>
          <w:rFonts w:cstheme="minorHAnsi"/>
          <w:b/>
          <w:bCs/>
          <w:iCs/>
          <w:u w:val="single"/>
        </w:rPr>
        <w:t xml:space="preserve">Provider Selection Regime </w:t>
      </w:r>
    </w:p>
    <w:p w14:paraId="10572CAE" w14:textId="405DCEA2" w:rsidR="00CB420C" w:rsidRDefault="00CB420C" w:rsidP="001E1182">
      <w:pPr>
        <w:rPr>
          <w:rFonts w:cstheme="minorHAnsi"/>
          <w:iCs/>
          <w:u w:val="single"/>
        </w:rPr>
      </w:pPr>
      <w:r w:rsidRPr="000640E9">
        <w:rPr>
          <w:rFonts w:cstheme="minorHAnsi"/>
          <w:iCs/>
        </w:rPr>
        <w:t xml:space="preserve">The scope of this service </w:t>
      </w:r>
      <w:r w:rsidR="00B942C8">
        <w:rPr>
          <w:rFonts w:cstheme="minorHAnsi"/>
          <w:iCs/>
        </w:rPr>
        <w:t>is believed</w:t>
      </w:r>
      <w:r w:rsidRPr="000640E9">
        <w:rPr>
          <w:rFonts w:cstheme="minorHAnsi"/>
          <w:iCs/>
        </w:rPr>
        <w:t xml:space="preserve"> fall under the Provider Selection Regime (PSR), which the authority will look to </w:t>
      </w:r>
      <w:r w:rsidR="00B33788" w:rsidRPr="000640E9">
        <w:rPr>
          <w:rFonts w:cstheme="minorHAnsi"/>
          <w:iCs/>
        </w:rPr>
        <w:t>gather information around during</w:t>
      </w:r>
      <w:r w:rsidR="000927C7" w:rsidRPr="000640E9">
        <w:rPr>
          <w:rFonts w:cstheme="minorHAnsi"/>
          <w:iCs/>
        </w:rPr>
        <w:t xml:space="preserve"> market engagement. Information gathered will assist the authority in understanding </w:t>
      </w:r>
      <w:r w:rsidR="000640E9" w:rsidRPr="000640E9">
        <w:rPr>
          <w:rFonts w:cstheme="minorHAnsi"/>
          <w:iCs/>
        </w:rPr>
        <w:t xml:space="preserve">and sculpting the process. </w:t>
      </w:r>
      <w:r w:rsidRPr="000640E9">
        <w:rPr>
          <w:rFonts w:cstheme="minorHAnsi"/>
          <w:iCs/>
        </w:rPr>
        <w:t>Further information around PSR can be found below-</w:t>
      </w:r>
      <w:r>
        <w:rPr>
          <w:rFonts w:cstheme="minorHAnsi"/>
          <w:b/>
          <w:bCs/>
          <w:iCs/>
        </w:rPr>
        <w:t xml:space="preserve"> </w:t>
      </w:r>
      <w:r>
        <w:rPr>
          <w:rFonts w:cstheme="minorHAnsi"/>
          <w:b/>
          <w:bCs/>
          <w:iCs/>
        </w:rPr>
        <w:br/>
      </w:r>
      <w:hyperlink r:id="rId10" w:anchor="planning-and-running-psr-processes" w:history="1">
        <w:r w:rsidR="005726C5" w:rsidRPr="00414776">
          <w:rPr>
            <w:rStyle w:val="Hyperlink"/>
            <w:rFonts w:cstheme="minorHAnsi"/>
            <w:iCs/>
          </w:rPr>
          <w:t>https://www.england.nhs.uk/long-read/the-provider-selection-regime-statutory-guidance/#planning-and-running-psr-processes</w:t>
        </w:r>
      </w:hyperlink>
    </w:p>
    <w:p w14:paraId="30F363FD" w14:textId="77777777" w:rsidR="005726C5" w:rsidRDefault="005726C5" w:rsidP="00CB420C">
      <w:pPr>
        <w:jc w:val="both"/>
        <w:rPr>
          <w:rFonts w:cstheme="minorHAnsi"/>
          <w:iCs/>
          <w:u w:val="single"/>
        </w:rPr>
      </w:pPr>
    </w:p>
    <w:p w14:paraId="59A36A3D" w14:textId="77777777" w:rsidR="002808B2" w:rsidRDefault="002808B2" w:rsidP="00CB420C">
      <w:pPr>
        <w:jc w:val="both"/>
        <w:rPr>
          <w:rFonts w:cstheme="minorHAnsi"/>
          <w:iCs/>
          <w:u w:val="single"/>
        </w:rPr>
      </w:pPr>
    </w:p>
    <w:p w14:paraId="04E4627D" w14:textId="5D113609" w:rsidR="005726C5" w:rsidRPr="005A07CB" w:rsidRDefault="005726C5" w:rsidP="00CB420C">
      <w:pPr>
        <w:jc w:val="both"/>
        <w:rPr>
          <w:rFonts w:cstheme="minorHAnsi"/>
          <w:b/>
          <w:bCs/>
          <w:iCs/>
        </w:rPr>
      </w:pPr>
      <w:r w:rsidRPr="005A07CB">
        <w:rPr>
          <w:rFonts w:cstheme="minorHAnsi"/>
          <w:b/>
          <w:bCs/>
          <w:iCs/>
          <w:u w:val="single"/>
        </w:rPr>
        <w:t xml:space="preserve">Introduction </w:t>
      </w:r>
      <w:r w:rsidR="005A07CB" w:rsidRPr="005A07CB">
        <w:rPr>
          <w:rFonts w:cstheme="minorHAnsi"/>
          <w:b/>
          <w:bCs/>
          <w:iCs/>
          <w:u w:val="single"/>
        </w:rPr>
        <w:t>to the Preliminary Market Engagement</w:t>
      </w:r>
    </w:p>
    <w:p w14:paraId="7B59BF63" w14:textId="5781B089" w:rsidR="00CB420C" w:rsidRPr="0062599C" w:rsidRDefault="00CB420C" w:rsidP="00CB420C">
      <w:pPr>
        <w:jc w:val="both"/>
        <w:rPr>
          <w:rFonts w:eastAsia="Calibri" w:cstheme="minorHAnsi"/>
        </w:rPr>
      </w:pPr>
      <w:r w:rsidRPr="0062599C">
        <w:rPr>
          <w:rFonts w:cstheme="minorHAnsi"/>
          <w:iCs/>
        </w:rPr>
        <w:t>BSOL Procurement Collaborative (hosted by University Hospitals Birmingham NHS FT) acting on behalf of</w:t>
      </w:r>
      <w:r>
        <w:rPr>
          <w:rFonts w:cstheme="minorHAnsi"/>
          <w:iCs/>
        </w:rPr>
        <w:t xml:space="preserve"> Birmingham and Solihull Mental Health NHS Foundation Trust (BSMHFT)</w:t>
      </w:r>
      <w:r w:rsidRPr="0062599C">
        <w:rPr>
          <w:color w:val="000000"/>
        </w:rPr>
        <w:t xml:space="preserve"> to </w:t>
      </w:r>
      <w:r w:rsidRPr="0062599C">
        <w:rPr>
          <w:rFonts w:cstheme="minorHAnsi"/>
          <w:iCs/>
        </w:rPr>
        <w:t xml:space="preserve">advise the market of a collaborative procurement exercise and intention to issue a tender opportunity for </w:t>
      </w:r>
      <w:bookmarkStart w:id="3" w:name="_Hlk157001467"/>
      <w:r w:rsidRPr="0062599C">
        <w:rPr>
          <w:rFonts w:cstheme="minorHAnsi"/>
          <w:iCs/>
        </w:rPr>
        <w:t>the provision of</w:t>
      </w:r>
      <w:r w:rsidR="00356AAA">
        <w:rPr>
          <w:rFonts w:cstheme="minorHAnsi"/>
          <w:iCs/>
        </w:rPr>
        <w:t xml:space="preserve"> </w:t>
      </w:r>
      <w:r w:rsidR="00404BE4">
        <w:rPr>
          <w:rFonts w:cstheme="minorHAnsi"/>
          <w:iCs/>
        </w:rPr>
        <w:t>in reach GP services for its forensic units</w:t>
      </w:r>
      <w:r w:rsidR="00B37331">
        <w:rPr>
          <w:rFonts w:cstheme="minorHAnsi"/>
          <w:iCs/>
        </w:rPr>
        <w:t>.</w:t>
      </w:r>
      <w:bookmarkStart w:id="4" w:name="_Hlk159249573"/>
      <w:bookmarkEnd w:id="2"/>
    </w:p>
    <w:p w14:paraId="49A74F4B" w14:textId="77777777" w:rsidR="00064F14" w:rsidRDefault="00CB420C" w:rsidP="00CB420C">
      <w:pPr>
        <w:jc w:val="both"/>
      </w:pPr>
      <w:bookmarkStart w:id="5" w:name="_Hlk159254672"/>
      <w:r w:rsidRPr="0062599C">
        <w:rPr>
          <w:rFonts w:eastAsia="Calibri" w:cstheme="minorHAnsi"/>
          <w:bCs/>
        </w:rPr>
        <w:t>The service refers to</w:t>
      </w:r>
      <w:r>
        <w:t xml:space="preserve"> General Practitioner (GP) services for forensic inpatients. The provider will be responsible for meeting all minimum requirements within the specification, including</w:t>
      </w:r>
      <w:r w:rsidR="00064F14">
        <w:t>:</w:t>
      </w:r>
    </w:p>
    <w:p w14:paraId="27CBCECC" w14:textId="77777777" w:rsidR="00064F14" w:rsidRDefault="00CB420C" w:rsidP="00064F14">
      <w:pPr>
        <w:pStyle w:val="ListParagraph"/>
        <w:numPr>
          <w:ilvl w:val="0"/>
          <w:numId w:val="1"/>
        </w:numPr>
        <w:jc w:val="both"/>
      </w:pPr>
      <w:r>
        <w:t>General Service Delivery</w:t>
      </w:r>
    </w:p>
    <w:p w14:paraId="6540CEAC" w14:textId="77777777" w:rsidR="00064F14" w:rsidRDefault="00CB420C" w:rsidP="00064F14">
      <w:pPr>
        <w:pStyle w:val="ListParagraph"/>
        <w:numPr>
          <w:ilvl w:val="0"/>
          <w:numId w:val="1"/>
        </w:numPr>
        <w:jc w:val="both"/>
      </w:pPr>
      <w:r>
        <w:t>Registration of new patients</w:t>
      </w:r>
    </w:p>
    <w:p w14:paraId="368A942E" w14:textId="77777777" w:rsidR="00064F14" w:rsidRDefault="00CB420C" w:rsidP="00064F14">
      <w:pPr>
        <w:pStyle w:val="ListParagraph"/>
        <w:numPr>
          <w:ilvl w:val="0"/>
          <w:numId w:val="1"/>
        </w:numPr>
        <w:jc w:val="both"/>
      </w:pPr>
      <w:r>
        <w:t>Managing agreed hours of operation</w:t>
      </w:r>
    </w:p>
    <w:p w14:paraId="4FF4AE8F" w14:textId="77777777" w:rsidR="00064F14" w:rsidRDefault="00064F14" w:rsidP="00064F14">
      <w:pPr>
        <w:pStyle w:val="ListParagraph"/>
        <w:numPr>
          <w:ilvl w:val="0"/>
          <w:numId w:val="1"/>
        </w:numPr>
        <w:jc w:val="both"/>
      </w:pPr>
      <w:r>
        <w:t>B</w:t>
      </w:r>
      <w:r w:rsidR="00CB420C">
        <w:t>ooking of appointments and referrals, facilitation of disease clinics</w:t>
      </w:r>
    </w:p>
    <w:p w14:paraId="49B625E3" w14:textId="77777777" w:rsidR="00064F14" w:rsidRDefault="00064F14" w:rsidP="00064F14">
      <w:pPr>
        <w:pStyle w:val="ListParagraph"/>
        <w:numPr>
          <w:ilvl w:val="0"/>
          <w:numId w:val="1"/>
        </w:numPr>
        <w:jc w:val="both"/>
      </w:pPr>
      <w:r>
        <w:t>D</w:t>
      </w:r>
      <w:r w:rsidR="00CB420C">
        <w:t>iagnostic testing</w:t>
      </w:r>
    </w:p>
    <w:p w14:paraId="36A634EE" w14:textId="77777777" w:rsidR="00064F14" w:rsidRDefault="00064F14" w:rsidP="00064F14">
      <w:pPr>
        <w:pStyle w:val="ListParagraph"/>
        <w:numPr>
          <w:ilvl w:val="0"/>
          <w:numId w:val="1"/>
        </w:numPr>
        <w:jc w:val="both"/>
      </w:pPr>
      <w:r>
        <w:t>P</w:t>
      </w:r>
      <w:r w:rsidR="00CB420C">
        <w:t>atient discharge</w:t>
      </w:r>
    </w:p>
    <w:p w14:paraId="39D616A5" w14:textId="77777777" w:rsidR="00064F14" w:rsidRDefault="00064F14" w:rsidP="00064F14">
      <w:pPr>
        <w:pStyle w:val="ListParagraph"/>
        <w:numPr>
          <w:ilvl w:val="0"/>
          <w:numId w:val="1"/>
        </w:numPr>
        <w:jc w:val="both"/>
      </w:pPr>
      <w:r>
        <w:t>P</w:t>
      </w:r>
      <w:r w:rsidR="00CB420C">
        <w:t xml:space="preserve">rescriptions </w:t>
      </w:r>
    </w:p>
    <w:p w14:paraId="3D10314D" w14:textId="6E5CE74A" w:rsidR="00CB420C" w:rsidRDefault="00064F14" w:rsidP="00064F14">
      <w:pPr>
        <w:pStyle w:val="ListParagraph"/>
        <w:numPr>
          <w:ilvl w:val="0"/>
          <w:numId w:val="1"/>
        </w:numPr>
        <w:jc w:val="both"/>
      </w:pPr>
      <w:r>
        <w:t>A</w:t>
      </w:r>
      <w:r w:rsidR="00CB420C">
        <w:t xml:space="preserve">ll other aspects included within the specification. </w:t>
      </w:r>
    </w:p>
    <w:p w14:paraId="2658C4DA" w14:textId="18715159" w:rsidR="00064F14" w:rsidRDefault="00064F14" w:rsidP="00064F14">
      <w:pPr>
        <w:pStyle w:val="ListParagraph"/>
        <w:jc w:val="both"/>
      </w:pPr>
    </w:p>
    <w:p w14:paraId="2C5F0C87" w14:textId="31C918AD" w:rsidR="005879B6" w:rsidRPr="005879B6" w:rsidRDefault="00064F14" w:rsidP="00BB1A1F">
      <w:r>
        <w:t xml:space="preserve">Providers are heavily encouraged to read the provided specification </w:t>
      </w:r>
      <w:r w:rsidR="005879B6">
        <w:t xml:space="preserve">before attending PME. </w:t>
      </w:r>
      <w:r w:rsidR="00A16EAF">
        <w:br/>
      </w:r>
      <w:r w:rsidR="00A16EAF">
        <w:br/>
      </w:r>
      <w:r w:rsidR="00A16EAF" w:rsidRPr="00BB1A1F">
        <w:rPr>
          <w:rFonts w:cstheme="minorHAnsi"/>
          <w:iCs/>
        </w:rPr>
        <w:t xml:space="preserve">Part of the initial process includes Provider Market Engagement (PME) with the Trusts looking to engage with Provider(s) for feedback regarding service delivery.  Those Provider(s) who express will be an interest will be sent a copy of the Pre-Engagement pack plus a copy of the draft service specification to which the Trust welcome feedback and </w:t>
      </w:r>
      <w:r w:rsidR="00A16EAF" w:rsidRPr="00356AAA">
        <w:rPr>
          <w:rFonts w:cstheme="minorHAnsi"/>
          <w:iCs/>
        </w:rPr>
        <w:t xml:space="preserve">comments by 12.00 on </w:t>
      </w:r>
      <w:r w:rsidR="00356AAA" w:rsidRPr="00356AAA">
        <w:rPr>
          <w:rFonts w:cstheme="minorHAnsi"/>
          <w:iCs/>
        </w:rPr>
        <w:t>9</w:t>
      </w:r>
      <w:r w:rsidR="00563B69" w:rsidRPr="00356AAA">
        <w:rPr>
          <w:rFonts w:cstheme="minorHAnsi"/>
          <w:iCs/>
          <w:vertAlign w:val="superscript"/>
        </w:rPr>
        <w:t>th</w:t>
      </w:r>
      <w:r w:rsidR="00563B69">
        <w:rPr>
          <w:rFonts w:cstheme="minorHAnsi"/>
          <w:iCs/>
        </w:rPr>
        <w:t xml:space="preserve"> September 2025</w:t>
      </w:r>
      <w:r w:rsidR="00A16EAF" w:rsidRPr="00BB1A1F">
        <w:rPr>
          <w:rFonts w:cstheme="minorHAnsi"/>
          <w:iCs/>
        </w:rPr>
        <w:t xml:space="preserve"> as there is a planned Provider </w:t>
      </w:r>
      <w:r w:rsidR="00A16EAF" w:rsidRPr="00356AAA">
        <w:rPr>
          <w:rFonts w:cstheme="minorHAnsi"/>
          <w:iCs/>
        </w:rPr>
        <w:t xml:space="preserve">meeting organised for </w:t>
      </w:r>
      <w:r w:rsidR="00563B69">
        <w:rPr>
          <w:rFonts w:cstheme="minorHAnsi"/>
          <w:iCs/>
        </w:rPr>
        <w:t>12</w:t>
      </w:r>
      <w:r w:rsidR="00563B69" w:rsidRPr="00356AAA">
        <w:rPr>
          <w:rFonts w:cstheme="minorHAnsi"/>
          <w:iCs/>
          <w:vertAlign w:val="superscript"/>
        </w:rPr>
        <w:t>th</w:t>
      </w:r>
      <w:r w:rsidR="00563B69">
        <w:rPr>
          <w:rFonts w:cstheme="minorHAnsi"/>
          <w:iCs/>
        </w:rPr>
        <w:t xml:space="preserve"> September 2025.</w:t>
      </w:r>
      <w:r w:rsidR="00A16EAF" w:rsidRPr="00BB1A1F">
        <w:rPr>
          <w:rFonts w:cstheme="minorHAnsi"/>
        </w:rPr>
        <w:br/>
      </w:r>
    </w:p>
    <w:p w14:paraId="32D62D7C" w14:textId="72BCFCAD" w:rsidR="00064F14" w:rsidRPr="00064F14" w:rsidRDefault="00064F14" w:rsidP="00CB420C">
      <w:pPr>
        <w:jc w:val="both"/>
        <w:rPr>
          <w:b/>
          <w:bCs/>
          <w:u w:val="single"/>
        </w:rPr>
      </w:pPr>
      <w:r w:rsidRPr="00064F14">
        <w:rPr>
          <w:b/>
          <w:bCs/>
          <w:u w:val="single"/>
        </w:rPr>
        <w:t xml:space="preserve">Aims and Objectives of the Service </w:t>
      </w:r>
    </w:p>
    <w:p w14:paraId="4F5E7B81" w14:textId="77777777" w:rsidR="0078261E" w:rsidRDefault="00CB420C" w:rsidP="00D97DAD">
      <w:pPr>
        <w:jc w:val="both"/>
      </w:pPr>
      <w:r>
        <w:t xml:space="preserve">The aim of the service is to address health inequalities faced by persons with mental health problems. </w:t>
      </w:r>
      <w:r w:rsidR="00E07BE4">
        <w:t xml:space="preserve"> </w:t>
      </w:r>
      <w:r w:rsidR="00DF7B39">
        <w:t xml:space="preserve">According to the Severe mental illness </w:t>
      </w:r>
      <w:r w:rsidR="002C3C2D">
        <w:t>(SMI) and physical health inequalities briefing by Public Health England, p</w:t>
      </w:r>
      <w:r w:rsidR="00E07BE4">
        <w:t xml:space="preserve">eople with mental health issues </w:t>
      </w:r>
      <w:r w:rsidR="00771727">
        <w:t>have poorer physical health than the general population and find it more difficult to access the required healthcare resources.</w:t>
      </w:r>
    </w:p>
    <w:p w14:paraId="732B4829" w14:textId="0F1BB90E" w:rsidR="00EC4A55" w:rsidRDefault="0078261E" w:rsidP="00D97DAD">
      <w:pPr>
        <w:jc w:val="both"/>
      </w:pPr>
      <w:r>
        <w:t xml:space="preserve">The trust aims to provide a service that enables the delegation of equality of treatment without the existence of any prejudice. </w:t>
      </w:r>
      <w:r w:rsidR="00CB420C">
        <w:t>Work to address this inequality is part of Core20PLUS5, NHS England’s flagship approach for tackling health inequalities.</w:t>
      </w:r>
      <w:bookmarkEnd w:id="3"/>
      <w:bookmarkEnd w:id="4"/>
      <w:bookmarkEnd w:id="5"/>
    </w:p>
    <w:p w14:paraId="1A519F8E" w14:textId="50A5648D" w:rsidR="008938A6" w:rsidRPr="00914BB1" w:rsidRDefault="00BF5F7A" w:rsidP="008938A6">
      <w:pPr>
        <w:spacing w:line="240" w:lineRule="auto"/>
      </w:pPr>
      <w:r>
        <w:t>The aims for this service will be achieved through initialisation</w:t>
      </w:r>
      <w:r w:rsidR="000B5D5C">
        <w:t xml:space="preserve"> and continuation</w:t>
      </w:r>
      <w:r>
        <w:t xml:space="preserve"> of a range of primary healthcare interventions </w:t>
      </w:r>
      <w:r w:rsidR="00AF20DD">
        <w:t>that lead to an improvement in health outcomes for the patient cohort.</w:t>
      </w:r>
      <w:r w:rsidR="008938A6">
        <w:br/>
      </w:r>
      <w:r w:rsidR="008938A6">
        <w:br/>
      </w:r>
      <w:r w:rsidR="008938A6" w:rsidRPr="008938A6">
        <w:rPr>
          <w:rFonts w:eastAsia="MS Mincho" w:cs="Arial"/>
          <w:szCs w:val="24"/>
          <w:lang w:val="en-US" w:eastAsia="ja-JP"/>
        </w:rPr>
        <w:t xml:space="preserve">The current GP primary care service for adult and CYP secure care has been developed to deliver, but not limited </w:t>
      </w:r>
      <w:proofErr w:type="gramStart"/>
      <w:r w:rsidR="008938A6" w:rsidRPr="008938A6">
        <w:rPr>
          <w:rFonts w:eastAsia="MS Mincho" w:cs="Arial"/>
          <w:szCs w:val="24"/>
          <w:lang w:val="en-US" w:eastAsia="ja-JP"/>
        </w:rPr>
        <w:t>to;</w:t>
      </w:r>
      <w:proofErr w:type="gramEnd"/>
    </w:p>
    <w:p w14:paraId="4862BD63" w14:textId="77777777" w:rsidR="008938A6" w:rsidRDefault="008938A6" w:rsidP="008938A6">
      <w:pPr>
        <w:spacing w:line="240" w:lineRule="auto"/>
        <w:rPr>
          <w:rFonts w:eastAsia="MS Mincho" w:cs="Arial"/>
          <w:szCs w:val="24"/>
          <w:lang w:val="en-US" w:eastAsia="ja-JP"/>
        </w:rPr>
      </w:pPr>
    </w:p>
    <w:p w14:paraId="59706505" w14:textId="77777777" w:rsidR="00946FB4" w:rsidRPr="008938A6" w:rsidRDefault="00946FB4" w:rsidP="008938A6">
      <w:pPr>
        <w:spacing w:line="240" w:lineRule="auto"/>
        <w:rPr>
          <w:rFonts w:eastAsia="MS Mincho" w:cs="Arial"/>
          <w:szCs w:val="24"/>
          <w:lang w:val="en-US" w:eastAsia="ja-JP"/>
        </w:rPr>
      </w:pPr>
    </w:p>
    <w:p w14:paraId="0F085EA7"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management and treatment of service users with chronic disease and long-term conditions, including prescribing</w:t>
      </w:r>
    </w:p>
    <w:p w14:paraId="4F23DE6B"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 xml:space="preserve">management of minor illness and trauma, including prescribing, </w:t>
      </w:r>
    </w:p>
    <w:p w14:paraId="2E18A017"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referral to and follow up from community, acute, secondary and tertiary care</w:t>
      </w:r>
    </w:p>
    <w:p w14:paraId="01C25772"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 xml:space="preserve">access to and facilitation of, national screening, vaccination and </w:t>
      </w:r>
      <w:proofErr w:type="spellStart"/>
      <w:r w:rsidRPr="00946FB4">
        <w:rPr>
          <w:rFonts w:eastAsia="MS Mincho" w:cstheme="minorHAnsi"/>
          <w:lang w:val="en-US" w:eastAsia="ja-JP"/>
        </w:rPr>
        <w:t>immunisation</w:t>
      </w:r>
      <w:proofErr w:type="spellEnd"/>
      <w:r w:rsidRPr="00946FB4">
        <w:rPr>
          <w:rFonts w:eastAsia="MS Mincho" w:cstheme="minorHAnsi"/>
          <w:lang w:val="en-US" w:eastAsia="ja-JP"/>
        </w:rPr>
        <w:t xml:space="preserve">, health check </w:t>
      </w:r>
      <w:proofErr w:type="spellStart"/>
      <w:r w:rsidRPr="00946FB4">
        <w:rPr>
          <w:rFonts w:eastAsia="MS Mincho" w:cstheme="minorHAnsi"/>
          <w:lang w:val="en-US" w:eastAsia="ja-JP"/>
        </w:rPr>
        <w:t>programmes</w:t>
      </w:r>
      <w:proofErr w:type="spellEnd"/>
    </w:p>
    <w:p w14:paraId="17A14FA9"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health promotion / prevention and education, in line with national guidelines</w:t>
      </w:r>
    </w:p>
    <w:p w14:paraId="2279D66C"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staff training and education, liaison with medical/clinical teams, other AHPs and visiting clinicians regarding prescriptions, on-going monitoring and treatment</w:t>
      </w:r>
    </w:p>
    <w:p w14:paraId="3723B76A"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new patient screening and management</w:t>
      </w:r>
    </w:p>
    <w:p w14:paraId="7040309A" w14:textId="77777777" w:rsidR="008938A6" w:rsidRPr="00946FB4" w:rsidRDefault="008938A6" w:rsidP="008938A6">
      <w:pPr>
        <w:pStyle w:val="ListParagraph"/>
        <w:numPr>
          <w:ilvl w:val="0"/>
          <w:numId w:val="2"/>
        </w:numPr>
        <w:spacing w:after="0" w:line="240" w:lineRule="auto"/>
        <w:contextualSpacing w:val="0"/>
        <w:rPr>
          <w:rFonts w:eastAsia="MS Mincho" w:cstheme="minorHAnsi"/>
          <w:lang w:val="en-US" w:eastAsia="ja-JP"/>
        </w:rPr>
      </w:pPr>
      <w:r w:rsidRPr="00946FB4">
        <w:rPr>
          <w:rFonts w:eastAsia="MS Mincho" w:cstheme="minorHAnsi"/>
          <w:lang w:val="en-US" w:eastAsia="ja-JP"/>
        </w:rPr>
        <w:t xml:space="preserve">integration of existing resources for health improvement; physical health </w:t>
      </w:r>
      <w:proofErr w:type="gramStart"/>
      <w:r w:rsidRPr="00946FB4">
        <w:rPr>
          <w:rFonts w:eastAsia="MS Mincho" w:cstheme="minorHAnsi"/>
          <w:lang w:val="en-US" w:eastAsia="ja-JP"/>
        </w:rPr>
        <w:t>trainers</w:t>
      </w:r>
      <w:proofErr w:type="gramEnd"/>
      <w:r w:rsidRPr="00946FB4">
        <w:rPr>
          <w:rFonts w:eastAsia="MS Mincho" w:cstheme="minorHAnsi"/>
          <w:lang w:val="en-US" w:eastAsia="ja-JP"/>
        </w:rPr>
        <w:t xml:space="preserve"> and gym and recreational activities</w:t>
      </w:r>
    </w:p>
    <w:p w14:paraId="7F2EEB72" w14:textId="69956EA4" w:rsidR="00BF5F7A" w:rsidRPr="008938A6" w:rsidRDefault="00BF5F7A" w:rsidP="00D97DAD">
      <w:pPr>
        <w:jc w:val="both"/>
        <w:rPr>
          <w:sz w:val="24"/>
          <w:szCs w:val="24"/>
        </w:rPr>
      </w:pPr>
    </w:p>
    <w:p w14:paraId="28C2F395" w14:textId="26A05A7A" w:rsidR="00BB1A1F" w:rsidRDefault="008938A6" w:rsidP="00FB31C8">
      <w:pPr>
        <w:spacing w:line="240" w:lineRule="auto"/>
        <w:rPr>
          <w:rFonts w:cstheme="minorHAnsi"/>
        </w:rPr>
      </w:pPr>
      <w:r>
        <w:rPr>
          <w:rFonts w:cstheme="minorHAnsi"/>
        </w:rPr>
        <w:t>The trust will be open to feedback regarding the current provision of services, and how this can be adapted to promote patient experience.</w:t>
      </w:r>
    </w:p>
    <w:p w14:paraId="65A0A2B0" w14:textId="4BC24F61" w:rsidR="00FB31C8" w:rsidRPr="005D2284" w:rsidRDefault="00EB73EB" w:rsidP="00FB31C8">
      <w:pPr>
        <w:spacing w:line="240" w:lineRule="auto"/>
        <w:rPr>
          <w:rFonts w:eastAsia="MS Mincho" w:cstheme="minorHAnsi"/>
          <w:lang w:val="en-US" w:eastAsia="ja-JP"/>
        </w:rPr>
      </w:pPr>
      <w:r>
        <w:rPr>
          <w:rFonts w:cstheme="minorHAnsi"/>
        </w:rPr>
        <w:br/>
      </w:r>
      <w:r>
        <w:rPr>
          <w:rFonts w:cstheme="minorHAnsi"/>
        </w:rPr>
        <w:br/>
      </w:r>
      <w:r w:rsidRPr="005D2284">
        <w:rPr>
          <w:rFonts w:cstheme="minorHAnsi"/>
          <w:b/>
          <w:bCs/>
          <w:u w:val="single"/>
        </w:rPr>
        <w:t>Current Hours of Operation</w:t>
      </w:r>
      <w:r w:rsidRPr="005D2284">
        <w:rPr>
          <w:rFonts w:cstheme="minorHAnsi"/>
          <w:u w:val="single"/>
        </w:rPr>
        <w:br/>
      </w:r>
    </w:p>
    <w:tbl>
      <w:tblPr>
        <w:tblStyle w:val="TableGrid"/>
        <w:tblW w:w="0" w:type="auto"/>
        <w:tblLook w:val="04A0" w:firstRow="1" w:lastRow="0" w:firstColumn="1" w:lastColumn="0" w:noHBand="0" w:noVBand="1"/>
      </w:tblPr>
      <w:tblGrid>
        <w:gridCol w:w="1408"/>
        <w:gridCol w:w="1408"/>
        <w:gridCol w:w="1408"/>
        <w:gridCol w:w="1408"/>
        <w:gridCol w:w="1409"/>
        <w:gridCol w:w="1409"/>
      </w:tblGrid>
      <w:tr w:rsidR="00FB31C8" w:rsidRPr="005D2284" w14:paraId="4AF6EDF0" w14:textId="77777777" w:rsidTr="002E1843">
        <w:tc>
          <w:tcPr>
            <w:tcW w:w="1408" w:type="dxa"/>
          </w:tcPr>
          <w:p w14:paraId="5E8E174C"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Day</w:t>
            </w:r>
          </w:p>
        </w:tc>
        <w:tc>
          <w:tcPr>
            <w:tcW w:w="1408" w:type="dxa"/>
          </w:tcPr>
          <w:p w14:paraId="0C20A4E4"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Provision</w:t>
            </w:r>
          </w:p>
        </w:tc>
        <w:tc>
          <w:tcPr>
            <w:tcW w:w="1408" w:type="dxa"/>
          </w:tcPr>
          <w:p w14:paraId="5B626FFB"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Session</w:t>
            </w:r>
          </w:p>
        </w:tc>
        <w:tc>
          <w:tcPr>
            <w:tcW w:w="1408" w:type="dxa"/>
          </w:tcPr>
          <w:p w14:paraId="6A6ED004"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From</w:t>
            </w:r>
          </w:p>
        </w:tc>
        <w:tc>
          <w:tcPr>
            <w:tcW w:w="1409" w:type="dxa"/>
          </w:tcPr>
          <w:p w14:paraId="382F0F82"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To</w:t>
            </w:r>
          </w:p>
        </w:tc>
        <w:tc>
          <w:tcPr>
            <w:tcW w:w="1409" w:type="dxa"/>
          </w:tcPr>
          <w:p w14:paraId="0072B0D8"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 xml:space="preserve">Appts. available </w:t>
            </w:r>
          </w:p>
        </w:tc>
      </w:tr>
      <w:tr w:rsidR="00FB31C8" w:rsidRPr="005D2284" w14:paraId="3852588A" w14:textId="77777777" w:rsidTr="002E1843">
        <w:tc>
          <w:tcPr>
            <w:tcW w:w="8450" w:type="dxa"/>
            <w:gridSpan w:val="6"/>
            <w:shd w:val="clear" w:color="auto" w:fill="BFBFBF" w:themeFill="background1" w:themeFillShade="BF"/>
          </w:tcPr>
          <w:p w14:paraId="7E12F51D" w14:textId="77777777" w:rsidR="00FB31C8" w:rsidRPr="005D2284" w:rsidRDefault="00FB31C8" w:rsidP="002E1843">
            <w:pPr>
              <w:jc w:val="center"/>
              <w:rPr>
                <w:rFonts w:asciiTheme="minorHAnsi" w:eastAsia="MS Mincho" w:hAnsiTheme="minorHAnsi" w:cstheme="minorHAnsi"/>
                <w:sz w:val="22"/>
                <w:szCs w:val="22"/>
                <w:lang w:val="en-US" w:eastAsia="ja-JP"/>
              </w:rPr>
            </w:pPr>
            <w:proofErr w:type="spellStart"/>
            <w:r w:rsidRPr="005D2284">
              <w:rPr>
                <w:rFonts w:asciiTheme="minorHAnsi" w:hAnsiTheme="minorHAnsi" w:cstheme="minorHAnsi"/>
                <w:b/>
                <w:bCs/>
                <w:sz w:val="22"/>
                <w:szCs w:val="22"/>
              </w:rPr>
              <w:t>Reaside</w:t>
            </w:r>
            <w:proofErr w:type="spellEnd"/>
          </w:p>
        </w:tc>
      </w:tr>
      <w:tr w:rsidR="00FB31C8" w:rsidRPr="005D2284" w14:paraId="4FFCCE72" w14:textId="77777777" w:rsidTr="002E1843">
        <w:tc>
          <w:tcPr>
            <w:tcW w:w="1408" w:type="dxa"/>
          </w:tcPr>
          <w:p w14:paraId="4A1B7B7A"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Monday</w:t>
            </w:r>
          </w:p>
        </w:tc>
        <w:tc>
          <w:tcPr>
            <w:tcW w:w="1408" w:type="dxa"/>
          </w:tcPr>
          <w:p w14:paraId="1B5CCCE4"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w:t>
            </w:r>
          </w:p>
        </w:tc>
        <w:tc>
          <w:tcPr>
            <w:tcW w:w="1408" w:type="dxa"/>
          </w:tcPr>
          <w:p w14:paraId="522D0AF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3 hours</w:t>
            </w:r>
          </w:p>
        </w:tc>
        <w:tc>
          <w:tcPr>
            <w:tcW w:w="1408" w:type="dxa"/>
          </w:tcPr>
          <w:p w14:paraId="2509774D"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2pm</w:t>
            </w:r>
          </w:p>
        </w:tc>
        <w:tc>
          <w:tcPr>
            <w:tcW w:w="1409" w:type="dxa"/>
          </w:tcPr>
          <w:p w14:paraId="77327DD7"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5pm</w:t>
            </w:r>
          </w:p>
        </w:tc>
        <w:tc>
          <w:tcPr>
            <w:tcW w:w="1409" w:type="dxa"/>
          </w:tcPr>
          <w:p w14:paraId="67129C23"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 12</w:t>
            </w:r>
          </w:p>
        </w:tc>
      </w:tr>
      <w:tr w:rsidR="00FB31C8" w:rsidRPr="005D2284" w14:paraId="236948E8" w14:textId="77777777" w:rsidTr="002E1843">
        <w:tc>
          <w:tcPr>
            <w:tcW w:w="1408" w:type="dxa"/>
          </w:tcPr>
          <w:p w14:paraId="3088BC3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Thursday</w:t>
            </w:r>
          </w:p>
        </w:tc>
        <w:tc>
          <w:tcPr>
            <w:tcW w:w="1408" w:type="dxa"/>
          </w:tcPr>
          <w:p w14:paraId="08A84FF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 &amp; Practice Nurse</w:t>
            </w:r>
          </w:p>
        </w:tc>
        <w:tc>
          <w:tcPr>
            <w:tcW w:w="1408" w:type="dxa"/>
          </w:tcPr>
          <w:p w14:paraId="3C0F5D24"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3 hours</w:t>
            </w:r>
          </w:p>
        </w:tc>
        <w:tc>
          <w:tcPr>
            <w:tcW w:w="1408" w:type="dxa"/>
          </w:tcPr>
          <w:p w14:paraId="3474F556"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2pm</w:t>
            </w:r>
          </w:p>
        </w:tc>
        <w:tc>
          <w:tcPr>
            <w:tcW w:w="1409" w:type="dxa"/>
          </w:tcPr>
          <w:p w14:paraId="05F4B41F"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5pm</w:t>
            </w:r>
          </w:p>
        </w:tc>
        <w:tc>
          <w:tcPr>
            <w:tcW w:w="1409" w:type="dxa"/>
          </w:tcPr>
          <w:p w14:paraId="17AEAE81"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 12</w:t>
            </w:r>
          </w:p>
        </w:tc>
      </w:tr>
      <w:tr w:rsidR="00FB31C8" w:rsidRPr="005D2284" w14:paraId="492E0CC4" w14:textId="77777777" w:rsidTr="002E1843">
        <w:tc>
          <w:tcPr>
            <w:tcW w:w="8450" w:type="dxa"/>
            <w:gridSpan w:val="6"/>
            <w:shd w:val="clear" w:color="auto" w:fill="BFBFBF"/>
            <w:vAlign w:val="center"/>
          </w:tcPr>
          <w:p w14:paraId="191EAF0C" w14:textId="77777777" w:rsidR="00FB31C8" w:rsidRPr="005D2284" w:rsidRDefault="00FB31C8" w:rsidP="002E1843">
            <w:pPr>
              <w:jc w:val="center"/>
              <w:rPr>
                <w:rFonts w:asciiTheme="minorHAnsi" w:eastAsia="MS Mincho" w:hAnsiTheme="minorHAnsi" w:cstheme="minorHAnsi"/>
                <w:sz w:val="22"/>
                <w:szCs w:val="22"/>
                <w:lang w:val="en-US" w:eastAsia="ja-JP"/>
              </w:rPr>
            </w:pPr>
            <w:r w:rsidRPr="005D2284">
              <w:rPr>
                <w:rFonts w:asciiTheme="minorHAnsi" w:hAnsiTheme="minorHAnsi" w:cstheme="minorHAnsi"/>
                <w:b/>
                <w:bCs/>
                <w:color w:val="000000"/>
                <w:sz w:val="22"/>
                <w:szCs w:val="22"/>
              </w:rPr>
              <w:t>Hillis Lodge</w:t>
            </w:r>
          </w:p>
        </w:tc>
      </w:tr>
      <w:tr w:rsidR="00FB31C8" w:rsidRPr="005D2284" w14:paraId="03920C31" w14:textId="77777777" w:rsidTr="002E1843">
        <w:tc>
          <w:tcPr>
            <w:tcW w:w="1408" w:type="dxa"/>
          </w:tcPr>
          <w:p w14:paraId="06AC97E5"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Alternate Mondays</w:t>
            </w:r>
          </w:p>
        </w:tc>
        <w:tc>
          <w:tcPr>
            <w:tcW w:w="1408" w:type="dxa"/>
          </w:tcPr>
          <w:p w14:paraId="264BD3C1"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w:t>
            </w:r>
          </w:p>
        </w:tc>
        <w:tc>
          <w:tcPr>
            <w:tcW w:w="1408" w:type="dxa"/>
          </w:tcPr>
          <w:p w14:paraId="4607695B"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2 hours</w:t>
            </w:r>
          </w:p>
        </w:tc>
        <w:tc>
          <w:tcPr>
            <w:tcW w:w="1408" w:type="dxa"/>
          </w:tcPr>
          <w:p w14:paraId="2561A486"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1pm</w:t>
            </w:r>
          </w:p>
        </w:tc>
        <w:tc>
          <w:tcPr>
            <w:tcW w:w="1409" w:type="dxa"/>
          </w:tcPr>
          <w:p w14:paraId="2DF161B4"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3pm</w:t>
            </w:r>
          </w:p>
        </w:tc>
        <w:tc>
          <w:tcPr>
            <w:tcW w:w="1409" w:type="dxa"/>
          </w:tcPr>
          <w:p w14:paraId="203DF2A3"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b/>
                <w:bCs/>
                <w:sz w:val="22"/>
                <w:szCs w:val="22"/>
              </w:rPr>
              <w:t> </w:t>
            </w:r>
            <w:r w:rsidRPr="005D2284">
              <w:rPr>
                <w:rFonts w:asciiTheme="minorHAnsi" w:hAnsiTheme="minorHAnsi" w:cstheme="minorHAnsi"/>
                <w:sz w:val="22"/>
                <w:szCs w:val="22"/>
              </w:rPr>
              <w:t>8</w:t>
            </w:r>
          </w:p>
        </w:tc>
      </w:tr>
      <w:tr w:rsidR="00FB31C8" w:rsidRPr="005D2284" w14:paraId="01F2E4AA" w14:textId="77777777" w:rsidTr="002E1843">
        <w:tc>
          <w:tcPr>
            <w:tcW w:w="8450" w:type="dxa"/>
            <w:gridSpan w:val="6"/>
            <w:shd w:val="clear" w:color="auto" w:fill="BFBFBF" w:themeFill="background1" w:themeFillShade="BF"/>
          </w:tcPr>
          <w:p w14:paraId="14EA7764" w14:textId="77777777" w:rsidR="00FB31C8" w:rsidRPr="005D2284" w:rsidRDefault="00FB31C8" w:rsidP="002E1843">
            <w:pPr>
              <w:jc w:val="center"/>
              <w:rPr>
                <w:rFonts w:asciiTheme="minorHAnsi" w:eastAsia="MS Mincho" w:hAnsiTheme="minorHAnsi" w:cstheme="minorHAnsi"/>
                <w:sz w:val="22"/>
                <w:szCs w:val="22"/>
                <w:lang w:val="en-US" w:eastAsia="ja-JP"/>
              </w:rPr>
            </w:pPr>
            <w:r w:rsidRPr="005D2284">
              <w:rPr>
                <w:rFonts w:asciiTheme="minorHAnsi" w:hAnsiTheme="minorHAnsi" w:cstheme="minorHAnsi"/>
                <w:b/>
                <w:bCs/>
                <w:color w:val="000000"/>
                <w:sz w:val="22"/>
                <w:szCs w:val="22"/>
              </w:rPr>
              <w:t>Tamarind</w:t>
            </w:r>
          </w:p>
        </w:tc>
      </w:tr>
      <w:tr w:rsidR="00FB31C8" w:rsidRPr="005D2284" w14:paraId="462FE4E4" w14:textId="77777777" w:rsidTr="002E1843">
        <w:tc>
          <w:tcPr>
            <w:tcW w:w="1408" w:type="dxa"/>
          </w:tcPr>
          <w:p w14:paraId="5E3AFD1C"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Wednesday</w:t>
            </w:r>
          </w:p>
        </w:tc>
        <w:tc>
          <w:tcPr>
            <w:tcW w:w="1408" w:type="dxa"/>
          </w:tcPr>
          <w:p w14:paraId="180D1396"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w:t>
            </w:r>
          </w:p>
        </w:tc>
        <w:tc>
          <w:tcPr>
            <w:tcW w:w="1408" w:type="dxa"/>
          </w:tcPr>
          <w:p w14:paraId="48B5280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3 hours</w:t>
            </w:r>
          </w:p>
        </w:tc>
        <w:tc>
          <w:tcPr>
            <w:tcW w:w="1408" w:type="dxa"/>
          </w:tcPr>
          <w:p w14:paraId="68CC5EEA"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2pm</w:t>
            </w:r>
          </w:p>
        </w:tc>
        <w:tc>
          <w:tcPr>
            <w:tcW w:w="1409" w:type="dxa"/>
          </w:tcPr>
          <w:p w14:paraId="03622BD3"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5pm</w:t>
            </w:r>
          </w:p>
        </w:tc>
        <w:tc>
          <w:tcPr>
            <w:tcW w:w="1409" w:type="dxa"/>
          </w:tcPr>
          <w:p w14:paraId="6837F7F2"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 12</w:t>
            </w:r>
          </w:p>
        </w:tc>
      </w:tr>
      <w:tr w:rsidR="00FB31C8" w:rsidRPr="005D2284" w14:paraId="292BF1C8" w14:textId="77777777" w:rsidTr="002E1843">
        <w:tc>
          <w:tcPr>
            <w:tcW w:w="1408" w:type="dxa"/>
          </w:tcPr>
          <w:p w14:paraId="366CE0D6"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Thursday</w:t>
            </w:r>
          </w:p>
        </w:tc>
        <w:tc>
          <w:tcPr>
            <w:tcW w:w="1408" w:type="dxa"/>
          </w:tcPr>
          <w:p w14:paraId="09FA3BB3"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 &amp; Practice Nurse</w:t>
            </w:r>
          </w:p>
        </w:tc>
        <w:tc>
          <w:tcPr>
            <w:tcW w:w="1408" w:type="dxa"/>
          </w:tcPr>
          <w:p w14:paraId="5FD10037"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3 hours</w:t>
            </w:r>
          </w:p>
        </w:tc>
        <w:tc>
          <w:tcPr>
            <w:tcW w:w="1408" w:type="dxa"/>
          </w:tcPr>
          <w:p w14:paraId="7002350A"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2pm</w:t>
            </w:r>
          </w:p>
        </w:tc>
        <w:tc>
          <w:tcPr>
            <w:tcW w:w="1409" w:type="dxa"/>
          </w:tcPr>
          <w:p w14:paraId="1FB9B287"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5pm</w:t>
            </w:r>
          </w:p>
        </w:tc>
        <w:tc>
          <w:tcPr>
            <w:tcW w:w="1409" w:type="dxa"/>
          </w:tcPr>
          <w:p w14:paraId="32029C1E"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 12</w:t>
            </w:r>
          </w:p>
        </w:tc>
      </w:tr>
      <w:tr w:rsidR="00FB31C8" w:rsidRPr="005D2284" w14:paraId="675027EE" w14:textId="77777777" w:rsidTr="002E1843">
        <w:tc>
          <w:tcPr>
            <w:tcW w:w="8450" w:type="dxa"/>
            <w:gridSpan w:val="6"/>
            <w:shd w:val="clear" w:color="auto" w:fill="BFBFBF" w:themeFill="background1" w:themeFillShade="BF"/>
          </w:tcPr>
          <w:p w14:paraId="15E7590E" w14:textId="77777777" w:rsidR="00FB31C8" w:rsidRPr="005D2284" w:rsidRDefault="00FB31C8" w:rsidP="002E1843">
            <w:pPr>
              <w:jc w:val="center"/>
              <w:rPr>
                <w:rFonts w:asciiTheme="minorHAnsi" w:eastAsia="MS Mincho" w:hAnsiTheme="minorHAnsi" w:cstheme="minorHAnsi"/>
                <w:sz w:val="22"/>
                <w:szCs w:val="22"/>
                <w:lang w:val="en-US" w:eastAsia="ja-JP"/>
              </w:rPr>
            </w:pPr>
            <w:proofErr w:type="spellStart"/>
            <w:r w:rsidRPr="005D2284">
              <w:rPr>
                <w:rFonts w:asciiTheme="minorHAnsi" w:hAnsiTheme="minorHAnsi" w:cstheme="minorHAnsi"/>
                <w:b/>
                <w:bCs/>
                <w:color w:val="000000"/>
                <w:sz w:val="22"/>
                <w:szCs w:val="22"/>
              </w:rPr>
              <w:t>Ardenleigh</w:t>
            </w:r>
            <w:proofErr w:type="spellEnd"/>
          </w:p>
        </w:tc>
      </w:tr>
      <w:tr w:rsidR="00FB31C8" w:rsidRPr="005D2284" w14:paraId="5212C8AE" w14:textId="77777777" w:rsidTr="002E1843">
        <w:tc>
          <w:tcPr>
            <w:tcW w:w="1408" w:type="dxa"/>
          </w:tcPr>
          <w:p w14:paraId="0918B7FF"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Tuesday</w:t>
            </w:r>
          </w:p>
        </w:tc>
        <w:tc>
          <w:tcPr>
            <w:tcW w:w="1408" w:type="dxa"/>
          </w:tcPr>
          <w:p w14:paraId="14575FA5"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w:t>
            </w:r>
          </w:p>
        </w:tc>
        <w:tc>
          <w:tcPr>
            <w:tcW w:w="1408" w:type="dxa"/>
          </w:tcPr>
          <w:p w14:paraId="76FD04A5"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4 hours</w:t>
            </w:r>
          </w:p>
        </w:tc>
        <w:tc>
          <w:tcPr>
            <w:tcW w:w="1408" w:type="dxa"/>
          </w:tcPr>
          <w:p w14:paraId="63A827A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1pm</w:t>
            </w:r>
          </w:p>
        </w:tc>
        <w:tc>
          <w:tcPr>
            <w:tcW w:w="1409" w:type="dxa"/>
          </w:tcPr>
          <w:p w14:paraId="4504FE5D"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5pm</w:t>
            </w:r>
          </w:p>
        </w:tc>
        <w:tc>
          <w:tcPr>
            <w:tcW w:w="1409" w:type="dxa"/>
          </w:tcPr>
          <w:p w14:paraId="6B9F1C6F"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 12</w:t>
            </w:r>
          </w:p>
        </w:tc>
      </w:tr>
      <w:tr w:rsidR="00FB31C8" w:rsidRPr="005D2284" w14:paraId="6207B780" w14:textId="77777777" w:rsidTr="002E1843">
        <w:tc>
          <w:tcPr>
            <w:tcW w:w="1408" w:type="dxa"/>
          </w:tcPr>
          <w:p w14:paraId="35A9ACE1"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TBC</w:t>
            </w:r>
          </w:p>
        </w:tc>
        <w:tc>
          <w:tcPr>
            <w:tcW w:w="1408" w:type="dxa"/>
          </w:tcPr>
          <w:p w14:paraId="4959FC45"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GP &amp;Practice Nurse</w:t>
            </w:r>
          </w:p>
        </w:tc>
        <w:tc>
          <w:tcPr>
            <w:tcW w:w="1408" w:type="dxa"/>
          </w:tcPr>
          <w:p w14:paraId="1C2FB650"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TBC</w:t>
            </w:r>
          </w:p>
        </w:tc>
        <w:tc>
          <w:tcPr>
            <w:tcW w:w="1408" w:type="dxa"/>
          </w:tcPr>
          <w:p w14:paraId="6D71ED55"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TBC</w:t>
            </w:r>
          </w:p>
        </w:tc>
        <w:tc>
          <w:tcPr>
            <w:tcW w:w="1409" w:type="dxa"/>
          </w:tcPr>
          <w:p w14:paraId="46AAC0A7"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TBC</w:t>
            </w:r>
          </w:p>
        </w:tc>
        <w:tc>
          <w:tcPr>
            <w:tcW w:w="1409" w:type="dxa"/>
          </w:tcPr>
          <w:p w14:paraId="1FAD9A5D" w14:textId="77777777" w:rsidR="00FB31C8" w:rsidRPr="005D2284" w:rsidRDefault="00FB31C8" w:rsidP="002E1843">
            <w:pPr>
              <w:rPr>
                <w:rFonts w:asciiTheme="minorHAnsi" w:eastAsia="MS Mincho" w:hAnsiTheme="minorHAnsi" w:cstheme="minorHAnsi"/>
                <w:sz w:val="22"/>
                <w:szCs w:val="22"/>
                <w:lang w:val="en-US" w:eastAsia="ja-JP"/>
              </w:rPr>
            </w:pPr>
            <w:r w:rsidRPr="005D2284">
              <w:rPr>
                <w:rFonts w:asciiTheme="minorHAnsi" w:hAnsiTheme="minorHAnsi" w:cstheme="minorHAnsi"/>
                <w:sz w:val="22"/>
                <w:szCs w:val="22"/>
              </w:rPr>
              <w:t>TBC</w:t>
            </w:r>
          </w:p>
        </w:tc>
      </w:tr>
    </w:tbl>
    <w:p w14:paraId="6BA83A8E" w14:textId="77777777" w:rsidR="00FB31C8" w:rsidRDefault="00FB31C8" w:rsidP="00A16EAF">
      <w:pPr>
        <w:rPr>
          <w:rFonts w:cstheme="minorHAnsi"/>
          <w:u w:val="single"/>
        </w:rPr>
      </w:pPr>
    </w:p>
    <w:p w14:paraId="7BF34C27" w14:textId="77777777" w:rsidR="00D93653" w:rsidRDefault="00FB31C8" w:rsidP="00A16EAF">
      <w:pPr>
        <w:rPr>
          <w:rFonts w:cstheme="minorHAnsi"/>
        </w:rPr>
      </w:pPr>
      <w:r>
        <w:rPr>
          <w:rFonts w:cstheme="minorHAnsi"/>
        </w:rPr>
        <w:t xml:space="preserve">The trust will look to engage for feedback on the current operational hours and </w:t>
      </w:r>
      <w:r w:rsidR="0013626B">
        <w:rPr>
          <w:rFonts w:cstheme="minorHAnsi"/>
        </w:rPr>
        <w:t xml:space="preserve">possible efficiencies that can be made. </w:t>
      </w:r>
    </w:p>
    <w:p w14:paraId="258627A0" w14:textId="77777777" w:rsidR="00553357" w:rsidRDefault="00553357" w:rsidP="00A16EAF">
      <w:pPr>
        <w:rPr>
          <w:rFonts w:cstheme="minorHAnsi"/>
        </w:rPr>
      </w:pPr>
    </w:p>
    <w:p w14:paraId="07F5E790" w14:textId="77777777" w:rsidR="00553357" w:rsidRDefault="00553357" w:rsidP="00A16EAF">
      <w:pPr>
        <w:rPr>
          <w:rFonts w:cstheme="minorHAnsi"/>
        </w:rPr>
      </w:pPr>
    </w:p>
    <w:p w14:paraId="4BFC724D" w14:textId="77777777" w:rsidR="00553357" w:rsidRDefault="00553357" w:rsidP="00A16EAF">
      <w:pPr>
        <w:rPr>
          <w:rFonts w:cstheme="minorHAnsi"/>
        </w:rPr>
      </w:pPr>
    </w:p>
    <w:p w14:paraId="3FADF64D" w14:textId="77777777" w:rsidR="00D93653" w:rsidRPr="00D93653" w:rsidRDefault="00D93653" w:rsidP="00A16EAF">
      <w:pPr>
        <w:rPr>
          <w:rFonts w:cstheme="minorHAnsi"/>
          <w:b/>
          <w:bCs/>
          <w:u w:val="single"/>
        </w:rPr>
      </w:pPr>
      <w:r w:rsidRPr="00D93653">
        <w:rPr>
          <w:rFonts w:cstheme="minorHAnsi"/>
          <w:b/>
          <w:bCs/>
          <w:u w:val="single"/>
        </w:rPr>
        <w:t xml:space="preserve">Current Pricing Model </w:t>
      </w:r>
    </w:p>
    <w:p w14:paraId="1FED67EC" w14:textId="0ECB5E42" w:rsidR="00914BB1" w:rsidRDefault="00914BB1" w:rsidP="00A16EAF">
      <w:pPr>
        <w:rPr>
          <w:rFonts w:cstheme="minorHAnsi"/>
        </w:rPr>
      </w:pPr>
      <w:r w:rsidRPr="00914BB1">
        <w:rPr>
          <w:rFonts w:cstheme="minorHAnsi"/>
        </w:rPr>
        <w:t>Currently funded for £16</w:t>
      </w:r>
      <w:r w:rsidR="002F0AC2">
        <w:rPr>
          <w:rFonts w:cstheme="minorHAnsi"/>
        </w:rPr>
        <w:t>9</w:t>
      </w:r>
      <w:r w:rsidRPr="00914BB1">
        <w:rPr>
          <w:rFonts w:cstheme="minorHAnsi"/>
        </w:rPr>
        <w:t>,000.00 – the new contract is expected to fall within this budget.</w:t>
      </w:r>
    </w:p>
    <w:p w14:paraId="17DB29FA" w14:textId="459C8028" w:rsidR="00D97DAD" w:rsidRPr="00914BB1" w:rsidRDefault="00D97DAD" w:rsidP="00A16EAF">
      <w:pPr>
        <w:rPr>
          <w:rFonts w:cstheme="minorHAnsi"/>
        </w:rPr>
      </w:pPr>
      <w:r>
        <w:rPr>
          <w:rFonts w:cstheme="minorHAnsi"/>
        </w:rPr>
        <w:br/>
      </w:r>
      <w:r w:rsidRPr="00D97DAD">
        <w:rPr>
          <w:rFonts w:cstheme="minorHAnsi"/>
          <w:b/>
          <w:bCs/>
          <w:iCs/>
          <w:u w:val="single"/>
        </w:rPr>
        <w:t>Social Value</w:t>
      </w:r>
    </w:p>
    <w:p w14:paraId="4DE61A16" w14:textId="4E8597AC" w:rsidR="00D97DAD" w:rsidRPr="00D97DAD" w:rsidRDefault="00D97DAD" w:rsidP="00D97DAD">
      <w:pPr>
        <w:jc w:val="both"/>
        <w:rPr>
          <w:rFonts w:cstheme="minorHAnsi"/>
          <w:iCs/>
        </w:rPr>
      </w:pPr>
      <w:r w:rsidRPr="00D97DAD">
        <w:rPr>
          <w:rFonts w:cstheme="minorHAnsi"/>
          <w:iCs/>
        </w:rPr>
        <w:t>The Authority’s expectation is that the provider will contribute positively towards delivery of the Authority’s Social Value Policy ambitions, delivering tangible and meaningful added social value outputs to the local community of Birmingham and Solihull.</w:t>
      </w:r>
    </w:p>
    <w:p w14:paraId="0F8395A9" w14:textId="77777777" w:rsidR="00D97DAD" w:rsidRDefault="00D97DAD" w:rsidP="00D97DAD">
      <w:pPr>
        <w:jc w:val="both"/>
        <w:rPr>
          <w:rFonts w:cstheme="minorHAnsi"/>
          <w:iCs/>
        </w:rPr>
      </w:pPr>
      <w:r w:rsidRPr="00D97DAD">
        <w:rPr>
          <w:rFonts w:cstheme="minorHAnsi"/>
          <w:iCs/>
        </w:rPr>
        <w:t>The Public Services (Social Value) Act 2012 requires the Authority to have regard to economic, social and environmental implications of the tendering exercise within the local area. It will cover, looking beyond the price of each individual contract and looking at what the collective benefit to a community is when a public body chooses to award a contract.</w:t>
      </w:r>
    </w:p>
    <w:p w14:paraId="23F53430" w14:textId="66051364" w:rsidR="00297F1D" w:rsidRDefault="00297F1D" w:rsidP="00D97DAD">
      <w:pPr>
        <w:jc w:val="both"/>
        <w:rPr>
          <w:rFonts w:cstheme="minorHAnsi"/>
          <w:iCs/>
        </w:rPr>
      </w:pPr>
      <w:r>
        <w:rPr>
          <w:rFonts w:cstheme="minorHAnsi"/>
          <w:iCs/>
        </w:rPr>
        <w:t>Pragmatically, the authority expects to see the application of</w:t>
      </w:r>
      <w:r w:rsidR="00E81E2F">
        <w:rPr>
          <w:rFonts w:cstheme="minorHAnsi"/>
          <w:iCs/>
        </w:rPr>
        <w:t xml:space="preserve"> proportionate</w:t>
      </w:r>
      <w:r>
        <w:rPr>
          <w:rFonts w:cstheme="minorHAnsi"/>
          <w:iCs/>
        </w:rPr>
        <w:t xml:space="preserve"> contractual public funds </w:t>
      </w:r>
      <w:r w:rsidR="00753261">
        <w:rPr>
          <w:rFonts w:cstheme="minorHAnsi"/>
          <w:iCs/>
        </w:rPr>
        <w:t xml:space="preserve">being used in operation to improve and provide meaningful positive impact to </w:t>
      </w:r>
      <w:r w:rsidR="00727819">
        <w:rPr>
          <w:rFonts w:cstheme="minorHAnsi"/>
          <w:iCs/>
        </w:rPr>
        <w:t xml:space="preserve">Birmingham and Solihull. The authority will look to support </w:t>
      </w:r>
      <w:r w:rsidR="003A49D5">
        <w:rPr>
          <w:rFonts w:cstheme="minorHAnsi"/>
          <w:iCs/>
        </w:rPr>
        <w:t xml:space="preserve">the promotion of provider initiatives over the duration of the contract. </w:t>
      </w:r>
    </w:p>
    <w:p w14:paraId="2F4DFE7C" w14:textId="42237877" w:rsidR="003A49D5" w:rsidRPr="00D97DAD" w:rsidRDefault="003A49D5" w:rsidP="00D97DAD">
      <w:pPr>
        <w:jc w:val="both"/>
        <w:rPr>
          <w:rFonts w:cstheme="minorHAnsi"/>
          <w:iCs/>
        </w:rPr>
      </w:pPr>
      <w:r>
        <w:rPr>
          <w:rFonts w:cstheme="minorHAnsi"/>
          <w:iCs/>
        </w:rPr>
        <w:t xml:space="preserve">The trust is open to feedback on possible initiatives that may be undertaken, and how these may be supported by both parties. </w:t>
      </w:r>
    </w:p>
    <w:p w14:paraId="07BC590B" w14:textId="04C9ACA0" w:rsidR="00EA7688" w:rsidRPr="004C3424" w:rsidRDefault="00D97DAD" w:rsidP="004C3424">
      <w:pPr>
        <w:rPr>
          <w:rFonts w:cstheme="minorHAnsi"/>
          <w:i/>
          <w:iCs/>
        </w:rPr>
      </w:pPr>
      <w:r w:rsidRPr="00D97DAD">
        <w:rPr>
          <w:rFonts w:cstheme="minorHAnsi"/>
          <w:i/>
          <w:iCs/>
        </w:rPr>
        <w:t xml:space="preserve">Link to Procurement Policy Notice 06/20: </w:t>
      </w:r>
      <w:hyperlink r:id="rId11" w:history="1">
        <w:r w:rsidRPr="00D97DAD">
          <w:rPr>
            <w:rStyle w:val="Hyperlink"/>
            <w:rFonts w:cstheme="minorHAnsi"/>
            <w:i/>
            <w:iCs/>
          </w:rPr>
          <w:t>https://www.gov.uk/government/publications/procurement-policy-note-0620-taking-account-of-social-value-in-the-award-of-central-government-contracts</w:t>
        </w:r>
      </w:hyperlink>
      <w:r w:rsidRPr="00D97DAD">
        <w:rPr>
          <w:rFonts w:cstheme="minorHAnsi"/>
          <w:i/>
          <w:iCs/>
        </w:rPr>
        <w:t xml:space="preserve"> </w:t>
      </w:r>
    </w:p>
    <w:p w14:paraId="7DCE3124" w14:textId="0B9645FB" w:rsidR="00EA7688" w:rsidRPr="00F7146A" w:rsidRDefault="00EA7688" w:rsidP="00CB420C">
      <w:pPr>
        <w:jc w:val="both"/>
        <w:rPr>
          <w:rFonts w:cstheme="minorHAnsi"/>
          <w:b/>
          <w:bCs/>
          <w:iCs/>
          <w:u w:val="single"/>
        </w:rPr>
      </w:pPr>
      <w:r w:rsidRPr="00F7146A">
        <w:rPr>
          <w:rFonts w:cstheme="minorHAnsi"/>
          <w:b/>
          <w:bCs/>
          <w:iCs/>
          <w:u w:val="single"/>
        </w:rPr>
        <w:t xml:space="preserve">Engagement </w:t>
      </w:r>
    </w:p>
    <w:p w14:paraId="7F83C71F" w14:textId="592EBE51" w:rsidR="00EA7688" w:rsidRPr="0062599C" w:rsidRDefault="00EA7688" w:rsidP="00EA7688">
      <w:pPr>
        <w:jc w:val="both"/>
        <w:rPr>
          <w:rFonts w:cstheme="minorHAnsi"/>
          <w:iCs/>
        </w:rPr>
      </w:pPr>
      <w:r w:rsidRPr="0062599C">
        <w:rPr>
          <w:rFonts w:cstheme="minorHAnsi"/>
          <w:iCs/>
        </w:rPr>
        <w:t>The Trust invite</w:t>
      </w:r>
      <w:r>
        <w:rPr>
          <w:rFonts w:cstheme="minorHAnsi"/>
          <w:iCs/>
        </w:rPr>
        <w:t>s</w:t>
      </w:r>
      <w:r w:rsidRPr="0062599C">
        <w:rPr>
          <w:rFonts w:cstheme="minorHAnsi"/>
          <w:iCs/>
        </w:rPr>
        <w:t xml:space="preserve"> Provider(s) to confirm their interest through the </w:t>
      </w:r>
      <w:proofErr w:type="spellStart"/>
      <w:r w:rsidRPr="0062599C">
        <w:rPr>
          <w:rFonts w:cstheme="minorHAnsi"/>
          <w:iCs/>
        </w:rPr>
        <w:t>Atamis</w:t>
      </w:r>
      <w:proofErr w:type="spellEnd"/>
      <w:r w:rsidRPr="0062599C">
        <w:rPr>
          <w:rFonts w:cstheme="minorHAnsi"/>
          <w:iCs/>
        </w:rPr>
        <w:t xml:space="preserve"> portal by </w:t>
      </w:r>
      <w:r w:rsidR="00356AAA">
        <w:rPr>
          <w:rFonts w:cstheme="minorHAnsi"/>
          <w:iCs/>
        </w:rPr>
        <w:t>5pm</w:t>
      </w:r>
      <w:r w:rsidRPr="00356AAA">
        <w:rPr>
          <w:rFonts w:cstheme="minorHAnsi"/>
          <w:iCs/>
        </w:rPr>
        <w:t xml:space="preserve"> on </w:t>
      </w:r>
      <w:r w:rsidR="00120206">
        <w:rPr>
          <w:rFonts w:cstheme="minorHAnsi"/>
          <w:iCs/>
        </w:rPr>
        <w:t>5</w:t>
      </w:r>
      <w:r w:rsidR="00120206" w:rsidRPr="00356AAA">
        <w:rPr>
          <w:rFonts w:cstheme="minorHAnsi"/>
          <w:iCs/>
          <w:vertAlign w:val="superscript"/>
        </w:rPr>
        <w:t>th</w:t>
      </w:r>
      <w:r w:rsidR="00120206">
        <w:rPr>
          <w:rFonts w:cstheme="minorHAnsi"/>
          <w:iCs/>
        </w:rPr>
        <w:t xml:space="preserve"> Septem</w:t>
      </w:r>
      <w:r w:rsidR="00852D13">
        <w:rPr>
          <w:rFonts w:cstheme="minorHAnsi"/>
          <w:iCs/>
        </w:rPr>
        <w:t>ber 2025</w:t>
      </w:r>
      <w:r>
        <w:rPr>
          <w:rFonts w:cstheme="minorHAnsi"/>
          <w:iCs/>
        </w:rPr>
        <w:t xml:space="preserve"> </w:t>
      </w:r>
      <w:r w:rsidRPr="0062599C">
        <w:rPr>
          <w:rFonts w:cstheme="minorHAnsi"/>
          <w:iCs/>
        </w:rPr>
        <w:t xml:space="preserve">following which will be invited </w:t>
      </w:r>
      <w:r w:rsidRPr="00A33325">
        <w:rPr>
          <w:rFonts w:cstheme="minorHAnsi"/>
          <w:iCs/>
        </w:rPr>
        <w:t xml:space="preserve">to a </w:t>
      </w:r>
      <w:r w:rsidRPr="00356AAA">
        <w:rPr>
          <w:rFonts w:cstheme="minorHAnsi"/>
          <w:iCs/>
        </w:rPr>
        <w:t xml:space="preserve">virtual </w:t>
      </w:r>
      <w:r w:rsidR="00852D13">
        <w:rPr>
          <w:rFonts w:cstheme="minorHAnsi"/>
          <w:iCs/>
        </w:rPr>
        <w:t>12</w:t>
      </w:r>
      <w:r w:rsidR="00852D13" w:rsidRPr="00356AAA">
        <w:rPr>
          <w:rFonts w:cstheme="minorHAnsi"/>
          <w:iCs/>
          <w:vertAlign w:val="superscript"/>
        </w:rPr>
        <w:t>th</w:t>
      </w:r>
      <w:r w:rsidR="00852D13">
        <w:rPr>
          <w:rFonts w:cstheme="minorHAnsi"/>
          <w:iCs/>
        </w:rPr>
        <w:t xml:space="preserve"> September 2025</w:t>
      </w:r>
      <w:r>
        <w:rPr>
          <w:rFonts w:cstheme="minorHAnsi"/>
          <w:iCs/>
        </w:rPr>
        <w:t xml:space="preserve"> </w:t>
      </w:r>
      <w:r w:rsidRPr="0062599C">
        <w:rPr>
          <w:rFonts w:cstheme="minorHAnsi"/>
          <w:iCs/>
        </w:rPr>
        <w:t xml:space="preserve">(the date is not negotiable and individual </w:t>
      </w:r>
      <w:r w:rsidRPr="00356AAA">
        <w:rPr>
          <w:rFonts w:cstheme="minorHAnsi"/>
          <w:iCs/>
        </w:rPr>
        <w:t xml:space="preserve">times to be confirmed on </w:t>
      </w:r>
      <w:r w:rsidR="00852D13" w:rsidRPr="00356AAA">
        <w:rPr>
          <w:rFonts w:cstheme="minorHAnsi"/>
          <w:iCs/>
        </w:rPr>
        <w:t>9th September 2025</w:t>
      </w:r>
      <w:r w:rsidR="00356AAA" w:rsidRPr="00356AAA">
        <w:rPr>
          <w:rFonts w:cstheme="minorHAnsi"/>
          <w:iCs/>
        </w:rPr>
        <w:t xml:space="preserve"> </w:t>
      </w:r>
      <w:r w:rsidRPr="00356AAA">
        <w:rPr>
          <w:rFonts w:cstheme="minorHAnsi"/>
          <w:iCs/>
        </w:rPr>
        <w:t>by End of Day</w:t>
      </w:r>
      <w:r w:rsidRPr="0062599C">
        <w:rPr>
          <w:rFonts w:cstheme="minorHAnsi"/>
          <w:iCs/>
        </w:rPr>
        <w:t>) which will comp</w:t>
      </w:r>
      <w:r>
        <w:rPr>
          <w:rFonts w:cstheme="minorHAnsi"/>
          <w:iCs/>
        </w:rPr>
        <w:t>rom</w:t>
      </w:r>
      <w:r w:rsidRPr="0062599C">
        <w:rPr>
          <w:rFonts w:cstheme="minorHAnsi"/>
          <w:iCs/>
        </w:rPr>
        <w:t xml:space="preserve">ise of </w:t>
      </w:r>
      <w:r w:rsidRPr="00356AAA">
        <w:rPr>
          <w:rFonts w:cstheme="minorHAnsi"/>
          <w:iCs/>
        </w:rPr>
        <w:t>an open Conversation on Aims &amp; Objectives.</w:t>
      </w:r>
      <w:r w:rsidRPr="00A33325">
        <w:rPr>
          <w:rFonts w:cstheme="minorHAnsi"/>
          <w:iCs/>
        </w:rPr>
        <w:t xml:space="preserve"> </w:t>
      </w:r>
    </w:p>
    <w:p w14:paraId="7D7AF39C" w14:textId="77777777" w:rsidR="00EA7688" w:rsidRPr="0062599C" w:rsidRDefault="00EA7688" w:rsidP="00EA7688">
      <w:pPr>
        <w:jc w:val="both"/>
        <w:rPr>
          <w:rFonts w:cstheme="minorHAnsi"/>
          <w:iCs/>
        </w:rPr>
      </w:pPr>
      <w:r w:rsidRPr="0062599C">
        <w:rPr>
          <w:rFonts w:cstheme="minorHAnsi"/>
          <w:iCs/>
        </w:rPr>
        <w:t xml:space="preserve">The route to market for this service falls in-scope of the Provider Selection Regime with the specific procedure(s) </w:t>
      </w:r>
      <w:proofErr w:type="gramStart"/>
      <w:r w:rsidRPr="0062599C">
        <w:rPr>
          <w:rFonts w:cstheme="minorHAnsi"/>
          <w:iCs/>
        </w:rPr>
        <w:t>as yet</w:t>
      </w:r>
      <w:proofErr w:type="gramEnd"/>
      <w:r w:rsidRPr="0062599C">
        <w:rPr>
          <w:rFonts w:cstheme="minorHAnsi"/>
          <w:iCs/>
        </w:rPr>
        <w:t xml:space="preserve"> to be confirmed. </w:t>
      </w:r>
    </w:p>
    <w:p w14:paraId="2413FCF3" w14:textId="4F96897E" w:rsidR="00F41C56" w:rsidRDefault="00EA7688" w:rsidP="00EA7688">
      <w:pPr>
        <w:jc w:val="both"/>
        <w:rPr>
          <w:rFonts w:cstheme="minorHAnsi"/>
          <w:iCs/>
        </w:rPr>
      </w:pPr>
      <w:r w:rsidRPr="0062599C">
        <w:rPr>
          <w:rFonts w:cstheme="minorHAnsi"/>
          <w:iCs/>
        </w:rPr>
        <w:t xml:space="preserve">If you wish to participate, please confirm in writing via the </w:t>
      </w:r>
      <w:proofErr w:type="spellStart"/>
      <w:r w:rsidRPr="0062599C">
        <w:rPr>
          <w:rFonts w:cstheme="minorHAnsi"/>
          <w:iCs/>
        </w:rPr>
        <w:t>Atamis</w:t>
      </w:r>
      <w:proofErr w:type="spellEnd"/>
      <w:r w:rsidRPr="0062599C">
        <w:rPr>
          <w:rFonts w:cstheme="minorHAnsi"/>
          <w:iCs/>
        </w:rPr>
        <w:t xml:space="preserve"> portal </w:t>
      </w:r>
      <w:r w:rsidRPr="00D11DE9">
        <w:rPr>
          <w:rFonts w:cstheme="minorHAnsi"/>
          <w:iCs/>
        </w:rPr>
        <w:t>to Ali</w:t>
      </w:r>
      <w:r w:rsidRPr="0050458D">
        <w:rPr>
          <w:rFonts w:cstheme="minorHAnsi"/>
          <w:iCs/>
        </w:rPr>
        <w:t xml:space="preserve"> Babu– Category Manager by </w:t>
      </w:r>
      <w:r w:rsidR="00356AAA">
        <w:rPr>
          <w:rFonts w:cstheme="minorHAnsi"/>
          <w:iCs/>
        </w:rPr>
        <w:t xml:space="preserve">5.00PM </w:t>
      </w:r>
      <w:r w:rsidRPr="00356AAA">
        <w:rPr>
          <w:rFonts w:cstheme="minorHAnsi"/>
          <w:iCs/>
        </w:rPr>
        <w:t>on Friday</w:t>
      </w:r>
      <w:r w:rsidR="00120206" w:rsidRPr="00356AAA">
        <w:rPr>
          <w:rFonts w:cstheme="minorHAnsi"/>
          <w:iCs/>
        </w:rPr>
        <w:t xml:space="preserve"> 5</w:t>
      </w:r>
      <w:r w:rsidR="00120206" w:rsidRPr="00356AAA">
        <w:rPr>
          <w:rFonts w:cstheme="minorHAnsi"/>
          <w:iCs/>
          <w:vertAlign w:val="superscript"/>
        </w:rPr>
        <w:t>th</w:t>
      </w:r>
      <w:r w:rsidR="00120206" w:rsidRPr="00356AAA">
        <w:rPr>
          <w:rFonts w:cstheme="minorHAnsi"/>
          <w:iCs/>
        </w:rPr>
        <w:t xml:space="preserve"> September 2025</w:t>
      </w:r>
      <w:r w:rsidR="00356AAA">
        <w:rPr>
          <w:rFonts w:cstheme="minorHAnsi"/>
          <w:iCs/>
        </w:rPr>
        <w:t>.</w:t>
      </w:r>
    </w:p>
    <w:p w14:paraId="14545848" w14:textId="77777777" w:rsidR="00EA7688" w:rsidRPr="0062599C" w:rsidRDefault="00EA7688" w:rsidP="00EA7688">
      <w:pPr>
        <w:jc w:val="both"/>
        <w:rPr>
          <w:rFonts w:cstheme="minorHAnsi"/>
          <w:iCs/>
          <w:color w:val="FF0000"/>
        </w:rPr>
      </w:pPr>
      <w:r>
        <w:rPr>
          <w:rFonts w:cstheme="minorHAnsi"/>
          <w:iCs/>
        </w:rPr>
        <w:t xml:space="preserve">Adjustments to any dates mentioned above are at the discretion of the trust. Adjustments will be communicated to all providers who demonstrate interest in the pre-market engagement via the </w:t>
      </w:r>
      <w:proofErr w:type="spellStart"/>
      <w:r>
        <w:rPr>
          <w:rFonts w:cstheme="minorHAnsi"/>
          <w:iCs/>
        </w:rPr>
        <w:t>Atamis</w:t>
      </w:r>
      <w:proofErr w:type="spellEnd"/>
      <w:r>
        <w:rPr>
          <w:rFonts w:cstheme="minorHAnsi"/>
          <w:iCs/>
        </w:rPr>
        <w:t xml:space="preserve"> portal. </w:t>
      </w:r>
    </w:p>
    <w:p w14:paraId="1C39E8CC" w14:textId="47F020D5" w:rsidR="00F7146A" w:rsidRPr="004C3424" w:rsidRDefault="00EA7688" w:rsidP="00EA7688">
      <w:pPr>
        <w:jc w:val="both"/>
        <w:rPr>
          <w:rFonts w:cstheme="minorHAnsi"/>
          <w:iCs/>
        </w:rPr>
      </w:pPr>
      <w:r w:rsidRPr="00A33325">
        <w:rPr>
          <w:rFonts w:cstheme="minorHAnsi"/>
          <w:iCs/>
        </w:rPr>
        <w:lastRenderedPageBreak/>
        <w:t>Please be advised that this notice is not a formal call for competition and participation in this pre-market engagement meeting is voluntary.</w:t>
      </w:r>
    </w:p>
    <w:p w14:paraId="6B481D97" w14:textId="3C4EF32A" w:rsidR="00F7146A" w:rsidRDefault="00F7146A" w:rsidP="00EA7688">
      <w:pPr>
        <w:jc w:val="both"/>
        <w:rPr>
          <w:rFonts w:cstheme="minorHAnsi"/>
          <w:b/>
          <w:bCs/>
          <w:iCs/>
          <w:u w:val="single"/>
        </w:rPr>
      </w:pPr>
      <w:r w:rsidRPr="00F7146A">
        <w:rPr>
          <w:rFonts w:cstheme="minorHAnsi"/>
          <w:b/>
          <w:bCs/>
          <w:iCs/>
          <w:u w:val="single"/>
        </w:rPr>
        <w:t xml:space="preserve">Accessing the </w:t>
      </w:r>
      <w:proofErr w:type="spellStart"/>
      <w:r w:rsidRPr="00F7146A">
        <w:rPr>
          <w:rFonts w:cstheme="minorHAnsi"/>
          <w:b/>
          <w:bCs/>
          <w:iCs/>
          <w:u w:val="single"/>
        </w:rPr>
        <w:t>Atamis</w:t>
      </w:r>
      <w:proofErr w:type="spellEnd"/>
      <w:r w:rsidRPr="00F7146A">
        <w:rPr>
          <w:rFonts w:cstheme="minorHAnsi"/>
          <w:b/>
          <w:bCs/>
          <w:iCs/>
          <w:u w:val="single"/>
        </w:rPr>
        <w:t xml:space="preserve"> portal </w:t>
      </w:r>
    </w:p>
    <w:p w14:paraId="3A81DA43" w14:textId="141D0CC3" w:rsidR="00F7146A" w:rsidRDefault="00503958" w:rsidP="00EA7688">
      <w:pPr>
        <w:jc w:val="both"/>
        <w:rPr>
          <w:rFonts w:cstheme="minorHAnsi"/>
          <w:iCs/>
        </w:rPr>
      </w:pPr>
      <w:r>
        <w:rPr>
          <w:rFonts w:cstheme="minorHAnsi"/>
          <w:iCs/>
        </w:rPr>
        <w:t xml:space="preserve">The </w:t>
      </w:r>
      <w:proofErr w:type="spellStart"/>
      <w:r w:rsidR="00D940A8">
        <w:rPr>
          <w:rFonts w:cstheme="minorHAnsi"/>
          <w:iCs/>
        </w:rPr>
        <w:t>A</w:t>
      </w:r>
      <w:r>
        <w:rPr>
          <w:rFonts w:cstheme="minorHAnsi"/>
          <w:iCs/>
        </w:rPr>
        <w:t>tamis</w:t>
      </w:r>
      <w:proofErr w:type="spellEnd"/>
      <w:r>
        <w:rPr>
          <w:rFonts w:cstheme="minorHAnsi"/>
          <w:iCs/>
        </w:rPr>
        <w:t xml:space="preserve"> portal is </w:t>
      </w:r>
      <w:r w:rsidR="00F41C56">
        <w:rPr>
          <w:rFonts w:cstheme="minorHAnsi"/>
          <w:iCs/>
        </w:rPr>
        <w:t>utilised by the Birmingham Solihull Procurement Collaborative for all associated tenders, notices and market activities. The portal is free to access via the following link –</w:t>
      </w:r>
    </w:p>
    <w:p w14:paraId="74446E4A" w14:textId="3672CA97" w:rsidR="00F41C56" w:rsidRDefault="00D940A8" w:rsidP="00EA7688">
      <w:pPr>
        <w:jc w:val="both"/>
        <w:rPr>
          <w:rFonts w:cstheme="minorHAnsi"/>
          <w:iCs/>
        </w:rPr>
      </w:pPr>
      <w:hyperlink r:id="rId12" w:history="1">
        <w:r w:rsidRPr="00414776">
          <w:rPr>
            <w:rStyle w:val="Hyperlink"/>
            <w:rFonts w:cstheme="minorHAnsi"/>
            <w:iCs/>
          </w:rPr>
          <w:t>https://atamis-1928.my.site.com/ProSpend__eSourcing_Community_Registration</w:t>
        </w:r>
      </w:hyperlink>
    </w:p>
    <w:p w14:paraId="5CD9FA14" w14:textId="622879BF" w:rsidR="00CC4A87" w:rsidRDefault="00D940A8" w:rsidP="00EA7688">
      <w:pPr>
        <w:jc w:val="both"/>
        <w:rPr>
          <w:rFonts w:cstheme="minorHAnsi"/>
          <w:iCs/>
        </w:rPr>
      </w:pPr>
      <w:r>
        <w:rPr>
          <w:rFonts w:cstheme="minorHAnsi"/>
          <w:iCs/>
        </w:rPr>
        <w:t xml:space="preserve">Support for the portal is accessible </w:t>
      </w:r>
      <w:r w:rsidR="00C073BA">
        <w:rPr>
          <w:rFonts w:cstheme="minorHAnsi"/>
          <w:iCs/>
        </w:rPr>
        <w:t xml:space="preserve">via Health Family </w:t>
      </w:r>
      <w:r w:rsidR="005101BF">
        <w:rPr>
          <w:rFonts w:cstheme="minorHAnsi"/>
          <w:iCs/>
        </w:rPr>
        <w:t xml:space="preserve">assistance. If you are struggling with technical issue, please raise a ticket via the portal. Please note that the authority will aim to assist any technical issues raised directly to the </w:t>
      </w:r>
      <w:r w:rsidR="00CC4A87">
        <w:rPr>
          <w:rFonts w:cstheme="minorHAnsi"/>
          <w:iCs/>
        </w:rPr>
        <w:t>trust but</w:t>
      </w:r>
      <w:r w:rsidR="005101BF">
        <w:rPr>
          <w:rFonts w:cstheme="minorHAnsi"/>
          <w:iCs/>
        </w:rPr>
        <w:t xml:space="preserve"> encourage </w:t>
      </w:r>
      <w:r w:rsidR="00F40827">
        <w:rPr>
          <w:rFonts w:cstheme="minorHAnsi"/>
          <w:iCs/>
        </w:rPr>
        <w:t xml:space="preserve">seeking assistance from Health Family. </w:t>
      </w:r>
    </w:p>
    <w:p w14:paraId="45397E59" w14:textId="264248EA" w:rsidR="00F7146A" w:rsidRPr="00F7146A" w:rsidRDefault="00F7146A" w:rsidP="00EA7688">
      <w:pPr>
        <w:jc w:val="both"/>
        <w:rPr>
          <w:rFonts w:cstheme="minorHAnsi"/>
          <w:b/>
          <w:bCs/>
          <w:iCs/>
          <w:u w:val="single"/>
        </w:rPr>
      </w:pPr>
      <w:r w:rsidRPr="00F7146A">
        <w:rPr>
          <w:rFonts w:cstheme="minorHAnsi"/>
          <w:b/>
          <w:bCs/>
          <w:iCs/>
          <w:u w:val="single"/>
        </w:rPr>
        <w:t xml:space="preserve">Pre-Market Engagement Timetable </w:t>
      </w:r>
    </w:p>
    <w:p w14:paraId="1112BB88" w14:textId="1EF7C381" w:rsidR="0093322A" w:rsidRDefault="0000514E" w:rsidP="00EA7688">
      <w:pPr>
        <w:jc w:val="both"/>
        <w:rPr>
          <w:rFonts w:cstheme="minorHAnsi"/>
          <w:iCs/>
        </w:rPr>
      </w:pPr>
      <w:r>
        <w:rPr>
          <w:rFonts w:cstheme="minorHAnsi"/>
          <w:iCs/>
        </w:rPr>
        <w:t xml:space="preserve">For provider ease and reference, the following timetable has been provided </w:t>
      </w:r>
      <w:r w:rsidR="00B444C3">
        <w:rPr>
          <w:rFonts w:cstheme="minorHAnsi"/>
          <w:iCs/>
        </w:rPr>
        <w:t xml:space="preserve">- </w:t>
      </w:r>
    </w:p>
    <w:tbl>
      <w:tblPr>
        <w:tblStyle w:val="TableGrid"/>
        <w:tblW w:w="0" w:type="auto"/>
        <w:tblLook w:val="04A0" w:firstRow="1" w:lastRow="0" w:firstColumn="1" w:lastColumn="0" w:noHBand="0" w:noVBand="1"/>
      </w:tblPr>
      <w:tblGrid>
        <w:gridCol w:w="4508"/>
        <w:gridCol w:w="4508"/>
      </w:tblGrid>
      <w:tr w:rsidR="00503958" w14:paraId="51CC4AF8" w14:textId="77777777">
        <w:tc>
          <w:tcPr>
            <w:tcW w:w="4508" w:type="dxa"/>
          </w:tcPr>
          <w:p w14:paraId="25625A27" w14:textId="2C9295D9" w:rsidR="00503958" w:rsidRPr="004B4EFB" w:rsidRDefault="00503958" w:rsidP="00503958">
            <w:pPr>
              <w:jc w:val="center"/>
              <w:rPr>
                <w:rFonts w:asciiTheme="minorHAnsi" w:hAnsiTheme="minorHAnsi" w:cstheme="minorHAnsi"/>
                <w:iCs/>
                <w:sz w:val="22"/>
                <w:szCs w:val="22"/>
              </w:rPr>
            </w:pPr>
            <w:r w:rsidRPr="004B4EFB">
              <w:rPr>
                <w:rFonts w:asciiTheme="minorHAnsi" w:hAnsiTheme="minorHAnsi" w:cstheme="minorHAnsi"/>
                <w:iCs/>
                <w:sz w:val="22"/>
                <w:szCs w:val="22"/>
              </w:rPr>
              <w:t>Activity</w:t>
            </w:r>
          </w:p>
        </w:tc>
        <w:tc>
          <w:tcPr>
            <w:tcW w:w="4508" w:type="dxa"/>
          </w:tcPr>
          <w:p w14:paraId="492955C5" w14:textId="5203C1D0" w:rsidR="00503958" w:rsidRPr="004B4EFB" w:rsidRDefault="00503958" w:rsidP="00503958">
            <w:pPr>
              <w:jc w:val="center"/>
              <w:rPr>
                <w:rFonts w:asciiTheme="minorHAnsi" w:hAnsiTheme="minorHAnsi" w:cstheme="minorHAnsi"/>
                <w:iCs/>
                <w:sz w:val="22"/>
                <w:szCs w:val="22"/>
              </w:rPr>
            </w:pPr>
            <w:r w:rsidRPr="004B4EFB">
              <w:rPr>
                <w:rFonts w:asciiTheme="minorHAnsi" w:hAnsiTheme="minorHAnsi" w:cstheme="minorHAnsi"/>
                <w:iCs/>
                <w:sz w:val="22"/>
                <w:szCs w:val="22"/>
              </w:rPr>
              <w:t>Date</w:t>
            </w:r>
          </w:p>
        </w:tc>
      </w:tr>
      <w:tr w:rsidR="00503958" w14:paraId="483BEA39" w14:textId="77777777" w:rsidTr="001536E3">
        <w:tc>
          <w:tcPr>
            <w:tcW w:w="4508" w:type="dxa"/>
          </w:tcPr>
          <w:p w14:paraId="2564F538" w14:textId="48753714" w:rsidR="00503958" w:rsidRPr="004B4EFB" w:rsidRDefault="00503958" w:rsidP="00EA7688">
            <w:pPr>
              <w:jc w:val="both"/>
              <w:rPr>
                <w:rFonts w:asciiTheme="minorHAnsi" w:hAnsiTheme="minorHAnsi" w:cstheme="minorHAnsi"/>
                <w:iCs/>
                <w:sz w:val="22"/>
                <w:szCs w:val="22"/>
              </w:rPr>
            </w:pPr>
            <w:r w:rsidRPr="004B4EFB">
              <w:rPr>
                <w:rFonts w:asciiTheme="minorHAnsi" w:hAnsiTheme="minorHAnsi" w:cstheme="minorHAnsi"/>
                <w:iCs/>
                <w:sz w:val="22"/>
                <w:szCs w:val="22"/>
              </w:rPr>
              <w:t xml:space="preserve">Invitation to engage </w:t>
            </w:r>
          </w:p>
        </w:tc>
        <w:tc>
          <w:tcPr>
            <w:tcW w:w="4508" w:type="dxa"/>
            <w:shd w:val="clear" w:color="auto" w:fill="auto"/>
          </w:tcPr>
          <w:p w14:paraId="2D20391D" w14:textId="24E722CA" w:rsidR="00503958" w:rsidRPr="001536E3" w:rsidRDefault="00B803C7" w:rsidP="00551646">
            <w:pPr>
              <w:jc w:val="center"/>
              <w:rPr>
                <w:rFonts w:asciiTheme="minorHAnsi" w:hAnsiTheme="minorHAnsi" w:cstheme="minorHAnsi"/>
                <w:iCs/>
                <w:sz w:val="22"/>
                <w:szCs w:val="22"/>
              </w:rPr>
            </w:pPr>
            <w:r>
              <w:rPr>
                <w:rFonts w:asciiTheme="minorHAnsi" w:hAnsiTheme="minorHAnsi" w:cstheme="minorHAnsi"/>
                <w:iCs/>
                <w:sz w:val="22"/>
                <w:szCs w:val="22"/>
              </w:rPr>
              <w:t>28th</w:t>
            </w:r>
            <w:r w:rsidR="00B355F4" w:rsidRPr="001536E3">
              <w:rPr>
                <w:rFonts w:asciiTheme="minorHAnsi" w:hAnsiTheme="minorHAnsi" w:cstheme="minorHAnsi"/>
                <w:iCs/>
                <w:sz w:val="22"/>
                <w:szCs w:val="22"/>
              </w:rPr>
              <w:t xml:space="preserve"> </w:t>
            </w:r>
            <w:r>
              <w:rPr>
                <w:rFonts w:asciiTheme="minorHAnsi" w:hAnsiTheme="minorHAnsi" w:cstheme="minorHAnsi"/>
                <w:iCs/>
                <w:sz w:val="22"/>
                <w:szCs w:val="22"/>
              </w:rPr>
              <w:t>August</w:t>
            </w:r>
            <w:r w:rsidR="00033DC7" w:rsidRPr="001536E3">
              <w:rPr>
                <w:rFonts w:asciiTheme="minorHAnsi" w:hAnsiTheme="minorHAnsi" w:cstheme="minorHAnsi"/>
                <w:iCs/>
                <w:sz w:val="22"/>
                <w:szCs w:val="22"/>
              </w:rPr>
              <w:t xml:space="preserve"> 2025</w:t>
            </w:r>
          </w:p>
        </w:tc>
      </w:tr>
      <w:tr w:rsidR="00503958" w14:paraId="3D8FA82E" w14:textId="77777777" w:rsidTr="001536E3">
        <w:tc>
          <w:tcPr>
            <w:tcW w:w="4508" w:type="dxa"/>
          </w:tcPr>
          <w:p w14:paraId="3D955AA2" w14:textId="2B3E0099" w:rsidR="00CC4A87" w:rsidRPr="004B4EFB" w:rsidRDefault="00CC4A87" w:rsidP="00EA7688">
            <w:pPr>
              <w:jc w:val="both"/>
              <w:rPr>
                <w:rFonts w:asciiTheme="minorHAnsi" w:hAnsiTheme="minorHAnsi" w:cstheme="minorHAnsi"/>
                <w:iCs/>
                <w:sz w:val="22"/>
                <w:szCs w:val="22"/>
              </w:rPr>
            </w:pPr>
            <w:r w:rsidRPr="004B4EFB">
              <w:rPr>
                <w:rFonts w:asciiTheme="minorHAnsi" w:hAnsiTheme="minorHAnsi" w:cstheme="minorHAnsi"/>
                <w:iCs/>
                <w:sz w:val="22"/>
                <w:szCs w:val="22"/>
              </w:rPr>
              <w:t>Deadline for expressions of interest</w:t>
            </w:r>
          </w:p>
        </w:tc>
        <w:tc>
          <w:tcPr>
            <w:tcW w:w="4508" w:type="dxa"/>
            <w:shd w:val="clear" w:color="auto" w:fill="auto"/>
          </w:tcPr>
          <w:p w14:paraId="25C2CF19" w14:textId="0494C6A5" w:rsidR="00503958" w:rsidRPr="001536E3" w:rsidRDefault="00033DC7" w:rsidP="00551646">
            <w:pPr>
              <w:jc w:val="center"/>
              <w:rPr>
                <w:rFonts w:asciiTheme="minorHAnsi" w:hAnsiTheme="minorHAnsi" w:cstheme="minorHAnsi"/>
                <w:iCs/>
                <w:sz w:val="22"/>
                <w:szCs w:val="22"/>
              </w:rPr>
            </w:pPr>
            <w:r w:rsidRPr="001536E3">
              <w:rPr>
                <w:rFonts w:asciiTheme="minorHAnsi" w:hAnsiTheme="minorHAnsi" w:cstheme="minorHAnsi"/>
                <w:iCs/>
                <w:sz w:val="22"/>
                <w:szCs w:val="22"/>
              </w:rPr>
              <w:t>5</w:t>
            </w:r>
            <w:r w:rsidRPr="001536E3">
              <w:rPr>
                <w:rFonts w:cstheme="minorHAnsi"/>
                <w:iCs/>
                <w:vertAlign w:val="superscript"/>
              </w:rPr>
              <w:t>th</w:t>
            </w:r>
            <w:r w:rsidRPr="001536E3">
              <w:rPr>
                <w:rFonts w:asciiTheme="minorHAnsi" w:hAnsiTheme="minorHAnsi" w:cstheme="minorHAnsi"/>
                <w:iCs/>
                <w:sz w:val="22"/>
                <w:szCs w:val="22"/>
              </w:rPr>
              <w:t xml:space="preserve"> September 2025</w:t>
            </w:r>
          </w:p>
        </w:tc>
      </w:tr>
      <w:tr w:rsidR="00434192" w14:paraId="2774E2F7" w14:textId="77777777" w:rsidTr="001536E3">
        <w:tc>
          <w:tcPr>
            <w:tcW w:w="4508" w:type="dxa"/>
          </w:tcPr>
          <w:p w14:paraId="1C89DD22" w14:textId="76FB06A6" w:rsidR="00434192" w:rsidRPr="004B4EFB" w:rsidRDefault="00031E50" w:rsidP="00EA7688">
            <w:pPr>
              <w:jc w:val="both"/>
              <w:rPr>
                <w:rFonts w:asciiTheme="minorHAnsi" w:hAnsiTheme="minorHAnsi" w:cstheme="minorHAnsi"/>
                <w:iCs/>
                <w:sz w:val="22"/>
                <w:szCs w:val="22"/>
              </w:rPr>
            </w:pPr>
            <w:r w:rsidRPr="004B4EFB">
              <w:rPr>
                <w:rFonts w:asciiTheme="minorHAnsi" w:hAnsiTheme="minorHAnsi" w:cstheme="minorHAnsi"/>
                <w:iCs/>
                <w:sz w:val="22"/>
                <w:szCs w:val="22"/>
              </w:rPr>
              <w:t>Invitation</w:t>
            </w:r>
            <w:r w:rsidR="00E35558" w:rsidRPr="004B4EFB">
              <w:rPr>
                <w:rFonts w:asciiTheme="minorHAnsi" w:hAnsiTheme="minorHAnsi" w:cstheme="minorHAnsi"/>
                <w:iCs/>
                <w:sz w:val="22"/>
                <w:szCs w:val="22"/>
              </w:rPr>
              <w:t xml:space="preserve"> to PME </w:t>
            </w:r>
          </w:p>
        </w:tc>
        <w:tc>
          <w:tcPr>
            <w:tcW w:w="4508" w:type="dxa"/>
            <w:shd w:val="clear" w:color="auto" w:fill="auto"/>
          </w:tcPr>
          <w:p w14:paraId="6FF51007" w14:textId="485F6446" w:rsidR="00434192" w:rsidRPr="001536E3" w:rsidRDefault="00551646" w:rsidP="00551646">
            <w:pPr>
              <w:jc w:val="center"/>
              <w:rPr>
                <w:rFonts w:asciiTheme="minorHAnsi" w:hAnsiTheme="minorHAnsi" w:cstheme="minorHAnsi"/>
                <w:iCs/>
                <w:sz w:val="22"/>
                <w:szCs w:val="22"/>
              </w:rPr>
            </w:pPr>
            <w:r w:rsidRPr="001536E3">
              <w:rPr>
                <w:rFonts w:asciiTheme="minorHAnsi" w:hAnsiTheme="minorHAnsi" w:cstheme="minorHAnsi"/>
                <w:iCs/>
                <w:sz w:val="22"/>
                <w:szCs w:val="22"/>
              </w:rPr>
              <w:t>8</w:t>
            </w:r>
            <w:r w:rsidRPr="001536E3">
              <w:rPr>
                <w:rFonts w:asciiTheme="minorHAnsi" w:hAnsiTheme="minorHAnsi" w:cstheme="minorHAnsi"/>
                <w:iCs/>
                <w:sz w:val="22"/>
                <w:szCs w:val="22"/>
                <w:vertAlign w:val="superscript"/>
              </w:rPr>
              <w:t>th</w:t>
            </w:r>
            <w:r w:rsidRPr="001536E3">
              <w:rPr>
                <w:rFonts w:asciiTheme="minorHAnsi" w:hAnsiTheme="minorHAnsi" w:cstheme="minorHAnsi"/>
                <w:iCs/>
                <w:sz w:val="22"/>
                <w:szCs w:val="22"/>
              </w:rPr>
              <w:t xml:space="preserve"> September</w:t>
            </w:r>
            <w:r w:rsidR="00120206" w:rsidRPr="001536E3">
              <w:rPr>
                <w:rFonts w:asciiTheme="minorHAnsi" w:hAnsiTheme="minorHAnsi" w:cstheme="minorHAnsi"/>
                <w:iCs/>
                <w:sz w:val="22"/>
                <w:szCs w:val="22"/>
              </w:rPr>
              <w:t xml:space="preserve"> 2025</w:t>
            </w:r>
          </w:p>
        </w:tc>
      </w:tr>
      <w:tr w:rsidR="00CC4A87" w14:paraId="2B16966A" w14:textId="77777777" w:rsidTr="001536E3">
        <w:tc>
          <w:tcPr>
            <w:tcW w:w="4508" w:type="dxa"/>
          </w:tcPr>
          <w:p w14:paraId="27697E6F" w14:textId="4A77A2C4" w:rsidR="00CC4A87" w:rsidRPr="004B4EFB" w:rsidRDefault="00434192" w:rsidP="00EA7688">
            <w:pPr>
              <w:jc w:val="both"/>
              <w:rPr>
                <w:rFonts w:asciiTheme="minorHAnsi" w:hAnsiTheme="minorHAnsi" w:cstheme="minorHAnsi"/>
                <w:iCs/>
                <w:sz w:val="22"/>
                <w:szCs w:val="22"/>
              </w:rPr>
            </w:pPr>
            <w:r w:rsidRPr="004B4EFB">
              <w:rPr>
                <w:rFonts w:asciiTheme="minorHAnsi" w:hAnsiTheme="minorHAnsi" w:cstheme="minorHAnsi"/>
                <w:iCs/>
                <w:sz w:val="22"/>
                <w:szCs w:val="22"/>
              </w:rPr>
              <w:t xml:space="preserve">Supplier invitation window for PME </w:t>
            </w:r>
          </w:p>
        </w:tc>
        <w:tc>
          <w:tcPr>
            <w:tcW w:w="4508" w:type="dxa"/>
            <w:shd w:val="clear" w:color="auto" w:fill="auto"/>
          </w:tcPr>
          <w:p w14:paraId="15244277" w14:textId="7E996144" w:rsidR="00CC4A87" w:rsidRPr="001536E3" w:rsidRDefault="00C574A3" w:rsidP="00551646">
            <w:pPr>
              <w:jc w:val="center"/>
              <w:rPr>
                <w:rFonts w:asciiTheme="minorHAnsi" w:hAnsiTheme="minorHAnsi" w:cstheme="minorHAnsi"/>
                <w:iCs/>
                <w:sz w:val="22"/>
                <w:szCs w:val="22"/>
              </w:rPr>
            </w:pPr>
            <w:r w:rsidRPr="001536E3">
              <w:rPr>
                <w:rFonts w:asciiTheme="minorHAnsi" w:hAnsiTheme="minorHAnsi" w:cstheme="minorHAnsi"/>
                <w:iCs/>
                <w:sz w:val="22"/>
                <w:szCs w:val="22"/>
              </w:rPr>
              <w:t>12</w:t>
            </w:r>
            <w:r w:rsidRPr="001536E3">
              <w:rPr>
                <w:rFonts w:cstheme="minorHAnsi"/>
                <w:iCs/>
                <w:vertAlign w:val="superscript"/>
              </w:rPr>
              <w:t>th</w:t>
            </w:r>
            <w:r w:rsidRPr="001536E3">
              <w:rPr>
                <w:rFonts w:asciiTheme="minorHAnsi" w:hAnsiTheme="minorHAnsi" w:cstheme="minorHAnsi"/>
                <w:iCs/>
                <w:sz w:val="22"/>
                <w:szCs w:val="22"/>
              </w:rPr>
              <w:t xml:space="preserve"> September 2025</w:t>
            </w:r>
          </w:p>
        </w:tc>
      </w:tr>
    </w:tbl>
    <w:p w14:paraId="2ED2DAEF" w14:textId="77777777" w:rsidR="00EF2CBF" w:rsidRDefault="00EF2CBF" w:rsidP="00EA7688">
      <w:pPr>
        <w:jc w:val="both"/>
        <w:rPr>
          <w:rFonts w:cstheme="minorHAnsi"/>
          <w:iCs/>
        </w:rPr>
      </w:pPr>
    </w:p>
    <w:p w14:paraId="3CCAF2F7" w14:textId="05B87B23" w:rsidR="00EA7688" w:rsidRPr="00F7146A" w:rsidRDefault="00EA7688" w:rsidP="00EA7688">
      <w:pPr>
        <w:jc w:val="both"/>
        <w:rPr>
          <w:rFonts w:cstheme="minorHAnsi"/>
          <w:b/>
          <w:bCs/>
          <w:iCs/>
          <w:u w:val="single"/>
        </w:rPr>
      </w:pPr>
      <w:r w:rsidRPr="00F7146A">
        <w:rPr>
          <w:rFonts w:cstheme="minorHAnsi"/>
          <w:b/>
          <w:bCs/>
          <w:iCs/>
          <w:u w:val="single"/>
        </w:rPr>
        <w:t>Confidentiality Disclaimer</w:t>
      </w:r>
    </w:p>
    <w:p w14:paraId="0433A021" w14:textId="51A36293" w:rsidR="00402F6A" w:rsidRPr="00A17309" w:rsidRDefault="00EA7688" w:rsidP="00EA7688">
      <w:pPr>
        <w:rPr>
          <w:rFonts w:ascii="Arial" w:hAnsi="Arial" w:cs="Arial"/>
        </w:rPr>
      </w:pPr>
      <w:r w:rsidRPr="0062599C">
        <w:rPr>
          <w:rFonts w:cstheme="minorHAnsi"/>
        </w:rPr>
        <w:t xml:space="preserve">All information provided to the Provider(s) by BSOL Procurement shall be regarded as confidential and used only to prepare a response to this market engagement. </w:t>
      </w:r>
      <w:r>
        <w:rPr>
          <w:rFonts w:cstheme="minorHAnsi"/>
        </w:rPr>
        <w:br/>
      </w:r>
      <w:r>
        <w:rPr>
          <w:rFonts w:cstheme="minorHAnsi"/>
        </w:rPr>
        <w:br/>
      </w:r>
    </w:p>
    <w:sectPr w:rsidR="00402F6A" w:rsidRPr="00A17309" w:rsidSect="00A17309">
      <w:headerReference w:type="default" r:id="rId13"/>
      <w:pgSz w:w="11906" w:h="16838"/>
      <w:pgMar w:top="1701"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23B4" w14:textId="77777777" w:rsidR="00725151" w:rsidRDefault="00725151" w:rsidP="00953A62">
      <w:pPr>
        <w:spacing w:after="0" w:line="240" w:lineRule="auto"/>
      </w:pPr>
      <w:r>
        <w:separator/>
      </w:r>
    </w:p>
  </w:endnote>
  <w:endnote w:type="continuationSeparator" w:id="0">
    <w:p w14:paraId="6A082C95" w14:textId="77777777" w:rsidR="00725151" w:rsidRDefault="00725151"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C2FD" w14:textId="77777777" w:rsidR="00725151" w:rsidRDefault="00725151" w:rsidP="00953A62">
      <w:pPr>
        <w:spacing w:after="0" w:line="240" w:lineRule="auto"/>
      </w:pPr>
      <w:r>
        <w:separator/>
      </w:r>
    </w:p>
  </w:footnote>
  <w:footnote w:type="continuationSeparator" w:id="0">
    <w:p w14:paraId="14CAC9CB" w14:textId="77777777" w:rsidR="00725151" w:rsidRDefault="00725151"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51A3" w14:textId="0D57D590" w:rsidR="00BC4C02" w:rsidRPr="00AB1B7F" w:rsidRDefault="00AB1B7F" w:rsidP="00AB1B7F">
    <w:pPr>
      <w:pStyle w:val="Header"/>
      <w:rPr>
        <w:b/>
        <w:bCs/>
      </w:rPr>
    </w:pPr>
    <w:r>
      <w:rPr>
        <w:b/>
        <w:bCs/>
        <w:noProof/>
      </w:rPr>
      <mc:AlternateContent>
        <mc:Choice Requires="wps">
          <w:drawing>
            <wp:anchor distT="0" distB="0" distL="114300" distR="114300" simplePos="0" relativeHeight="251659264" behindDoc="0" locked="0" layoutInCell="1" allowOverlap="1" wp14:anchorId="7DA8A111" wp14:editId="1CB70A10">
              <wp:simplePos x="0" y="0"/>
              <wp:positionH relativeFrom="column">
                <wp:posOffset>-857250</wp:posOffset>
              </wp:positionH>
              <wp:positionV relativeFrom="paragraph">
                <wp:posOffset>180974</wp:posOffset>
              </wp:positionV>
              <wp:extent cx="1819275" cy="847725"/>
              <wp:effectExtent l="0" t="0" r="9525" b="9525"/>
              <wp:wrapNone/>
              <wp:docPr id="729373263" name="Text Box 2"/>
              <wp:cNvGraphicFramePr/>
              <a:graphic xmlns:a="http://schemas.openxmlformats.org/drawingml/2006/main">
                <a:graphicData uri="http://schemas.microsoft.com/office/word/2010/wordprocessingShape">
                  <wps:wsp>
                    <wps:cNvSpPr txBox="1"/>
                    <wps:spPr>
                      <a:xfrm>
                        <a:off x="0" y="0"/>
                        <a:ext cx="1819275" cy="847725"/>
                      </a:xfrm>
                      <a:prstGeom prst="rect">
                        <a:avLst/>
                      </a:prstGeom>
                      <a:solidFill>
                        <a:schemeClr val="lt1"/>
                      </a:solidFill>
                      <a:ln w="6350">
                        <a:noFill/>
                      </a:ln>
                    </wps:spPr>
                    <wps:txbx>
                      <w:txbxContent>
                        <w:p w14:paraId="255684A5" w14:textId="1E3E3B12" w:rsidR="00AB1B7F" w:rsidRPr="00D754B5" w:rsidRDefault="00AB1B7F">
                          <w:pPr>
                            <w:rPr>
                              <w:b/>
                              <w:bCs/>
                              <w:sz w:val="28"/>
                              <w:szCs w:val="28"/>
                            </w:rPr>
                          </w:pPr>
                          <w:r w:rsidRPr="00D754B5">
                            <w:rPr>
                              <w:b/>
                              <w:bCs/>
                              <w:sz w:val="28"/>
                              <w:szCs w:val="28"/>
                            </w:rPr>
                            <w:t>Birmingham &amp; Solihull Procurement Collaborative</w:t>
                          </w:r>
                        </w:p>
                        <w:p w14:paraId="5145A0A2" w14:textId="77777777" w:rsidR="00AB1B7F" w:rsidRDefault="00AB1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8A111" id="_x0000_t202" coordsize="21600,21600" o:spt="202" path="m,l,21600r21600,l21600,xe">
              <v:stroke joinstyle="miter"/>
              <v:path gradientshapeok="t" o:connecttype="rect"/>
            </v:shapetype>
            <v:shape id="Text Box 2" o:spid="_x0000_s1026" type="#_x0000_t202" style="position:absolute;margin-left:-67.5pt;margin-top:14.25pt;width:14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NLLA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" fillcolor="white [3201]" stroked="f" strokeweight=".5pt">
              <v:textbox>
                <w:txbxContent>
                  <w:p w14:paraId="255684A5" w14:textId="1E3E3B12" w:rsidR="00AB1B7F" w:rsidRPr="00D754B5" w:rsidRDefault="00AB1B7F">
                    <w:pPr>
                      <w:rPr>
                        <w:b/>
                        <w:bCs/>
                        <w:sz w:val="28"/>
                        <w:szCs w:val="28"/>
                      </w:rPr>
                    </w:pPr>
                    <w:r w:rsidRPr="00D754B5">
                      <w:rPr>
                        <w:b/>
                        <w:bCs/>
                        <w:sz w:val="28"/>
                        <w:szCs w:val="28"/>
                      </w:rPr>
                      <w:t>Birmingham &amp; Solihull Procurement Collaborative</w:t>
                    </w:r>
                  </w:p>
                  <w:p w14:paraId="5145A0A2" w14:textId="77777777" w:rsidR="00AB1B7F" w:rsidRDefault="00AB1B7F"/>
                </w:txbxContent>
              </v:textbox>
            </v:shape>
          </w:pict>
        </mc:Fallback>
      </mc:AlternateContent>
    </w:r>
    <w:r w:rsidR="00BC4C02" w:rsidRPr="00AB1B7F">
      <w:rPr>
        <w:b/>
        <w:bCs/>
        <w:noProof/>
      </w:rPr>
      <w:drawing>
        <wp:anchor distT="0" distB="0" distL="114300" distR="114300" simplePos="0" relativeHeight="251658240" behindDoc="1" locked="0" layoutInCell="1" allowOverlap="1" wp14:anchorId="3A493166" wp14:editId="282ABCCB">
          <wp:simplePos x="0" y="0"/>
          <wp:positionH relativeFrom="column">
            <wp:posOffset>3952875</wp:posOffset>
          </wp:positionH>
          <wp:positionV relativeFrom="paragraph">
            <wp:posOffset>95250</wp:posOffset>
          </wp:positionV>
          <wp:extent cx="2543175" cy="976865"/>
          <wp:effectExtent l="0" t="0" r="0" b="0"/>
          <wp:wrapNone/>
          <wp:docPr id="1755917713" name="Picture 1" descr="Birmingham and Solihull Mental Health NHS Foundation Trus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and Solihull Mental Health NHS Foundation Trust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97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95717" w14:textId="77777777" w:rsidR="00AB1B7F" w:rsidRDefault="00AB1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4169"/>
    <w:multiLevelType w:val="hybridMultilevel"/>
    <w:tmpl w:val="18B8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04891"/>
    <w:multiLevelType w:val="hybridMultilevel"/>
    <w:tmpl w:val="5C5C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908340">
    <w:abstractNumId w:val="0"/>
  </w:num>
  <w:num w:numId="2" w16cid:durableId="35261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0514E"/>
    <w:rsid w:val="00031E50"/>
    <w:rsid w:val="00033DC7"/>
    <w:rsid w:val="000640E9"/>
    <w:rsid w:val="00064F14"/>
    <w:rsid w:val="0008311C"/>
    <w:rsid w:val="000927C7"/>
    <w:rsid w:val="000A1BCB"/>
    <w:rsid w:val="000A42A1"/>
    <w:rsid w:val="000B5D5C"/>
    <w:rsid w:val="00120206"/>
    <w:rsid w:val="001319CD"/>
    <w:rsid w:val="0013626B"/>
    <w:rsid w:val="001536E3"/>
    <w:rsid w:val="0018687C"/>
    <w:rsid w:val="001E1182"/>
    <w:rsid w:val="00220D34"/>
    <w:rsid w:val="002808B2"/>
    <w:rsid w:val="002933AD"/>
    <w:rsid w:val="00297F1D"/>
    <w:rsid w:val="002C3C2D"/>
    <w:rsid w:val="002F0AC2"/>
    <w:rsid w:val="00334106"/>
    <w:rsid w:val="00356AAA"/>
    <w:rsid w:val="003A49D5"/>
    <w:rsid w:val="003F7FA2"/>
    <w:rsid w:val="00402F6A"/>
    <w:rsid w:val="00404BE4"/>
    <w:rsid w:val="00413EA2"/>
    <w:rsid w:val="00416726"/>
    <w:rsid w:val="00434192"/>
    <w:rsid w:val="004A0A6D"/>
    <w:rsid w:val="004B4EFB"/>
    <w:rsid w:val="004C3424"/>
    <w:rsid w:val="004E0117"/>
    <w:rsid w:val="00503958"/>
    <w:rsid w:val="005101BF"/>
    <w:rsid w:val="0051455C"/>
    <w:rsid w:val="0053185B"/>
    <w:rsid w:val="00551646"/>
    <w:rsid w:val="00553357"/>
    <w:rsid w:val="00563B69"/>
    <w:rsid w:val="005726C5"/>
    <w:rsid w:val="005879B6"/>
    <w:rsid w:val="005A07CB"/>
    <w:rsid w:val="005C232C"/>
    <w:rsid w:val="005D2284"/>
    <w:rsid w:val="005D7F74"/>
    <w:rsid w:val="00627ECE"/>
    <w:rsid w:val="00645BC5"/>
    <w:rsid w:val="0065393E"/>
    <w:rsid w:val="006F407D"/>
    <w:rsid w:val="00725151"/>
    <w:rsid w:val="00727819"/>
    <w:rsid w:val="00753261"/>
    <w:rsid w:val="00771727"/>
    <w:rsid w:val="00774FA6"/>
    <w:rsid w:val="0078261E"/>
    <w:rsid w:val="007D1773"/>
    <w:rsid w:val="00831163"/>
    <w:rsid w:val="00852D13"/>
    <w:rsid w:val="008938A6"/>
    <w:rsid w:val="008A2AC4"/>
    <w:rsid w:val="008F2D0F"/>
    <w:rsid w:val="008F4E39"/>
    <w:rsid w:val="00914BB1"/>
    <w:rsid w:val="00923487"/>
    <w:rsid w:val="0093322A"/>
    <w:rsid w:val="00946FB4"/>
    <w:rsid w:val="00953A62"/>
    <w:rsid w:val="00957D0E"/>
    <w:rsid w:val="00960115"/>
    <w:rsid w:val="0098471B"/>
    <w:rsid w:val="009B092E"/>
    <w:rsid w:val="009C16A3"/>
    <w:rsid w:val="00A16EAF"/>
    <w:rsid w:val="00A17309"/>
    <w:rsid w:val="00AB1B7F"/>
    <w:rsid w:val="00AC36E0"/>
    <w:rsid w:val="00AF20DD"/>
    <w:rsid w:val="00B33788"/>
    <w:rsid w:val="00B355F4"/>
    <w:rsid w:val="00B37331"/>
    <w:rsid w:val="00B444C3"/>
    <w:rsid w:val="00B66B00"/>
    <w:rsid w:val="00B803C7"/>
    <w:rsid w:val="00B942C8"/>
    <w:rsid w:val="00BA60FA"/>
    <w:rsid w:val="00BB1A1F"/>
    <w:rsid w:val="00BC4C02"/>
    <w:rsid w:val="00BF5F7A"/>
    <w:rsid w:val="00C073BA"/>
    <w:rsid w:val="00C25A94"/>
    <w:rsid w:val="00C27661"/>
    <w:rsid w:val="00C574A3"/>
    <w:rsid w:val="00CB420C"/>
    <w:rsid w:val="00CC4A87"/>
    <w:rsid w:val="00CD7CCE"/>
    <w:rsid w:val="00D43642"/>
    <w:rsid w:val="00D754B5"/>
    <w:rsid w:val="00D93653"/>
    <w:rsid w:val="00D940A8"/>
    <w:rsid w:val="00D9751B"/>
    <w:rsid w:val="00D97DAD"/>
    <w:rsid w:val="00DF7B39"/>
    <w:rsid w:val="00E07BE4"/>
    <w:rsid w:val="00E24BBD"/>
    <w:rsid w:val="00E35558"/>
    <w:rsid w:val="00E542CE"/>
    <w:rsid w:val="00E5697A"/>
    <w:rsid w:val="00E76C3C"/>
    <w:rsid w:val="00E81E2F"/>
    <w:rsid w:val="00E8652C"/>
    <w:rsid w:val="00EA7688"/>
    <w:rsid w:val="00EB73EB"/>
    <w:rsid w:val="00EC4A55"/>
    <w:rsid w:val="00EE1DCF"/>
    <w:rsid w:val="00EF2CBF"/>
    <w:rsid w:val="00F018A6"/>
    <w:rsid w:val="00F40827"/>
    <w:rsid w:val="00F41C56"/>
    <w:rsid w:val="00F66468"/>
    <w:rsid w:val="00F7146A"/>
    <w:rsid w:val="00F91DEB"/>
    <w:rsid w:val="00FB31C8"/>
    <w:rsid w:val="00FE1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25A2D"/>
  <w15:docId w15:val="{79DB8883-E202-894C-A20A-D8E3F7C8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character" w:styleId="Hyperlink">
    <w:name w:val="Hyperlink"/>
    <w:basedOn w:val="DefaultParagraphFont"/>
    <w:uiPriority w:val="99"/>
    <w:unhideWhenUsed/>
    <w:rsid w:val="005726C5"/>
    <w:rPr>
      <w:color w:val="0000FF" w:themeColor="hyperlink"/>
      <w:u w:val="single"/>
    </w:rPr>
  </w:style>
  <w:style w:type="character" w:styleId="UnresolvedMention">
    <w:name w:val="Unresolved Mention"/>
    <w:basedOn w:val="DefaultParagraphFont"/>
    <w:uiPriority w:val="99"/>
    <w:semiHidden/>
    <w:unhideWhenUsed/>
    <w:rsid w:val="005726C5"/>
    <w:rPr>
      <w:color w:val="605E5C"/>
      <w:shd w:val="clear" w:color="auto" w:fill="E1DFDD"/>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064F14"/>
    <w:pPr>
      <w:ind w:left="720"/>
      <w:contextualSpacing/>
    </w:pPr>
  </w:style>
  <w:style w:type="table" w:styleId="TableGrid">
    <w:name w:val="Table Grid"/>
    <w:basedOn w:val="TableNormal"/>
    <w:uiPriority w:val="59"/>
    <w:rsid w:val="00FB31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938A6"/>
  </w:style>
  <w:style w:type="paragraph" w:styleId="Revision">
    <w:name w:val="Revision"/>
    <w:hidden/>
    <w:uiPriority w:val="99"/>
    <w:semiHidden/>
    <w:rsid w:val="00774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9919">
      <w:bodyDiv w:val="1"/>
      <w:marLeft w:val="0"/>
      <w:marRight w:val="0"/>
      <w:marTop w:val="0"/>
      <w:marBottom w:val="0"/>
      <w:divBdr>
        <w:top w:val="none" w:sz="0" w:space="0" w:color="auto"/>
        <w:left w:val="none" w:sz="0" w:space="0" w:color="auto"/>
        <w:bottom w:val="none" w:sz="0" w:space="0" w:color="auto"/>
        <w:right w:val="none" w:sz="0" w:space="0" w:color="auto"/>
      </w:divBdr>
    </w:div>
    <w:div w:id="368146267">
      <w:bodyDiv w:val="1"/>
      <w:marLeft w:val="0"/>
      <w:marRight w:val="0"/>
      <w:marTop w:val="0"/>
      <w:marBottom w:val="0"/>
      <w:divBdr>
        <w:top w:val="none" w:sz="0" w:space="0" w:color="auto"/>
        <w:left w:val="none" w:sz="0" w:space="0" w:color="auto"/>
        <w:bottom w:val="none" w:sz="0" w:space="0" w:color="auto"/>
        <w:right w:val="none" w:sz="0" w:space="0" w:color="auto"/>
      </w:divBdr>
    </w:div>
    <w:div w:id="564682229">
      <w:bodyDiv w:val="1"/>
      <w:marLeft w:val="0"/>
      <w:marRight w:val="0"/>
      <w:marTop w:val="0"/>
      <w:marBottom w:val="0"/>
      <w:divBdr>
        <w:top w:val="none" w:sz="0" w:space="0" w:color="auto"/>
        <w:left w:val="none" w:sz="0" w:space="0" w:color="auto"/>
        <w:bottom w:val="none" w:sz="0" w:space="0" w:color="auto"/>
        <w:right w:val="none" w:sz="0" w:space="0" w:color="auto"/>
      </w:divBdr>
    </w:div>
    <w:div w:id="972560159">
      <w:bodyDiv w:val="1"/>
      <w:marLeft w:val="0"/>
      <w:marRight w:val="0"/>
      <w:marTop w:val="0"/>
      <w:marBottom w:val="0"/>
      <w:divBdr>
        <w:top w:val="none" w:sz="0" w:space="0" w:color="auto"/>
        <w:left w:val="none" w:sz="0" w:space="0" w:color="auto"/>
        <w:bottom w:val="none" w:sz="0" w:space="0" w:color="auto"/>
        <w:right w:val="none" w:sz="0" w:space="0" w:color="auto"/>
      </w:divBdr>
    </w:div>
    <w:div w:id="1419325855">
      <w:bodyDiv w:val="1"/>
      <w:marLeft w:val="0"/>
      <w:marRight w:val="0"/>
      <w:marTop w:val="0"/>
      <w:marBottom w:val="0"/>
      <w:divBdr>
        <w:top w:val="none" w:sz="0" w:space="0" w:color="auto"/>
        <w:left w:val="none" w:sz="0" w:space="0" w:color="auto"/>
        <w:bottom w:val="none" w:sz="0" w:space="0" w:color="auto"/>
        <w:right w:val="none" w:sz="0" w:space="0" w:color="auto"/>
      </w:divBdr>
    </w:div>
    <w:div w:id="1503659407">
      <w:bodyDiv w:val="1"/>
      <w:marLeft w:val="0"/>
      <w:marRight w:val="0"/>
      <w:marTop w:val="0"/>
      <w:marBottom w:val="0"/>
      <w:divBdr>
        <w:top w:val="none" w:sz="0" w:space="0" w:color="auto"/>
        <w:left w:val="none" w:sz="0" w:space="0" w:color="auto"/>
        <w:bottom w:val="none" w:sz="0" w:space="0" w:color="auto"/>
        <w:right w:val="none" w:sz="0" w:space="0" w:color="auto"/>
      </w:divBdr>
    </w:div>
    <w:div w:id="1564220745">
      <w:bodyDiv w:val="1"/>
      <w:marLeft w:val="0"/>
      <w:marRight w:val="0"/>
      <w:marTop w:val="0"/>
      <w:marBottom w:val="0"/>
      <w:divBdr>
        <w:top w:val="none" w:sz="0" w:space="0" w:color="auto"/>
        <w:left w:val="none" w:sz="0" w:space="0" w:color="auto"/>
        <w:bottom w:val="none" w:sz="0" w:space="0" w:color="auto"/>
        <w:right w:val="none" w:sz="0" w:space="0" w:color="auto"/>
      </w:divBdr>
    </w:div>
    <w:div w:id="1802533056">
      <w:bodyDiv w:val="1"/>
      <w:marLeft w:val="0"/>
      <w:marRight w:val="0"/>
      <w:marTop w:val="0"/>
      <w:marBottom w:val="0"/>
      <w:divBdr>
        <w:top w:val="none" w:sz="0" w:space="0" w:color="auto"/>
        <w:left w:val="none" w:sz="0" w:space="0" w:color="auto"/>
        <w:bottom w:val="none" w:sz="0" w:space="0" w:color="auto"/>
        <w:right w:val="none" w:sz="0" w:space="0" w:color="auto"/>
      </w:divBdr>
    </w:div>
    <w:div w:id="1899586244">
      <w:bodyDiv w:val="1"/>
      <w:marLeft w:val="0"/>
      <w:marRight w:val="0"/>
      <w:marTop w:val="0"/>
      <w:marBottom w:val="0"/>
      <w:divBdr>
        <w:top w:val="none" w:sz="0" w:space="0" w:color="auto"/>
        <w:left w:val="none" w:sz="0" w:space="0" w:color="auto"/>
        <w:bottom w:val="none" w:sz="0" w:space="0" w:color="auto"/>
        <w:right w:val="none" w:sz="0" w:space="0" w:color="auto"/>
      </w:divBdr>
    </w:div>
    <w:div w:id="21214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amis-1928.my.site.com/ProSpend__eSourcing_Community_Regist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ngland.nhs.uk/long-read/the-provider-selection-regime-statutory-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609DACCF57F4787CC5F1A87E510B2" ma:contentTypeVersion="9" ma:contentTypeDescription="Create a new document." ma:contentTypeScope="" ma:versionID="5f67df305a61c287bc7c488ff791293c">
  <xsd:schema xmlns:xsd="http://www.w3.org/2001/XMLSchema" xmlns:xs="http://www.w3.org/2001/XMLSchema" xmlns:p="http://schemas.microsoft.com/office/2006/metadata/properties" xmlns:ns1="http://schemas.microsoft.com/sharepoint/v3" xmlns:ns2="66c48e09-96db-4c0d-beed-9acee74615aa" targetNamespace="http://schemas.microsoft.com/office/2006/metadata/properties" ma:root="true" ma:fieldsID="7488ee4b84e161953d94b30b23c57b69" ns1:_="" ns2:_="">
    <xsd:import namespace="http://schemas.microsoft.com/sharepoint/v3"/>
    <xsd:import namespace="66c48e09-96db-4c0d-beed-9acee7461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48e09-96db-4c0d-beed-9acee74615a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08985B-AA92-4EC9-81F1-5971A242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c48e09-96db-4c0d-beed-9acee7461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7B99A-C1C4-41B0-BB01-F3243BBC3DC5}">
  <ds:schemaRefs>
    <ds:schemaRef ds:uri="http://schemas.microsoft.com/sharepoint/v3/contenttype/forms"/>
  </ds:schemaRefs>
</ds:datastoreItem>
</file>

<file path=customXml/itemProps3.xml><?xml version="1.0" encoding="utf-8"?>
<ds:datastoreItem xmlns:ds="http://schemas.openxmlformats.org/officeDocument/2006/customXml" ds:itemID="{6255F5BE-5464-4F9E-91D3-E2BD5BB39EFB}">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Ricks</dc:creator>
  <cp:lastModifiedBy>Ali Babu</cp:lastModifiedBy>
  <cp:revision>29</cp:revision>
  <dcterms:created xsi:type="dcterms:W3CDTF">2025-08-14T09:35:00Z</dcterms:created>
  <dcterms:modified xsi:type="dcterms:W3CDTF">2025-08-28T14:56:00Z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0x010100305609DACCF57F4787CC5F1A87E510B2</vt:lpwstr>
  </property>
</Properties>
</file>