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1B068CCF"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986592">
              <w:rPr>
                <w:rFonts w:eastAsia="Arial" w:cs="Arial"/>
              </w:rPr>
              <w:t xml:space="preserve">the </w:t>
            </w:r>
            <w:r w:rsidR="00201933">
              <w:rPr>
                <w:rFonts w:eastAsia="Arial" w:cs="Arial"/>
              </w:rPr>
              <w:t>Occupational Health</w:t>
            </w:r>
            <w:r w:rsidR="00986592">
              <w:rPr>
                <w:rFonts w:eastAsia="Arial" w:cs="Arial"/>
              </w:rPr>
              <w:t xml:space="preserve"> </w:t>
            </w:r>
            <w:r w:rsidR="00993BA2">
              <w:rPr>
                <w:rFonts w:eastAsia="Arial" w:cs="Arial"/>
              </w:rPr>
              <w:t>Advisory</w:t>
            </w:r>
            <w:r w:rsidR="002E3CD3">
              <w:rPr>
                <w:rFonts w:eastAsia="Arial" w:cs="Arial"/>
              </w:rPr>
              <w:t xml:space="preserve"> </w:t>
            </w:r>
            <w:r w:rsidR="007E1101">
              <w:rPr>
                <w:rFonts w:eastAsia="Arial" w:cs="Arial"/>
              </w:rPr>
              <w:t xml:space="preserve">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993BA2">
        <w:trPr>
          <w:trHeight w:hRule="exact" w:val="1819"/>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6FADC8DF"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r w:rsidR="0038731D">
              <w:rPr>
                <w:rFonts w:eastAsia="Times New Roman" w:cs="Arial"/>
              </w:rPr>
              <w:t>ED Consultancy</w:t>
            </w:r>
            <w:r w:rsidR="00D0020C">
              <w:rPr>
                <w:rFonts w:eastAsia="Times New Roman" w:cs="Arial"/>
              </w:rPr>
              <w:t xml:space="preserve"> </w:t>
            </w:r>
            <w:r w:rsidR="003A69F4" w:rsidRPr="005463C2">
              <w:rPr>
                <w:rFonts w:eastAsia="Times New Roman" w:cs="Arial"/>
              </w:rPr>
              <w:t>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C8364B">
              <w:rPr>
                <w:rFonts w:eastAsia="Arial" w:cs="Arial"/>
              </w:rPr>
              <w:t xml:space="preserve"> with the option to extend to 31 March 2025 dependent upon funding</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00D0020C">
        <w:tc>
          <w:tcPr>
            <w:tcW w:w="10260" w:type="dxa"/>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761DB2E" w14:textId="774028A8" w:rsidR="003A69F4" w:rsidRDefault="2AE72D02" w:rsidP="003A69F4">
            <w:pPr>
              <w:jc w:val="both"/>
              <w:rPr>
                <w:rFonts w:eastAsiaTheme="minorHAnsi" w:cs="Arial"/>
                <w:sz w:val="22"/>
                <w:szCs w:val="22"/>
              </w:rPr>
            </w:pPr>
            <w:r w:rsidRPr="2AE72D02">
              <w:rPr>
                <w:rFonts w:eastAsia="Arial" w:cs="Arial"/>
              </w:rPr>
              <w:t xml:space="preserve">With the Reed margin included, the </w:t>
            </w:r>
            <w:bookmarkStart w:id="0" w:name="_Hlk98501704"/>
            <w:r w:rsidR="003A69F4">
              <w:rPr>
                <w:rFonts w:eastAsiaTheme="minorHAnsi" w:cs="Arial"/>
                <w:sz w:val="22"/>
                <w:szCs w:val="22"/>
              </w:rPr>
              <w:t>budget</w:t>
            </w:r>
            <w:r w:rsidR="003A69F4" w:rsidRPr="00FA1D75">
              <w:rPr>
                <w:rFonts w:eastAsiaTheme="minorHAnsi" w:cs="Arial"/>
                <w:sz w:val="22"/>
                <w:szCs w:val="22"/>
              </w:rPr>
              <w:t xml:space="preserve"> will be in the region of </w:t>
            </w:r>
            <w:r w:rsidR="00993BA2" w:rsidRPr="00993BA2">
              <w:rPr>
                <w:rFonts w:cs="Arial"/>
              </w:rPr>
              <w:t>£48,852 (excl. VAT) based on a day rate of £475 (excl. VAT)</w:t>
            </w:r>
            <w:r w:rsidR="000B027B">
              <w:rPr>
                <w:rFonts w:cs="Arial"/>
              </w:rPr>
              <w:t xml:space="preserve"> and two-days per week. T</w:t>
            </w:r>
            <w:r w:rsidR="00993BA2" w:rsidRPr="00993BA2">
              <w:rPr>
                <w:rFonts w:cs="Arial"/>
              </w:rPr>
              <w:t xml:space="preserve">his includes a budget of £1,200 (excl. VAT) for travel and subsistence as agreed </w:t>
            </w:r>
            <w:proofErr w:type="gramStart"/>
            <w:r w:rsidR="00993BA2" w:rsidRPr="00993BA2">
              <w:rPr>
                <w:rFonts w:cs="Arial"/>
              </w:rPr>
              <w:t>during the course of</w:t>
            </w:r>
            <w:proofErr w:type="gramEnd"/>
            <w:r w:rsidR="00993BA2" w:rsidRPr="00993BA2">
              <w:rPr>
                <w:rFonts w:cs="Arial"/>
              </w:rPr>
              <w:t xml:space="preserve"> the engagement. This includes the Reed margin.</w:t>
            </w:r>
          </w:p>
          <w:p w14:paraId="77A46016" w14:textId="1BC4C646" w:rsidR="00986592" w:rsidRDefault="00986592" w:rsidP="00986592">
            <w:pPr>
              <w:pStyle w:val="xxmsonormal"/>
              <w:spacing w:before="120" w:after="120" w:line="271" w:lineRule="auto"/>
              <w:rPr>
                <w:rFonts w:ascii="Arial" w:hAnsi="Arial" w:cs="Arial"/>
                <w:sz w:val="24"/>
                <w:szCs w:val="24"/>
              </w:rPr>
            </w:pPr>
            <w:r>
              <w:rPr>
                <w:rFonts w:ascii="Arial" w:hAnsi="Arial" w:cs="Arial"/>
                <w:sz w:val="24"/>
                <w:szCs w:val="24"/>
              </w:rPr>
              <w:t xml:space="preserve">The supplier will provide </w:t>
            </w:r>
            <w:r w:rsidR="00201933">
              <w:rPr>
                <w:rFonts w:ascii="Arial" w:hAnsi="Arial" w:cs="Arial"/>
                <w:sz w:val="24"/>
                <w:szCs w:val="24"/>
              </w:rPr>
              <w:t>OH delivery professional</w:t>
            </w:r>
            <w:r>
              <w:rPr>
                <w:rFonts w:ascii="Arial" w:hAnsi="Arial" w:cs="Arial"/>
                <w:sz w:val="24"/>
                <w:szCs w:val="24"/>
              </w:rPr>
              <w:t xml:space="preserve"> services to the NPWS Portfolio and apply the following:</w:t>
            </w:r>
          </w:p>
          <w:bookmarkEnd w:id="0"/>
          <w:p w14:paraId="1C499C06" w14:textId="77777777" w:rsidR="00993BA2" w:rsidRDefault="00993BA2" w:rsidP="00993BA2">
            <w:pPr>
              <w:pStyle w:val="ListParagraph"/>
              <w:numPr>
                <w:ilvl w:val="0"/>
                <w:numId w:val="18"/>
              </w:numPr>
              <w:spacing w:after="200" w:line="276" w:lineRule="auto"/>
              <w:ind w:left="851"/>
              <w:rPr>
                <w:rFonts w:cs="Arial"/>
              </w:rPr>
            </w:pPr>
            <w:r>
              <w:rPr>
                <w:rFonts w:cs="Arial"/>
              </w:rPr>
              <w:t>Subject matter expertise to support the development of OH specific processes.</w:t>
            </w:r>
          </w:p>
          <w:p w14:paraId="4EF3553D" w14:textId="77777777" w:rsidR="00993BA2" w:rsidRDefault="00993BA2" w:rsidP="00993BA2">
            <w:pPr>
              <w:pStyle w:val="ListParagraph"/>
              <w:numPr>
                <w:ilvl w:val="0"/>
                <w:numId w:val="18"/>
              </w:numPr>
              <w:spacing w:after="200" w:line="276" w:lineRule="auto"/>
              <w:ind w:left="851"/>
              <w:rPr>
                <w:rFonts w:cs="Arial"/>
              </w:rPr>
            </w:pPr>
            <w:r>
              <w:rPr>
                <w:rFonts w:cs="Arial"/>
              </w:rPr>
              <w:t>Engage with stakeholders.</w:t>
            </w:r>
          </w:p>
          <w:p w14:paraId="6819F4CD" w14:textId="77777777" w:rsidR="00993BA2" w:rsidRPr="000D0580" w:rsidRDefault="00993BA2" w:rsidP="00993BA2">
            <w:pPr>
              <w:pStyle w:val="ListParagraph"/>
              <w:numPr>
                <w:ilvl w:val="0"/>
                <w:numId w:val="18"/>
              </w:numPr>
              <w:spacing w:after="200" w:line="276" w:lineRule="auto"/>
              <w:ind w:left="851"/>
              <w:rPr>
                <w:rFonts w:cs="Arial"/>
              </w:rPr>
            </w:pPr>
            <w:r>
              <w:rPr>
                <w:rFonts w:cs="Arial"/>
              </w:rPr>
              <w:t>Produce national advice and guidance to the OH practitioner network.</w:t>
            </w:r>
          </w:p>
          <w:p w14:paraId="6371260E" w14:textId="58677147" w:rsidR="003A69F4" w:rsidRPr="00C76D4F" w:rsidRDefault="00986592" w:rsidP="00986592">
            <w:pPr>
              <w:spacing w:before="120" w:after="120"/>
              <w:rPr>
                <w:rFonts w:cs="Arial"/>
              </w:rPr>
            </w:pPr>
            <w:r>
              <w:rPr>
                <w:rFonts w:cs="Arial"/>
              </w:rPr>
              <w:t xml:space="preserve">The </w:t>
            </w:r>
            <w:r w:rsidR="003A69F4" w:rsidRPr="00C76D4F">
              <w:rPr>
                <w:rFonts w:cs="Arial"/>
              </w:rPr>
              <w:t xml:space="preserve">supplier will work with the NPWS team </w:t>
            </w:r>
            <w:r w:rsidR="003A69F4">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r w:rsidR="00D0020C" w:rsidRPr="00126D49" w14:paraId="3B820727" w14:textId="77777777" w:rsidTr="2AE72D02">
        <w:tc>
          <w:tcPr>
            <w:tcW w:w="10260" w:type="dxa"/>
            <w:tcBorders>
              <w:bottom w:val="single" w:sz="12" w:space="0" w:color="666699"/>
            </w:tcBorders>
          </w:tcPr>
          <w:p w14:paraId="59DAD74A" w14:textId="77777777" w:rsidR="00D0020C" w:rsidRPr="2AE72D02" w:rsidRDefault="00D0020C" w:rsidP="00E3171A">
            <w:pPr>
              <w:rPr>
                <w:rFonts w:eastAsia="Arial" w:cs="Arial"/>
                <w:sz w:val="20"/>
                <w:szCs w:val="20"/>
                <w:shd w:val="clear" w:color="auto" w:fill="DEEAF6"/>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1D72CEB9" w14:textId="1AF91EE2" w:rsidR="00896F10" w:rsidRDefault="2AE72D02" w:rsidP="00FF1A93">
            <w:pPr>
              <w:jc w:val="both"/>
              <w:rPr>
                <w:rFonts w:eastAsia="Arial" w:cs="Arial"/>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r w:rsidR="0038731D">
              <w:rPr>
                <w:rFonts w:eastAsia="Times New Roman" w:cs="Arial"/>
              </w:rPr>
              <w:t xml:space="preserve">ED Consultancy </w:t>
            </w:r>
            <w:r w:rsidR="0038731D" w:rsidRPr="005463C2">
              <w:rPr>
                <w:rFonts w:eastAsia="Times New Roman" w:cs="Arial"/>
              </w:rPr>
              <w:t>Ltd</w:t>
            </w:r>
            <w:r w:rsidR="0038731D" w:rsidRPr="2AE72D02">
              <w:rPr>
                <w:rFonts w:eastAsia="Arial" w:cs="Arial"/>
              </w:rPr>
              <w:t xml:space="preserve"> </w:t>
            </w:r>
            <w:r w:rsidR="0038731D">
              <w:rPr>
                <w:rFonts w:eastAsia="Arial" w:cs="Arial"/>
              </w:rPr>
              <w:t xml:space="preserve">for </w:t>
            </w:r>
            <w:r w:rsidR="0038731D" w:rsidRPr="2AE72D02">
              <w:rPr>
                <w:rFonts w:eastAsia="Arial" w:cs="Arial"/>
              </w:rPr>
              <w:t>the period 01 April 202</w:t>
            </w:r>
            <w:r w:rsidR="0038731D">
              <w:rPr>
                <w:rFonts w:eastAsia="Arial" w:cs="Arial"/>
              </w:rPr>
              <w:t>3</w:t>
            </w:r>
            <w:r w:rsidR="0038731D" w:rsidRPr="2AE72D02">
              <w:rPr>
                <w:rFonts w:eastAsia="Arial" w:cs="Arial"/>
              </w:rPr>
              <w:t xml:space="preserve"> to 31 March 202</w:t>
            </w:r>
            <w:r w:rsidR="0038731D">
              <w:rPr>
                <w:rFonts w:eastAsia="Arial" w:cs="Arial"/>
              </w:rPr>
              <w:t>4</w:t>
            </w:r>
            <w:r w:rsidR="0038731D" w:rsidRPr="2AE72D02">
              <w:rPr>
                <w:rFonts w:eastAsia="Arial" w:cs="Arial"/>
              </w:rPr>
              <w:t>.</w:t>
            </w:r>
          </w:p>
          <w:p w14:paraId="62228BBB" w14:textId="77777777" w:rsidR="0038731D" w:rsidRDefault="0038731D"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57895351" w14:textId="77777777" w:rsidR="00D85460" w:rsidRDefault="00D85460" w:rsidP="00D85460">
            <w:pPr>
              <w:shd w:val="clear" w:color="auto" w:fill="FFFFFF" w:themeFill="background1"/>
              <w:jc w:val="both"/>
              <w:rPr>
                <w:rFonts w:cs="Arial"/>
                <w:bCs/>
                <w:lang w:val="en"/>
              </w:rPr>
            </w:pPr>
            <w:r>
              <w:rPr>
                <w:rFonts w:eastAsia="Arial" w:cs="Arial"/>
                <w:lang w:val="en"/>
              </w:rPr>
              <w:t>Name: Dan Rogers</w:t>
            </w:r>
          </w:p>
          <w:p w14:paraId="4A4E386C" w14:textId="77777777" w:rsidR="00D85460" w:rsidRDefault="00D85460" w:rsidP="00D85460">
            <w:pPr>
              <w:shd w:val="clear" w:color="auto" w:fill="FFFFFF"/>
              <w:jc w:val="both"/>
              <w:rPr>
                <w:rFonts w:cs="Arial"/>
                <w:bCs/>
                <w:lang w:val="en"/>
              </w:rPr>
            </w:pPr>
          </w:p>
          <w:p w14:paraId="35D75396" w14:textId="77777777" w:rsidR="00D85460" w:rsidRDefault="00D85460" w:rsidP="00D85460">
            <w:pPr>
              <w:shd w:val="clear" w:color="auto" w:fill="FFFFFF" w:themeFill="background1"/>
              <w:jc w:val="both"/>
              <w:rPr>
                <w:rFonts w:cs="Arial"/>
                <w:bCs/>
                <w:lang w:val="en"/>
              </w:rPr>
            </w:pPr>
            <w:r>
              <w:rPr>
                <w:rFonts w:eastAsia="Arial" w:cs="Arial"/>
                <w:lang w:val="en"/>
              </w:rPr>
              <w:t>Role: CFO</w:t>
            </w:r>
          </w:p>
          <w:p w14:paraId="20AE7EDB" w14:textId="77777777" w:rsidR="00D85460" w:rsidRDefault="00D85460" w:rsidP="00D85460">
            <w:pPr>
              <w:shd w:val="clear" w:color="auto" w:fill="FFFFFF"/>
              <w:jc w:val="both"/>
              <w:rPr>
                <w:rFonts w:cs="Arial"/>
                <w:bCs/>
                <w:lang w:val="en"/>
              </w:rPr>
            </w:pPr>
          </w:p>
          <w:p w14:paraId="61455779" w14:textId="77777777" w:rsidR="00D85460" w:rsidRDefault="00D85460" w:rsidP="00D85460">
            <w:pPr>
              <w:shd w:val="clear" w:color="auto" w:fill="FFFFFF" w:themeFill="background1"/>
              <w:jc w:val="both"/>
              <w:rPr>
                <w:rFonts w:cs="Arial"/>
                <w:bCs/>
                <w:highlight w:val="yellow"/>
                <w:lang w:val="en"/>
              </w:rPr>
            </w:pPr>
            <w:r>
              <w:rPr>
                <w:rFonts w:eastAsia="Arial" w:cs="Arial"/>
                <w:lang w:val="en"/>
              </w:rPr>
              <w:t>Signed: Dan Rogers</w:t>
            </w:r>
          </w:p>
          <w:p w14:paraId="3C399479" w14:textId="77777777" w:rsidR="00D85460" w:rsidRDefault="00D85460" w:rsidP="00D85460">
            <w:pPr>
              <w:shd w:val="clear" w:color="auto" w:fill="FFFFFF"/>
              <w:jc w:val="both"/>
              <w:rPr>
                <w:rFonts w:cs="Arial"/>
                <w:bCs/>
                <w:highlight w:val="yellow"/>
                <w:lang w:val="en"/>
              </w:rPr>
            </w:pPr>
          </w:p>
          <w:p w14:paraId="4BDCA136" w14:textId="0801C5CB" w:rsidR="006B6303" w:rsidRPr="007B4E66" w:rsidRDefault="00D85460" w:rsidP="00D85460">
            <w:pPr>
              <w:spacing w:after="160" w:line="259" w:lineRule="auto"/>
              <w:jc w:val="both"/>
            </w:pPr>
            <w:r>
              <w:rPr>
                <w:rFonts w:eastAsia="Arial" w:cs="Arial"/>
                <w:lang w:val="en"/>
              </w:rPr>
              <w:t>Date: 6/423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791B2F"/>
    <w:multiLevelType w:val="hybridMultilevel"/>
    <w:tmpl w:val="2C5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23438"/>
    <w:multiLevelType w:val="hybridMultilevel"/>
    <w:tmpl w:val="01DE1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16EBB"/>
    <w:multiLevelType w:val="hybridMultilevel"/>
    <w:tmpl w:val="9E408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7"/>
  </w:num>
  <w:num w:numId="2" w16cid:durableId="802305411">
    <w:abstractNumId w:val="6"/>
  </w:num>
  <w:num w:numId="3" w16cid:durableId="1387752591">
    <w:abstractNumId w:val="5"/>
  </w:num>
  <w:num w:numId="4" w16cid:durableId="108163339">
    <w:abstractNumId w:val="10"/>
  </w:num>
  <w:num w:numId="5" w16cid:durableId="872886875">
    <w:abstractNumId w:val="1"/>
  </w:num>
  <w:num w:numId="6" w16cid:durableId="20207539">
    <w:abstractNumId w:val="15"/>
  </w:num>
  <w:num w:numId="7" w16cid:durableId="634798532">
    <w:abstractNumId w:val="14"/>
  </w:num>
  <w:num w:numId="8" w16cid:durableId="1955139103">
    <w:abstractNumId w:val="18"/>
  </w:num>
  <w:num w:numId="9" w16cid:durableId="1053193845">
    <w:abstractNumId w:val="8"/>
  </w:num>
  <w:num w:numId="10" w16cid:durableId="813176484">
    <w:abstractNumId w:val="0"/>
  </w:num>
  <w:num w:numId="11" w16cid:durableId="762268040">
    <w:abstractNumId w:val="4"/>
  </w:num>
  <w:num w:numId="12" w16cid:durableId="916328049">
    <w:abstractNumId w:val="9"/>
  </w:num>
  <w:num w:numId="13" w16cid:durableId="1930233861">
    <w:abstractNumId w:val="2"/>
  </w:num>
  <w:num w:numId="14" w16cid:durableId="1309672242">
    <w:abstractNumId w:val="12"/>
  </w:num>
  <w:num w:numId="15" w16cid:durableId="815101385">
    <w:abstractNumId w:val="3"/>
  </w:num>
  <w:num w:numId="16" w16cid:durableId="1467822149">
    <w:abstractNumId w:val="16"/>
  </w:num>
  <w:num w:numId="17" w16cid:durableId="1573615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883625">
    <w:abstractNumId w:val="7"/>
  </w:num>
  <w:num w:numId="19" w16cid:durableId="1986467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805092">
    <w:abstractNumId w:val="11"/>
  </w:num>
  <w:num w:numId="21" w16cid:durableId="447772079">
    <w:abstractNumId w:val="16"/>
  </w:num>
  <w:num w:numId="22" w16cid:durableId="1252398623">
    <w:abstractNumId w:val="7"/>
  </w:num>
  <w:num w:numId="23" w16cid:durableId="1469086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B027B"/>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933"/>
    <w:rsid w:val="00201E4D"/>
    <w:rsid w:val="002242E7"/>
    <w:rsid w:val="002639F5"/>
    <w:rsid w:val="002870E7"/>
    <w:rsid w:val="002D5A3E"/>
    <w:rsid w:val="002E3375"/>
    <w:rsid w:val="002E3CD3"/>
    <w:rsid w:val="002E7DCB"/>
    <w:rsid w:val="00306889"/>
    <w:rsid w:val="0030754F"/>
    <w:rsid w:val="00324B5A"/>
    <w:rsid w:val="0032685F"/>
    <w:rsid w:val="00327307"/>
    <w:rsid w:val="00357EE8"/>
    <w:rsid w:val="0038731D"/>
    <w:rsid w:val="0039343F"/>
    <w:rsid w:val="003A69F4"/>
    <w:rsid w:val="003C4259"/>
    <w:rsid w:val="004049A0"/>
    <w:rsid w:val="00405762"/>
    <w:rsid w:val="004121EE"/>
    <w:rsid w:val="004211EC"/>
    <w:rsid w:val="0042215B"/>
    <w:rsid w:val="00431AD9"/>
    <w:rsid w:val="00452AF5"/>
    <w:rsid w:val="004A5AE3"/>
    <w:rsid w:val="004C0668"/>
    <w:rsid w:val="004D5A81"/>
    <w:rsid w:val="004E1DF7"/>
    <w:rsid w:val="004E601E"/>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31CDE"/>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86592"/>
    <w:rsid w:val="00993BA2"/>
    <w:rsid w:val="009A036C"/>
    <w:rsid w:val="009A14D7"/>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8364B"/>
    <w:rsid w:val="00CA1C24"/>
    <w:rsid w:val="00CA4481"/>
    <w:rsid w:val="00CA74DF"/>
    <w:rsid w:val="00CA79E5"/>
    <w:rsid w:val="00CC4563"/>
    <w:rsid w:val="00CD04F6"/>
    <w:rsid w:val="00CD3F43"/>
    <w:rsid w:val="00CF34A0"/>
    <w:rsid w:val="00D0020C"/>
    <w:rsid w:val="00D11721"/>
    <w:rsid w:val="00D47FB1"/>
    <w:rsid w:val="00D57DBE"/>
    <w:rsid w:val="00D60664"/>
    <w:rsid w:val="00D73FE5"/>
    <w:rsid w:val="00D81907"/>
    <w:rsid w:val="00D85460"/>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348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603609878">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 w:id="1844666074">
      <w:bodyDiv w:val="1"/>
      <w:marLeft w:val="0"/>
      <w:marRight w:val="0"/>
      <w:marTop w:val="0"/>
      <w:marBottom w:val="0"/>
      <w:divBdr>
        <w:top w:val="none" w:sz="0" w:space="0" w:color="auto"/>
        <w:left w:val="none" w:sz="0" w:space="0" w:color="auto"/>
        <w:bottom w:val="none" w:sz="0" w:space="0" w:color="auto"/>
        <w:right w:val="none" w:sz="0" w:space="0" w:color="auto"/>
      </w:divBdr>
    </w:div>
    <w:div w:id="1975215108">
      <w:bodyDiv w:val="1"/>
      <w:marLeft w:val="0"/>
      <w:marRight w:val="0"/>
      <w:marTop w:val="0"/>
      <w:marBottom w:val="0"/>
      <w:divBdr>
        <w:top w:val="none" w:sz="0" w:space="0" w:color="auto"/>
        <w:left w:val="none" w:sz="0" w:space="0" w:color="auto"/>
        <w:bottom w:val="none" w:sz="0" w:space="0" w:color="auto"/>
        <w:right w:val="none" w:sz="0" w:space="0" w:color="auto"/>
      </w:divBdr>
    </w:div>
    <w:div w:id="2087877352">
      <w:bodyDiv w:val="1"/>
      <w:marLeft w:val="0"/>
      <w:marRight w:val="0"/>
      <w:marTop w:val="0"/>
      <w:marBottom w:val="0"/>
      <w:divBdr>
        <w:top w:val="none" w:sz="0" w:space="0" w:color="auto"/>
        <w:left w:val="none" w:sz="0" w:space="0" w:color="auto"/>
        <w:bottom w:val="none" w:sz="0" w:space="0" w:color="auto"/>
        <w:right w:val="none" w:sz="0" w:space="0" w:color="auto"/>
      </w:divBdr>
    </w:div>
    <w:div w:id="21409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for Clinical Governance professional services via ED Consultancy Ltd for the period 01 April 2023 to 31 March 2024. Funding is in place through the agreed 23/24 budget and procurement plan agreed</Comments>
    <Month xmlns="2f34c564-3784-46f2-b952-93a5b4a4f3fe">April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4.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4</cp:revision>
  <cp:lastPrinted>2016-01-05T13:42:00Z</cp:lastPrinted>
  <dcterms:created xsi:type="dcterms:W3CDTF">2023-04-06T13:56:00Z</dcterms:created>
  <dcterms:modified xsi:type="dcterms:W3CDTF">2023-04-13T14:17:00Z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