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Call-Off Schedule 1 (Transparency Reports)</w:t>
      </w:r>
    </w:p>
    <w:p w:rsidR="00000000" w:rsidDel="00000000" w:rsidP="00000000" w:rsidRDefault="00000000" w:rsidRPr="00000000" w14:paraId="000000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576" w:right="-386" w:hanging="576"/>
        <w:jc w:val="left"/>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recognises that the Buyer is subject to PPN 01/17 (Updates to transparency principles v1.1 (</w:t>
      </w:r>
      <w:hyperlink r:id="rId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https://www.gov.uk/government/publications/procurement-policy-note-0117-update-to-transparency-principles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comply with the provisions of this Schedule in order to assist the Buyer with its compliance with its obligations under that PPN.</w:t>
      </w:r>
      <w:r w:rsidDel="00000000" w:rsidR="00000000" w:rsidRPr="00000000">
        <w:rPr>
          <w:rtl w:val="0"/>
        </w:rPr>
      </w:r>
    </w:p>
    <w:p w:rsidR="00000000" w:rsidDel="00000000" w:rsidP="00000000" w:rsidRDefault="00000000" w:rsidRPr="00000000" w14:paraId="00000003">
      <w:pPr>
        <w:spacing w:after="0" w:line="276" w:lineRule="auto"/>
        <w:ind w:left="720" w:right="-386"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576" w:right="-386"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5">
      <w:pPr>
        <w:spacing w:after="0" w:line="276" w:lineRule="auto"/>
        <w:ind w:right="-386"/>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576" w:right="-386"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7">
      <w:pPr>
        <w:spacing w:after="0" w:line="276" w:lineRule="auto"/>
        <w:ind w:left="720" w:right="-386"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576" w:right="-386" w:hanging="576"/>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accurate and up-to-date versions of each Transparency Report to the Buyer at the frequency referred to in the Annex of this Schedule.</w:t>
      </w:r>
      <w:r w:rsidDel="00000000" w:rsidR="00000000" w:rsidRPr="00000000">
        <w:rPr>
          <w:rtl w:val="0"/>
        </w:rPr>
      </w:r>
    </w:p>
    <w:p w:rsidR="00000000" w:rsidDel="00000000" w:rsidP="00000000" w:rsidRDefault="00000000" w:rsidRPr="00000000" w14:paraId="00000009">
      <w:pPr>
        <w:pageBreakBefore w:val="1"/>
        <w:spacing w:after="200" w:line="276" w:lineRule="auto"/>
        <w:ind w:right="-386"/>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Annex A: List of Transparency Reports</w:t>
      </w:r>
    </w:p>
    <w:tbl>
      <w:tblPr>
        <w:tblStyle w:val="Table1"/>
        <w:tblW w:w="8992.0" w:type="dxa"/>
        <w:jc w:val="left"/>
        <w:tblInd w:w="-113.0" w:type="dxa"/>
        <w:tblLayout w:type="fixed"/>
        <w:tblLook w:val="0000"/>
      </w:tblPr>
      <w:tblGrid>
        <w:gridCol w:w="3227"/>
        <w:gridCol w:w="1843"/>
        <w:gridCol w:w="1842"/>
        <w:gridCol w:w="2080"/>
        <w:tblGridChange w:id="0">
          <w:tblGrid>
            <w:gridCol w:w="3227"/>
            <w:gridCol w:w="1843"/>
            <w:gridCol w:w="1842"/>
            <w:gridCol w:w="208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spacing w:after="0" w:line="276" w:lineRule="auto"/>
              <w:ind w:right="-386"/>
              <w:rPr/>
            </w:pPr>
            <w:r w:rsidDel="00000000" w:rsidR="00000000" w:rsidRPr="00000000">
              <w:rPr>
                <w:b w:val="1"/>
                <w:sz w:val="24"/>
                <w:szCs w:val="24"/>
                <w:rtl w:val="0"/>
              </w:rPr>
              <w:t xml:space="preserve">Title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spacing w:after="0" w:line="276" w:lineRule="auto"/>
              <w:ind w:right="-386"/>
              <w:rPr/>
            </w:pPr>
            <w:r w:rsidDel="00000000" w:rsidR="00000000" w:rsidRPr="00000000">
              <w:rPr>
                <w:b w:val="1"/>
                <w:sz w:val="24"/>
                <w:szCs w:val="24"/>
                <w:rtl w:val="0"/>
              </w:rPr>
              <w:t xml:space="preserve">Content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spacing w:after="0" w:line="276" w:lineRule="auto"/>
              <w:ind w:right="-386"/>
              <w:rPr/>
            </w:pPr>
            <w:r w:rsidDel="00000000" w:rsidR="00000000" w:rsidRPr="00000000">
              <w:rPr>
                <w:b w:val="1"/>
                <w:sz w:val="24"/>
                <w:szCs w:val="24"/>
                <w:rtl w:val="0"/>
              </w:rPr>
              <w:t xml:space="preserve">Format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spacing w:after="0" w:line="276" w:lineRule="auto"/>
              <w:ind w:right="-386"/>
              <w:rPr/>
            </w:pPr>
            <w:r w:rsidDel="00000000" w:rsidR="00000000" w:rsidRPr="00000000">
              <w:rPr>
                <w:b w:val="1"/>
                <w:sz w:val="24"/>
                <w:szCs w:val="24"/>
                <w:rtl w:val="0"/>
              </w:rPr>
              <w:t xml:space="preserve">Frequency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spacing w:after="0" w:line="276" w:lineRule="auto"/>
              <w:ind w:right="-386"/>
              <w:rPr>
                <w:sz w:val="24"/>
                <w:szCs w:val="24"/>
              </w:rPr>
            </w:pPr>
            <w:r w:rsidDel="00000000" w:rsidR="00000000" w:rsidRPr="00000000">
              <w:rPr>
                <w:sz w:val="24"/>
                <w:szCs w:val="24"/>
                <w:rtl w:val="0"/>
              </w:rPr>
              <w:t xml:space="preserve">Call-Off  Contract Charges </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spacing w:after="0" w:line="276" w:lineRule="auto"/>
              <w:ind w:right="-386"/>
              <w:rPr>
                <w:sz w:val="24"/>
                <w:szCs w:val="24"/>
              </w:rPr>
            </w:pPr>
            <w:bookmarkStart w:colFirst="0" w:colLast="0" w:name="_30j0zll" w:id="1"/>
            <w:bookmarkEnd w:id="1"/>
            <w:r w:rsidDel="00000000" w:rsidR="00000000" w:rsidRPr="00000000">
              <w:rPr>
                <w:sz w:val="24"/>
                <w:szCs w:val="24"/>
                <w:rtl w:val="0"/>
              </w:rPr>
              <w:t xml:space="preserve">Retailer price</w:t>
            </w:r>
          </w:p>
          <w:p w:rsidR="00000000" w:rsidDel="00000000" w:rsidP="00000000" w:rsidRDefault="00000000" w:rsidRPr="00000000" w14:paraId="00000011">
            <w:pPr>
              <w:spacing w:after="0" w:line="276" w:lineRule="auto"/>
              <w:ind w:right="-386"/>
              <w:rPr>
                <w:sz w:val="24"/>
                <w:szCs w:val="24"/>
              </w:rPr>
            </w:pPr>
            <w:r w:rsidDel="00000000" w:rsidR="00000000" w:rsidRPr="00000000">
              <w:rPr>
                <w:sz w:val="24"/>
                <w:szCs w:val="24"/>
                <w:rtl w:val="0"/>
              </w:rPr>
              <w:t xml:space="preserve">OEM</w:t>
            </w:r>
          </w:p>
          <w:p w:rsidR="00000000" w:rsidDel="00000000" w:rsidP="00000000" w:rsidRDefault="00000000" w:rsidRPr="00000000" w14:paraId="00000012">
            <w:pPr>
              <w:spacing w:after="0" w:line="276" w:lineRule="auto"/>
              <w:ind w:right="-386"/>
              <w:rPr>
                <w:sz w:val="24"/>
                <w:szCs w:val="24"/>
              </w:rPr>
            </w:pPr>
            <w:r w:rsidDel="00000000" w:rsidR="00000000" w:rsidRPr="00000000">
              <w:rPr>
                <w:sz w:val="24"/>
                <w:szCs w:val="24"/>
                <w:rtl w:val="0"/>
              </w:rPr>
              <w:t xml:space="preserve">Margin </w:t>
            </w:r>
          </w:p>
          <w:p w:rsidR="00000000" w:rsidDel="00000000" w:rsidP="00000000" w:rsidRDefault="00000000" w:rsidRPr="00000000" w14:paraId="00000013">
            <w:pPr>
              <w:spacing w:after="0" w:line="276" w:lineRule="auto"/>
              <w:ind w:right="-386"/>
              <w:rPr>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spacing w:after="0" w:line="276" w:lineRule="auto"/>
              <w:ind w:right="-386"/>
              <w:rPr>
                <w:sz w:val="24"/>
                <w:szCs w:val="24"/>
              </w:rPr>
            </w:pPr>
            <w:r w:rsidDel="00000000" w:rsidR="00000000" w:rsidRPr="00000000">
              <w:rPr>
                <w:rtl w:val="0"/>
              </w:rPr>
            </w:r>
          </w:p>
          <w:p w:rsidR="00000000" w:rsidDel="00000000" w:rsidP="00000000" w:rsidRDefault="00000000" w:rsidRPr="00000000" w14:paraId="00000015">
            <w:pPr>
              <w:spacing w:after="0" w:line="276" w:lineRule="auto"/>
              <w:ind w:right="-386"/>
              <w:rPr>
                <w:sz w:val="24"/>
                <w:szCs w:val="24"/>
              </w:rPr>
            </w:pPr>
            <w:r w:rsidDel="00000000" w:rsidR="00000000" w:rsidRPr="00000000">
              <w:rPr>
                <w:sz w:val="24"/>
                <w:szCs w:val="24"/>
                <w:rtl w:val="0"/>
              </w:rPr>
              <w:t xml:space="preserve">Excel</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after="0" w:line="276" w:lineRule="auto"/>
              <w:ind w:right="-386"/>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spacing w:after="0" w:line="276" w:lineRule="auto"/>
              <w:ind w:right="-386"/>
              <w:rPr/>
            </w:pPr>
            <w:r w:rsidDel="00000000" w:rsidR="00000000" w:rsidRPr="00000000">
              <w:rPr>
                <w:sz w:val="24"/>
                <w:szCs w:val="24"/>
                <w:rtl w:val="0"/>
              </w:rPr>
              <w:t xml:space="preserve">Monthly </w:t>
            </w:r>
            <w:r w:rsidDel="00000000" w:rsidR="00000000" w:rsidRPr="00000000">
              <w:rPr>
                <w:rtl w:val="0"/>
              </w:rPr>
            </w:r>
          </w:p>
        </w:tc>
      </w:tr>
    </w:tbl>
    <w:p w:rsidR="00000000" w:rsidDel="00000000" w:rsidP="00000000" w:rsidRDefault="00000000" w:rsidRPr="00000000" w14:paraId="00000018">
      <w:pPr>
        <w:tabs>
          <w:tab w:val="left" w:pos="1251"/>
        </w:tabs>
        <w:spacing w:after="200" w:line="276" w:lineRule="auto"/>
        <w:ind w:right="-386"/>
        <w:rPr>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1C">
    <w:pPr>
      <w:tabs>
        <w:tab w:val="center" w:pos="4513"/>
        <w:tab w:val="right" w:pos="9026"/>
      </w:tabs>
      <w:spacing w:after="0" w:lineRule="auto"/>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1D">
    <w:pPr>
      <w:jc w:val="right"/>
      <w:rPr/>
    </w:pPr>
    <w:r w:rsidDel="00000000" w:rsidR="00000000" w:rsidRPr="00000000">
      <w:rPr>
        <w:sz w:val="20"/>
        <w:szCs w:val="20"/>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t xml:space="preserve">Call-Off Schedule 1 (Transparency Reports)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procurement-policy-note-0117-update-to-transparency-principle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