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B94FE" w14:textId="77777777" w:rsidR="00AC292C" w:rsidRDefault="00AC292C" w:rsidP="00AC292C">
      <w:pPr>
        <w:spacing w:after="0" w:line="240" w:lineRule="auto"/>
        <w:jc w:val="center"/>
      </w:pPr>
      <w:r>
        <w:rPr>
          <w:noProof/>
          <w:lang w:eastAsia="en-GB"/>
        </w:rPr>
        <w:drawing>
          <wp:inline distT="0" distB="0" distL="0" distR="0" wp14:anchorId="6F7092B9" wp14:editId="4CB9AD01">
            <wp:extent cx="2901950" cy="1113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950" cy="1113155"/>
                    </a:xfrm>
                    <a:prstGeom prst="rect">
                      <a:avLst/>
                    </a:prstGeom>
                    <a:noFill/>
                    <a:ln>
                      <a:noFill/>
                    </a:ln>
                  </pic:spPr>
                </pic:pic>
              </a:graphicData>
            </a:graphic>
          </wp:inline>
        </w:drawing>
      </w:r>
    </w:p>
    <w:p w14:paraId="285F7817" w14:textId="77777777" w:rsidR="00AC292C" w:rsidRDefault="00AC292C" w:rsidP="00AC292C">
      <w:pPr>
        <w:spacing w:after="0" w:line="240" w:lineRule="auto"/>
        <w:jc w:val="center"/>
      </w:pPr>
      <w:r>
        <w:rPr>
          <w:rFonts w:eastAsia="Arial"/>
          <w:sz w:val="40"/>
          <w:szCs w:val="40"/>
          <w:lang w:val="en-US"/>
        </w:rPr>
        <w:t xml:space="preserve"> </w:t>
      </w:r>
    </w:p>
    <w:p w14:paraId="718EDD73" w14:textId="77777777" w:rsidR="00AC292C" w:rsidRDefault="00AC292C" w:rsidP="00AC292C">
      <w:pPr>
        <w:spacing w:after="0" w:line="240" w:lineRule="auto"/>
        <w:jc w:val="center"/>
        <w:rPr>
          <w:rFonts w:eastAsia="Arial"/>
          <w:sz w:val="48"/>
          <w:szCs w:val="48"/>
          <w:lang w:val="en-US"/>
        </w:rPr>
      </w:pPr>
    </w:p>
    <w:p w14:paraId="10D26F7A" w14:textId="77777777" w:rsidR="00AC292C" w:rsidRDefault="00AC292C" w:rsidP="00AC292C">
      <w:pPr>
        <w:spacing w:after="0" w:line="240" w:lineRule="auto"/>
        <w:jc w:val="center"/>
        <w:rPr>
          <w:rFonts w:eastAsia="Arial"/>
          <w:sz w:val="48"/>
          <w:szCs w:val="48"/>
          <w:lang w:val="en-US"/>
        </w:rPr>
      </w:pPr>
    </w:p>
    <w:p w14:paraId="740B67F8" w14:textId="77777777" w:rsidR="00AC292C" w:rsidRDefault="00AC292C" w:rsidP="00AC292C">
      <w:pPr>
        <w:spacing w:after="0" w:line="240" w:lineRule="auto"/>
        <w:jc w:val="center"/>
        <w:rPr>
          <w:rFonts w:eastAsia="Arial"/>
          <w:sz w:val="48"/>
          <w:szCs w:val="48"/>
          <w:lang w:val="en-US"/>
        </w:rPr>
      </w:pPr>
    </w:p>
    <w:p w14:paraId="74A08E53" w14:textId="77777777" w:rsidR="00AC292C" w:rsidRPr="00102F97" w:rsidRDefault="00AC292C" w:rsidP="00AC292C">
      <w:pPr>
        <w:spacing w:after="160"/>
        <w:jc w:val="center"/>
        <w:rPr>
          <w:rFonts w:ascii="Calibri" w:eastAsia="Calibri" w:hAnsi="Calibri"/>
          <w:sz w:val="24"/>
        </w:rPr>
      </w:pPr>
      <w:r>
        <w:rPr>
          <w:rFonts w:eastAsia="Arial"/>
          <w:sz w:val="48"/>
          <w:szCs w:val="48"/>
          <w:lang w:val="en-US"/>
        </w:rPr>
        <w:t>Contract No:</w:t>
      </w:r>
      <w:bookmarkStart w:id="0" w:name="_Toc22028395"/>
      <w:r w:rsidRPr="0054327A">
        <w:rPr>
          <w:rFonts w:eastAsia="Arial"/>
          <w:sz w:val="48"/>
          <w:szCs w:val="48"/>
          <w:lang w:val="en-US"/>
        </w:rPr>
        <w:t>700023293</w:t>
      </w:r>
      <w:bookmarkEnd w:id="0"/>
    </w:p>
    <w:p w14:paraId="4E810275" w14:textId="77777777" w:rsidR="00AC292C" w:rsidRDefault="00AC292C" w:rsidP="00AC292C">
      <w:pPr>
        <w:spacing w:after="0" w:line="240" w:lineRule="auto"/>
        <w:jc w:val="center"/>
      </w:pPr>
    </w:p>
    <w:p w14:paraId="46482988" w14:textId="17E16807" w:rsidR="00AC292C" w:rsidRDefault="00AC292C" w:rsidP="00AC292C">
      <w:pPr>
        <w:spacing w:after="0" w:line="240" w:lineRule="auto"/>
        <w:jc w:val="center"/>
        <w:rPr>
          <w:rFonts w:eastAsia="Arial"/>
          <w:sz w:val="48"/>
          <w:szCs w:val="48"/>
          <w:lang w:val="en-US"/>
        </w:rPr>
      </w:pPr>
      <w:r>
        <w:rPr>
          <w:rFonts w:eastAsia="Arial"/>
          <w:sz w:val="48"/>
          <w:szCs w:val="48"/>
          <w:lang w:val="en-US"/>
        </w:rPr>
        <w:t xml:space="preserve">For: Provision of P-8A Interim Aircraft Support </w:t>
      </w:r>
    </w:p>
    <w:p w14:paraId="3D608B17" w14:textId="53099295" w:rsidR="00AC292C" w:rsidRDefault="00AC292C" w:rsidP="00AC292C">
      <w:pPr>
        <w:spacing w:after="0" w:line="240" w:lineRule="auto"/>
        <w:jc w:val="center"/>
        <w:rPr>
          <w:rFonts w:eastAsia="Arial"/>
          <w:sz w:val="48"/>
          <w:szCs w:val="48"/>
          <w:lang w:val="en-US"/>
        </w:rPr>
      </w:pPr>
    </w:p>
    <w:p w14:paraId="31494E8F" w14:textId="77777777" w:rsidR="00AC292C" w:rsidRDefault="00AC292C" w:rsidP="00AC292C">
      <w:pPr>
        <w:spacing w:after="0" w:line="240" w:lineRule="auto"/>
        <w:jc w:val="center"/>
        <w:rPr>
          <w:rFonts w:eastAsia="Arial"/>
          <w:sz w:val="48"/>
          <w:szCs w:val="48"/>
          <w:lang w:val="en-US"/>
        </w:rPr>
      </w:pPr>
    </w:p>
    <w:p w14:paraId="090CFF52" w14:textId="09A591BF" w:rsidR="00AC292C" w:rsidRDefault="00AC292C" w:rsidP="00AC292C">
      <w:pPr>
        <w:spacing w:after="0" w:line="240" w:lineRule="auto"/>
        <w:jc w:val="center"/>
      </w:pPr>
      <w:r>
        <w:rPr>
          <w:rFonts w:eastAsia="Arial"/>
          <w:sz w:val="48"/>
          <w:szCs w:val="48"/>
          <w:lang w:val="en-US"/>
        </w:rPr>
        <w:t>Schedule 15 - Performance Management</w:t>
      </w:r>
    </w:p>
    <w:p w14:paraId="596E16E1" w14:textId="77777777" w:rsidR="00AC292C" w:rsidRDefault="00AC292C" w:rsidP="00AC292C">
      <w:pPr>
        <w:spacing w:after="0" w:line="240" w:lineRule="auto"/>
        <w:jc w:val="center"/>
      </w:pPr>
      <w:r>
        <w:rPr>
          <w:rFonts w:eastAsia="Arial"/>
          <w:sz w:val="48"/>
          <w:szCs w:val="48"/>
          <w:lang w:val="en-US"/>
        </w:rPr>
        <w:t xml:space="preserve"> </w:t>
      </w:r>
    </w:p>
    <w:p w14:paraId="7447FCAB" w14:textId="77777777" w:rsidR="00AD737A" w:rsidRPr="00AD737A" w:rsidRDefault="00AD737A" w:rsidP="00AD737A">
      <w:pPr>
        <w:spacing w:before="0" w:after="160"/>
        <w:jc w:val="left"/>
        <w:rPr>
          <w:rFonts w:asciiTheme="minorHAnsi" w:hAnsiTheme="minorHAnsi" w:cstheme="minorBidi"/>
          <w:lang w:eastAsia="en-GB"/>
        </w:rPr>
      </w:pPr>
    </w:p>
    <w:p w14:paraId="617D4AB4" w14:textId="4F5F0BDD" w:rsidR="003323CC" w:rsidRDefault="003323CC" w:rsidP="00991E8E">
      <w:pPr>
        <w:spacing w:before="0" w:after="160"/>
        <w:jc w:val="left"/>
      </w:pPr>
    </w:p>
    <w:p w14:paraId="1EA7BCCD" w14:textId="77777777" w:rsidR="002F1486" w:rsidRDefault="002F1486" w:rsidP="002F1486">
      <w:pPr>
        <w:sectPr w:rsidR="002F1486">
          <w:headerReference w:type="default" r:id="rId12"/>
          <w:footerReference w:type="default" r:id="rId13"/>
          <w:pgSz w:w="11906" w:h="16838"/>
          <w:pgMar w:top="1440" w:right="1440" w:bottom="1440" w:left="1440" w:header="708" w:footer="708" w:gutter="0"/>
          <w:cols w:space="708"/>
          <w:docGrid w:linePitch="360"/>
        </w:sectPr>
      </w:pPr>
    </w:p>
    <w:p w14:paraId="2402BD0C" w14:textId="77777777" w:rsidR="002F1486" w:rsidRPr="002F1486" w:rsidRDefault="002F1486" w:rsidP="002F1486">
      <w:pPr>
        <w:spacing w:before="240" w:after="240"/>
        <w:rPr>
          <w:b/>
          <w:sz w:val="24"/>
          <w:szCs w:val="24"/>
        </w:rPr>
      </w:pPr>
      <w:r w:rsidRPr="002F1486">
        <w:rPr>
          <w:b/>
          <w:sz w:val="24"/>
          <w:szCs w:val="24"/>
        </w:rPr>
        <w:lastRenderedPageBreak/>
        <w:t>DOCUMENT CONFIGURATION CONTROL</w:t>
      </w:r>
    </w:p>
    <w:p w14:paraId="181B2E28" w14:textId="77777777" w:rsidR="002F1486" w:rsidRPr="002F1486" w:rsidRDefault="002F1486" w:rsidP="002F1486">
      <w:pPr>
        <w:spacing w:before="240"/>
        <w:rPr>
          <w:b/>
        </w:rPr>
      </w:pPr>
      <w:r w:rsidRPr="002F1486">
        <w:rPr>
          <w:b/>
        </w:rPr>
        <w:t>Document Information</w:t>
      </w:r>
    </w:p>
    <w:tbl>
      <w:tblPr>
        <w:tblStyle w:val="TableGrid"/>
        <w:tblW w:w="0" w:type="auto"/>
        <w:tblLook w:val="04A0" w:firstRow="1" w:lastRow="0" w:firstColumn="1" w:lastColumn="0" w:noHBand="0" w:noVBand="1"/>
      </w:tblPr>
      <w:tblGrid>
        <w:gridCol w:w="1980"/>
        <w:gridCol w:w="7036"/>
      </w:tblGrid>
      <w:tr w:rsidR="00290C45" w14:paraId="2128762E" w14:textId="77777777" w:rsidTr="00290C45">
        <w:tc>
          <w:tcPr>
            <w:tcW w:w="1980" w:type="dxa"/>
          </w:tcPr>
          <w:p w14:paraId="65C6823B" w14:textId="77777777" w:rsidR="00290C45" w:rsidRDefault="00290C45" w:rsidP="00290C45">
            <w:r w:rsidRPr="00F21225">
              <w:t>Title &amp; Sub-title:</w:t>
            </w:r>
          </w:p>
        </w:tc>
        <w:tc>
          <w:tcPr>
            <w:tcW w:w="7036" w:type="dxa"/>
          </w:tcPr>
          <w:p w14:paraId="0B7EF923" w14:textId="78F8A08B" w:rsidR="00290C45" w:rsidRDefault="003C4DEF" w:rsidP="00290C45">
            <w:r>
              <w:t>Performance Management</w:t>
            </w:r>
          </w:p>
        </w:tc>
      </w:tr>
      <w:tr w:rsidR="00290C45" w14:paraId="7997301B" w14:textId="77777777" w:rsidTr="00290C45">
        <w:tc>
          <w:tcPr>
            <w:tcW w:w="1980" w:type="dxa"/>
          </w:tcPr>
          <w:p w14:paraId="284A7A9C" w14:textId="77777777" w:rsidR="00290C45" w:rsidRDefault="00290C45" w:rsidP="00290C45">
            <w:r w:rsidRPr="00F21225">
              <w:t>Document No:</w:t>
            </w:r>
          </w:p>
        </w:tc>
        <w:tc>
          <w:tcPr>
            <w:tcW w:w="7036" w:type="dxa"/>
          </w:tcPr>
          <w:p w14:paraId="4C4E797B" w14:textId="1EBF4294" w:rsidR="00290C45" w:rsidRDefault="00290C45" w:rsidP="00290C45">
            <w:r w:rsidRPr="00C06886">
              <w:t xml:space="preserve">Schedule </w:t>
            </w:r>
            <w:r w:rsidR="007E53B1">
              <w:t>1</w:t>
            </w:r>
            <w:r w:rsidR="00CC1E4D">
              <w:t>5</w:t>
            </w:r>
            <w:r w:rsidR="007E53B1">
              <w:t xml:space="preserve"> to </w:t>
            </w:r>
            <w:r w:rsidR="00991E8E">
              <w:t>700023293</w:t>
            </w:r>
          </w:p>
        </w:tc>
      </w:tr>
      <w:tr w:rsidR="00290C45" w14:paraId="0D4AEACC" w14:textId="77777777" w:rsidTr="00290C45">
        <w:tc>
          <w:tcPr>
            <w:tcW w:w="1980" w:type="dxa"/>
          </w:tcPr>
          <w:p w14:paraId="381D8680" w14:textId="77777777" w:rsidR="00290C45" w:rsidRDefault="00290C45" w:rsidP="00290C45">
            <w:r w:rsidRPr="00F21225">
              <w:t>Filename:</w:t>
            </w:r>
          </w:p>
        </w:tc>
        <w:tc>
          <w:tcPr>
            <w:tcW w:w="7036" w:type="dxa"/>
          </w:tcPr>
          <w:p w14:paraId="5FBDBEBB" w14:textId="77777777" w:rsidR="00290C45" w:rsidRDefault="00290C45" w:rsidP="00290C45"/>
        </w:tc>
      </w:tr>
      <w:tr w:rsidR="00290C45" w14:paraId="2351660E" w14:textId="77777777" w:rsidTr="00290C45">
        <w:tc>
          <w:tcPr>
            <w:tcW w:w="1980" w:type="dxa"/>
          </w:tcPr>
          <w:p w14:paraId="0E1E45F1" w14:textId="77777777" w:rsidR="00290C45" w:rsidRDefault="00290C45" w:rsidP="00290C45">
            <w:r w:rsidRPr="00F21225">
              <w:t>Version:</w:t>
            </w:r>
          </w:p>
        </w:tc>
        <w:tc>
          <w:tcPr>
            <w:tcW w:w="7036" w:type="dxa"/>
          </w:tcPr>
          <w:p w14:paraId="3A6DDA03" w14:textId="4D87E76A" w:rsidR="00290C45" w:rsidRDefault="007E53B1" w:rsidP="00290C45">
            <w:r>
              <w:t>1.</w:t>
            </w:r>
            <w:r w:rsidR="009A033E">
              <w:t>3</w:t>
            </w:r>
          </w:p>
        </w:tc>
        <w:bookmarkStart w:id="1" w:name="_GoBack"/>
        <w:bookmarkEnd w:id="1"/>
      </w:tr>
      <w:tr w:rsidR="00290C45" w14:paraId="3120A2EE" w14:textId="77777777" w:rsidTr="00290C45">
        <w:tc>
          <w:tcPr>
            <w:tcW w:w="1980" w:type="dxa"/>
          </w:tcPr>
          <w:p w14:paraId="04C4ED13" w14:textId="77777777" w:rsidR="00290C45" w:rsidRDefault="00290C45" w:rsidP="00290C45">
            <w:r w:rsidRPr="00F21225">
              <w:t>Date:</w:t>
            </w:r>
          </w:p>
        </w:tc>
        <w:tc>
          <w:tcPr>
            <w:tcW w:w="7036" w:type="dxa"/>
          </w:tcPr>
          <w:p w14:paraId="11C7980B" w14:textId="6316E411" w:rsidR="00290C45" w:rsidRDefault="009A033E" w:rsidP="00290C45">
            <w:r>
              <w:t>12</w:t>
            </w:r>
            <w:r w:rsidR="00782927">
              <w:t>/</w:t>
            </w:r>
            <w:r w:rsidR="00991E8E">
              <w:t>12</w:t>
            </w:r>
            <w:r w:rsidR="00782927">
              <w:t>/2019</w:t>
            </w:r>
          </w:p>
        </w:tc>
      </w:tr>
    </w:tbl>
    <w:p w14:paraId="4C17627F" w14:textId="77777777" w:rsidR="002F1486" w:rsidRPr="002F1486" w:rsidRDefault="002F1486" w:rsidP="002F1486">
      <w:pPr>
        <w:spacing w:before="240"/>
        <w:rPr>
          <w:b/>
        </w:rPr>
      </w:pPr>
      <w:r w:rsidRPr="002F1486">
        <w:rPr>
          <w:b/>
        </w:rPr>
        <w:t>Version Control</w:t>
      </w:r>
    </w:p>
    <w:tbl>
      <w:tblPr>
        <w:tblStyle w:val="TableGrid"/>
        <w:tblW w:w="0" w:type="auto"/>
        <w:tblLook w:val="04A0" w:firstRow="1" w:lastRow="0" w:firstColumn="1" w:lastColumn="0" w:noHBand="0" w:noVBand="1"/>
      </w:tblPr>
      <w:tblGrid>
        <w:gridCol w:w="950"/>
        <w:gridCol w:w="1217"/>
        <w:gridCol w:w="3782"/>
        <w:gridCol w:w="1134"/>
        <w:gridCol w:w="1933"/>
      </w:tblGrid>
      <w:tr w:rsidR="00290C45" w:rsidRPr="00290C45" w14:paraId="5D44D66A" w14:textId="77777777" w:rsidTr="00290C45">
        <w:tc>
          <w:tcPr>
            <w:tcW w:w="950" w:type="dxa"/>
            <w:shd w:val="clear" w:color="auto" w:fill="BFBFBF" w:themeFill="background1" w:themeFillShade="BF"/>
            <w:vAlign w:val="center"/>
          </w:tcPr>
          <w:p w14:paraId="382A7A67" w14:textId="77777777" w:rsidR="00290C45" w:rsidRPr="00290C45" w:rsidRDefault="00290C45" w:rsidP="00290C45">
            <w:pPr>
              <w:jc w:val="center"/>
              <w:rPr>
                <w:b/>
                <w:sz w:val="20"/>
                <w:szCs w:val="20"/>
              </w:rPr>
            </w:pPr>
            <w:r w:rsidRPr="00290C45">
              <w:rPr>
                <w:b/>
                <w:sz w:val="20"/>
                <w:szCs w:val="20"/>
              </w:rPr>
              <w:t>Version</w:t>
            </w:r>
          </w:p>
        </w:tc>
        <w:tc>
          <w:tcPr>
            <w:tcW w:w="1217" w:type="dxa"/>
            <w:shd w:val="clear" w:color="auto" w:fill="BFBFBF" w:themeFill="background1" w:themeFillShade="BF"/>
            <w:vAlign w:val="center"/>
          </w:tcPr>
          <w:p w14:paraId="50A69A35" w14:textId="77777777" w:rsidR="00290C45" w:rsidRPr="00290C45" w:rsidRDefault="00290C45" w:rsidP="00290C45">
            <w:pPr>
              <w:jc w:val="center"/>
              <w:rPr>
                <w:b/>
                <w:sz w:val="20"/>
                <w:szCs w:val="20"/>
              </w:rPr>
            </w:pPr>
            <w:r w:rsidRPr="00290C45">
              <w:rPr>
                <w:b/>
                <w:sz w:val="20"/>
                <w:szCs w:val="20"/>
              </w:rPr>
              <w:t>Issue Date</w:t>
            </w:r>
          </w:p>
        </w:tc>
        <w:tc>
          <w:tcPr>
            <w:tcW w:w="3782" w:type="dxa"/>
            <w:shd w:val="clear" w:color="auto" w:fill="BFBFBF" w:themeFill="background1" w:themeFillShade="BF"/>
            <w:vAlign w:val="center"/>
          </w:tcPr>
          <w:p w14:paraId="2276C676" w14:textId="77777777" w:rsidR="00290C45" w:rsidRPr="00290C45" w:rsidRDefault="00290C45" w:rsidP="00290C45">
            <w:pPr>
              <w:jc w:val="center"/>
              <w:rPr>
                <w:b/>
                <w:sz w:val="20"/>
                <w:szCs w:val="20"/>
              </w:rPr>
            </w:pPr>
            <w:r w:rsidRPr="00290C45">
              <w:rPr>
                <w:b/>
                <w:sz w:val="20"/>
                <w:szCs w:val="20"/>
              </w:rPr>
              <w:t>Description of Change</w:t>
            </w:r>
          </w:p>
        </w:tc>
        <w:tc>
          <w:tcPr>
            <w:tcW w:w="1134" w:type="dxa"/>
            <w:shd w:val="clear" w:color="auto" w:fill="BFBFBF" w:themeFill="background1" w:themeFillShade="BF"/>
            <w:vAlign w:val="center"/>
          </w:tcPr>
          <w:p w14:paraId="41A8633A" w14:textId="77777777" w:rsidR="00290C45" w:rsidRPr="00290C45" w:rsidRDefault="00290C45" w:rsidP="00290C45">
            <w:pPr>
              <w:jc w:val="center"/>
              <w:rPr>
                <w:b/>
                <w:sz w:val="20"/>
                <w:szCs w:val="20"/>
              </w:rPr>
            </w:pPr>
            <w:r w:rsidRPr="00290C45">
              <w:rPr>
                <w:b/>
                <w:sz w:val="20"/>
                <w:szCs w:val="20"/>
              </w:rPr>
              <w:t>Page(s) Amended</w:t>
            </w:r>
          </w:p>
        </w:tc>
        <w:tc>
          <w:tcPr>
            <w:tcW w:w="1933" w:type="dxa"/>
            <w:shd w:val="clear" w:color="auto" w:fill="BFBFBF" w:themeFill="background1" w:themeFillShade="BF"/>
            <w:vAlign w:val="center"/>
          </w:tcPr>
          <w:p w14:paraId="73F3710C" w14:textId="77777777" w:rsidR="00290C45" w:rsidRPr="00290C45" w:rsidRDefault="00290C45" w:rsidP="00290C45">
            <w:pPr>
              <w:jc w:val="center"/>
              <w:rPr>
                <w:b/>
                <w:sz w:val="20"/>
                <w:szCs w:val="20"/>
              </w:rPr>
            </w:pPr>
            <w:r w:rsidRPr="00290C45">
              <w:rPr>
                <w:b/>
                <w:sz w:val="20"/>
                <w:szCs w:val="20"/>
              </w:rPr>
              <w:t>Issued By</w:t>
            </w:r>
          </w:p>
        </w:tc>
      </w:tr>
      <w:tr w:rsidR="00B85C3A" w:rsidRPr="00290C45" w14:paraId="05666D9F" w14:textId="77777777" w:rsidTr="00290C45">
        <w:tc>
          <w:tcPr>
            <w:tcW w:w="950" w:type="dxa"/>
          </w:tcPr>
          <w:p w14:paraId="34E2807E" w14:textId="77777777" w:rsidR="00B85C3A" w:rsidRPr="00290C45" w:rsidRDefault="00B85C3A" w:rsidP="00B85C3A">
            <w:pPr>
              <w:rPr>
                <w:sz w:val="20"/>
                <w:szCs w:val="20"/>
              </w:rPr>
            </w:pPr>
            <w:r>
              <w:rPr>
                <w:sz w:val="20"/>
                <w:szCs w:val="20"/>
              </w:rPr>
              <w:t>1.0</w:t>
            </w:r>
          </w:p>
        </w:tc>
        <w:tc>
          <w:tcPr>
            <w:tcW w:w="1217" w:type="dxa"/>
          </w:tcPr>
          <w:p w14:paraId="70682F66" w14:textId="77777777" w:rsidR="00B85C3A" w:rsidRPr="00290C45" w:rsidRDefault="00B85C3A" w:rsidP="00B85C3A">
            <w:pPr>
              <w:rPr>
                <w:sz w:val="20"/>
                <w:szCs w:val="20"/>
              </w:rPr>
            </w:pPr>
            <w:r>
              <w:rPr>
                <w:sz w:val="20"/>
                <w:szCs w:val="20"/>
              </w:rPr>
              <w:t>31/11/2018</w:t>
            </w:r>
          </w:p>
        </w:tc>
        <w:tc>
          <w:tcPr>
            <w:tcW w:w="3782" w:type="dxa"/>
          </w:tcPr>
          <w:p w14:paraId="67EF3CC9" w14:textId="77777777" w:rsidR="00B85C3A" w:rsidRPr="00290C45" w:rsidRDefault="00B85C3A" w:rsidP="00B85C3A">
            <w:pPr>
              <w:jc w:val="left"/>
              <w:rPr>
                <w:sz w:val="20"/>
                <w:szCs w:val="20"/>
              </w:rPr>
            </w:pPr>
            <w:r w:rsidRPr="00290C45">
              <w:rPr>
                <w:sz w:val="20"/>
                <w:szCs w:val="20"/>
              </w:rPr>
              <w:t>First draft</w:t>
            </w:r>
          </w:p>
        </w:tc>
        <w:tc>
          <w:tcPr>
            <w:tcW w:w="1134" w:type="dxa"/>
          </w:tcPr>
          <w:p w14:paraId="5FFBD80A" w14:textId="15DA0719" w:rsidR="00B85C3A" w:rsidRPr="00290C45" w:rsidRDefault="00B85C3A" w:rsidP="00B85C3A">
            <w:pPr>
              <w:rPr>
                <w:sz w:val="20"/>
                <w:szCs w:val="20"/>
              </w:rPr>
            </w:pPr>
            <w:r>
              <w:rPr>
                <w:sz w:val="20"/>
                <w:szCs w:val="20"/>
              </w:rPr>
              <w:t>ALL</w:t>
            </w:r>
          </w:p>
        </w:tc>
        <w:tc>
          <w:tcPr>
            <w:tcW w:w="1933" w:type="dxa"/>
          </w:tcPr>
          <w:p w14:paraId="5B9BDC7C" w14:textId="3C8FE1C4" w:rsidR="00B85C3A" w:rsidRPr="00290C45" w:rsidRDefault="00B85C3A" w:rsidP="00B85C3A">
            <w:pPr>
              <w:rPr>
                <w:sz w:val="20"/>
                <w:szCs w:val="20"/>
              </w:rPr>
            </w:pPr>
            <w:r w:rsidRPr="00B85C3A">
              <w:rPr>
                <w:color w:val="FF0000"/>
                <w:sz w:val="20"/>
                <w:szCs w:val="20"/>
              </w:rPr>
              <w:t>[Redacted Commercially-Sensitive]</w:t>
            </w:r>
          </w:p>
        </w:tc>
      </w:tr>
      <w:tr w:rsidR="00B85C3A" w:rsidRPr="00290C45" w14:paraId="2ADCFF08" w14:textId="77777777" w:rsidTr="00290C45">
        <w:tc>
          <w:tcPr>
            <w:tcW w:w="950" w:type="dxa"/>
          </w:tcPr>
          <w:p w14:paraId="458827CE" w14:textId="7A7CB391" w:rsidR="00B85C3A" w:rsidRPr="00290C45" w:rsidRDefault="00B85C3A" w:rsidP="00B85C3A">
            <w:pPr>
              <w:rPr>
                <w:sz w:val="20"/>
                <w:szCs w:val="20"/>
              </w:rPr>
            </w:pPr>
            <w:r>
              <w:rPr>
                <w:sz w:val="20"/>
                <w:szCs w:val="20"/>
              </w:rPr>
              <w:t>1.1</w:t>
            </w:r>
          </w:p>
        </w:tc>
        <w:tc>
          <w:tcPr>
            <w:tcW w:w="1217" w:type="dxa"/>
          </w:tcPr>
          <w:p w14:paraId="136BE8C6" w14:textId="553F462C" w:rsidR="00B85C3A" w:rsidRPr="00290C45" w:rsidRDefault="00B85C3A" w:rsidP="00B85C3A">
            <w:pPr>
              <w:rPr>
                <w:sz w:val="20"/>
                <w:szCs w:val="20"/>
              </w:rPr>
            </w:pPr>
            <w:r>
              <w:rPr>
                <w:sz w:val="20"/>
                <w:szCs w:val="20"/>
              </w:rPr>
              <w:t>15/08/2019</w:t>
            </w:r>
          </w:p>
        </w:tc>
        <w:tc>
          <w:tcPr>
            <w:tcW w:w="3782" w:type="dxa"/>
          </w:tcPr>
          <w:p w14:paraId="2DCDACBA" w14:textId="3DC80962" w:rsidR="00B85C3A" w:rsidRPr="00290C45" w:rsidRDefault="00B85C3A" w:rsidP="00B85C3A">
            <w:pPr>
              <w:jc w:val="left"/>
              <w:rPr>
                <w:sz w:val="20"/>
                <w:szCs w:val="20"/>
              </w:rPr>
            </w:pPr>
            <w:r>
              <w:rPr>
                <w:sz w:val="20"/>
                <w:szCs w:val="20"/>
              </w:rPr>
              <w:t>Updated Terminology</w:t>
            </w:r>
          </w:p>
        </w:tc>
        <w:tc>
          <w:tcPr>
            <w:tcW w:w="1134" w:type="dxa"/>
          </w:tcPr>
          <w:p w14:paraId="46682945" w14:textId="541D6DE2" w:rsidR="00B85C3A" w:rsidRPr="00290C45" w:rsidRDefault="00B85C3A" w:rsidP="00B85C3A">
            <w:pPr>
              <w:rPr>
                <w:sz w:val="20"/>
                <w:szCs w:val="20"/>
              </w:rPr>
            </w:pPr>
            <w:r>
              <w:rPr>
                <w:sz w:val="20"/>
                <w:szCs w:val="20"/>
              </w:rPr>
              <w:t>ALL</w:t>
            </w:r>
          </w:p>
        </w:tc>
        <w:tc>
          <w:tcPr>
            <w:tcW w:w="1933" w:type="dxa"/>
          </w:tcPr>
          <w:p w14:paraId="250423C5" w14:textId="3B1BCB37" w:rsidR="00B85C3A" w:rsidRPr="00290C45" w:rsidRDefault="00B85C3A" w:rsidP="00B85C3A">
            <w:pPr>
              <w:rPr>
                <w:sz w:val="20"/>
                <w:szCs w:val="20"/>
              </w:rPr>
            </w:pPr>
            <w:r w:rsidRPr="00B85C3A">
              <w:rPr>
                <w:color w:val="FF0000"/>
                <w:sz w:val="20"/>
                <w:szCs w:val="20"/>
              </w:rPr>
              <w:t>[Redacted Commercially-Sensitive]</w:t>
            </w:r>
          </w:p>
        </w:tc>
      </w:tr>
      <w:tr w:rsidR="00B85C3A" w:rsidRPr="00290C45" w14:paraId="03A8D86B" w14:textId="77777777" w:rsidTr="00290C45">
        <w:tc>
          <w:tcPr>
            <w:tcW w:w="950" w:type="dxa"/>
          </w:tcPr>
          <w:p w14:paraId="7B308DCD" w14:textId="10415B6C" w:rsidR="00B85C3A" w:rsidRPr="00290C45" w:rsidRDefault="00B85C3A" w:rsidP="00B85C3A">
            <w:pPr>
              <w:rPr>
                <w:sz w:val="20"/>
                <w:szCs w:val="20"/>
              </w:rPr>
            </w:pPr>
            <w:r>
              <w:rPr>
                <w:sz w:val="20"/>
                <w:szCs w:val="20"/>
              </w:rPr>
              <w:t>1.2</w:t>
            </w:r>
          </w:p>
        </w:tc>
        <w:tc>
          <w:tcPr>
            <w:tcW w:w="1217" w:type="dxa"/>
          </w:tcPr>
          <w:p w14:paraId="10BCDEA5" w14:textId="2E4C0D3C" w:rsidR="00B85C3A" w:rsidRPr="00290C45" w:rsidRDefault="00B85C3A" w:rsidP="00B85C3A">
            <w:pPr>
              <w:rPr>
                <w:sz w:val="20"/>
                <w:szCs w:val="20"/>
              </w:rPr>
            </w:pPr>
            <w:r>
              <w:rPr>
                <w:sz w:val="20"/>
                <w:szCs w:val="20"/>
              </w:rPr>
              <w:t>09/12/2019</w:t>
            </w:r>
          </w:p>
        </w:tc>
        <w:tc>
          <w:tcPr>
            <w:tcW w:w="3782" w:type="dxa"/>
          </w:tcPr>
          <w:p w14:paraId="38B62C72" w14:textId="60237D60" w:rsidR="00B85C3A" w:rsidRPr="00290C45" w:rsidRDefault="00B85C3A" w:rsidP="00B85C3A">
            <w:pPr>
              <w:jc w:val="left"/>
              <w:rPr>
                <w:sz w:val="20"/>
                <w:szCs w:val="20"/>
              </w:rPr>
            </w:pPr>
            <w:r>
              <w:rPr>
                <w:sz w:val="20"/>
                <w:szCs w:val="20"/>
              </w:rPr>
              <w:t>Updated Front Cover and Contract Number</w:t>
            </w:r>
          </w:p>
        </w:tc>
        <w:tc>
          <w:tcPr>
            <w:tcW w:w="1134" w:type="dxa"/>
          </w:tcPr>
          <w:p w14:paraId="3FD3D659" w14:textId="1ED6EE62" w:rsidR="00B85C3A" w:rsidRPr="00290C45" w:rsidRDefault="00B85C3A" w:rsidP="00B85C3A">
            <w:pPr>
              <w:rPr>
                <w:sz w:val="20"/>
                <w:szCs w:val="20"/>
              </w:rPr>
            </w:pPr>
            <w:r>
              <w:rPr>
                <w:sz w:val="20"/>
                <w:szCs w:val="20"/>
              </w:rPr>
              <w:t>ALL</w:t>
            </w:r>
          </w:p>
        </w:tc>
        <w:tc>
          <w:tcPr>
            <w:tcW w:w="1933" w:type="dxa"/>
          </w:tcPr>
          <w:p w14:paraId="3CD2F25E" w14:textId="652F2B12" w:rsidR="00B85C3A" w:rsidRPr="00290C45" w:rsidRDefault="00B85C3A" w:rsidP="00B85C3A">
            <w:pPr>
              <w:rPr>
                <w:sz w:val="20"/>
                <w:szCs w:val="20"/>
              </w:rPr>
            </w:pPr>
            <w:r w:rsidRPr="00B85C3A">
              <w:rPr>
                <w:color w:val="FF0000"/>
                <w:sz w:val="20"/>
                <w:szCs w:val="20"/>
              </w:rPr>
              <w:t>[Redacted Commercially-Sensitive]</w:t>
            </w:r>
          </w:p>
        </w:tc>
      </w:tr>
      <w:tr w:rsidR="00B85C3A" w:rsidRPr="00290C45" w14:paraId="7C2B1EC8" w14:textId="77777777" w:rsidTr="00290C45">
        <w:tc>
          <w:tcPr>
            <w:tcW w:w="950" w:type="dxa"/>
          </w:tcPr>
          <w:p w14:paraId="7F83334B" w14:textId="618CD3CD" w:rsidR="00B85C3A" w:rsidRPr="00290C45" w:rsidRDefault="00B85C3A" w:rsidP="00B85C3A">
            <w:pPr>
              <w:rPr>
                <w:sz w:val="20"/>
                <w:szCs w:val="20"/>
              </w:rPr>
            </w:pPr>
            <w:r>
              <w:rPr>
                <w:sz w:val="20"/>
                <w:szCs w:val="20"/>
              </w:rPr>
              <w:t>1.3</w:t>
            </w:r>
          </w:p>
        </w:tc>
        <w:tc>
          <w:tcPr>
            <w:tcW w:w="1217" w:type="dxa"/>
          </w:tcPr>
          <w:p w14:paraId="6753CDD0" w14:textId="6613890F" w:rsidR="00B85C3A" w:rsidRPr="00290C45" w:rsidRDefault="00B85C3A" w:rsidP="00B85C3A">
            <w:pPr>
              <w:rPr>
                <w:sz w:val="20"/>
                <w:szCs w:val="20"/>
              </w:rPr>
            </w:pPr>
            <w:r>
              <w:rPr>
                <w:sz w:val="20"/>
                <w:szCs w:val="20"/>
              </w:rPr>
              <w:t>12/12/2019</w:t>
            </w:r>
          </w:p>
        </w:tc>
        <w:tc>
          <w:tcPr>
            <w:tcW w:w="3782" w:type="dxa"/>
          </w:tcPr>
          <w:p w14:paraId="150B9149" w14:textId="2D06B90A" w:rsidR="00B85C3A" w:rsidRPr="00290C45" w:rsidRDefault="00B85C3A" w:rsidP="00B85C3A">
            <w:pPr>
              <w:jc w:val="left"/>
              <w:rPr>
                <w:sz w:val="20"/>
                <w:szCs w:val="20"/>
              </w:rPr>
            </w:pPr>
            <w:r>
              <w:rPr>
                <w:sz w:val="20"/>
                <w:szCs w:val="20"/>
              </w:rPr>
              <w:t xml:space="preserve">Negotiated agreement on performance metrics of PI01 and </w:t>
            </w:r>
            <w:proofErr w:type="spellStart"/>
            <w:r>
              <w:rPr>
                <w:sz w:val="20"/>
                <w:szCs w:val="20"/>
              </w:rPr>
              <w:t>edtis</w:t>
            </w:r>
            <w:proofErr w:type="spellEnd"/>
            <w:r>
              <w:rPr>
                <w:sz w:val="20"/>
                <w:szCs w:val="20"/>
              </w:rPr>
              <w:t xml:space="preserve"> to PI02</w:t>
            </w:r>
          </w:p>
        </w:tc>
        <w:tc>
          <w:tcPr>
            <w:tcW w:w="1134" w:type="dxa"/>
          </w:tcPr>
          <w:p w14:paraId="77D1667F" w14:textId="7025D6D5" w:rsidR="00B85C3A" w:rsidRPr="00290C45" w:rsidRDefault="00B85C3A" w:rsidP="00B85C3A">
            <w:pPr>
              <w:rPr>
                <w:sz w:val="20"/>
                <w:szCs w:val="20"/>
              </w:rPr>
            </w:pPr>
            <w:r>
              <w:rPr>
                <w:sz w:val="20"/>
                <w:szCs w:val="20"/>
              </w:rPr>
              <w:t>PI01 and PI02</w:t>
            </w:r>
          </w:p>
        </w:tc>
        <w:tc>
          <w:tcPr>
            <w:tcW w:w="1933" w:type="dxa"/>
          </w:tcPr>
          <w:p w14:paraId="37561331" w14:textId="079B9550" w:rsidR="00B85C3A" w:rsidRPr="00B85C3A" w:rsidRDefault="00B85C3A" w:rsidP="00B85C3A">
            <w:pPr>
              <w:rPr>
                <w:sz w:val="20"/>
                <w:szCs w:val="20"/>
              </w:rPr>
            </w:pPr>
            <w:r w:rsidRPr="00B85C3A">
              <w:rPr>
                <w:color w:val="FF0000"/>
                <w:sz w:val="20"/>
                <w:szCs w:val="20"/>
              </w:rPr>
              <w:t>[Redacted Commercially-Sensitive]</w:t>
            </w:r>
          </w:p>
        </w:tc>
      </w:tr>
      <w:tr w:rsidR="00B85C3A" w:rsidRPr="00290C45" w14:paraId="39EA1CCC" w14:textId="77777777" w:rsidTr="00290C45">
        <w:tc>
          <w:tcPr>
            <w:tcW w:w="950" w:type="dxa"/>
          </w:tcPr>
          <w:p w14:paraId="1D48D2A6" w14:textId="77777777" w:rsidR="00B85C3A" w:rsidRPr="00290C45" w:rsidRDefault="00B85C3A" w:rsidP="00B85C3A">
            <w:pPr>
              <w:rPr>
                <w:sz w:val="20"/>
                <w:szCs w:val="20"/>
              </w:rPr>
            </w:pPr>
          </w:p>
        </w:tc>
        <w:tc>
          <w:tcPr>
            <w:tcW w:w="1217" w:type="dxa"/>
          </w:tcPr>
          <w:p w14:paraId="0DC5E4AD" w14:textId="77777777" w:rsidR="00B85C3A" w:rsidRPr="00290C45" w:rsidRDefault="00B85C3A" w:rsidP="00B85C3A">
            <w:pPr>
              <w:rPr>
                <w:sz w:val="20"/>
                <w:szCs w:val="20"/>
              </w:rPr>
            </w:pPr>
          </w:p>
        </w:tc>
        <w:tc>
          <w:tcPr>
            <w:tcW w:w="3782" w:type="dxa"/>
          </w:tcPr>
          <w:p w14:paraId="7BE2876D" w14:textId="77777777" w:rsidR="00B85C3A" w:rsidRPr="00290C45" w:rsidRDefault="00B85C3A" w:rsidP="00B85C3A">
            <w:pPr>
              <w:jc w:val="left"/>
              <w:rPr>
                <w:sz w:val="20"/>
                <w:szCs w:val="20"/>
              </w:rPr>
            </w:pPr>
          </w:p>
        </w:tc>
        <w:tc>
          <w:tcPr>
            <w:tcW w:w="1134" w:type="dxa"/>
          </w:tcPr>
          <w:p w14:paraId="3C7264D9" w14:textId="77777777" w:rsidR="00B85C3A" w:rsidRPr="00290C45" w:rsidRDefault="00B85C3A" w:rsidP="00B85C3A">
            <w:pPr>
              <w:rPr>
                <w:sz w:val="20"/>
                <w:szCs w:val="20"/>
              </w:rPr>
            </w:pPr>
          </w:p>
        </w:tc>
        <w:tc>
          <w:tcPr>
            <w:tcW w:w="1933" w:type="dxa"/>
          </w:tcPr>
          <w:p w14:paraId="0B93A33D" w14:textId="77777777" w:rsidR="00B85C3A" w:rsidRPr="00290C45" w:rsidRDefault="00B85C3A" w:rsidP="00B85C3A">
            <w:pPr>
              <w:rPr>
                <w:sz w:val="20"/>
                <w:szCs w:val="20"/>
              </w:rPr>
            </w:pPr>
          </w:p>
        </w:tc>
      </w:tr>
      <w:tr w:rsidR="00B85C3A" w:rsidRPr="00290C45" w14:paraId="5C93C35B" w14:textId="77777777" w:rsidTr="00290C45">
        <w:tc>
          <w:tcPr>
            <w:tcW w:w="950" w:type="dxa"/>
          </w:tcPr>
          <w:p w14:paraId="655F9C71" w14:textId="77777777" w:rsidR="00B85C3A" w:rsidRPr="00290C45" w:rsidRDefault="00B85C3A" w:rsidP="00B85C3A">
            <w:pPr>
              <w:rPr>
                <w:sz w:val="20"/>
                <w:szCs w:val="20"/>
              </w:rPr>
            </w:pPr>
          </w:p>
        </w:tc>
        <w:tc>
          <w:tcPr>
            <w:tcW w:w="1217" w:type="dxa"/>
          </w:tcPr>
          <w:p w14:paraId="20018F31" w14:textId="77777777" w:rsidR="00B85C3A" w:rsidRPr="00290C45" w:rsidRDefault="00B85C3A" w:rsidP="00B85C3A">
            <w:pPr>
              <w:rPr>
                <w:sz w:val="20"/>
                <w:szCs w:val="20"/>
              </w:rPr>
            </w:pPr>
          </w:p>
        </w:tc>
        <w:tc>
          <w:tcPr>
            <w:tcW w:w="3782" w:type="dxa"/>
          </w:tcPr>
          <w:p w14:paraId="76DF131B" w14:textId="77777777" w:rsidR="00B85C3A" w:rsidRPr="00290C45" w:rsidRDefault="00B85C3A" w:rsidP="00B85C3A">
            <w:pPr>
              <w:jc w:val="left"/>
              <w:rPr>
                <w:sz w:val="20"/>
                <w:szCs w:val="20"/>
              </w:rPr>
            </w:pPr>
          </w:p>
        </w:tc>
        <w:tc>
          <w:tcPr>
            <w:tcW w:w="1134" w:type="dxa"/>
          </w:tcPr>
          <w:p w14:paraId="66ECD783" w14:textId="77777777" w:rsidR="00B85C3A" w:rsidRPr="00290C45" w:rsidRDefault="00B85C3A" w:rsidP="00B85C3A">
            <w:pPr>
              <w:rPr>
                <w:sz w:val="20"/>
                <w:szCs w:val="20"/>
              </w:rPr>
            </w:pPr>
          </w:p>
        </w:tc>
        <w:tc>
          <w:tcPr>
            <w:tcW w:w="1933" w:type="dxa"/>
          </w:tcPr>
          <w:p w14:paraId="27149B3A" w14:textId="77777777" w:rsidR="00B85C3A" w:rsidRPr="00290C45" w:rsidRDefault="00B85C3A" w:rsidP="00B85C3A">
            <w:pPr>
              <w:rPr>
                <w:sz w:val="20"/>
                <w:szCs w:val="20"/>
              </w:rPr>
            </w:pPr>
          </w:p>
        </w:tc>
      </w:tr>
      <w:tr w:rsidR="00B85C3A" w:rsidRPr="00290C45" w14:paraId="01F7B196" w14:textId="77777777" w:rsidTr="00290C45">
        <w:tc>
          <w:tcPr>
            <w:tcW w:w="950" w:type="dxa"/>
          </w:tcPr>
          <w:p w14:paraId="2BBA583F" w14:textId="77777777" w:rsidR="00B85C3A" w:rsidRPr="00290C45" w:rsidRDefault="00B85C3A" w:rsidP="00B85C3A">
            <w:pPr>
              <w:rPr>
                <w:sz w:val="20"/>
                <w:szCs w:val="20"/>
              </w:rPr>
            </w:pPr>
          </w:p>
        </w:tc>
        <w:tc>
          <w:tcPr>
            <w:tcW w:w="1217" w:type="dxa"/>
          </w:tcPr>
          <w:p w14:paraId="26D828BA" w14:textId="77777777" w:rsidR="00B85C3A" w:rsidRPr="00290C45" w:rsidRDefault="00B85C3A" w:rsidP="00B85C3A">
            <w:pPr>
              <w:rPr>
                <w:sz w:val="20"/>
                <w:szCs w:val="20"/>
              </w:rPr>
            </w:pPr>
          </w:p>
        </w:tc>
        <w:tc>
          <w:tcPr>
            <w:tcW w:w="3782" w:type="dxa"/>
          </w:tcPr>
          <w:p w14:paraId="4D9F381E" w14:textId="77777777" w:rsidR="00B85C3A" w:rsidRPr="00290C45" w:rsidRDefault="00B85C3A" w:rsidP="00B85C3A">
            <w:pPr>
              <w:jc w:val="left"/>
              <w:rPr>
                <w:sz w:val="20"/>
                <w:szCs w:val="20"/>
              </w:rPr>
            </w:pPr>
          </w:p>
        </w:tc>
        <w:tc>
          <w:tcPr>
            <w:tcW w:w="1134" w:type="dxa"/>
          </w:tcPr>
          <w:p w14:paraId="7038BADA" w14:textId="77777777" w:rsidR="00B85C3A" w:rsidRPr="00290C45" w:rsidRDefault="00B85C3A" w:rsidP="00B85C3A">
            <w:pPr>
              <w:rPr>
                <w:sz w:val="20"/>
                <w:szCs w:val="20"/>
              </w:rPr>
            </w:pPr>
          </w:p>
        </w:tc>
        <w:tc>
          <w:tcPr>
            <w:tcW w:w="1933" w:type="dxa"/>
          </w:tcPr>
          <w:p w14:paraId="4B6522DF" w14:textId="77777777" w:rsidR="00B85C3A" w:rsidRPr="00290C45" w:rsidRDefault="00B85C3A" w:rsidP="00B85C3A">
            <w:pPr>
              <w:rPr>
                <w:sz w:val="20"/>
                <w:szCs w:val="20"/>
              </w:rPr>
            </w:pPr>
          </w:p>
        </w:tc>
      </w:tr>
    </w:tbl>
    <w:p w14:paraId="1664828A" w14:textId="77777777" w:rsidR="002F1486" w:rsidRDefault="002F1486" w:rsidP="002F1486"/>
    <w:p w14:paraId="28F0A0B5" w14:textId="77777777" w:rsidR="002F1486" w:rsidRDefault="002F1486" w:rsidP="002F1486"/>
    <w:p w14:paraId="32520F8E" w14:textId="77777777" w:rsidR="002F1486" w:rsidRDefault="002F1486" w:rsidP="002F1486">
      <w:pPr>
        <w:sectPr w:rsidR="002F1486" w:rsidSect="002F1486">
          <w:type w:val="oddPage"/>
          <w:pgSz w:w="11906" w:h="16838"/>
          <w:pgMar w:top="1440" w:right="1440" w:bottom="1440" w:left="1440" w:header="708" w:footer="708" w:gutter="0"/>
          <w:cols w:space="708"/>
          <w:docGrid w:linePitch="360"/>
        </w:sectPr>
      </w:pPr>
    </w:p>
    <w:sdt>
      <w:sdtPr>
        <w:rPr>
          <w:b w:val="0"/>
          <w:sz w:val="22"/>
          <w:szCs w:val="22"/>
          <w:u w:val="none"/>
          <w:lang w:val="en-GB"/>
        </w:rPr>
        <w:id w:val="1207530119"/>
        <w:docPartObj>
          <w:docPartGallery w:val="Table of Contents"/>
          <w:docPartUnique/>
        </w:docPartObj>
      </w:sdtPr>
      <w:sdtEndPr>
        <w:rPr>
          <w:noProof/>
        </w:rPr>
      </w:sdtEndPr>
      <w:sdtContent>
        <w:p w14:paraId="112B7F39" w14:textId="77777777" w:rsidR="003323CC" w:rsidRDefault="003323CC" w:rsidP="006031A8">
          <w:pPr>
            <w:pStyle w:val="TOCHeading"/>
          </w:pPr>
          <w:r>
            <w:t>Contents</w:t>
          </w:r>
        </w:p>
        <w:p w14:paraId="1871BD8C" w14:textId="5DA1AEAC" w:rsidR="007F1E73" w:rsidRDefault="00C142C7" w:rsidP="007F1E73">
          <w:pPr>
            <w:pStyle w:val="TOC1"/>
            <w:tabs>
              <w:tab w:val="right" w:leader="dot" w:pos="9016"/>
            </w:tabs>
            <w:rPr>
              <w:noProof/>
            </w:rPr>
          </w:pPr>
          <w:r>
            <w:fldChar w:fldCharType="begin"/>
          </w:r>
          <w:r>
            <w:instrText xml:space="preserve"> TOC \o "1-3" \h \z \u </w:instrText>
          </w:r>
          <w:r>
            <w:fldChar w:fldCharType="end"/>
          </w:r>
        </w:p>
        <w:p w14:paraId="23FD4489" w14:textId="344BEBBD" w:rsidR="007F1E73" w:rsidRDefault="007F1E73" w:rsidP="00020EE6">
          <w:pPr>
            <w:rPr>
              <w:noProof/>
            </w:rPr>
          </w:pPr>
          <w:r>
            <w:rPr>
              <w:noProof/>
            </w:rPr>
            <w:t>1</w:t>
          </w:r>
          <w:r>
            <w:rPr>
              <w:noProof/>
            </w:rPr>
            <w:tab/>
          </w:r>
          <w:r>
            <w:rPr>
              <w:noProof/>
            </w:rPr>
            <w:tab/>
            <w:t>Introduction</w:t>
          </w:r>
          <w:r>
            <w:rPr>
              <w:noProof/>
            </w:rPr>
            <w:tab/>
          </w:r>
          <w:r>
            <w:rPr>
              <w:noProof/>
            </w:rPr>
            <w:tab/>
          </w:r>
          <w:r>
            <w:rPr>
              <w:noProof/>
            </w:rPr>
            <w:tab/>
          </w:r>
          <w:r>
            <w:rPr>
              <w:noProof/>
            </w:rPr>
            <w:tab/>
          </w:r>
          <w:r>
            <w:rPr>
              <w:noProof/>
            </w:rPr>
            <w:tab/>
          </w:r>
          <w:r>
            <w:rPr>
              <w:noProof/>
            </w:rPr>
            <w:tab/>
          </w:r>
          <w:r>
            <w:rPr>
              <w:noProof/>
            </w:rPr>
            <w:tab/>
          </w:r>
          <w:r>
            <w:rPr>
              <w:noProof/>
            </w:rPr>
            <w:tab/>
          </w:r>
          <w:r>
            <w:rPr>
              <w:noProof/>
            </w:rPr>
            <w:tab/>
            <w:t>4</w:t>
          </w:r>
        </w:p>
        <w:p w14:paraId="5F9F82F5" w14:textId="42C9C529" w:rsidR="007F1E73" w:rsidRDefault="007F1E73" w:rsidP="00020EE6">
          <w:pPr>
            <w:rPr>
              <w:noProof/>
            </w:rPr>
          </w:pPr>
          <w:r>
            <w:rPr>
              <w:noProof/>
            </w:rPr>
            <w:t>2</w:t>
          </w:r>
          <w:r>
            <w:rPr>
              <w:noProof/>
            </w:rPr>
            <w:tab/>
          </w:r>
          <w:r>
            <w:rPr>
              <w:noProof/>
            </w:rPr>
            <w:tab/>
            <w:t>Performance Indicators</w:t>
          </w:r>
          <w:r>
            <w:rPr>
              <w:noProof/>
            </w:rPr>
            <w:tab/>
          </w:r>
          <w:r>
            <w:rPr>
              <w:noProof/>
            </w:rPr>
            <w:tab/>
          </w:r>
          <w:r>
            <w:rPr>
              <w:noProof/>
            </w:rPr>
            <w:tab/>
          </w:r>
          <w:r>
            <w:rPr>
              <w:noProof/>
            </w:rPr>
            <w:tab/>
          </w:r>
          <w:r>
            <w:rPr>
              <w:noProof/>
            </w:rPr>
            <w:tab/>
          </w:r>
          <w:r>
            <w:rPr>
              <w:noProof/>
            </w:rPr>
            <w:tab/>
          </w:r>
          <w:r>
            <w:rPr>
              <w:noProof/>
            </w:rPr>
            <w:tab/>
            <w:t>4</w:t>
          </w:r>
        </w:p>
        <w:p w14:paraId="519D9295" w14:textId="23DD1124" w:rsidR="007F1E73" w:rsidRDefault="007F1E73" w:rsidP="00020EE6">
          <w:pPr>
            <w:rPr>
              <w:noProof/>
            </w:rPr>
          </w:pPr>
          <w:r>
            <w:rPr>
              <w:noProof/>
            </w:rPr>
            <w:t>3</w:t>
          </w:r>
          <w:r>
            <w:rPr>
              <w:noProof/>
            </w:rPr>
            <w:tab/>
          </w:r>
          <w:r>
            <w:rPr>
              <w:noProof/>
            </w:rPr>
            <w:tab/>
            <w:t>Reporting of PIs</w:t>
          </w:r>
          <w:r>
            <w:rPr>
              <w:noProof/>
            </w:rPr>
            <w:tab/>
          </w:r>
          <w:r>
            <w:rPr>
              <w:noProof/>
            </w:rPr>
            <w:tab/>
          </w:r>
          <w:r>
            <w:rPr>
              <w:noProof/>
            </w:rPr>
            <w:tab/>
          </w:r>
          <w:r>
            <w:rPr>
              <w:noProof/>
            </w:rPr>
            <w:tab/>
          </w:r>
          <w:r>
            <w:rPr>
              <w:noProof/>
            </w:rPr>
            <w:tab/>
          </w:r>
          <w:r>
            <w:rPr>
              <w:noProof/>
            </w:rPr>
            <w:tab/>
          </w:r>
          <w:r>
            <w:rPr>
              <w:noProof/>
            </w:rPr>
            <w:tab/>
          </w:r>
          <w:r>
            <w:rPr>
              <w:noProof/>
            </w:rPr>
            <w:tab/>
            <w:t>4</w:t>
          </w:r>
        </w:p>
        <w:p w14:paraId="72E760AD" w14:textId="5B072794" w:rsidR="007F1E73" w:rsidRDefault="007F1E73" w:rsidP="00020EE6">
          <w:pPr>
            <w:rPr>
              <w:noProof/>
            </w:rPr>
          </w:pPr>
          <w:r>
            <w:rPr>
              <w:noProof/>
            </w:rPr>
            <w:t>4</w:t>
          </w:r>
          <w:r>
            <w:rPr>
              <w:noProof/>
            </w:rPr>
            <w:tab/>
          </w:r>
          <w:r>
            <w:rPr>
              <w:noProof/>
            </w:rPr>
            <w:tab/>
            <w:t>Levels of PI Performance</w:t>
          </w:r>
          <w:r>
            <w:rPr>
              <w:noProof/>
            </w:rPr>
            <w:tab/>
          </w:r>
          <w:r>
            <w:rPr>
              <w:noProof/>
            </w:rPr>
            <w:tab/>
          </w:r>
          <w:r>
            <w:rPr>
              <w:noProof/>
            </w:rPr>
            <w:tab/>
          </w:r>
          <w:r>
            <w:rPr>
              <w:noProof/>
            </w:rPr>
            <w:tab/>
          </w:r>
          <w:r>
            <w:rPr>
              <w:noProof/>
            </w:rPr>
            <w:tab/>
          </w:r>
          <w:r>
            <w:rPr>
              <w:noProof/>
            </w:rPr>
            <w:tab/>
          </w:r>
          <w:r>
            <w:rPr>
              <w:noProof/>
            </w:rPr>
            <w:tab/>
            <w:t>4</w:t>
          </w:r>
        </w:p>
        <w:p w14:paraId="3C865107" w14:textId="47EDB0FE" w:rsidR="007F1E73" w:rsidRDefault="007F1E73" w:rsidP="00020EE6">
          <w:pPr>
            <w:rPr>
              <w:noProof/>
            </w:rPr>
          </w:pPr>
          <w:r>
            <w:rPr>
              <w:noProof/>
            </w:rPr>
            <w:t xml:space="preserve">5 </w:t>
          </w:r>
          <w:r>
            <w:rPr>
              <w:noProof/>
            </w:rPr>
            <w:tab/>
          </w:r>
          <w:r>
            <w:rPr>
              <w:noProof/>
            </w:rPr>
            <w:tab/>
            <w:t>PI Reviews and Amendments</w:t>
          </w:r>
          <w:r>
            <w:rPr>
              <w:noProof/>
            </w:rPr>
            <w:tab/>
          </w:r>
          <w:r>
            <w:rPr>
              <w:noProof/>
            </w:rPr>
            <w:tab/>
          </w:r>
          <w:r>
            <w:rPr>
              <w:noProof/>
            </w:rPr>
            <w:tab/>
          </w:r>
          <w:r>
            <w:rPr>
              <w:noProof/>
            </w:rPr>
            <w:tab/>
          </w:r>
          <w:r>
            <w:rPr>
              <w:noProof/>
            </w:rPr>
            <w:tab/>
          </w:r>
          <w:r>
            <w:rPr>
              <w:noProof/>
            </w:rPr>
            <w:tab/>
            <w:t>4</w:t>
          </w:r>
        </w:p>
        <w:p w14:paraId="04ABDDF0" w14:textId="37F2521C" w:rsidR="007F1E73" w:rsidRDefault="007F1E73" w:rsidP="00020EE6">
          <w:pPr>
            <w:rPr>
              <w:noProof/>
            </w:rPr>
          </w:pPr>
          <w:r>
            <w:rPr>
              <w:noProof/>
            </w:rPr>
            <w:t>Annex A</w:t>
          </w:r>
          <w:r>
            <w:rPr>
              <w:noProof/>
            </w:rPr>
            <w:tab/>
            <w:t>PI 1 Avaliability of Spares</w:t>
          </w:r>
          <w:r>
            <w:rPr>
              <w:noProof/>
            </w:rPr>
            <w:tab/>
          </w:r>
          <w:r>
            <w:rPr>
              <w:noProof/>
            </w:rPr>
            <w:tab/>
          </w:r>
          <w:r>
            <w:rPr>
              <w:noProof/>
            </w:rPr>
            <w:tab/>
          </w:r>
          <w:r>
            <w:rPr>
              <w:noProof/>
            </w:rPr>
            <w:tab/>
          </w:r>
          <w:r>
            <w:rPr>
              <w:noProof/>
            </w:rPr>
            <w:tab/>
          </w:r>
          <w:r>
            <w:rPr>
              <w:noProof/>
            </w:rPr>
            <w:tab/>
          </w:r>
          <w:r>
            <w:rPr>
              <w:noProof/>
            </w:rPr>
            <w:tab/>
            <w:t>5</w:t>
          </w:r>
        </w:p>
        <w:p w14:paraId="6644DC9A" w14:textId="7D0C3887" w:rsidR="007F1E73" w:rsidRDefault="007F1E73" w:rsidP="00020EE6">
          <w:pPr>
            <w:rPr>
              <w:noProof/>
            </w:rPr>
          </w:pPr>
          <w:r>
            <w:rPr>
              <w:noProof/>
            </w:rPr>
            <w:t>Annex B</w:t>
          </w:r>
          <w:r>
            <w:rPr>
              <w:noProof/>
            </w:rPr>
            <w:tab/>
            <w:t>PI 2 Engine Support Service</w:t>
          </w:r>
          <w:r>
            <w:rPr>
              <w:noProof/>
            </w:rPr>
            <w:tab/>
          </w:r>
          <w:r>
            <w:rPr>
              <w:noProof/>
            </w:rPr>
            <w:tab/>
          </w:r>
          <w:r>
            <w:rPr>
              <w:noProof/>
            </w:rPr>
            <w:tab/>
          </w:r>
          <w:r>
            <w:rPr>
              <w:noProof/>
            </w:rPr>
            <w:tab/>
          </w:r>
          <w:r>
            <w:rPr>
              <w:noProof/>
            </w:rPr>
            <w:tab/>
          </w:r>
          <w:r>
            <w:rPr>
              <w:noProof/>
            </w:rPr>
            <w:tab/>
          </w:r>
          <w:r>
            <w:rPr>
              <w:noProof/>
            </w:rPr>
            <w:tab/>
            <w:t>7</w:t>
          </w:r>
        </w:p>
        <w:p w14:paraId="55151316" w14:textId="77777777" w:rsidR="003323CC" w:rsidRDefault="009C20CB" w:rsidP="00020EE6">
          <w:pPr>
            <w:rPr>
              <w:noProof/>
            </w:rPr>
          </w:pPr>
        </w:p>
      </w:sdtContent>
    </w:sdt>
    <w:p w14:paraId="60E1449E" w14:textId="77777777" w:rsidR="007F1E73" w:rsidRPr="007F1E73" w:rsidRDefault="007F1E73" w:rsidP="007F1E73"/>
    <w:p w14:paraId="7F8E63CB" w14:textId="77777777" w:rsidR="007F1E73" w:rsidRPr="007F1E73" w:rsidRDefault="007F1E73" w:rsidP="007F1E73"/>
    <w:p w14:paraId="0F798D7E" w14:textId="77777777" w:rsidR="007F1E73" w:rsidRPr="007F1E73" w:rsidRDefault="007F1E73" w:rsidP="007F1E73"/>
    <w:p w14:paraId="3CAC199F" w14:textId="77777777" w:rsidR="007F1E73" w:rsidRDefault="007F1E73" w:rsidP="007F1E73">
      <w:pPr>
        <w:rPr>
          <w:noProof/>
        </w:rPr>
      </w:pPr>
    </w:p>
    <w:p w14:paraId="033AF2D5" w14:textId="27917298" w:rsidR="007F1E73" w:rsidRDefault="007F1E73" w:rsidP="007F1E73">
      <w:pPr>
        <w:tabs>
          <w:tab w:val="left" w:pos="2404"/>
        </w:tabs>
        <w:rPr>
          <w:noProof/>
        </w:rPr>
      </w:pPr>
      <w:r>
        <w:rPr>
          <w:noProof/>
        </w:rPr>
        <w:tab/>
      </w:r>
    </w:p>
    <w:p w14:paraId="08596EB2" w14:textId="59BFA107" w:rsidR="007F1E73" w:rsidRPr="007F1E73" w:rsidRDefault="007F1E73" w:rsidP="007F1E73">
      <w:pPr>
        <w:tabs>
          <w:tab w:val="left" w:pos="2404"/>
        </w:tabs>
        <w:sectPr w:rsidR="007F1E73" w:rsidRPr="007F1E73" w:rsidSect="003323CC">
          <w:type w:val="oddPage"/>
          <w:pgSz w:w="11906" w:h="16838"/>
          <w:pgMar w:top="1440" w:right="1440" w:bottom="1440" w:left="1440" w:header="708" w:footer="708" w:gutter="0"/>
          <w:cols w:space="708"/>
          <w:docGrid w:linePitch="360"/>
        </w:sectPr>
      </w:pPr>
      <w:r>
        <w:tab/>
      </w:r>
    </w:p>
    <w:p w14:paraId="3E16DCAC" w14:textId="5D23A400" w:rsidR="00A97890" w:rsidRDefault="00A97890" w:rsidP="00A97890">
      <w:pPr>
        <w:pStyle w:val="Heading1"/>
      </w:pPr>
      <w:bookmarkStart w:id="2" w:name="_Toc26952960"/>
      <w:r>
        <w:lastRenderedPageBreak/>
        <w:t>Schedule 15: Performance Management</w:t>
      </w:r>
      <w:bookmarkEnd w:id="2"/>
    </w:p>
    <w:p w14:paraId="0E1C953E" w14:textId="77777777" w:rsidR="00A97890" w:rsidRPr="003323CC" w:rsidRDefault="00A97890" w:rsidP="00A97890">
      <w:pPr>
        <w:pStyle w:val="Heading2"/>
        <w:numPr>
          <w:ilvl w:val="0"/>
          <w:numId w:val="1"/>
        </w:numPr>
      </w:pPr>
      <w:bookmarkStart w:id="3" w:name="_Toc26952961"/>
      <w:r w:rsidRPr="002C05AD">
        <w:t>INTRODUCTION</w:t>
      </w:r>
      <w:bookmarkEnd w:id="3"/>
    </w:p>
    <w:p w14:paraId="79962E6E" w14:textId="66D42AC2" w:rsidR="00A97890" w:rsidRDefault="00A97890" w:rsidP="00A97890">
      <w:pPr>
        <w:pStyle w:val="ListParagraph"/>
        <w:numPr>
          <w:ilvl w:val="1"/>
          <w:numId w:val="1"/>
        </w:numPr>
        <w:ind w:left="431" w:hanging="431"/>
        <w:contextualSpacing w:val="0"/>
      </w:pPr>
      <w:r w:rsidRPr="003323CC">
        <w:t>The Contractor’s performance shall be monitored against the Performance Indicators (PIs) contained in this Schedule</w:t>
      </w:r>
      <w:r>
        <w:t xml:space="preserve"> 15 (</w:t>
      </w:r>
      <w:r w:rsidRPr="00782927">
        <w:t>P</w:t>
      </w:r>
      <w:r w:rsidR="00782927" w:rsidRPr="00782927">
        <w:t>erformance Management</w:t>
      </w:r>
      <w:r w:rsidRPr="00782927">
        <w:t>)</w:t>
      </w:r>
      <w:r w:rsidRPr="003323CC">
        <w:t>. The Contractor’s achieved level of performance against the PIs shall</w:t>
      </w:r>
      <w:r>
        <w:t xml:space="preserve"> not</w:t>
      </w:r>
      <w:r w:rsidRPr="003323CC">
        <w:t xml:space="preserve"> </w:t>
      </w:r>
      <w:r>
        <w:t>impact</w:t>
      </w:r>
      <w:r w:rsidRPr="003323CC">
        <w:t xml:space="preserve"> the level of payment to be made from </w:t>
      </w:r>
      <w:r>
        <w:t>the Service Commencement Date until the earlier of the Contract Expiry Date and the Termination Date.</w:t>
      </w:r>
    </w:p>
    <w:p w14:paraId="11803A09" w14:textId="77777777" w:rsidR="00A97890" w:rsidRDefault="00A97890" w:rsidP="00A97890">
      <w:pPr>
        <w:pStyle w:val="Heading2"/>
        <w:numPr>
          <w:ilvl w:val="0"/>
          <w:numId w:val="1"/>
        </w:numPr>
      </w:pPr>
      <w:bookmarkStart w:id="4" w:name="_Toc26952962"/>
      <w:r>
        <w:t>PERFORMANCE INDICATORS</w:t>
      </w:r>
      <w:bookmarkEnd w:id="4"/>
    </w:p>
    <w:p w14:paraId="7F3F1959" w14:textId="2F6B2EA1" w:rsidR="00A97890" w:rsidRDefault="00A97890" w:rsidP="00A97890">
      <w:pPr>
        <w:pStyle w:val="ListParagraph"/>
        <w:numPr>
          <w:ilvl w:val="1"/>
          <w:numId w:val="1"/>
        </w:numPr>
        <w:ind w:left="431" w:hanging="431"/>
        <w:contextualSpacing w:val="0"/>
      </w:pPr>
      <w:r w:rsidRPr="00020EE6">
        <w:t xml:space="preserve">A total of </w:t>
      </w:r>
      <w:r w:rsidR="00782927">
        <w:t>two</w:t>
      </w:r>
      <w:r>
        <w:t xml:space="preserve"> (</w:t>
      </w:r>
      <w:r w:rsidR="00782927">
        <w:t>2</w:t>
      </w:r>
      <w:r>
        <w:t>)</w:t>
      </w:r>
      <w:r w:rsidRPr="00020EE6">
        <w:t xml:space="preserve"> PI</w:t>
      </w:r>
      <w:r w:rsidR="00782927">
        <w:t>s</w:t>
      </w:r>
      <w:r w:rsidRPr="00020EE6">
        <w:t xml:space="preserve"> shall be measured </w:t>
      </w:r>
      <w:r>
        <w:t>throughout the Contract Period, which is as follows:</w:t>
      </w:r>
    </w:p>
    <w:p w14:paraId="32BC605F" w14:textId="3DE8B01B" w:rsidR="00A97890" w:rsidRDefault="00A97890" w:rsidP="00A97890">
      <w:pPr>
        <w:pStyle w:val="ListParagraph"/>
        <w:numPr>
          <w:ilvl w:val="0"/>
          <w:numId w:val="2"/>
        </w:numPr>
        <w:ind w:left="1135" w:hanging="284"/>
        <w:contextualSpacing w:val="0"/>
      </w:pPr>
      <w:r>
        <w:t>PI 01: Availability of Spares</w:t>
      </w:r>
    </w:p>
    <w:p w14:paraId="22B8C6F7" w14:textId="0E7F8F69" w:rsidR="00782927" w:rsidRDefault="00782927" w:rsidP="00A97890">
      <w:pPr>
        <w:pStyle w:val="ListParagraph"/>
        <w:numPr>
          <w:ilvl w:val="0"/>
          <w:numId w:val="2"/>
        </w:numPr>
        <w:ind w:left="1135" w:hanging="284"/>
        <w:contextualSpacing w:val="0"/>
      </w:pPr>
      <w:r>
        <w:t>PI 02: Engine Support Service</w:t>
      </w:r>
    </w:p>
    <w:p w14:paraId="7FC9EBDB" w14:textId="77777777" w:rsidR="00A97890" w:rsidRDefault="00A97890" w:rsidP="00A97890">
      <w:pPr>
        <w:pStyle w:val="Heading2"/>
        <w:numPr>
          <w:ilvl w:val="0"/>
          <w:numId w:val="1"/>
        </w:numPr>
      </w:pPr>
      <w:bookmarkStart w:id="5" w:name="_Toc26952963"/>
      <w:r>
        <w:t>REPORTING AND SENTENCING OF PIs</w:t>
      </w:r>
      <w:bookmarkEnd w:id="5"/>
    </w:p>
    <w:p w14:paraId="006A3E7A" w14:textId="3D4F1C2D" w:rsidR="00A97890" w:rsidRDefault="00A97890" w:rsidP="00A97890">
      <w:pPr>
        <w:pStyle w:val="ListParagraph"/>
        <w:numPr>
          <w:ilvl w:val="1"/>
          <w:numId w:val="1"/>
        </w:numPr>
        <w:contextualSpacing w:val="0"/>
      </w:pPr>
      <w:r>
        <w:t>In accordance Schedule 1 (</w:t>
      </w:r>
      <w:r w:rsidRPr="00BD4A31">
        <w:rPr>
          <w:i/>
        </w:rPr>
        <w:t>Statement of Work</w:t>
      </w:r>
      <w:r>
        <w:t xml:space="preserve">), the Contractor </w:t>
      </w:r>
      <w:r w:rsidRPr="002C05AD">
        <w:t xml:space="preserve">is required to attend Monthly Customer Task Review </w:t>
      </w:r>
      <w:r>
        <w:t>m</w:t>
      </w:r>
      <w:r w:rsidRPr="002C05AD">
        <w:t xml:space="preserve">eetings and Quarterly Performance Reviews, and submit Monthly Performance Reports, subsumed into a </w:t>
      </w:r>
      <w:r w:rsidRPr="0004128E">
        <w:t>Quarterly Performance Report. The Monthly Customer Task Review and Monthly Performance Reports shall be used to monitor performance. At each Quarterly Performance Review, the Parties shall agree the level of performance a</w:t>
      </w:r>
      <w:r>
        <w:t xml:space="preserve">ttained </w:t>
      </w:r>
      <w:r w:rsidRPr="0004128E">
        <w:t>in accordance with this Schedule</w:t>
      </w:r>
      <w:r>
        <w:t xml:space="preserve"> 15 </w:t>
      </w:r>
      <w:r w:rsidR="00782927">
        <w:t>(</w:t>
      </w:r>
      <w:r w:rsidR="00782927" w:rsidRPr="00782927">
        <w:t>Performance Management)</w:t>
      </w:r>
      <w:r w:rsidR="00782927">
        <w:t>.</w:t>
      </w:r>
    </w:p>
    <w:p w14:paraId="06EB8300" w14:textId="77777777" w:rsidR="00A97890" w:rsidRDefault="00A97890" w:rsidP="00A97890">
      <w:pPr>
        <w:pStyle w:val="ListParagraph"/>
        <w:numPr>
          <w:ilvl w:val="1"/>
          <w:numId w:val="1"/>
        </w:numPr>
        <w:contextualSpacing w:val="0"/>
      </w:pPr>
      <w:r>
        <w:t xml:space="preserve">The Contractor’s Performance against the PI shall be assessed as either GREEN, AMBER or RED, by applying the performance tables at Annex A. </w:t>
      </w:r>
    </w:p>
    <w:p w14:paraId="140D3EB7" w14:textId="77777777" w:rsidR="00A97890" w:rsidRDefault="00A97890" w:rsidP="00A97890">
      <w:pPr>
        <w:pStyle w:val="Heading2"/>
        <w:numPr>
          <w:ilvl w:val="0"/>
          <w:numId w:val="1"/>
        </w:numPr>
      </w:pPr>
      <w:bookmarkStart w:id="6" w:name="_Toc26952964"/>
      <w:r>
        <w:t>LEVELS OF PI PERFORMANCE</w:t>
      </w:r>
      <w:bookmarkEnd w:id="6"/>
    </w:p>
    <w:p w14:paraId="5B2BBBCC" w14:textId="77777777" w:rsidR="00A97890" w:rsidRDefault="00A97890" w:rsidP="00A97890">
      <w:pPr>
        <w:pStyle w:val="ListParagraph"/>
        <w:numPr>
          <w:ilvl w:val="1"/>
          <w:numId w:val="1"/>
        </w:numPr>
        <w:contextualSpacing w:val="0"/>
      </w:pPr>
      <w:r>
        <w:t>The Contractor’s PI performance for each Contract Quarter shall be sentenced as one of the following levels:</w:t>
      </w:r>
    </w:p>
    <w:p w14:paraId="37D063FA" w14:textId="77777777" w:rsidR="00A97890" w:rsidRDefault="00A97890" w:rsidP="00A97890">
      <w:pPr>
        <w:pStyle w:val="ListParagraph"/>
        <w:numPr>
          <w:ilvl w:val="0"/>
          <w:numId w:val="3"/>
        </w:numPr>
        <w:ind w:left="1134" w:hanging="283"/>
        <w:contextualSpacing w:val="0"/>
      </w:pPr>
      <w:r w:rsidRPr="004A61FE">
        <w:rPr>
          <w:b/>
        </w:rPr>
        <w:t>Level 1 Performance</w:t>
      </w:r>
      <w:r>
        <w:t>. The PI within any Contract Quarter is assessed as GREEN.</w:t>
      </w:r>
    </w:p>
    <w:p w14:paraId="50984E54" w14:textId="77777777" w:rsidR="00A97890" w:rsidRDefault="00A97890" w:rsidP="00A97890">
      <w:pPr>
        <w:pStyle w:val="ListParagraph"/>
        <w:numPr>
          <w:ilvl w:val="0"/>
          <w:numId w:val="3"/>
        </w:numPr>
        <w:ind w:left="1134" w:hanging="283"/>
        <w:contextualSpacing w:val="0"/>
      </w:pPr>
      <w:r w:rsidRPr="004A61FE">
        <w:rPr>
          <w:b/>
        </w:rPr>
        <w:t>Level 2 Performance</w:t>
      </w:r>
      <w:r>
        <w:t>. The PI within any Contract Quarter is assessed as AMBER.</w:t>
      </w:r>
    </w:p>
    <w:p w14:paraId="7E01C48E" w14:textId="77777777" w:rsidR="00A97890" w:rsidRDefault="00A97890" w:rsidP="00A97890">
      <w:pPr>
        <w:pStyle w:val="ListParagraph"/>
        <w:numPr>
          <w:ilvl w:val="0"/>
          <w:numId w:val="3"/>
        </w:numPr>
        <w:ind w:left="1134" w:hanging="283"/>
        <w:contextualSpacing w:val="0"/>
      </w:pPr>
      <w:r w:rsidRPr="004A61FE">
        <w:rPr>
          <w:b/>
        </w:rPr>
        <w:t>Level 3 Performance</w:t>
      </w:r>
      <w:r>
        <w:t xml:space="preserve">. </w:t>
      </w:r>
    </w:p>
    <w:p w14:paraId="24DE65D6" w14:textId="77777777" w:rsidR="00A97890" w:rsidRDefault="00A97890" w:rsidP="00A97890">
      <w:pPr>
        <w:pStyle w:val="ListParagraph"/>
        <w:numPr>
          <w:ilvl w:val="0"/>
          <w:numId w:val="6"/>
        </w:numPr>
        <w:ind w:left="1702" w:hanging="284"/>
        <w:contextualSpacing w:val="0"/>
      </w:pPr>
      <w:r>
        <w:t>One (1) or more occurrence PI failure within any Contract Quarter is assessed as RED</w:t>
      </w:r>
    </w:p>
    <w:p w14:paraId="02F58C1A" w14:textId="77777777" w:rsidR="00A97890" w:rsidRDefault="00A97890" w:rsidP="00A97890">
      <w:pPr>
        <w:pStyle w:val="Heading2"/>
        <w:numPr>
          <w:ilvl w:val="0"/>
          <w:numId w:val="1"/>
        </w:numPr>
      </w:pPr>
      <w:bookmarkStart w:id="7" w:name="_Toc26952965"/>
      <w:r>
        <w:t>KPI REVIEWS AND AMENDMENTS</w:t>
      </w:r>
      <w:bookmarkEnd w:id="7"/>
    </w:p>
    <w:p w14:paraId="210C6E41" w14:textId="77777777" w:rsidR="00A97890" w:rsidRPr="002F1486" w:rsidRDefault="00A97890" w:rsidP="00A97890">
      <w:pPr>
        <w:pStyle w:val="ListParagraph"/>
        <w:numPr>
          <w:ilvl w:val="1"/>
          <w:numId w:val="1"/>
        </w:numPr>
        <w:sectPr w:rsidR="00A97890" w:rsidRPr="002F1486" w:rsidSect="00A120C4">
          <w:type w:val="oddPage"/>
          <w:pgSz w:w="11906" w:h="16838"/>
          <w:pgMar w:top="1440" w:right="1440" w:bottom="1440" w:left="1440" w:header="708" w:footer="708" w:gutter="0"/>
          <w:cols w:space="708"/>
          <w:docGrid w:linePitch="360"/>
        </w:sectPr>
      </w:pPr>
      <w:r w:rsidRPr="002F1486">
        <w:t xml:space="preserve">Either party may, at any point during the Contract Period, propose amendments to the Contract PIs using the Contract change procedure set out in </w:t>
      </w:r>
      <w:r>
        <w:t>Schedule 11</w:t>
      </w:r>
      <w:r w:rsidRPr="002F1486">
        <w:t xml:space="preserve"> (</w:t>
      </w:r>
      <w:r w:rsidRPr="002F1486">
        <w:rPr>
          <w:i/>
        </w:rPr>
        <w:t>Contract Change</w:t>
      </w:r>
      <w:r>
        <w:rPr>
          <w:i/>
        </w:rPr>
        <w:t xml:space="preserve"> Control</w:t>
      </w:r>
      <w:r w:rsidRPr="002F1486">
        <w:rPr>
          <w:i/>
        </w:rPr>
        <w:t xml:space="preserve"> Procedure</w:t>
      </w:r>
      <w:r w:rsidRPr="002F1486">
        <w:t>).</w:t>
      </w:r>
    </w:p>
    <w:p w14:paraId="74EE7EEA" w14:textId="77777777" w:rsidR="00A97890" w:rsidRDefault="00A97890" w:rsidP="00A97890">
      <w:pPr>
        <w:pStyle w:val="Heading1"/>
      </w:pPr>
      <w:bookmarkStart w:id="8" w:name="_Toc26952966"/>
      <w:bookmarkStart w:id="9" w:name="_Hlk14943731"/>
      <w:r w:rsidRPr="008B2C35">
        <w:lastRenderedPageBreak/>
        <w:t>Annex A to Schedule 2</w:t>
      </w:r>
      <w:r>
        <w:t>:</w:t>
      </w:r>
      <w:r w:rsidRPr="008B2C35">
        <w:t xml:space="preserve"> </w:t>
      </w:r>
      <w:r>
        <w:t xml:space="preserve">Contract </w:t>
      </w:r>
      <w:r w:rsidRPr="008B2C35">
        <w:t>Performance Indicators</w:t>
      </w:r>
      <w:r>
        <w:t xml:space="preserve"> (PI)</w:t>
      </w:r>
      <w:bookmarkEnd w:id="8"/>
      <w:r>
        <w:t xml:space="preserve"> </w:t>
      </w:r>
    </w:p>
    <w:p w14:paraId="7C87DCE7" w14:textId="77777777" w:rsidR="00A97890" w:rsidRDefault="00A97890" w:rsidP="00A97890">
      <w:pPr>
        <w:pStyle w:val="Heading1"/>
      </w:pPr>
      <w:bookmarkStart w:id="10" w:name="_Toc26952967"/>
      <w:r>
        <w:t>01: AVAILABILITY OF SPARES</w:t>
      </w:r>
      <w:bookmarkEnd w:id="10"/>
    </w:p>
    <w:tbl>
      <w:tblPr>
        <w:tblStyle w:val="TableGrid"/>
        <w:tblW w:w="9066" w:type="dxa"/>
        <w:tblLook w:val="04A0" w:firstRow="1" w:lastRow="0" w:firstColumn="1" w:lastColumn="0" w:noHBand="0" w:noVBand="1"/>
      </w:tblPr>
      <w:tblGrid>
        <w:gridCol w:w="1650"/>
        <w:gridCol w:w="7416"/>
      </w:tblGrid>
      <w:tr w:rsidR="00A97890" w:rsidRPr="009E0CF5" w14:paraId="3769B8D4" w14:textId="77777777" w:rsidTr="002C2D99">
        <w:tc>
          <w:tcPr>
            <w:tcW w:w="1650" w:type="dxa"/>
            <w:shd w:val="clear" w:color="auto" w:fill="BFBFBF" w:themeFill="background1" w:themeFillShade="BF"/>
          </w:tcPr>
          <w:p w14:paraId="03327A8A" w14:textId="763D7F21" w:rsidR="00A97890" w:rsidRPr="009E0CF5" w:rsidRDefault="00A97890" w:rsidP="003C693C">
            <w:pPr>
              <w:rPr>
                <w:b/>
                <w:sz w:val="20"/>
                <w:szCs w:val="20"/>
              </w:rPr>
            </w:pPr>
            <w:r w:rsidRPr="009E0CF5">
              <w:rPr>
                <w:b/>
                <w:sz w:val="20"/>
                <w:szCs w:val="20"/>
              </w:rPr>
              <w:t>PI Number</w:t>
            </w:r>
          </w:p>
        </w:tc>
        <w:tc>
          <w:tcPr>
            <w:tcW w:w="7416" w:type="dxa"/>
            <w:vAlign w:val="center"/>
          </w:tcPr>
          <w:p w14:paraId="4293B3E9" w14:textId="77777777" w:rsidR="00A97890" w:rsidRPr="009E0CF5" w:rsidRDefault="00A97890" w:rsidP="003C693C">
            <w:pPr>
              <w:jc w:val="left"/>
              <w:rPr>
                <w:sz w:val="20"/>
                <w:szCs w:val="20"/>
              </w:rPr>
            </w:pPr>
            <w:r>
              <w:rPr>
                <w:b/>
                <w:sz w:val="20"/>
                <w:szCs w:val="20"/>
              </w:rPr>
              <w:t>01</w:t>
            </w:r>
          </w:p>
        </w:tc>
      </w:tr>
      <w:tr w:rsidR="00A97890" w:rsidRPr="009E0CF5" w14:paraId="22A20F0B" w14:textId="77777777" w:rsidTr="002C2D99">
        <w:tc>
          <w:tcPr>
            <w:tcW w:w="1650" w:type="dxa"/>
            <w:shd w:val="clear" w:color="auto" w:fill="BFBFBF" w:themeFill="background1" w:themeFillShade="BF"/>
          </w:tcPr>
          <w:p w14:paraId="6DE47CEC" w14:textId="77777777" w:rsidR="00A97890" w:rsidRPr="009E0CF5" w:rsidRDefault="00A97890" w:rsidP="003C693C">
            <w:pPr>
              <w:rPr>
                <w:b/>
                <w:sz w:val="20"/>
                <w:szCs w:val="20"/>
              </w:rPr>
            </w:pPr>
            <w:r w:rsidRPr="009E0CF5">
              <w:rPr>
                <w:b/>
                <w:sz w:val="20"/>
                <w:szCs w:val="20"/>
              </w:rPr>
              <w:t>Service Area</w:t>
            </w:r>
          </w:p>
        </w:tc>
        <w:tc>
          <w:tcPr>
            <w:tcW w:w="7416" w:type="dxa"/>
            <w:vAlign w:val="center"/>
          </w:tcPr>
          <w:p w14:paraId="719956C1" w14:textId="77777777" w:rsidR="00A97890" w:rsidRPr="009E0CF5" w:rsidRDefault="00A97890" w:rsidP="003C693C">
            <w:pPr>
              <w:jc w:val="left"/>
              <w:rPr>
                <w:sz w:val="20"/>
                <w:szCs w:val="20"/>
              </w:rPr>
            </w:pPr>
            <w:r w:rsidRPr="00EB5276">
              <w:rPr>
                <w:b/>
                <w:sz w:val="20"/>
                <w:szCs w:val="20"/>
              </w:rPr>
              <w:t>Availability of Spares</w:t>
            </w:r>
          </w:p>
        </w:tc>
      </w:tr>
      <w:tr w:rsidR="00A97890" w:rsidRPr="009E0CF5" w14:paraId="1EEEB745" w14:textId="77777777" w:rsidTr="002C2D99">
        <w:tc>
          <w:tcPr>
            <w:tcW w:w="1650" w:type="dxa"/>
            <w:shd w:val="clear" w:color="auto" w:fill="BFBFBF" w:themeFill="background1" w:themeFillShade="BF"/>
          </w:tcPr>
          <w:p w14:paraId="3E27E63F" w14:textId="3042F9C5" w:rsidR="00A97890" w:rsidRPr="009E0CF5" w:rsidRDefault="00A97890" w:rsidP="003C693C">
            <w:pPr>
              <w:rPr>
                <w:b/>
                <w:sz w:val="20"/>
                <w:szCs w:val="20"/>
              </w:rPr>
            </w:pPr>
            <w:r w:rsidRPr="009E0CF5">
              <w:rPr>
                <w:b/>
                <w:sz w:val="20"/>
                <w:szCs w:val="20"/>
              </w:rPr>
              <w:t>PI Descriptor</w:t>
            </w:r>
          </w:p>
        </w:tc>
        <w:tc>
          <w:tcPr>
            <w:tcW w:w="7416" w:type="dxa"/>
            <w:vAlign w:val="center"/>
          </w:tcPr>
          <w:p w14:paraId="1BB8E325" w14:textId="77777777" w:rsidR="00A97890" w:rsidRPr="009E0CF5" w:rsidRDefault="00A97890" w:rsidP="003C693C">
            <w:pPr>
              <w:jc w:val="left"/>
              <w:rPr>
                <w:sz w:val="20"/>
                <w:szCs w:val="20"/>
              </w:rPr>
            </w:pPr>
            <w:r w:rsidRPr="00B77A68">
              <w:rPr>
                <w:sz w:val="20"/>
                <w:szCs w:val="20"/>
              </w:rPr>
              <w:t>Performance will be measured by the Contractor’s ability to deliver spares to</w:t>
            </w:r>
            <w:r>
              <w:rPr>
                <w:sz w:val="20"/>
                <w:szCs w:val="20"/>
              </w:rPr>
              <w:t xml:space="preserve"> the location requested by the A</w:t>
            </w:r>
            <w:r w:rsidRPr="00B77A68">
              <w:rPr>
                <w:sz w:val="20"/>
                <w:szCs w:val="20"/>
              </w:rPr>
              <w:t xml:space="preserve">uthority (including </w:t>
            </w:r>
            <w:r>
              <w:rPr>
                <w:sz w:val="20"/>
                <w:szCs w:val="20"/>
              </w:rPr>
              <w:t xml:space="preserve">a nominated </w:t>
            </w:r>
            <w:r w:rsidRPr="00B77A68">
              <w:rPr>
                <w:sz w:val="20"/>
                <w:szCs w:val="20"/>
              </w:rPr>
              <w:t>Purple Gate</w:t>
            </w:r>
            <w:r>
              <w:rPr>
                <w:sz w:val="20"/>
                <w:szCs w:val="20"/>
              </w:rPr>
              <w:t xml:space="preserve"> node</w:t>
            </w:r>
            <w:r w:rsidRPr="00B77A68">
              <w:rPr>
                <w:sz w:val="20"/>
                <w:szCs w:val="20"/>
              </w:rPr>
              <w:t xml:space="preserve">) at the Required Delivery Date </w:t>
            </w:r>
            <w:r>
              <w:rPr>
                <w:sz w:val="20"/>
                <w:szCs w:val="20"/>
              </w:rPr>
              <w:t xml:space="preserve">(“RDD”) </w:t>
            </w:r>
          </w:p>
        </w:tc>
      </w:tr>
      <w:tr w:rsidR="00A97890" w:rsidRPr="009E0CF5" w14:paraId="1F0504D8" w14:textId="77777777" w:rsidTr="002C2D99">
        <w:tc>
          <w:tcPr>
            <w:tcW w:w="1650" w:type="dxa"/>
            <w:shd w:val="clear" w:color="auto" w:fill="BFBFBF" w:themeFill="background1" w:themeFillShade="BF"/>
          </w:tcPr>
          <w:p w14:paraId="46F987B7" w14:textId="77777777" w:rsidR="00A97890" w:rsidRPr="009E0CF5" w:rsidRDefault="00A97890" w:rsidP="003C693C">
            <w:pPr>
              <w:rPr>
                <w:b/>
                <w:sz w:val="20"/>
                <w:szCs w:val="20"/>
              </w:rPr>
            </w:pPr>
            <w:r w:rsidRPr="009E0CF5">
              <w:rPr>
                <w:b/>
                <w:sz w:val="20"/>
                <w:szCs w:val="20"/>
              </w:rPr>
              <w:t>Incidence Measure</w:t>
            </w:r>
          </w:p>
        </w:tc>
        <w:tc>
          <w:tcPr>
            <w:tcW w:w="7416" w:type="dxa"/>
            <w:vAlign w:val="center"/>
          </w:tcPr>
          <w:p w14:paraId="6DD8536A" w14:textId="77777777" w:rsidR="00A97890" w:rsidRPr="009E0CF5" w:rsidRDefault="00A97890" w:rsidP="003C693C">
            <w:pPr>
              <w:jc w:val="left"/>
              <w:rPr>
                <w:sz w:val="20"/>
                <w:szCs w:val="20"/>
              </w:rPr>
            </w:pPr>
            <w:r w:rsidRPr="00B77A68">
              <w:rPr>
                <w:sz w:val="20"/>
                <w:szCs w:val="20"/>
              </w:rPr>
              <w:t xml:space="preserve">Satisfaction of demands for </w:t>
            </w:r>
            <w:r>
              <w:rPr>
                <w:sz w:val="20"/>
                <w:szCs w:val="20"/>
              </w:rPr>
              <w:t>aircraft s</w:t>
            </w:r>
            <w:r w:rsidRPr="00B77A68">
              <w:rPr>
                <w:sz w:val="20"/>
                <w:szCs w:val="20"/>
              </w:rPr>
              <w:t xml:space="preserve">pares on or before the </w:t>
            </w:r>
            <w:r>
              <w:rPr>
                <w:sz w:val="20"/>
                <w:szCs w:val="20"/>
              </w:rPr>
              <w:t>RDD</w:t>
            </w:r>
            <w:r w:rsidRPr="00B77A68">
              <w:rPr>
                <w:sz w:val="20"/>
                <w:szCs w:val="20"/>
              </w:rPr>
              <w:t>.</w:t>
            </w:r>
          </w:p>
        </w:tc>
      </w:tr>
      <w:tr w:rsidR="00A97890" w:rsidRPr="009E0CF5" w14:paraId="1181269A" w14:textId="77777777" w:rsidTr="002C2D99">
        <w:tc>
          <w:tcPr>
            <w:tcW w:w="1650" w:type="dxa"/>
            <w:shd w:val="clear" w:color="auto" w:fill="BFBFBF" w:themeFill="background1" w:themeFillShade="BF"/>
          </w:tcPr>
          <w:p w14:paraId="1E978559" w14:textId="77777777" w:rsidR="00A97890" w:rsidRPr="009E0CF5" w:rsidRDefault="00A97890" w:rsidP="003C693C">
            <w:pPr>
              <w:rPr>
                <w:b/>
                <w:sz w:val="20"/>
                <w:szCs w:val="20"/>
              </w:rPr>
            </w:pPr>
            <w:r w:rsidRPr="009E0CF5">
              <w:rPr>
                <w:b/>
                <w:sz w:val="20"/>
                <w:szCs w:val="20"/>
              </w:rPr>
              <w:t>Description</w:t>
            </w:r>
          </w:p>
        </w:tc>
        <w:tc>
          <w:tcPr>
            <w:tcW w:w="7416" w:type="dxa"/>
          </w:tcPr>
          <w:p w14:paraId="35E3679F" w14:textId="77777777" w:rsidR="00A97890" w:rsidRPr="00555EE3" w:rsidRDefault="00A97890" w:rsidP="003C693C">
            <w:pPr>
              <w:rPr>
                <w:sz w:val="20"/>
                <w:szCs w:val="20"/>
              </w:rPr>
            </w:pPr>
            <w:bookmarkStart w:id="11" w:name="_Hlk523840837"/>
            <w:r w:rsidRPr="00A55646">
              <w:rPr>
                <w:sz w:val="20"/>
                <w:szCs w:val="20"/>
              </w:rPr>
              <w:t xml:space="preserve">The Contractor shall satisfy demands for all aircraft spares </w:t>
            </w:r>
            <w:r w:rsidRPr="00555EE3">
              <w:rPr>
                <w:sz w:val="20"/>
                <w:szCs w:val="20"/>
              </w:rPr>
              <w:t xml:space="preserve">within each Contract </w:t>
            </w:r>
            <w:r>
              <w:rPr>
                <w:sz w:val="20"/>
                <w:szCs w:val="20"/>
              </w:rPr>
              <w:t>month</w:t>
            </w:r>
            <w:r w:rsidRPr="00555EE3">
              <w:rPr>
                <w:sz w:val="20"/>
                <w:szCs w:val="20"/>
              </w:rPr>
              <w:t xml:space="preserve"> on or before the Required Delivery Date. This PI shall measure the Contractor’s performance for satisfying demands for spares.</w:t>
            </w:r>
          </w:p>
          <w:p w14:paraId="700B12C1" w14:textId="77777777" w:rsidR="00A97890" w:rsidRPr="00555EE3" w:rsidRDefault="00A97890" w:rsidP="003C693C">
            <w:pPr>
              <w:rPr>
                <w:sz w:val="20"/>
                <w:szCs w:val="20"/>
              </w:rPr>
            </w:pPr>
            <w:r w:rsidRPr="00555EE3">
              <w:rPr>
                <w:sz w:val="20"/>
                <w:szCs w:val="20"/>
              </w:rPr>
              <w:t>The Authority shall monitor the Contractor’s performance by measuring adherence against the RDD and, where an RDD is not achieved, shall be measured by its impact to the Authority</w:t>
            </w:r>
            <w:r w:rsidRPr="00A55646">
              <w:rPr>
                <w:sz w:val="20"/>
                <w:szCs w:val="20"/>
              </w:rPr>
              <w:t xml:space="preserve">. The RDD shall be calculated in accordance with the requirements of Work Package 3.2.2.  The effect of late delivery shall be measured by the number of days lost due to an Aircraft being </w:t>
            </w:r>
            <w:r w:rsidRPr="00555EE3">
              <w:rPr>
                <w:sz w:val="20"/>
                <w:szCs w:val="20"/>
              </w:rPr>
              <w:t>AOG and therefore unavailable to perform a required mission.</w:t>
            </w:r>
          </w:p>
          <w:p w14:paraId="73DB67B4" w14:textId="77777777" w:rsidR="00A97890" w:rsidRPr="00A55646" w:rsidRDefault="00A97890" w:rsidP="003C693C">
            <w:pPr>
              <w:rPr>
                <w:sz w:val="20"/>
                <w:szCs w:val="20"/>
              </w:rPr>
            </w:pPr>
            <w:r w:rsidRPr="00555EE3">
              <w:rPr>
                <w:sz w:val="20"/>
                <w:szCs w:val="20"/>
              </w:rPr>
              <w:t>The demand processing time shall be measured from the date that a demand is notified to the Con</w:t>
            </w:r>
            <w:r w:rsidRPr="00A55646">
              <w:rPr>
                <w:sz w:val="20"/>
                <w:szCs w:val="20"/>
              </w:rPr>
              <w:t>tractor to the date of delivery to the requested UK location (Purple Gate for overseas requirements).</w:t>
            </w:r>
          </w:p>
          <w:p w14:paraId="43264C51" w14:textId="77777777" w:rsidR="00A97890" w:rsidRPr="00A55646" w:rsidRDefault="00A97890" w:rsidP="003C693C">
            <w:pPr>
              <w:rPr>
                <w:sz w:val="20"/>
                <w:szCs w:val="20"/>
              </w:rPr>
            </w:pPr>
            <w:r w:rsidRPr="00A55646">
              <w:rPr>
                <w:sz w:val="20"/>
                <w:szCs w:val="20"/>
              </w:rPr>
              <w:t xml:space="preserve">For each spares demand, the </w:t>
            </w:r>
            <w:r w:rsidRPr="00A55646">
              <w:rPr>
                <w:b/>
                <w:sz w:val="20"/>
                <w:szCs w:val="20"/>
              </w:rPr>
              <w:t>Demand Satisfaction</w:t>
            </w:r>
            <w:r w:rsidRPr="00A55646">
              <w:rPr>
                <w:sz w:val="20"/>
                <w:szCs w:val="20"/>
              </w:rPr>
              <w:t xml:space="preserve"> shall be represented by a number of days, calculated by reference to the RDD minus the date of delivery. The </w:t>
            </w:r>
            <w:r w:rsidRPr="00A55646">
              <w:rPr>
                <w:b/>
                <w:sz w:val="20"/>
                <w:szCs w:val="20"/>
              </w:rPr>
              <w:t>Demand Satisfaction</w:t>
            </w:r>
            <w:r w:rsidRPr="00A55646">
              <w:rPr>
                <w:sz w:val="20"/>
                <w:szCs w:val="20"/>
              </w:rPr>
              <w:t xml:space="preserve"> for each demand shall be expressed as either a negative value (e.g. -1), a positive value (e.g. +1) or a neutral value (0).</w:t>
            </w:r>
          </w:p>
          <w:p w14:paraId="2F4A96DE" w14:textId="77777777" w:rsidR="00A97890" w:rsidRPr="00A55646" w:rsidRDefault="00A97890" w:rsidP="003C693C">
            <w:pPr>
              <w:rPr>
                <w:sz w:val="20"/>
                <w:szCs w:val="20"/>
              </w:rPr>
            </w:pPr>
            <w:r w:rsidRPr="00A55646">
              <w:rPr>
                <w:sz w:val="20"/>
                <w:szCs w:val="20"/>
              </w:rPr>
              <w:t xml:space="preserve">The </w:t>
            </w:r>
            <w:r w:rsidRPr="00A55646">
              <w:rPr>
                <w:b/>
                <w:sz w:val="20"/>
                <w:szCs w:val="20"/>
              </w:rPr>
              <w:t>Demand Satisfaction</w:t>
            </w:r>
            <w:r w:rsidRPr="00A55646">
              <w:rPr>
                <w:sz w:val="20"/>
                <w:szCs w:val="20"/>
              </w:rPr>
              <w:t xml:space="preserve"> for each spares demand shall be classified as follows:</w:t>
            </w:r>
          </w:p>
          <w:p w14:paraId="5B8A9B83" w14:textId="77777777" w:rsidR="00A97890" w:rsidRPr="00A55646" w:rsidRDefault="00A97890" w:rsidP="003C693C">
            <w:pPr>
              <w:pStyle w:val="ListParagraph"/>
              <w:numPr>
                <w:ilvl w:val="0"/>
                <w:numId w:val="13"/>
              </w:numPr>
              <w:spacing w:line="259" w:lineRule="auto"/>
              <w:jc w:val="left"/>
              <w:rPr>
                <w:sz w:val="20"/>
                <w:szCs w:val="20"/>
              </w:rPr>
            </w:pPr>
            <w:r w:rsidRPr="00A55646">
              <w:rPr>
                <w:sz w:val="20"/>
                <w:szCs w:val="20"/>
              </w:rPr>
              <w:t xml:space="preserve">A negative or neutral value shall be classified as </w:t>
            </w:r>
            <w:r w:rsidRPr="00A55646">
              <w:rPr>
                <w:b/>
                <w:sz w:val="20"/>
                <w:szCs w:val="20"/>
              </w:rPr>
              <w:t>“within RDD”</w:t>
            </w:r>
          </w:p>
          <w:p w14:paraId="6F7CDAC3" w14:textId="77777777" w:rsidR="00A97890" w:rsidRPr="00A55646" w:rsidRDefault="00A97890" w:rsidP="003C693C">
            <w:pPr>
              <w:pStyle w:val="ListParagraph"/>
              <w:numPr>
                <w:ilvl w:val="0"/>
                <w:numId w:val="13"/>
              </w:numPr>
              <w:spacing w:line="259" w:lineRule="auto"/>
              <w:jc w:val="left"/>
              <w:rPr>
                <w:sz w:val="20"/>
                <w:szCs w:val="20"/>
              </w:rPr>
            </w:pPr>
            <w:r w:rsidRPr="00A55646">
              <w:rPr>
                <w:sz w:val="20"/>
                <w:szCs w:val="20"/>
              </w:rPr>
              <w:t xml:space="preserve">A positive value shall be classified as </w:t>
            </w:r>
            <w:r w:rsidRPr="00A55646">
              <w:rPr>
                <w:b/>
                <w:sz w:val="20"/>
                <w:szCs w:val="20"/>
              </w:rPr>
              <w:t>“RDD missed”</w:t>
            </w:r>
            <w:r w:rsidRPr="00A55646">
              <w:rPr>
                <w:sz w:val="20"/>
                <w:szCs w:val="20"/>
              </w:rPr>
              <w:t>.</w:t>
            </w:r>
          </w:p>
          <w:p w14:paraId="23E15371" w14:textId="77777777" w:rsidR="00A97890" w:rsidRPr="00A55646" w:rsidRDefault="00A97890" w:rsidP="003C693C">
            <w:pPr>
              <w:rPr>
                <w:sz w:val="20"/>
                <w:szCs w:val="20"/>
              </w:rPr>
            </w:pPr>
            <w:r w:rsidRPr="00A55646">
              <w:rPr>
                <w:sz w:val="20"/>
                <w:szCs w:val="20"/>
              </w:rPr>
              <w:t xml:space="preserve">The above metric applies across the P-8A Poseidon fleet for the Contract </w:t>
            </w:r>
            <w:r>
              <w:rPr>
                <w:sz w:val="20"/>
                <w:szCs w:val="20"/>
              </w:rPr>
              <w:t>month</w:t>
            </w:r>
            <w:r w:rsidRPr="00A55646">
              <w:rPr>
                <w:sz w:val="20"/>
                <w:szCs w:val="20"/>
              </w:rPr>
              <w:t xml:space="preserve"> being measured. The Contractor shall not be able to offset positive Demand Satisfaction occurrences with negative occurrences.</w:t>
            </w:r>
          </w:p>
          <w:p w14:paraId="164ADF69" w14:textId="77777777" w:rsidR="00A97890" w:rsidRPr="00A55646" w:rsidRDefault="00A97890" w:rsidP="003C693C">
            <w:pPr>
              <w:rPr>
                <w:sz w:val="20"/>
                <w:szCs w:val="20"/>
              </w:rPr>
            </w:pPr>
            <w:r w:rsidRPr="00A55646">
              <w:rPr>
                <w:sz w:val="20"/>
                <w:szCs w:val="20"/>
              </w:rPr>
              <w:t xml:space="preserve">In each calendar </w:t>
            </w:r>
            <w:r w:rsidRPr="00555EE3">
              <w:rPr>
                <w:sz w:val="20"/>
                <w:szCs w:val="20"/>
              </w:rPr>
              <w:t xml:space="preserve">month, the Level of performance will be measured by the Authority using data taken from daily sentencing sheets, MJDI, the customer, the MPR &amp; QPR. </w:t>
            </w:r>
            <w:r>
              <w:rPr>
                <w:sz w:val="20"/>
                <w:szCs w:val="20"/>
              </w:rPr>
              <w:t>A</w:t>
            </w:r>
            <w:r w:rsidRPr="00A55646">
              <w:rPr>
                <w:sz w:val="20"/>
                <w:szCs w:val="20"/>
              </w:rPr>
              <w:t xml:space="preserve">t each Quarterly Performance Review, the Contractor and Authority shall </w:t>
            </w:r>
            <w:r w:rsidRPr="00555EE3">
              <w:rPr>
                <w:sz w:val="20"/>
                <w:szCs w:val="20"/>
              </w:rPr>
              <w:t xml:space="preserve">sentence performance by aggregating the </w:t>
            </w:r>
            <w:r w:rsidRPr="00555EE3">
              <w:rPr>
                <w:b/>
                <w:sz w:val="20"/>
                <w:szCs w:val="20"/>
              </w:rPr>
              <w:t>Overall Performance Rating</w:t>
            </w:r>
            <w:r w:rsidRPr="00555EE3">
              <w:rPr>
                <w:sz w:val="20"/>
                <w:szCs w:val="20"/>
              </w:rPr>
              <w:t xml:space="preserve"> for each calendar month within the previous Contract Quarter. The level of profit retention shall be calculated using the sliding scale set out in the PI 01</w:t>
            </w:r>
            <w:r w:rsidRPr="00A55646">
              <w:rPr>
                <w:sz w:val="20"/>
                <w:szCs w:val="20"/>
              </w:rPr>
              <w:t xml:space="preserve"> Performance Table, below</w:t>
            </w:r>
            <w:r>
              <w:rPr>
                <w:sz w:val="20"/>
                <w:szCs w:val="20"/>
              </w:rPr>
              <w:t xml:space="preserve"> and will be applied to an individual month where an RDD has been missed</w:t>
            </w:r>
            <w:r w:rsidRPr="00A55646">
              <w:rPr>
                <w:sz w:val="20"/>
                <w:szCs w:val="20"/>
              </w:rPr>
              <w:t>.</w:t>
            </w:r>
          </w:p>
          <w:bookmarkEnd w:id="11"/>
          <w:p w14:paraId="51696BF3" w14:textId="77777777" w:rsidR="00A97890" w:rsidRPr="00A55646" w:rsidRDefault="00A97890" w:rsidP="003C693C">
            <w:pPr>
              <w:spacing w:before="240"/>
              <w:rPr>
                <w:b/>
                <w:sz w:val="20"/>
                <w:szCs w:val="20"/>
                <w:u w:val="single"/>
              </w:rPr>
            </w:pPr>
            <w:r w:rsidRPr="00A55646">
              <w:rPr>
                <w:b/>
                <w:sz w:val="20"/>
                <w:szCs w:val="20"/>
                <w:u w:val="single"/>
              </w:rPr>
              <w:t>Worked Example</w:t>
            </w:r>
          </w:p>
          <w:p w14:paraId="545F3AF1" w14:textId="77777777" w:rsidR="00A97890" w:rsidRPr="00A55646" w:rsidRDefault="00A97890" w:rsidP="003C693C">
            <w:pPr>
              <w:rPr>
                <w:b/>
                <w:i/>
                <w:sz w:val="20"/>
                <w:szCs w:val="20"/>
              </w:rPr>
            </w:pPr>
            <w:r w:rsidRPr="00A55646">
              <w:rPr>
                <w:b/>
                <w:i/>
                <w:sz w:val="20"/>
                <w:szCs w:val="20"/>
              </w:rPr>
              <w:t>“Demand Satisfaction” Calculation</w:t>
            </w:r>
          </w:p>
          <w:p w14:paraId="64651E71" w14:textId="77777777" w:rsidR="00A97890" w:rsidRPr="00A55646" w:rsidRDefault="00A97890" w:rsidP="003C693C">
            <w:pPr>
              <w:rPr>
                <w:sz w:val="20"/>
                <w:szCs w:val="20"/>
              </w:rPr>
            </w:pPr>
            <w:r w:rsidRPr="00A55646">
              <w:rPr>
                <w:sz w:val="20"/>
                <w:szCs w:val="20"/>
              </w:rPr>
              <w:t xml:space="preserve">In a given Contract </w:t>
            </w:r>
            <w:r>
              <w:rPr>
                <w:sz w:val="20"/>
                <w:szCs w:val="20"/>
              </w:rPr>
              <w:t>Month</w:t>
            </w:r>
            <w:r w:rsidRPr="00A55646">
              <w:rPr>
                <w:sz w:val="20"/>
                <w:szCs w:val="20"/>
              </w:rPr>
              <w:t>:</w:t>
            </w:r>
          </w:p>
          <w:tbl>
            <w:tblPr>
              <w:tblStyle w:val="TableGrid"/>
              <w:tblW w:w="0" w:type="auto"/>
              <w:tblLook w:val="04A0" w:firstRow="1" w:lastRow="0" w:firstColumn="1" w:lastColumn="0" w:noHBand="0" w:noVBand="1"/>
            </w:tblPr>
            <w:tblGrid>
              <w:gridCol w:w="931"/>
              <w:gridCol w:w="1275"/>
              <w:gridCol w:w="1418"/>
              <w:gridCol w:w="1701"/>
              <w:gridCol w:w="1701"/>
            </w:tblGrid>
            <w:tr w:rsidR="00A97890" w:rsidRPr="00A55646" w14:paraId="3C0D1E6A" w14:textId="77777777" w:rsidTr="003C693C">
              <w:tc>
                <w:tcPr>
                  <w:tcW w:w="931" w:type="dxa"/>
                  <w:shd w:val="clear" w:color="auto" w:fill="D9D9D9" w:themeFill="background1" w:themeFillShade="D9"/>
                  <w:vAlign w:val="center"/>
                </w:tcPr>
                <w:p w14:paraId="164DCEAA" w14:textId="77777777" w:rsidR="00A97890" w:rsidRPr="00A55646" w:rsidRDefault="00A97890" w:rsidP="003C693C">
                  <w:pPr>
                    <w:spacing w:before="60" w:after="60"/>
                    <w:jc w:val="center"/>
                    <w:rPr>
                      <w:b/>
                      <w:sz w:val="20"/>
                      <w:szCs w:val="20"/>
                    </w:rPr>
                  </w:pPr>
                  <w:r w:rsidRPr="00A55646">
                    <w:rPr>
                      <w:b/>
                      <w:sz w:val="20"/>
                      <w:szCs w:val="20"/>
                    </w:rPr>
                    <w:lastRenderedPageBreak/>
                    <w:t>Serial</w:t>
                  </w:r>
                </w:p>
              </w:tc>
              <w:tc>
                <w:tcPr>
                  <w:tcW w:w="1275" w:type="dxa"/>
                  <w:shd w:val="clear" w:color="auto" w:fill="D9D9D9" w:themeFill="background1" w:themeFillShade="D9"/>
                  <w:vAlign w:val="center"/>
                </w:tcPr>
                <w:p w14:paraId="41FDFBAA" w14:textId="77777777" w:rsidR="00A97890" w:rsidRPr="00A55646" w:rsidRDefault="00A97890" w:rsidP="003C693C">
                  <w:pPr>
                    <w:spacing w:before="60" w:after="60"/>
                    <w:jc w:val="center"/>
                    <w:rPr>
                      <w:b/>
                      <w:sz w:val="20"/>
                      <w:szCs w:val="20"/>
                    </w:rPr>
                  </w:pPr>
                  <w:r w:rsidRPr="00A55646">
                    <w:rPr>
                      <w:b/>
                      <w:sz w:val="20"/>
                      <w:szCs w:val="20"/>
                    </w:rPr>
                    <w:t>Date of Demand</w:t>
                  </w:r>
                </w:p>
              </w:tc>
              <w:tc>
                <w:tcPr>
                  <w:tcW w:w="1418" w:type="dxa"/>
                  <w:shd w:val="clear" w:color="auto" w:fill="D9D9D9" w:themeFill="background1" w:themeFillShade="D9"/>
                  <w:vAlign w:val="center"/>
                </w:tcPr>
                <w:p w14:paraId="47AC9388" w14:textId="77777777" w:rsidR="00A97890" w:rsidRPr="00A55646" w:rsidRDefault="00A97890" w:rsidP="003C693C">
                  <w:pPr>
                    <w:spacing w:before="60" w:after="60"/>
                    <w:jc w:val="center"/>
                    <w:rPr>
                      <w:b/>
                      <w:sz w:val="20"/>
                      <w:szCs w:val="20"/>
                    </w:rPr>
                  </w:pPr>
                  <w:r w:rsidRPr="00A55646">
                    <w:rPr>
                      <w:b/>
                      <w:sz w:val="20"/>
                      <w:szCs w:val="20"/>
                    </w:rPr>
                    <w:t>RDD</w:t>
                  </w:r>
                </w:p>
              </w:tc>
              <w:tc>
                <w:tcPr>
                  <w:tcW w:w="1701" w:type="dxa"/>
                  <w:shd w:val="clear" w:color="auto" w:fill="D9D9D9" w:themeFill="background1" w:themeFillShade="D9"/>
                  <w:vAlign w:val="center"/>
                </w:tcPr>
                <w:p w14:paraId="42A49C07" w14:textId="77777777" w:rsidR="00A97890" w:rsidRPr="00A55646" w:rsidRDefault="00A97890" w:rsidP="003C693C">
                  <w:pPr>
                    <w:spacing w:before="60" w:after="60"/>
                    <w:jc w:val="center"/>
                    <w:rPr>
                      <w:b/>
                      <w:sz w:val="20"/>
                      <w:szCs w:val="20"/>
                    </w:rPr>
                  </w:pPr>
                  <w:r w:rsidRPr="00A55646">
                    <w:rPr>
                      <w:b/>
                      <w:sz w:val="20"/>
                      <w:szCs w:val="20"/>
                    </w:rPr>
                    <w:t>Date of Delivery</w:t>
                  </w:r>
                </w:p>
              </w:tc>
              <w:tc>
                <w:tcPr>
                  <w:tcW w:w="1701" w:type="dxa"/>
                  <w:shd w:val="clear" w:color="auto" w:fill="D9D9D9" w:themeFill="background1" w:themeFillShade="D9"/>
                  <w:vAlign w:val="center"/>
                </w:tcPr>
                <w:p w14:paraId="4002874B" w14:textId="77777777" w:rsidR="00A97890" w:rsidRPr="00A55646" w:rsidRDefault="00A97890" w:rsidP="003C693C">
                  <w:pPr>
                    <w:spacing w:before="60" w:after="60"/>
                    <w:jc w:val="center"/>
                    <w:rPr>
                      <w:b/>
                      <w:sz w:val="20"/>
                      <w:szCs w:val="20"/>
                    </w:rPr>
                  </w:pPr>
                  <w:r w:rsidRPr="00A55646">
                    <w:rPr>
                      <w:b/>
                      <w:sz w:val="20"/>
                      <w:szCs w:val="20"/>
                    </w:rPr>
                    <w:t>Demand Satisfaction</w:t>
                  </w:r>
                </w:p>
              </w:tc>
            </w:tr>
            <w:tr w:rsidR="00A97890" w:rsidRPr="00A55646" w14:paraId="5188DEB7" w14:textId="77777777" w:rsidTr="003C693C">
              <w:tc>
                <w:tcPr>
                  <w:tcW w:w="931" w:type="dxa"/>
                </w:tcPr>
                <w:p w14:paraId="5E549E00" w14:textId="77777777" w:rsidR="00A97890" w:rsidRPr="00A55646" w:rsidRDefault="00A97890" w:rsidP="003C693C">
                  <w:pPr>
                    <w:spacing w:before="60" w:after="60"/>
                    <w:jc w:val="center"/>
                    <w:rPr>
                      <w:sz w:val="20"/>
                      <w:szCs w:val="20"/>
                    </w:rPr>
                  </w:pPr>
                  <w:r w:rsidRPr="00A55646">
                    <w:rPr>
                      <w:sz w:val="20"/>
                      <w:szCs w:val="20"/>
                    </w:rPr>
                    <w:t>1</w:t>
                  </w:r>
                </w:p>
              </w:tc>
              <w:tc>
                <w:tcPr>
                  <w:tcW w:w="1275" w:type="dxa"/>
                </w:tcPr>
                <w:p w14:paraId="6F3E4981" w14:textId="77777777" w:rsidR="00A97890" w:rsidRPr="00A55646" w:rsidRDefault="00A97890" w:rsidP="003C693C">
                  <w:pPr>
                    <w:spacing w:before="60" w:after="60"/>
                    <w:jc w:val="center"/>
                    <w:rPr>
                      <w:sz w:val="20"/>
                      <w:szCs w:val="20"/>
                    </w:rPr>
                  </w:pPr>
                  <w:r w:rsidRPr="00A55646">
                    <w:rPr>
                      <w:sz w:val="20"/>
                      <w:szCs w:val="20"/>
                    </w:rPr>
                    <w:t>01/01/20</w:t>
                  </w:r>
                </w:p>
              </w:tc>
              <w:tc>
                <w:tcPr>
                  <w:tcW w:w="1418" w:type="dxa"/>
                </w:tcPr>
                <w:p w14:paraId="4396BC18" w14:textId="77777777" w:rsidR="00A97890" w:rsidRPr="00A55646" w:rsidRDefault="00A97890" w:rsidP="003C693C">
                  <w:pPr>
                    <w:spacing w:before="60" w:after="60"/>
                    <w:jc w:val="center"/>
                    <w:rPr>
                      <w:sz w:val="20"/>
                      <w:szCs w:val="20"/>
                    </w:rPr>
                  </w:pPr>
                  <w:r w:rsidRPr="00A55646">
                    <w:rPr>
                      <w:sz w:val="20"/>
                      <w:szCs w:val="20"/>
                    </w:rPr>
                    <w:t>05/01/20</w:t>
                  </w:r>
                </w:p>
              </w:tc>
              <w:tc>
                <w:tcPr>
                  <w:tcW w:w="1701" w:type="dxa"/>
                </w:tcPr>
                <w:p w14:paraId="08BAC3A8" w14:textId="77777777" w:rsidR="00A97890" w:rsidRPr="00A55646" w:rsidRDefault="00A97890" w:rsidP="003C693C">
                  <w:pPr>
                    <w:spacing w:before="60" w:after="60"/>
                    <w:jc w:val="center"/>
                    <w:rPr>
                      <w:sz w:val="20"/>
                      <w:szCs w:val="20"/>
                    </w:rPr>
                  </w:pPr>
                  <w:r w:rsidRPr="00A55646">
                    <w:rPr>
                      <w:sz w:val="20"/>
                      <w:szCs w:val="20"/>
                    </w:rPr>
                    <w:t>04/01/20</w:t>
                  </w:r>
                </w:p>
              </w:tc>
              <w:tc>
                <w:tcPr>
                  <w:tcW w:w="1701" w:type="dxa"/>
                </w:tcPr>
                <w:p w14:paraId="7FF0BCD3" w14:textId="77777777" w:rsidR="00A97890" w:rsidRPr="00A55646" w:rsidRDefault="00A97890" w:rsidP="003C693C">
                  <w:pPr>
                    <w:spacing w:before="60" w:after="60"/>
                    <w:jc w:val="center"/>
                    <w:rPr>
                      <w:b/>
                      <w:sz w:val="20"/>
                      <w:szCs w:val="20"/>
                    </w:rPr>
                  </w:pPr>
                  <w:r w:rsidRPr="00A55646">
                    <w:rPr>
                      <w:b/>
                      <w:sz w:val="20"/>
                      <w:szCs w:val="20"/>
                    </w:rPr>
                    <w:t>-1</w:t>
                  </w:r>
                </w:p>
              </w:tc>
            </w:tr>
            <w:tr w:rsidR="00A97890" w:rsidRPr="00A55646" w14:paraId="4E0F9184" w14:textId="77777777" w:rsidTr="003C693C">
              <w:tc>
                <w:tcPr>
                  <w:tcW w:w="931" w:type="dxa"/>
                </w:tcPr>
                <w:p w14:paraId="0AD4FA42" w14:textId="77777777" w:rsidR="00A97890" w:rsidRPr="00A55646" w:rsidRDefault="00A97890" w:rsidP="003C693C">
                  <w:pPr>
                    <w:spacing w:before="60" w:after="60"/>
                    <w:jc w:val="center"/>
                    <w:rPr>
                      <w:sz w:val="20"/>
                      <w:szCs w:val="20"/>
                    </w:rPr>
                  </w:pPr>
                  <w:r w:rsidRPr="00A55646">
                    <w:rPr>
                      <w:sz w:val="20"/>
                      <w:szCs w:val="20"/>
                    </w:rPr>
                    <w:t>2</w:t>
                  </w:r>
                </w:p>
              </w:tc>
              <w:tc>
                <w:tcPr>
                  <w:tcW w:w="1275" w:type="dxa"/>
                </w:tcPr>
                <w:p w14:paraId="27917F68" w14:textId="77777777" w:rsidR="00A97890" w:rsidRPr="00A55646" w:rsidRDefault="00A97890" w:rsidP="003C693C">
                  <w:pPr>
                    <w:spacing w:before="60" w:after="60"/>
                    <w:jc w:val="center"/>
                    <w:rPr>
                      <w:sz w:val="20"/>
                      <w:szCs w:val="20"/>
                    </w:rPr>
                  </w:pPr>
                  <w:r w:rsidRPr="00A55646">
                    <w:rPr>
                      <w:sz w:val="20"/>
                      <w:szCs w:val="20"/>
                    </w:rPr>
                    <w:t>07/01/20</w:t>
                  </w:r>
                </w:p>
              </w:tc>
              <w:tc>
                <w:tcPr>
                  <w:tcW w:w="1418" w:type="dxa"/>
                </w:tcPr>
                <w:p w14:paraId="13D192EC" w14:textId="77777777" w:rsidR="00A97890" w:rsidRPr="00A55646" w:rsidRDefault="00A97890" w:rsidP="003C693C">
                  <w:pPr>
                    <w:spacing w:before="60" w:after="60"/>
                    <w:jc w:val="center"/>
                    <w:rPr>
                      <w:sz w:val="20"/>
                      <w:szCs w:val="20"/>
                    </w:rPr>
                  </w:pPr>
                  <w:r w:rsidRPr="00A55646">
                    <w:rPr>
                      <w:sz w:val="20"/>
                      <w:szCs w:val="20"/>
                    </w:rPr>
                    <w:t>14/01/20</w:t>
                  </w:r>
                </w:p>
              </w:tc>
              <w:tc>
                <w:tcPr>
                  <w:tcW w:w="1701" w:type="dxa"/>
                </w:tcPr>
                <w:p w14:paraId="69FE2EEA" w14:textId="77777777" w:rsidR="00A97890" w:rsidRPr="00A55646" w:rsidRDefault="00A97890" w:rsidP="003C693C">
                  <w:pPr>
                    <w:spacing w:before="60" w:after="60"/>
                    <w:jc w:val="center"/>
                    <w:rPr>
                      <w:sz w:val="20"/>
                      <w:szCs w:val="20"/>
                    </w:rPr>
                  </w:pPr>
                  <w:r w:rsidRPr="00A55646">
                    <w:rPr>
                      <w:sz w:val="20"/>
                      <w:szCs w:val="20"/>
                    </w:rPr>
                    <w:t>1</w:t>
                  </w:r>
                  <w:r>
                    <w:rPr>
                      <w:sz w:val="20"/>
                      <w:szCs w:val="20"/>
                    </w:rPr>
                    <w:t>7</w:t>
                  </w:r>
                  <w:r w:rsidRPr="00A55646">
                    <w:rPr>
                      <w:sz w:val="20"/>
                      <w:szCs w:val="20"/>
                    </w:rPr>
                    <w:t>/01/20</w:t>
                  </w:r>
                </w:p>
              </w:tc>
              <w:tc>
                <w:tcPr>
                  <w:tcW w:w="1701" w:type="dxa"/>
                </w:tcPr>
                <w:p w14:paraId="575AB646" w14:textId="77777777" w:rsidR="00A97890" w:rsidRPr="00A55646" w:rsidRDefault="00A97890" w:rsidP="003C693C">
                  <w:pPr>
                    <w:spacing w:before="60" w:after="60"/>
                    <w:jc w:val="center"/>
                    <w:rPr>
                      <w:b/>
                      <w:sz w:val="20"/>
                      <w:szCs w:val="20"/>
                    </w:rPr>
                  </w:pPr>
                  <w:r>
                    <w:rPr>
                      <w:b/>
                      <w:sz w:val="20"/>
                      <w:szCs w:val="20"/>
                    </w:rPr>
                    <w:t>3</w:t>
                  </w:r>
                </w:p>
              </w:tc>
            </w:tr>
            <w:tr w:rsidR="00A97890" w:rsidRPr="00A55646" w14:paraId="05058638" w14:textId="77777777" w:rsidTr="003C693C">
              <w:tc>
                <w:tcPr>
                  <w:tcW w:w="931" w:type="dxa"/>
                </w:tcPr>
                <w:p w14:paraId="464E58FB" w14:textId="77777777" w:rsidR="00A97890" w:rsidRPr="00A55646" w:rsidRDefault="00A97890" w:rsidP="003C693C">
                  <w:pPr>
                    <w:spacing w:before="60" w:after="60"/>
                    <w:jc w:val="center"/>
                    <w:rPr>
                      <w:sz w:val="20"/>
                      <w:szCs w:val="20"/>
                    </w:rPr>
                  </w:pPr>
                  <w:r w:rsidRPr="00A55646">
                    <w:rPr>
                      <w:sz w:val="20"/>
                      <w:szCs w:val="20"/>
                    </w:rPr>
                    <w:t>3</w:t>
                  </w:r>
                </w:p>
              </w:tc>
              <w:tc>
                <w:tcPr>
                  <w:tcW w:w="1275" w:type="dxa"/>
                </w:tcPr>
                <w:p w14:paraId="46B881D4" w14:textId="77777777" w:rsidR="00A97890" w:rsidRPr="00A55646" w:rsidRDefault="00A97890" w:rsidP="003C693C">
                  <w:pPr>
                    <w:spacing w:before="60" w:after="60"/>
                    <w:jc w:val="center"/>
                    <w:rPr>
                      <w:sz w:val="20"/>
                      <w:szCs w:val="20"/>
                    </w:rPr>
                  </w:pPr>
                  <w:r w:rsidRPr="00A55646">
                    <w:rPr>
                      <w:sz w:val="20"/>
                      <w:szCs w:val="20"/>
                    </w:rPr>
                    <w:t>29/01/20</w:t>
                  </w:r>
                </w:p>
              </w:tc>
              <w:tc>
                <w:tcPr>
                  <w:tcW w:w="1418" w:type="dxa"/>
                </w:tcPr>
                <w:p w14:paraId="2F598A64" w14:textId="77777777" w:rsidR="00A97890" w:rsidRPr="00A55646" w:rsidRDefault="00A97890" w:rsidP="003C693C">
                  <w:pPr>
                    <w:spacing w:before="60" w:after="60"/>
                    <w:jc w:val="center"/>
                    <w:rPr>
                      <w:sz w:val="20"/>
                      <w:szCs w:val="20"/>
                    </w:rPr>
                  </w:pPr>
                  <w:r w:rsidRPr="00A55646">
                    <w:rPr>
                      <w:sz w:val="20"/>
                      <w:szCs w:val="20"/>
                    </w:rPr>
                    <w:t>02/02/20</w:t>
                  </w:r>
                </w:p>
              </w:tc>
              <w:tc>
                <w:tcPr>
                  <w:tcW w:w="1701" w:type="dxa"/>
                </w:tcPr>
                <w:p w14:paraId="191EF925" w14:textId="77777777" w:rsidR="00A97890" w:rsidRPr="00A55646" w:rsidRDefault="00A97890" w:rsidP="003C693C">
                  <w:pPr>
                    <w:spacing w:before="60" w:after="60"/>
                    <w:jc w:val="center"/>
                    <w:rPr>
                      <w:sz w:val="20"/>
                      <w:szCs w:val="20"/>
                    </w:rPr>
                  </w:pPr>
                  <w:r w:rsidRPr="00A55646">
                    <w:rPr>
                      <w:sz w:val="20"/>
                      <w:szCs w:val="20"/>
                    </w:rPr>
                    <w:t>02/02/20</w:t>
                  </w:r>
                </w:p>
              </w:tc>
              <w:tc>
                <w:tcPr>
                  <w:tcW w:w="1701" w:type="dxa"/>
                </w:tcPr>
                <w:p w14:paraId="5448B99C" w14:textId="77777777" w:rsidR="00A97890" w:rsidRPr="00A55646" w:rsidRDefault="00A97890" w:rsidP="003C693C">
                  <w:pPr>
                    <w:spacing w:before="60" w:after="60"/>
                    <w:jc w:val="center"/>
                    <w:rPr>
                      <w:b/>
                      <w:sz w:val="20"/>
                      <w:szCs w:val="20"/>
                    </w:rPr>
                  </w:pPr>
                  <w:r w:rsidRPr="00A55646">
                    <w:rPr>
                      <w:b/>
                      <w:sz w:val="20"/>
                      <w:szCs w:val="20"/>
                    </w:rPr>
                    <w:t>0</w:t>
                  </w:r>
                </w:p>
              </w:tc>
            </w:tr>
          </w:tbl>
          <w:p w14:paraId="3FFABF14" w14:textId="77777777" w:rsidR="00A97890" w:rsidRPr="00A55646" w:rsidRDefault="00A97890" w:rsidP="003C693C">
            <w:pPr>
              <w:rPr>
                <w:sz w:val="20"/>
                <w:szCs w:val="20"/>
              </w:rPr>
            </w:pPr>
          </w:p>
        </w:tc>
      </w:tr>
      <w:tr w:rsidR="00A97890" w:rsidRPr="009E0CF5" w14:paraId="405B95EF" w14:textId="77777777" w:rsidTr="002C2D99">
        <w:tc>
          <w:tcPr>
            <w:tcW w:w="1650" w:type="dxa"/>
            <w:shd w:val="clear" w:color="auto" w:fill="BFBFBF" w:themeFill="background1" w:themeFillShade="BF"/>
          </w:tcPr>
          <w:p w14:paraId="22B2AE99" w14:textId="77777777" w:rsidR="00A97890" w:rsidRPr="009E0CF5" w:rsidRDefault="00A97890" w:rsidP="003C693C">
            <w:pPr>
              <w:rPr>
                <w:b/>
                <w:sz w:val="20"/>
                <w:szCs w:val="20"/>
              </w:rPr>
            </w:pPr>
            <w:r>
              <w:rPr>
                <w:b/>
                <w:sz w:val="20"/>
                <w:szCs w:val="20"/>
              </w:rPr>
              <w:lastRenderedPageBreak/>
              <w:t>Who Reports?</w:t>
            </w:r>
          </w:p>
        </w:tc>
        <w:tc>
          <w:tcPr>
            <w:tcW w:w="7416" w:type="dxa"/>
            <w:vAlign w:val="center"/>
          </w:tcPr>
          <w:p w14:paraId="3BE0F674" w14:textId="77777777" w:rsidR="00A97890" w:rsidRPr="009E0CF5" w:rsidRDefault="00A97890" w:rsidP="003C693C">
            <w:pPr>
              <w:tabs>
                <w:tab w:val="left" w:pos="1716"/>
              </w:tabs>
              <w:jc w:val="left"/>
              <w:rPr>
                <w:sz w:val="20"/>
                <w:szCs w:val="20"/>
              </w:rPr>
            </w:pPr>
            <w:r w:rsidRPr="00EB5276">
              <w:rPr>
                <w:sz w:val="20"/>
                <w:szCs w:val="20"/>
              </w:rPr>
              <w:t>The Contractor</w:t>
            </w:r>
          </w:p>
        </w:tc>
      </w:tr>
      <w:tr w:rsidR="00A97890" w:rsidRPr="009E0CF5" w14:paraId="240B6A8E" w14:textId="77777777" w:rsidTr="002C2D99">
        <w:tc>
          <w:tcPr>
            <w:tcW w:w="1650" w:type="dxa"/>
            <w:shd w:val="clear" w:color="auto" w:fill="BFBFBF" w:themeFill="background1" w:themeFillShade="BF"/>
          </w:tcPr>
          <w:p w14:paraId="1493CAD8" w14:textId="77777777" w:rsidR="00A97890" w:rsidRPr="009E0CF5" w:rsidRDefault="00A97890" w:rsidP="003C693C">
            <w:pPr>
              <w:rPr>
                <w:b/>
                <w:sz w:val="20"/>
                <w:szCs w:val="20"/>
              </w:rPr>
            </w:pPr>
            <w:r>
              <w:rPr>
                <w:b/>
                <w:sz w:val="20"/>
                <w:szCs w:val="20"/>
              </w:rPr>
              <w:t>Monitoring Frequency</w:t>
            </w:r>
          </w:p>
        </w:tc>
        <w:tc>
          <w:tcPr>
            <w:tcW w:w="7416" w:type="dxa"/>
            <w:vAlign w:val="center"/>
          </w:tcPr>
          <w:p w14:paraId="04D96BDB" w14:textId="77777777" w:rsidR="00A97890" w:rsidRPr="009E0CF5" w:rsidRDefault="00A97890" w:rsidP="003C693C">
            <w:pPr>
              <w:jc w:val="left"/>
              <w:rPr>
                <w:sz w:val="20"/>
                <w:szCs w:val="20"/>
              </w:rPr>
            </w:pPr>
            <w:r w:rsidRPr="00EB5276">
              <w:rPr>
                <w:sz w:val="20"/>
                <w:szCs w:val="20"/>
              </w:rPr>
              <w:t>Monthly</w:t>
            </w:r>
          </w:p>
        </w:tc>
      </w:tr>
      <w:tr w:rsidR="00A97890" w:rsidRPr="009E0CF5" w14:paraId="7B3CEA58" w14:textId="77777777" w:rsidTr="002C2D99">
        <w:tc>
          <w:tcPr>
            <w:tcW w:w="9066" w:type="dxa"/>
            <w:gridSpan w:val="2"/>
            <w:shd w:val="clear" w:color="auto" w:fill="BFBFBF" w:themeFill="background1" w:themeFillShade="BF"/>
          </w:tcPr>
          <w:p w14:paraId="4129CA26" w14:textId="77777777" w:rsidR="00A97890" w:rsidRPr="009E0CF5" w:rsidRDefault="00A97890" w:rsidP="003C693C">
            <w:pPr>
              <w:jc w:val="center"/>
              <w:rPr>
                <w:b/>
                <w:sz w:val="24"/>
                <w:szCs w:val="24"/>
              </w:rPr>
            </w:pPr>
            <w:r w:rsidRPr="009E0CF5">
              <w:rPr>
                <w:b/>
                <w:sz w:val="24"/>
                <w:szCs w:val="24"/>
              </w:rPr>
              <w:t>PI 0</w:t>
            </w:r>
            <w:r>
              <w:rPr>
                <w:b/>
                <w:sz w:val="24"/>
                <w:szCs w:val="24"/>
              </w:rPr>
              <w:t>1</w:t>
            </w:r>
            <w:r w:rsidRPr="009E0CF5">
              <w:rPr>
                <w:b/>
                <w:sz w:val="24"/>
                <w:szCs w:val="24"/>
              </w:rPr>
              <w:t>: Performance Table</w:t>
            </w:r>
          </w:p>
        </w:tc>
      </w:tr>
      <w:tr w:rsidR="00A97890" w:rsidRPr="009E0CF5" w14:paraId="61EDBEB7" w14:textId="77777777" w:rsidTr="002C2D99">
        <w:tc>
          <w:tcPr>
            <w:tcW w:w="1650" w:type="dxa"/>
            <w:shd w:val="clear" w:color="auto" w:fill="BFBFBF" w:themeFill="background1" w:themeFillShade="BF"/>
            <w:vAlign w:val="center"/>
          </w:tcPr>
          <w:p w14:paraId="6AF72A4D" w14:textId="77777777" w:rsidR="00A97890" w:rsidRPr="009E0CF5" w:rsidRDefault="00A97890" w:rsidP="003C693C">
            <w:pPr>
              <w:jc w:val="center"/>
              <w:rPr>
                <w:b/>
                <w:sz w:val="20"/>
                <w:szCs w:val="20"/>
              </w:rPr>
            </w:pPr>
            <w:r w:rsidRPr="009E0CF5">
              <w:rPr>
                <w:b/>
                <w:sz w:val="20"/>
                <w:szCs w:val="20"/>
              </w:rPr>
              <w:t>Performance Band</w:t>
            </w:r>
          </w:p>
        </w:tc>
        <w:tc>
          <w:tcPr>
            <w:tcW w:w="7416" w:type="dxa"/>
            <w:shd w:val="clear" w:color="auto" w:fill="BFBFBF" w:themeFill="background1" w:themeFillShade="BF"/>
            <w:vAlign w:val="center"/>
          </w:tcPr>
          <w:p w14:paraId="271EC163" w14:textId="77777777" w:rsidR="00A97890" w:rsidRPr="009E0CF5" w:rsidRDefault="00A97890" w:rsidP="003C693C">
            <w:pPr>
              <w:jc w:val="center"/>
              <w:rPr>
                <w:b/>
                <w:sz w:val="20"/>
                <w:szCs w:val="20"/>
              </w:rPr>
            </w:pPr>
            <w:r>
              <w:rPr>
                <w:b/>
                <w:sz w:val="20"/>
                <w:szCs w:val="20"/>
              </w:rPr>
              <w:t xml:space="preserve">Overall Monthly Performance Rating </w:t>
            </w:r>
          </w:p>
        </w:tc>
      </w:tr>
      <w:tr w:rsidR="00A97890" w:rsidRPr="009E0CF5" w14:paraId="11924595" w14:textId="77777777" w:rsidTr="002C2D99">
        <w:tc>
          <w:tcPr>
            <w:tcW w:w="1650" w:type="dxa"/>
            <w:shd w:val="clear" w:color="auto" w:fill="00B050"/>
            <w:vAlign w:val="center"/>
          </w:tcPr>
          <w:p w14:paraId="78BA64D1" w14:textId="77777777" w:rsidR="00A97890" w:rsidRDefault="00A97890" w:rsidP="003C693C">
            <w:pPr>
              <w:jc w:val="center"/>
              <w:rPr>
                <w:b/>
                <w:sz w:val="20"/>
                <w:szCs w:val="20"/>
              </w:rPr>
            </w:pPr>
            <w:r w:rsidRPr="00347E51">
              <w:rPr>
                <w:b/>
                <w:sz w:val="20"/>
                <w:szCs w:val="20"/>
              </w:rPr>
              <w:t>GREEN</w:t>
            </w:r>
          </w:p>
        </w:tc>
        <w:tc>
          <w:tcPr>
            <w:tcW w:w="7416" w:type="dxa"/>
            <w:vAlign w:val="center"/>
          </w:tcPr>
          <w:p w14:paraId="21BAAD2C" w14:textId="137309D9" w:rsidR="00A97890" w:rsidRPr="00FD26B8" w:rsidRDefault="00191099" w:rsidP="003C693C">
            <w:pPr>
              <w:jc w:val="center"/>
              <w:rPr>
                <w:sz w:val="20"/>
                <w:szCs w:val="20"/>
              </w:rPr>
            </w:pPr>
            <w:r>
              <w:rPr>
                <w:color w:val="000000"/>
                <w:sz w:val="18"/>
                <w:szCs w:val="18"/>
                <w:lang w:eastAsia="en-GB"/>
              </w:rPr>
              <w:t>85% or greater than 85%</w:t>
            </w:r>
          </w:p>
        </w:tc>
      </w:tr>
      <w:tr w:rsidR="00A97890" w:rsidRPr="009E0CF5" w14:paraId="21889B88" w14:textId="77777777" w:rsidTr="002C2D99">
        <w:tc>
          <w:tcPr>
            <w:tcW w:w="1650" w:type="dxa"/>
            <w:shd w:val="clear" w:color="auto" w:fill="FFC000"/>
            <w:vAlign w:val="center"/>
          </w:tcPr>
          <w:p w14:paraId="33841B61" w14:textId="77777777" w:rsidR="00A97890" w:rsidRDefault="00A97890" w:rsidP="003C693C">
            <w:pPr>
              <w:jc w:val="center"/>
              <w:rPr>
                <w:b/>
                <w:sz w:val="20"/>
                <w:szCs w:val="20"/>
              </w:rPr>
            </w:pPr>
            <w:r w:rsidRPr="00347E51">
              <w:rPr>
                <w:b/>
                <w:sz w:val="20"/>
                <w:szCs w:val="20"/>
              </w:rPr>
              <w:t>AMBER</w:t>
            </w:r>
          </w:p>
        </w:tc>
        <w:tc>
          <w:tcPr>
            <w:tcW w:w="7416" w:type="dxa"/>
            <w:vAlign w:val="center"/>
          </w:tcPr>
          <w:p w14:paraId="6E1B1F31" w14:textId="762162F8" w:rsidR="00A97890" w:rsidRPr="00FD26B8" w:rsidRDefault="00191099" w:rsidP="003C693C">
            <w:pPr>
              <w:jc w:val="center"/>
              <w:rPr>
                <w:sz w:val="20"/>
                <w:szCs w:val="20"/>
              </w:rPr>
            </w:pPr>
            <w:r>
              <w:rPr>
                <w:color w:val="000000"/>
                <w:sz w:val="18"/>
                <w:szCs w:val="18"/>
                <w:lang w:eastAsia="en-GB"/>
              </w:rPr>
              <w:t>Less than 85% but greater than 82.5%</w:t>
            </w:r>
          </w:p>
        </w:tc>
      </w:tr>
      <w:tr w:rsidR="00A97890" w:rsidRPr="009E0CF5" w14:paraId="78670FD1" w14:textId="77777777" w:rsidTr="002C2D99">
        <w:tc>
          <w:tcPr>
            <w:tcW w:w="1650" w:type="dxa"/>
            <w:shd w:val="clear" w:color="auto" w:fill="FFC000"/>
            <w:vAlign w:val="center"/>
          </w:tcPr>
          <w:p w14:paraId="10C36648" w14:textId="77777777" w:rsidR="00A97890" w:rsidRDefault="00A97890" w:rsidP="003C693C">
            <w:pPr>
              <w:jc w:val="center"/>
              <w:rPr>
                <w:b/>
                <w:sz w:val="20"/>
                <w:szCs w:val="20"/>
              </w:rPr>
            </w:pPr>
            <w:r w:rsidRPr="00347E51">
              <w:rPr>
                <w:b/>
                <w:sz w:val="20"/>
                <w:szCs w:val="20"/>
              </w:rPr>
              <w:t>AMBER</w:t>
            </w:r>
          </w:p>
        </w:tc>
        <w:tc>
          <w:tcPr>
            <w:tcW w:w="7416" w:type="dxa"/>
          </w:tcPr>
          <w:p w14:paraId="3337A2A3" w14:textId="78090B3F" w:rsidR="00A97890" w:rsidRPr="00FD26B8" w:rsidRDefault="00191099" w:rsidP="003C693C">
            <w:pPr>
              <w:jc w:val="center"/>
              <w:rPr>
                <w:sz w:val="20"/>
                <w:szCs w:val="20"/>
              </w:rPr>
            </w:pPr>
            <w:r>
              <w:rPr>
                <w:color w:val="000000"/>
                <w:sz w:val="18"/>
                <w:szCs w:val="18"/>
                <w:lang w:eastAsia="en-GB"/>
              </w:rPr>
              <w:t>Less than or equal to 82.5% but greater than 80%</w:t>
            </w:r>
          </w:p>
        </w:tc>
      </w:tr>
      <w:tr w:rsidR="00191099" w:rsidRPr="009E0CF5" w14:paraId="31FDC23D" w14:textId="77777777" w:rsidTr="00191099">
        <w:tc>
          <w:tcPr>
            <w:tcW w:w="1650" w:type="dxa"/>
            <w:shd w:val="clear" w:color="auto" w:fill="FF0000"/>
            <w:vAlign w:val="center"/>
          </w:tcPr>
          <w:p w14:paraId="24D6C581" w14:textId="08655B2B" w:rsidR="00191099" w:rsidRDefault="00191099" w:rsidP="00191099">
            <w:pPr>
              <w:jc w:val="center"/>
              <w:rPr>
                <w:b/>
                <w:sz w:val="20"/>
                <w:szCs w:val="20"/>
              </w:rPr>
            </w:pPr>
            <w:r w:rsidRPr="00347E51">
              <w:rPr>
                <w:b/>
                <w:sz w:val="20"/>
                <w:szCs w:val="20"/>
              </w:rPr>
              <w:t>RED</w:t>
            </w:r>
          </w:p>
        </w:tc>
        <w:tc>
          <w:tcPr>
            <w:tcW w:w="7416" w:type="dxa"/>
          </w:tcPr>
          <w:p w14:paraId="5E63B403" w14:textId="0104EAEA" w:rsidR="00191099" w:rsidRPr="00FD26B8" w:rsidRDefault="00191099" w:rsidP="00191099">
            <w:pPr>
              <w:jc w:val="center"/>
              <w:rPr>
                <w:sz w:val="20"/>
                <w:szCs w:val="20"/>
              </w:rPr>
            </w:pPr>
            <w:r>
              <w:rPr>
                <w:color w:val="000000"/>
                <w:sz w:val="18"/>
                <w:szCs w:val="18"/>
                <w:lang w:eastAsia="en-GB"/>
              </w:rPr>
              <w:t>Less than or equal to 80% but greater than 77.5%</w:t>
            </w:r>
          </w:p>
        </w:tc>
      </w:tr>
      <w:tr w:rsidR="00191099" w:rsidRPr="009E0CF5" w14:paraId="7861FF16" w14:textId="77777777" w:rsidTr="00191099">
        <w:tc>
          <w:tcPr>
            <w:tcW w:w="1650" w:type="dxa"/>
            <w:shd w:val="clear" w:color="auto" w:fill="FF0000"/>
            <w:vAlign w:val="center"/>
          </w:tcPr>
          <w:p w14:paraId="6F116E42" w14:textId="18DC198B" w:rsidR="00191099" w:rsidRDefault="00191099" w:rsidP="00191099">
            <w:pPr>
              <w:jc w:val="center"/>
              <w:rPr>
                <w:b/>
                <w:sz w:val="20"/>
                <w:szCs w:val="20"/>
              </w:rPr>
            </w:pPr>
            <w:r w:rsidRPr="00347E51">
              <w:rPr>
                <w:b/>
                <w:sz w:val="20"/>
                <w:szCs w:val="20"/>
              </w:rPr>
              <w:t>RED</w:t>
            </w:r>
          </w:p>
        </w:tc>
        <w:tc>
          <w:tcPr>
            <w:tcW w:w="7416" w:type="dxa"/>
          </w:tcPr>
          <w:p w14:paraId="0ABFBA7D" w14:textId="0BD786F1" w:rsidR="00191099" w:rsidRPr="00FD26B8" w:rsidRDefault="00191099" w:rsidP="00191099">
            <w:pPr>
              <w:jc w:val="center"/>
              <w:rPr>
                <w:sz w:val="20"/>
                <w:szCs w:val="20"/>
              </w:rPr>
            </w:pPr>
            <w:r>
              <w:rPr>
                <w:color w:val="000000"/>
                <w:sz w:val="18"/>
                <w:szCs w:val="18"/>
                <w:lang w:eastAsia="en-GB"/>
              </w:rPr>
              <w:t>Less than or equal to 77.5% but greater than 75%</w:t>
            </w:r>
          </w:p>
        </w:tc>
      </w:tr>
      <w:tr w:rsidR="00191099" w:rsidRPr="009E0CF5" w14:paraId="50BFD2E8" w14:textId="77777777" w:rsidTr="00191099">
        <w:tc>
          <w:tcPr>
            <w:tcW w:w="1650" w:type="dxa"/>
            <w:shd w:val="clear" w:color="auto" w:fill="FF0000"/>
            <w:vAlign w:val="center"/>
          </w:tcPr>
          <w:p w14:paraId="6283D93D" w14:textId="1A783097" w:rsidR="00191099" w:rsidRDefault="00191099" w:rsidP="00191099">
            <w:pPr>
              <w:jc w:val="center"/>
              <w:rPr>
                <w:b/>
                <w:sz w:val="20"/>
                <w:szCs w:val="20"/>
              </w:rPr>
            </w:pPr>
            <w:r w:rsidRPr="00347E51">
              <w:rPr>
                <w:b/>
                <w:sz w:val="20"/>
                <w:szCs w:val="20"/>
              </w:rPr>
              <w:t>RED</w:t>
            </w:r>
          </w:p>
        </w:tc>
        <w:tc>
          <w:tcPr>
            <w:tcW w:w="7416" w:type="dxa"/>
          </w:tcPr>
          <w:p w14:paraId="7731E8E0" w14:textId="4B378F29" w:rsidR="00191099" w:rsidRPr="00FD26B8" w:rsidRDefault="00191099" w:rsidP="00191099">
            <w:pPr>
              <w:jc w:val="center"/>
              <w:rPr>
                <w:sz w:val="20"/>
                <w:szCs w:val="20"/>
              </w:rPr>
            </w:pPr>
            <w:r>
              <w:rPr>
                <w:color w:val="000000"/>
                <w:sz w:val="18"/>
                <w:szCs w:val="18"/>
                <w:lang w:eastAsia="en-GB"/>
              </w:rPr>
              <w:t>Less than or equal to 75% but greater than 72.5%</w:t>
            </w:r>
          </w:p>
        </w:tc>
      </w:tr>
      <w:tr w:rsidR="00191099" w:rsidRPr="009E0CF5" w14:paraId="47E90D3A" w14:textId="77777777" w:rsidTr="002C2D99">
        <w:tc>
          <w:tcPr>
            <w:tcW w:w="1650" w:type="dxa"/>
            <w:shd w:val="clear" w:color="auto" w:fill="FF0000"/>
            <w:vAlign w:val="center"/>
          </w:tcPr>
          <w:p w14:paraId="6A0B0018" w14:textId="77777777" w:rsidR="00191099" w:rsidRDefault="00191099" w:rsidP="00191099">
            <w:pPr>
              <w:jc w:val="center"/>
              <w:rPr>
                <w:b/>
                <w:sz w:val="20"/>
                <w:szCs w:val="20"/>
              </w:rPr>
            </w:pPr>
            <w:r w:rsidRPr="00347E51">
              <w:rPr>
                <w:b/>
                <w:sz w:val="20"/>
                <w:szCs w:val="20"/>
              </w:rPr>
              <w:t>RED</w:t>
            </w:r>
          </w:p>
        </w:tc>
        <w:tc>
          <w:tcPr>
            <w:tcW w:w="7416" w:type="dxa"/>
          </w:tcPr>
          <w:p w14:paraId="430F958D" w14:textId="698378C0" w:rsidR="00191099" w:rsidRPr="00FD26B8" w:rsidRDefault="00191099" w:rsidP="00191099">
            <w:pPr>
              <w:jc w:val="center"/>
              <w:rPr>
                <w:sz w:val="20"/>
                <w:szCs w:val="20"/>
              </w:rPr>
            </w:pPr>
            <w:r>
              <w:rPr>
                <w:color w:val="000000"/>
                <w:sz w:val="18"/>
                <w:szCs w:val="18"/>
                <w:lang w:eastAsia="en-GB"/>
              </w:rPr>
              <w:t>Less than or equal to 72.5% but greater than 70%</w:t>
            </w:r>
          </w:p>
        </w:tc>
      </w:tr>
      <w:tr w:rsidR="00191099" w:rsidRPr="009E0CF5" w14:paraId="2FD13FC4" w14:textId="77777777" w:rsidTr="002C2D99">
        <w:tc>
          <w:tcPr>
            <w:tcW w:w="1650" w:type="dxa"/>
            <w:shd w:val="clear" w:color="auto" w:fill="FF0000"/>
            <w:vAlign w:val="center"/>
          </w:tcPr>
          <w:p w14:paraId="52AD3D17" w14:textId="77777777" w:rsidR="00191099" w:rsidRDefault="00191099" w:rsidP="00191099">
            <w:pPr>
              <w:jc w:val="center"/>
              <w:rPr>
                <w:b/>
                <w:sz w:val="20"/>
                <w:szCs w:val="20"/>
              </w:rPr>
            </w:pPr>
            <w:r w:rsidRPr="00347E51">
              <w:rPr>
                <w:b/>
                <w:sz w:val="20"/>
                <w:szCs w:val="20"/>
              </w:rPr>
              <w:t>RED</w:t>
            </w:r>
          </w:p>
        </w:tc>
        <w:tc>
          <w:tcPr>
            <w:tcW w:w="7416" w:type="dxa"/>
          </w:tcPr>
          <w:p w14:paraId="5B0D7F15" w14:textId="6BE61EEE" w:rsidR="00191099" w:rsidRPr="00FD26B8" w:rsidRDefault="00191099" w:rsidP="00191099">
            <w:pPr>
              <w:jc w:val="center"/>
              <w:rPr>
                <w:sz w:val="20"/>
                <w:szCs w:val="20"/>
              </w:rPr>
            </w:pPr>
            <w:r>
              <w:rPr>
                <w:color w:val="000000"/>
                <w:sz w:val="18"/>
                <w:szCs w:val="18"/>
                <w:lang w:eastAsia="en-GB"/>
              </w:rPr>
              <w:t>Less than 70%</w:t>
            </w:r>
          </w:p>
        </w:tc>
      </w:tr>
    </w:tbl>
    <w:p w14:paraId="7943445D" w14:textId="77777777" w:rsidR="00A97890" w:rsidRDefault="00A97890" w:rsidP="00A97890">
      <w:pPr>
        <w:pStyle w:val="Heading2"/>
      </w:pPr>
    </w:p>
    <w:p w14:paraId="24A29454" w14:textId="4EAD59DB" w:rsidR="00782927" w:rsidRDefault="00782927">
      <w:pPr>
        <w:spacing w:before="0" w:after="160"/>
        <w:jc w:val="left"/>
      </w:pPr>
      <w:r>
        <w:br w:type="page"/>
      </w:r>
    </w:p>
    <w:p w14:paraId="3685AB60" w14:textId="77777777" w:rsidR="00A97890" w:rsidRDefault="00A97890" w:rsidP="00A97890">
      <w:pPr>
        <w:pStyle w:val="Heading1"/>
      </w:pPr>
      <w:bookmarkStart w:id="12" w:name="_Toc26952968"/>
      <w:bookmarkEnd w:id="9"/>
      <w:r>
        <w:lastRenderedPageBreak/>
        <w:t>02: ENGINE SUPPORT SERVICE</w:t>
      </w:r>
      <w:bookmarkEnd w:id="12"/>
    </w:p>
    <w:tbl>
      <w:tblPr>
        <w:tblStyle w:val="TableGrid"/>
        <w:tblW w:w="9066" w:type="dxa"/>
        <w:tblLook w:val="04A0" w:firstRow="1" w:lastRow="0" w:firstColumn="1" w:lastColumn="0" w:noHBand="0" w:noVBand="1"/>
      </w:tblPr>
      <w:tblGrid>
        <w:gridCol w:w="1650"/>
        <w:gridCol w:w="7416"/>
      </w:tblGrid>
      <w:tr w:rsidR="00A97890" w:rsidRPr="009E0CF5" w14:paraId="3433BE5A" w14:textId="77777777" w:rsidTr="003C693C">
        <w:tc>
          <w:tcPr>
            <w:tcW w:w="1650" w:type="dxa"/>
            <w:shd w:val="clear" w:color="auto" w:fill="BFBFBF" w:themeFill="background1" w:themeFillShade="BF"/>
          </w:tcPr>
          <w:p w14:paraId="410C57BE" w14:textId="046CE604" w:rsidR="00A97890" w:rsidRPr="009E0CF5" w:rsidRDefault="00A97890" w:rsidP="003C693C">
            <w:pPr>
              <w:rPr>
                <w:b/>
                <w:sz w:val="20"/>
                <w:szCs w:val="20"/>
              </w:rPr>
            </w:pPr>
            <w:r w:rsidRPr="009E0CF5">
              <w:rPr>
                <w:b/>
                <w:sz w:val="20"/>
                <w:szCs w:val="20"/>
              </w:rPr>
              <w:t>PI Number</w:t>
            </w:r>
          </w:p>
        </w:tc>
        <w:tc>
          <w:tcPr>
            <w:tcW w:w="7416" w:type="dxa"/>
            <w:vAlign w:val="center"/>
          </w:tcPr>
          <w:p w14:paraId="118EF402" w14:textId="77777777" w:rsidR="00A97890" w:rsidRPr="009E0CF5" w:rsidRDefault="00A97890" w:rsidP="003C693C">
            <w:pPr>
              <w:jc w:val="left"/>
              <w:rPr>
                <w:sz w:val="20"/>
                <w:szCs w:val="20"/>
              </w:rPr>
            </w:pPr>
            <w:r>
              <w:rPr>
                <w:b/>
                <w:sz w:val="20"/>
                <w:szCs w:val="20"/>
              </w:rPr>
              <w:t>02</w:t>
            </w:r>
          </w:p>
        </w:tc>
      </w:tr>
      <w:tr w:rsidR="00A97890" w:rsidRPr="009E0CF5" w14:paraId="795D6761" w14:textId="77777777" w:rsidTr="003C693C">
        <w:tc>
          <w:tcPr>
            <w:tcW w:w="1650" w:type="dxa"/>
            <w:shd w:val="clear" w:color="auto" w:fill="BFBFBF" w:themeFill="background1" w:themeFillShade="BF"/>
          </w:tcPr>
          <w:p w14:paraId="401A636E" w14:textId="77777777" w:rsidR="00A97890" w:rsidRPr="009E0CF5" w:rsidRDefault="00A97890" w:rsidP="003C693C">
            <w:pPr>
              <w:rPr>
                <w:b/>
                <w:sz w:val="20"/>
                <w:szCs w:val="20"/>
              </w:rPr>
            </w:pPr>
            <w:r w:rsidRPr="009E0CF5">
              <w:rPr>
                <w:b/>
                <w:sz w:val="20"/>
                <w:szCs w:val="20"/>
              </w:rPr>
              <w:t>Service Area</w:t>
            </w:r>
          </w:p>
        </w:tc>
        <w:tc>
          <w:tcPr>
            <w:tcW w:w="7416" w:type="dxa"/>
            <w:vAlign w:val="center"/>
          </w:tcPr>
          <w:p w14:paraId="4F65398B" w14:textId="77777777" w:rsidR="00A97890" w:rsidRPr="009E0CF5" w:rsidRDefault="00A97890" w:rsidP="003C693C">
            <w:pPr>
              <w:jc w:val="left"/>
              <w:rPr>
                <w:sz w:val="20"/>
                <w:szCs w:val="20"/>
              </w:rPr>
            </w:pPr>
            <w:r>
              <w:rPr>
                <w:sz w:val="20"/>
                <w:szCs w:val="20"/>
              </w:rPr>
              <w:t>Engine Support Service</w:t>
            </w:r>
          </w:p>
        </w:tc>
      </w:tr>
      <w:tr w:rsidR="00A97890" w:rsidRPr="009E0CF5" w14:paraId="4496473B" w14:textId="77777777" w:rsidTr="003C693C">
        <w:tc>
          <w:tcPr>
            <w:tcW w:w="1650" w:type="dxa"/>
            <w:shd w:val="clear" w:color="auto" w:fill="BFBFBF" w:themeFill="background1" w:themeFillShade="BF"/>
          </w:tcPr>
          <w:p w14:paraId="0F53E4EF" w14:textId="60C0E604" w:rsidR="00A97890" w:rsidRPr="009E0CF5" w:rsidRDefault="00A97890" w:rsidP="003C693C">
            <w:pPr>
              <w:rPr>
                <w:b/>
                <w:sz w:val="20"/>
                <w:szCs w:val="20"/>
              </w:rPr>
            </w:pPr>
            <w:r w:rsidRPr="009E0CF5">
              <w:rPr>
                <w:b/>
                <w:sz w:val="20"/>
                <w:szCs w:val="20"/>
              </w:rPr>
              <w:t>PI Descriptor</w:t>
            </w:r>
          </w:p>
        </w:tc>
        <w:tc>
          <w:tcPr>
            <w:tcW w:w="7416" w:type="dxa"/>
            <w:vAlign w:val="center"/>
          </w:tcPr>
          <w:p w14:paraId="20825F7F" w14:textId="77777777" w:rsidR="00A97890" w:rsidRPr="009E0CF5" w:rsidRDefault="00A97890" w:rsidP="003C693C">
            <w:pPr>
              <w:jc w:val="left"/>
              <w:rPr>
                <w:sz w:val="20"/>
                <w:szCs w:val="20"/>
              </w:rPr>
            </w:pPr>
            <w:r w:rsidRPr="00B77A68">
              <w:rPr>
                <w:sz w:val="20"/>
                <w:szCs w:val="20"/>
              </w:rPr>
              <w:t xml:space="preserve">Performance will be measured by the Contractor’s ability to </w:t>
            </w:r>
            <w:r>
              <w:rPr>
                <w:sz w:val="20"/>
                <w:szCs w:val="20"/>
              </w:rPr>
              <w:t xml:space="preserve">provide monthly engine performance reports and respond to technical queries in a timely fashion. </w:t>
            </w:r>
          </w:p>
        </w:tc>
      </w:tr>
      <w:tr w:rsidR="00A97890" w:rsidRPr="009E0CF5" w14:paraId="00B623FD" w14:textId="77777777" w:rsidTr="003C693C">
        <w:tc>
          <w:tcPr>
            <w:tcW w:w="1650" w:type="dxa"/>
            <w:shd w:val="clear" w:color="auto" w:fill="BFBFBF" w:themeFill="background1" w:themeFillShade="BF"/>
          </w:tcPr>
          <w:p w14:paraId="54376FD5" w14:textId="77777777" w:rsidR="00A97890" w:rsidRPr="009E0CF5" w:rsidRDefault="00A97890" w:rsidP="003C693C">
            <w:pPr>
              <w:rPr>
                <w:b/>
                <w:sz w:val="20"/>
                <w:szCs w:val="20"/>
              </w:rPr>
            </w:pPr>
            <w:r w:rsidRPr="009E0CF5">
              <w:rPr>
                <w:b/>
                <w:sz w:val="20"/>
                <w:szCs w:val="20"/>
              </w:rPr>
              <w:t>Incidence Measure</w:t>
            </w:r>
          </w:p>
        </w:tc>
        <w:tc>
          <w:tcPr>
            <w:tcW w:w="7416" w:type="dxa"/>
            <w:vAlign w:val="center"/>
          </w:tcPr>
          <w:p w14:paraId="6DCA3091" w14:textId="77777777" w:rsidR="00A97890" w:rsidRPr="009E0CF5" w:rsidRDefault="00A97890" w:rsidP="003C693C">
            <w:pPr>
              <w:jc w:val="left"/>
              <w:rPr>
                <w:sz w:val="20"/>
                <w:szCs w:val="20"/>
              </w:rPr>
            </w:pPr>
            <w:r>
              <w:rPr>
                <w:sz w:val="20"/>
                <w:szCs w:val="20"/>
              </w:rPr>
              <w:t>Timely responses to engine technical queries and delivery of monthly engine data analysis reports together with access to engine technical publications. Delivery of a Maintenance, Repair &amp; Overhaul (MRO) capability as required</w:t>
            </w:r>
          </w:p>
        </w:tc>
      </w:tr>
      <w:tr w:rsidR="00A97890" w:rsidRPr="009E0CF5" w14:paraId="0AD08803" w14:textId="77777777" w:rsidTr="003C693C">
        <w:tc>
          <w:tcPr>
            <w:tcW w:w="1650" w:type="dxa"/>
            <w:shd w:val="clear" w:color="auto" w:fill="BFBFBF" w:themeFill="background1" w:themeFillShade="BF"/>
          </w:tcPr>
          <w:p w14:paraId="668F5762" w14:textId="77777777" w:rsidR="00A97890" w:rsidRPr="009E0CF5" w:rsidRDefault="00A97890" w:rsidP="003C693C">
            <w:pPr>
              <w:rPr>
                <w:b/>
                <w:sz w:val="20"/>
                <w:szCs w:val="20"/>
              </w:rPr>
            </w:pPr>
            <w:r w:rsidRPr="009E0CF5">
              <w:rPr>
                <w:b/>
                <w:sz w:val="20"/>
                <w:szCs w:val="20"/>
              </w:rPr>
              <w:t>Description</w:t>
            </w:r>
          </w:p>
        </w:tc>
        <w:tc>
          <w:tcPr>
            <w:tcW w:w="7416" w:type="dxa"/>
          </w:tcPr>
          <w:p w14:paraId="24182678" w14:textId="77777777" w:rsidR="00A97890" w:rsidRDefault="00A97890" w:rsidP="003C693C">
            <w:pPr>
              <w:spacing w:before="0" w:after="0"/>
              <w:rPr>
                <w:sz w:val="20"/>
                <w:szCs w:val="20"/>
              </w:rPr>
            </w:pPr>
            <w:r>
              <w:rPr>
                <w:sz w:val="20"/>
                <w:szCs w:val="20"/>
              </w:rPr>
              <w:t>1) The Contractor shall respond to engine technical queries at the earliest opportunity, but within 1 day for acknowledgement, and no more than 3 days for a full response. It is noted that timings may vary due to the complexity of the issue.</w:t>
            </w:r>
          </w:p>
          <w:p w14:paraId="08248DDC" w14:textId="229B1030" w:rsidR="00A97890" w:rsidRDefault="00E166BA" w:rsidP="003C693C">
            <w:pPr>
              <w:rPr>
                <w:sz w:val="20"/>
                <w:szCs w:val="20"/>
              </w:rPr>
            </w:pPr>
            <w:r>
              <w:rPr>
                <w:sz w:val="20"/>
                <w:szCs w:val="20"/>
              </w:rPr>
              <w:t>2</w:t>
            </w:r>
            <w:r w:rsidR="00A97890">
              <w:rPr>
                <w:sz w:val="20"/>
                <w:szCs w:val="20"/>
              </w:rPr>
              <w:t>)The Contractor shall provide monthly engine data analysis reports within 5 working days from the last working day of the month.</w:t>
            </w:r>
            <w:r w:rsidR="00A97890">
              <w:t xml:space="preserve"> </w:t>
            </w:r>
            <w:r w:rsidR="00A97890" w:rsidRPr="00BE3402">
              <w:rPr>
                <w:sz w:val="20"/>
                <w:szCs w:val="20"/>
              </w:rPr>
              <w:t>This report will have the necessary information to determine engine performance and identify precursors to potential component failures to inform the Authority’s decisions on operational and maintenance plans.</w:t>
            </w:r>
          </w:p>
          <w:p w14:paraId="7D62F88D" w14:textId="3E591D02" w:rsidR="00A97890" w:rsidRDefault="00E166BA" w:rsidP="003C693C">
            <w:pPr>
              <w:rPr>
                <w:sz w:val="20"/>
                <w:szCs w:val="20"/>
              </w:rPr>
            </w:pPr>
            <w:r>
              <w:rPr>
                <w:sz w:val="20"/>
                <w:szCs w:val="20"/>
              </w:rPr>
              <w:t>3</w:t>
            </w:r>
            <w:r w:rsidR="00A97890">
              <w:rPr>
                <w:sz w:val="20"/>
                <w:szCs w:val="20"/>
              </w:rPr>
              <w:t>) The Contractor shall provide access to engine technical publications, Service Bulletins, Technical Directives and engine</w:t>
            </w:r>
            <w:r w:rsidR="00A97890" w:rsidRPr="00877FBD">
              <w:rPr>
                <w:sz w:val="20"/>
                <w:szCs w:val="20"/>
              </w:rPr>
              <w:t xml:space="preserve"> power plant build up tre</w:t>
            </w:r>
            <w:r w:rsidR="00B120A2">
              <w:rPr>
                <w:sz w:val="20"/>
                <w:szCs w:val="20"/>
              </w:rPr>
              <w:t>e</w:t>
            </w:r>
            <w:r w:rsidR="00A97890" w:rsidRPr="00877FBD">
              <w:rPr>
                <w:sz w:val="20"/>
                <w:szCs w:val="20"/>
              </w:rPr>
              <w:t>s</w:t>
            </w:r>
            <w:r w:rsidR="00A97890">
              <w:rPr>
                <w:sz w:val="20"/>
                <w:szCs w:val="20"/>
              </w:rPr>
              <w:t xml:space="preserve"> within </w:t>
            </w:r>
            <w:r w:rsidRPr="00900734">
              <w:rPr>
                <w:b/>
                <w:sz w:val="20"/>
                <w:szCs w:val="20"/>
              </w:rPr>
              <w:t>[TBC post contract award]</w:t>
            </w:r>
            <w:r>
              <w:rPr>
                <w:sz w:val="20"/>
                <w:szCs w:val="20"/>
              </w:rPr>
              <w:t xml:space="preserve"> </w:t>
            </w:r>
            <w:r w:rsidR="00A97890">
              <w:rPr>
                <w:sz w:val="20"/>
                <w:szCs w:val="20"/>
              </w:rPr>
              <w:t>hours of request.</w:t>
            </w:r>
          </w:p>
          <w:p w14:paraId="58E62BF0" w14:textId="79DC78B4" w:rsidR="00A97890" w:rsidRPr="00A55646" w:rsidRDefault="00E166BA" w:rsidP="003C693C">
            <w:pPr>
              <w:rPr>
                <w:sz w:val="20"/>
                <w:szCs w:val="20"/>
              </w:rPr>
            </w:pPr>
            <w:r>
              <w:rPr>
                <w:sz w:val="20"/>
                <w:szCs w:val="20"/>
              </w:rPr>
              <w:t>4</w:t>
            </w:r>
            <w:r w:rsidR="00A97890">
              <w:rPr>
                <w:sz w:val="20"/>
                <w:szCs w:val="20"/>
              </w:rPr>
              <w:t>) The Contractor shall repair and overhaul engines when required, in accordance with the agreed timescale in each case.</w:t>
            </w:r>
          </w:p>
          <w:p w14:paraId="113073A0" w14:textId="28176671" w:rsidR="00A97890" w:rsidRPr="00A55646" w:rsidRDefault="00E166BA" w:rsidP="003C693C">
            <w:pPr>
              <w:rPr>
                <w:sz w:val="20"/>
                <w:szCs w:val="20"/>
              </w:rPr>
            </w:pPr>
            <w:r>
              <w:rPr>
                <w:sz w:val="20"/>
                <w:szCs w:val="20"/>
              </w:rPr>
              <w:t>5</w:t>
            </w:r>
            <w:r w:rsidR="00A97890">
              <w:rPr>
                <w:sz w:val="20"/>
                <w:szCs w:val="20"/>
              </w:rPr>
              <w:t xml:space="preserve">) The contractor shall provision </w:t>
            </w:r>
            <w:r w:rsidR="00A97890" w:rsidRPr="00857446">
              <w:rPr>
                <w:sz w:val="20"/>
                <w:szCs w:val="20"/>
              </w:rPr>
              <w:t>CFM56-7B engines</w:t>
            </w:r>
            <w:r w:rsidR="00A97890">
              <w:rPr>
                <w:sz w:val="20"/>
                <w:szCs w:val="20"/>
              </w:rPr>
              <w:t xml:space="preserve"> spares measured against PI 01.</w:t>
            </w:r>
          </w:p>
        </w:tc>
      </w:tr>
      <w:tr w:rsidR="00A97890" w:rsidRPr="009E0CF5" w14:paraId="107AF721" w14:textId="77777777" w:rsidTr="003C693C">
        <w:tc>
          <w:tcPr>
            <w:tcW w:w="1650" w:type="dxa"/>
            <w:shd w:val="clear" w:color="auto" w:fill="BFBFBF" w:themeFill="background1" w:themeFillShade="BF"/>
          </w:tcPr>
          <w:p w14:paraId="7CFE881E" w14:textId="77777777" w:rsidR="00A97890" w:rsidRPr="009E0CF5" w:rsidRDefault="00A97890" w:rsidP="003C693C">
            <w:pPr>
              <w:rPr>
                <w:b/>
                <w:sz w:val="20"/>
                <w:szCs w:val="20"/>
              </w:rPr>
            </w:pPr>
            <w:r>
              <w:rPr>
                <w:b/>
                <w:sz w:val="20"/>
                <w:szCs w:val="20"/>
              </w:rPr>
              <w:t>Who Reports?</w:t>
            </w:r>
          </w:p>
        </w:tc>
        <w:tc>
          <w:tcPr>
            <w:tcW w:w="7416" w:type="dxa"/>
            <w:vAlign w:val="center"/>
          </w:tcPr>
          <w:p w14:paraId="4BB8ED78" w14:textId="77777777" w:rsidR="00A97890" w:rsidRPr="009E0CF5" w:rsidRDefault="00A97890" w:rsidP="003C693C">
            <w:pPr>
              <w:tabs>
                <w:tab w:val="left" w:pos="1716"/>
              </w:tabs>
              <w:jc w:val="left"/>
              <w:rPr>
                <w:sz w:val="20"/>
                <w:szCs w:val="20"/>
              </w:rPr>
            </w:pPr>
            <w:r w:rsidRPr="00EB5276">
              <w:rPr>
                <w:sz w:val="20"/>
                <w:szCs w:val="20"/>
              </w:rPr>
              <w:t>The Contractor</w:t>
            </w:r>
          </w:p>
        </w:tc>
      </w:tr>
      <w:tr w:rsidR="00A97890" w:rsidRPr="009E0CF5" w14:paraId="6AEBF349" w14:textId="77777777" w:rsidTr="003C693C">
        <w:tc>
          <w:tcPr>
            <w:tcW w:w="1650" w:type="dxa"/>
            <w:shd w:val="clear" w:color="auto" w:fill="BFBFBF" w:themeFill="background1" w:themeFillShade="BF"/>
          </w:tcPr>
          <w:p w14:paraId="58675AFE" w14:textId="77777777" w:rsidR="00A97890" w:rsidRPr="009E0CF5" w:rsidRDefault="00A97890" w:rsidP="003C693C">
            <w:pPr>
              <w:rPr>
                <w:b/>
                <w:sz w:val="20"/>
                <w:szCs w:val="20"/>
              </w:rPr>
            </w:pPr>
            <w:r>
              <w:rPr>
                <w:b/>
                <w:sz w:val="20"/>
                <w:szCs w:val="20"/>
              </w:rPr>
              <w:t>Monitoring Frequency</w:t>
            </w:r>
          </w:p>
        </w:tc>
        <w:tc>
          <w:tcPr>
            <w:tcW w:w="7416" w:type="dxa"/>
            <w:vAlign w:val="center"/>
          </w:tcPr>
          <w:p w14:paraId="101AB059" w14:textId="77777777" w:rsidR="00A97890" w:rsidRPr="009E0CF5" w:rsidRDefault="00A97890" w:rsidP="003C693C">
            <w:pPr>
              <w:jc w:val="left"/>
              <w:rPr>
                <w:sz w:val="20"/>
                <w:szCs w:val="20"/>
              </w:rPr>
            </w:pPr>
            <w:r w:rsidRPr="00EB5276">
              <w:rPr>
                <w:sz w:val="20"/>
                <w:szCs w:val="20"/>
              </w:rPr>
              <w:t>Monthly</w:t>
            </w:r>
          </w:p>
        </w:tc>
      </w:tr>
      <w:tr w:rsidR="00A97890" w:rsidRPr="009E0CF5" w14:paraId="55CD1ABE" w14:textId="77777777" w:rsidTr="003C693C">
        <w:tc>
          <w:tcPr>
            <w:tcW w:w="9066" w:type="dxa"/>
            <w:gridSpan w:val="2"/>
            <w:shd w:val="clear" w:color="auto" w:fill="BFBFBF" w:themeFill="background1" w:themeFillShade="BF"/>
          </w:tcPr>
          <w:p w14:paraId="137DA26E" w14:textId="77777777" w:rsidR="00A97890" w:rsidRPr="009E0CF5" w:rsidRDefault="00A97890" w:rsidP="003C693C">
            <w:pPr>
              <w:jc w:val="center"/>
              <w:rPr>
                <w:b/>
                <w:sz w:val="24"/>
                <w:szCs w:val="24"/>
              </w:rPr>
            </w:pPr>
            <w:r w:rsidRPr="009E0CF5">
              <w:rPr>
                <w:b/>
                <w:sz w:val="24"/>
                <w:szCs w:val="24"/>
              </w:rPr>
              <w:t>PI 0</w:t>
            </w:r>
            <w:r>
              <w:rPr>
                <w:b/>
                <w:sz w:val="24"/>
                <w:szCs w:val="24"/>
              </w:rPr>
              <w:t>2</w:t>
            </w:r>
            <w:r w:rsidRPr="009E0CF5">
              <w:rPr>
                <w:b/>
                <w:sz w:val="24"/>
                <w:szCs w:val="24"/>
              </w:rPr>
              <w:t>: Performance Table</w:t>
            </w:r>
          </w:p>
        </w:tc>
      </w:tr>
      <w:tr w:rsidR="00A97890" w:rsidRPr="009E0CF5" w14:paraId="33BA49A1" w14:textId="77777777" w:rsidTr="003C693C">
        <w:tc>
          <w:tcPr>
            <w:tcW w:w="1650" w:type="dxa"/>
            <w:shd w:val="clear" w:color="auto" w:fill="BFBFBF" w:themeFill="background1" w:themeFillShade="BF"/>
            <w:vAlign w:val="center"/>
          </w:tcPr>
          <w:p w14:paraId="3887E17C" w14:textId="77777777" w:rsidR="00A97890" w:rsidRPr="009E0CF5" w:rsidRDefault="00A97890" w:rsidP="003C693C">
            <w:pPr>
              <w:jc w:val="center"/>
              <w:rPr>
                <w:b/>
                <w:sz w:val="20"/>
                <w:szCs w:val="20"/>
              </w:rPr>
            </w:pPr>
            <w:r w:rsidRPr="009E0CF5">
              <w:rPr>
                <w:b/>
                <w:sz w:val="20"/>
                <w:szCs w:val="20"/>
              </w:rPr>
              <w:t>Performance Band</w:t>
            </w:r>
          </w:p>
        </w:tc>
        <w:tc>
          <w:tcPr>
            <w:tcW w:w="7416" w:type="dxa"/>
            <w:shd w:val="clear" w:color="auto" w:fill="BFBFBF" w:themeFill="background1" w:themeFillShade="BF"/>
            <w:vAlign w:val="center"/>
          </w:tcPr>
          <w:p w14:paraId="4FE2328E" w14:textId="77777777" w:rsidR="00A97890" w:rsidRPr="009E0CF5" w:rsidRDefault="00A97890" w:rsidP="003C693C">
            <w:pPr>
              <w:jc w:val="center"/>
              <w:rPr>
                <w:b/>
                <w:sz w:val="20"/>
                <w:szCs w:val="20"/>
              </w:rPr>
            </w:pPr>
            <w:r>
              <w:rPr>
                <w:b/>
                <w:sz w:val="20"/>
                <w:szCs w:val="20"/>
              </w:rPr>
              <w:t>Overall Monthly Performance Rating for 1) to 4) above inclusive</w:t>
            </w:r>
          </w:p>
        </w:tc>
      </w:tr>
      <w:tr w:rsidR="00A97890" w:rsidRPr="009E0CF5" w14:paraId="5B6D57DC" w14:textId="77777777" w:rsidTr="003C693C">
        <w:tc>
          <w:tcPr>
            <w:tcW w:w="1650" w:type="dxa"/>
            <w:shd w:val="clear" w:color="auto" w:fill="00B050"/>
            <w:vAlign w:val="center"/>
          </w:tcPr>
          <w:p w14:paraId="0CA76960" w14:textId="77777777" w:rsidR="00A97890" w:rsidRDefault="00A97890" w:rsidP="003C693C">
            <w:pPr>
              <w:jc w:val="center"/>
              <w:rPr>
                <w:b/>
                <w:sz w:val="20"/>
                <w:szCs w:val="20"/>
              </w:rPr>
            </w:pPr>
            <w:r w:rsidRPr="00347E51">
              <w:rPr>
                <w:b/>
                <w:sz w:val="20"/>
                <w:szCs w:val="20"/>
              </w:rPr>
              <w:t>GREEN</w:t>
            </w:r>
          </w:p>
        </w:tc>
        <w:tc>
          <w:tcPr>
            <w:tcW w:w="7416" w:type="dxa"/>
            <w:vAlign w:val="center"/>
          </w:tcPr>
          <w:p w14:paraId="0D825115" w14:textId="77777777" w:rsidR="00A97890" w:rsidRPr="00FD26B8" w:rsidRDefault="00A97890" w:rsidP="003C693C">
            <w:pPr>
              <w:jc w:val="center"/>
              <w:rPr>
                <w:sz w:val="20"/>
                <w:szCs w:val="20"/>
              </w:rPr>
            </w:pPr>
            <w:r>
              <w:rPr>
                <w:sz w:val="20"/>
                <w:szCs w:val="20"/>
              </w:rPr>
              <w:t>Within specified timescales</w:t>
            </w:r>
          </w:p>
        </w:tc>
      </w:tr>
      <w:tr w:rsidR="00A97890" w:rsidRPr="009E0CF5" w14:paraId="17FBF230" w14:textId="77777777" w:rsidTr="003C693C">
        <w:tc>
          <w:tcPr>
            <w:tcW w:w="1650" w:type="dxa"/>
            <w:shd w:val="clear" w:color="auto" w:fill="FFC000"/>
            <w:vAlign w:val="center"/>
          </w:tcPr>
          <w:p w14:paraId="0CD08CD5" w14:textId="77777777" w:rsidR="00A97890" w:rsidRDefault="00A97890" w:rsidP="003C693C">
            <w:pPr>
              <w:jc w:val="center"/>
              <w:rPr>
                <w:b/>
                <w:sz w:val="20"/>
                <w:szCs w:val="20"/>
              </w:rPr>
            </w:pPr>
            <w:r w:rsidRPr="00347E51">
              <w:rPr>
                <w:b/>
                <w:sz w:val="20"/>
                <w:szCs w:val="20"/>
              </w:rPr>
              <w:t>AMBER</w:t>
            </w:r>
          </w:p>
        </w:tc>
        <w:tc>
          <w:tcPr>
            <w:tcW w:w="7416" w:type="dxa"/>
            <w:vAlign w:val="center"/>
          </w:tcPr>
          <w:p w14:paraId="37B78F29" w14:textId="77777777" w:rsidR="00A97890" w:rsidRPr="00FD26B8" w:rsidRDefault="00A97890" w:rsidP="003C693C">
            <w:pPr>
              <w:jc w:val="center"/>
              <w:rPr>
                <w:sz w:val="20"/>
                <w:szCs w:val="20"/>
              </w:rPr>
            </w:pPr>
            <w:r>
              <w:rPr>
                <w:sz w:val="20"/>
                <w:szCs w:val="20"/>
              </w:rPr>
              <w:t>Up to 24 hours delay</w:t>
            </w:r>
          </w:p>
        </w:tc>
      </w:tr>
      <w:tr w:rsidR="00A97890" w:rsidRPr="009E0CF5" w14:paraId="44B1B57D" w14:textId="77777777" w:rsidTr="003C693C">
        <w:tc>
          <w:tcPr>
            <w:tcW w:w="1650" w:type="dxa"/>
            <w:shd w:val="clear" w:color="auto" w:fill="FF0000"/>
            <w:vAlign w:val="center"/>
          </w:tcPr>
          <w:p w14:paraId="3786CA32" w14:textId="77777777" w:rsidR="00A97890" w:rsidRDefault="00A97890" w:rsidP="003C693C">
            <w:pPr>
              <w:jc w:val="center"/>
              <w:rPr>
                <w:b/>
                <w:sz w:val="20"/>
                <w:szCs w:val="20"/>
              </w:rPr>
            </w:pPr>
            <w:r w:rsidRPr="00347E51">
              <w:rPr>
                <w:b/>
                <w:sz w:val="20"/>
                <w:szCs w:val="20"/>
              </w:rPr>
              <w:t>RED</w:t>
            </w:r>
          </w:p>
        </w:tc>
        <w:tc>
          <w:tcPr>
            <w:tcW w:w="7416" w:type="dxa"/>
          </w:tcPr>
          <w:p w14:paraId="4907A0D4" w14:textId="77777777" w:rsidR="00A97890" w:rsidRPr="00FD26B8" w:rsidRDefault="00A97890" w:rsidP="003C693C">
            <w:pPr>
              <w:jc w:val="center"/>
              <w:rPr>
                <w:sz w:val="20"/>
                <w:szCs w:val="20"/>
              </w:rPr>
            </w:pPr>
            <w:r>
              <w:rPr>
                <w:sz w:val="20"/>
                <w:szCs w:val="20"/>
              </w:rPr>
              <w:t>More than 24 hours delay</w:t>
            </w:r>
          </w:p>
        </w:tc>
      </w:tr>
    </w:tbl>
    <w:p w14:paraId="708C5965" w14:textId="77777777" w:rsidR="00A97890" w:rsidRPr="00624EAB" w:rsidRDefault="00A97890" w:rsidP="00A97890">
      <w:pPr>
        <w:rPr>
          <w:i/>
          <w:u w:val="single"/>
        </w:rPr>
      </w:pPr>
    </w:p>
    <w:p w14:paraId="70EBC724" w14:textId="77777777" w:rsidR="006E032C" w:rsidRPr="006E032C" w:rsidRDefault="006E032C" w:rsidP="00A97890">
      <w:pPr>
        <w:pStyle w:val="Heading1"/>
      </w:pPr>
    </w:p>
    <w:sectPr w:rsidR="006E032C" w:rsidRPr="006E032C" w:rsidSect="00A120C4">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1FBF0" w14:textId="77777777" w:rsidR="003C0448" w:rsidRDefault="003C0448" w:rsidP="00A120C4">
      <w:pPr>
        <w:spacing w:before="0" w:after="0" w:line="240" w:lineRule="auto"/>
      </w:pPr>
      <w:r>
        <w:separator/>
      </w:r>
    </w:p>
  </w:endnote>
  <w:endnote w:type="continuationSeparator" w:id="0">
    <w:p w14:paraId="60FC2185" w14:textId="77777777" w:rsidR="003C0448" w:rsidRDefault="003C0448" w:rsidP="00A120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ヒラギノ角ゴ Pro W3">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2CFB3" w14:textId="635D51DA" w:rsidR="002F056A" w:rsidRDefault="002F056A" w:rsidP="00D13D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EF2C9" w14:textId="77777777" w:rsidR="003C0448" w:rsidRDefault="003C0448" w:rsidP="00A120C4">
      <w:pPr>
        <w:spacing w:before="0" w:after="0" w:line="240" w:lineRule="auto"/>
      </w:pPr>
      <w:r>
        <w:separator/>
      </w:r>
    </w:p>
  </w:footnote>
  <w:footnote w:type="continuationSeparator" w:id="0">
    <w:p w14:paraId="69F90A0F" w14:textId="77777777" w:rsidR="003C0448" w:rsidRDefault="003C0448" w:rsidP="00A120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5421F" w14:textId="6592ADC6" w:rsidR="002F056A" w:rsidRDefault="00AD737A" w:rsidP="00D13DDE">
    <w:pPr>
      <w:pStyle w:val="Header"/>
      <w:jc w:val="center"/>
    </w:pPr>
    <w:r>
      <w:t>OFFICIAL</w:t>
    </w:r>
    <w:r w:rsidR="00401DB3">
      <w:t>-SENSITIVE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78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A86401"/>
    <w:multiLevelType w:val="multilevel"/>
    <w:tmpl w:val="2DEC105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0EE29DB"/>
    <w:multiLevelType w:val="hybridMultilevel"/>
    <w:tmpl w:val="666CCDBA"/>
    <w:lvl w:ilvl="0" w:tplc="E3A821E2">
      <w:start w:val="3"/>
      <w:numFmt w:val="decimal"/>
      <w:lvlText w:val="1.1.4.%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1F64331"/>
    <w:multiLevelType w:val="hybridMultilevel"/>
    <w:tmpl w:val="5442F5E2"/>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F5C29"/>
    <w:multiLevelType w:val="hybridMultilevel"/>
    <w:tmpl w:val="A7D2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860F9"/>
    <w:multiLevelType w:val="multilevel"/>
    <w:tmpl w:val="EBAE3A5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3F229E8"/>
    <w:multiLevelType w:val="hybridMultilevel"/>
    <w:tmpl w:val="E896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B0D6E"/>
    <w:multiLevelType w:val="hybridMultilevel"/>
    <w:tmpl w:val="CD7C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3062C"/>
    <w:multiLevelType w:val="hybridMultilevel"/>
    <w:tmpl w:val="D48A6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57AB7"/>
    <w:multiLevelType w:val="hybridMultilevel"/>
    <w:tmpl w:val="1FAA310A"/>
    <w:lvl w:ilvl="0" w:tplc="540813AC">
      <w:start w:val="1"/>
      <w:numFmt w:val="decimal"/>
      <w:lvlText w:val="1.1.4.3.%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44F3B72"/>
    <w:multiLevelType w:val="hybridMultilevel"/>
    <w:tmpl w:val="6F989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93DCD"/>
    <w:multiLevelType w:val="hybridMultilevel"/>
    <w:tmpl w:val="9126CA9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BB1434"/>
    <w:multiLevelType w:val="hybridMultilevel"/>
    <w:tmpl w:val="AAB8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00B4C"/>
    <w:multiLevelType w:val="hybridMultilevel"/>
    <w:tmpl w:val="09CA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65C55"/>
    <w:multiLevelType w:val="hybridMultilevel"/>
    <w:tmpl w:val="39947586"/>
    <w:lvl w:ilvl="0" w:tplc="82F69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1F7C71"/>
    <w:multiLevelType w:val="hybridMultilevel"/>
    <w:tmpl w:val="B0DA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343BA"/>
    <w:multiLevelType w:val="hybridMultilevel"/>
    <w:tmpl w:val="162A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A5F48"/>
    <w:multiLevelType w:val="hybridMultilevel"/>
    <w:tmpl w:val="F1726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80EE1"/>
    <w:multiLevelType w:val="hybridMultilevel"/>
    <w:tmpl w:val="E88C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57E3B"/>
    <w:multiLevelType w:val="hybridMultilevel"/>
    <w:tmpl w:val="EB1C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C0413"/>
    <w:multiLevelType w:val="hybridMultilevel"/>
    <w:tmpl w:val="8C3A0E6E"/>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412E9A"/>
    <w:multiLevelType w:val="multilevel"/>
    <w:tmpl w:val="04685F5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7C4D78FF"/>
    <w:multiLevelType w:val="hybridMultilevel"/>
    <w:tmpl w:val="4BA8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1"/>
  </w:num>
  <w:num w:numId="4">
    <w:abstractNumId w:val="20"/>
  </w:num>
  <w:num w:numId="5">
    <w:abstractNumId w:val="3"/>
  </w:num>
  <w:num w:numId="6">
    <w:abstractNumId w:val="14"/>
  </w:num>
  <w:num w:numId="7">
    <w:abstractNumId w:val="0"/>
  </w:num>
  <w:num w:numId="8">
    <w:abstractNumId w:val="10"/>
  </w:num>
  <w:num w:numId="9">
    <w:abstractNumId w:val="13"/>
  </w:num>
  <w:num w:numId="10">
    <w:abstractNumId w:val="22"/>
  </w:num>
  <w:num w:numId="11">
    <w:abstractNumId w:val="8"/>
  </w:num>
  <w:num w:numId="12">
    <w:abstractNumId w:val="18"/>
  </w:num>
  <w:num w:numId="13">
    <w:abstractNumId w:val="16"/>
  </w:num>
  <w:num w:numId="14">
    <w:abstractNumId w:val="19"/>
  </w:num>
  <w:num w:numId="15">
    <w:abstractNumId w:val="7"/>
  </w:num>
  <w:num w:numId="16">
    <w:abstractNumId w:val="12"/>
  </w:num>
  <w:num w:numId="17">
    <w:abstractNumId w:val="4"/>
  </w:num>
  <w:num w:numId="18">
    <w:abstractNumId w:val="6"/>
  </w:num>
  <w:num w:numId="19">
    <w:abstractNumId w:val="15"/>
  </w:num>
  <w:num w:numId="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CC"/>
    <w:rsid w:val="00014E2C"/>
    <w:rsid w:val="00020EE6"/>
    <w:rsid w:val="00036E68"/>
    <w:rsid w:val="0004128E"/>
    <w:rsid w:val="00044EBC"/>
    <w:rsid w:val="00085668"/>
    <w:rsid w:val="000979F4"/>
    <w:rsid w:val="00097D40"/>
    <w:rsid w:val="000E0B6A"/>
    <w:rsid w:val="000E4036"/>
    <w:rsid w:val="000E4AEB"/>
    <w:rsid w:val="000E7402"/>
    <w:rsid w:val="0010597C"/>
    <w:rsid w:val="00112A76"/>
    <w:rsid w:val="00141D38"/>
    <w:rsid w:val="00191099"/>
    <w:rsid w:val="001B1468"/>
    <w:rsid w:val="001D3F56"/>
    <w:rsid w:val="001F7806"/>
    <w:rsid w:val="0023122B"/>
    <w:rsid w:val="00243513"/>
    <w:rsid w:val="0025679F"/>
    <w:rsid w:val="00262000"/>
    <w:rsid w:val="00264AB3"/>
    <w:rsid w:val="002701FB"/>
    <w:rsid w:val="002825D6"/>
    <w:rsid w:val="00290C45"/>
    <w:rsid w:val="002B1080"/>
    <w:rsid w:val="002C05AD"/>
    <w:rsid w:val="002C2D99"/>
    <w:rsid w:val="002C34AB"/>
    <w:rsid w:val="002E4EB5"/>
    <w:rsid w:val="002F056A"/>
    <w:rsid w:val="002F11D8"/>
    <w:rsid w:val="002F1486"/>
    <w:rsid w:val="002F7266"/>
    <w:rsid w:val="00301DC2"/>
    <w:rsid w:val="003323CC"/>
    <w:rsid w:val="00347E51"/>
    <w:rsid w:val="003C0448"/>
    <w:rsid w:val="003C04DE"/>
    <w:rsid w:val="003C1891"/>
    <w:rsid w:val="003C25FD"/>
    <w:rsid w:val="003C4DEF"/>
    <w:rsid w:val="00401DB3"/>
    <w:rsid w:val="004170EA"/>
    <w:rsid w:val="00426086"/>
    <w:rsid w:val="00432C82"/>
    <w:rsid w:val="00437EEF"/>
    <w:rsid w:val="00450C40"/>
    <w:rsid w:val="004574AA"/>
    <w:rsid w:val="00460AFC"/>
    <w:rsid w:val="00475DF1"/>
    <w:rsid w:val="0049349C"/>
    <w:rsid w:val="004A61FE"/>
    <w:rsid w:val="004C30EA"/>
    <w:rsid w:val="004F0D73"/>
    <w:rsid w:val="005022CC"/>
    <w:rsid w:val="005317F7"/>
    <w:rsid w:val="0054442E"/>
    <w:rsid w:val="00555EE3"/>
    <w:rsid w:val="00570B94"/>
    <w:rsid w:val="00575F80"/>
    <w:rsid w:val="0059536D"/>
    <w:rsid w:val="005A65B5"/>
    <w:rsid w:val="005E28E7"/>
    <w:rsid w:val="005E3902"/>
    <w:rsid w:val="005F3517"/>
    <w:rsid w:val="006031A8"/>
    <w:rsid w:val="006256BD"/>
    <w:rsid w:val="00684320"/>
    <w:rsid w:val="006C4607"/>
    <w:rsid w:val="006E032C"/>
    <w:rsid w:val="006E13AB"/>
    <w:rsid w:val="006E2926"/>
    <w:rsid w:val="00702E08"/>
    <w:rsid w:val="00733EEA"/>
    <w:rsid w:val="00764DF5"/>
    <w:rsid w:val="00774792"/>
    <w:rsid w:val="00782927"/>
    <w:rsid w:val="00784DCC"/>
    <w:rsid w:val="007B5F8E"/>
    <w:rsid w:val="007E2E03"/>
    <w:rsid w:val="007E53B1"/>
    <w:rsid w:val="007F1E73"/>
    <w:rsid w:val="007F204E"/>
    <w:rsid w:val="007F3BB4"/>
    <w:rsid w:val="007F553D"/>
    <w:rsid w:val="007F55F7"/>
    <w:rsid w:val="00801F93"/>
    <w:rsid w:val="00842233"/>
    <w:rsid w:val="008647FB"/>
    <w:rsid w:val="008B2461"/>
    <w:rsid w:val="008B2C35"/>
    <w:rsid w:val="008B2D11"/>
    <w:rsid w:val="008C67B2"/>
    <w:rsid w:val="008E221C"/>
    <w:rsid w:val="008F382B"/>
    <w:rsid w:val="008F3993"/>
    <w:rsid w:val="00900734"/>
    <w:rsid w:val="00902B3D"/>
    <w:rsid w:val="00927C00"/>
    <w:rsid w:val="00931F1A"/>
    <w:rsid w:val="009378D9"/>
    <w:rsid w:val="00952A77"/>
    <w:rsid w:val="00991E8E"/>
    <w:rsid w:val="009A033E"/>
    <w:rsid w:val="009C20CB"/>
    <w:rsid w:val="009C79B0"/>
    <w:rsid w:val="009E0CF5"/>
    <w:rsid w:val="009E5B15"/>
    <w:rsid w:val="009E6167"/>
    <w:rsid w:val="00A120C4"/>
    <w:rsid w:val="00A17D38"/>
    <w:rsid w:val="00A37BB2"/>
    <w:rsid w:val="00A37D22"/>
    <w:rsid w:val="00A37E82"/>
    <w:rsid w:val="00A55646"/>
    <w:rsid w:val="00A56624"/>
    <w:rsid w:val="00A66063"/>
    <w:rsid w:val="00A97890"/>
    <w:rsid w:val="00AA25B3"/>
    <w:rsid w:val="00AA79DB"/>
    <w:rsid w:val="00AC292C"/>
    <w:rsid w:val="00AD737A"/>
    <w:rsid w:val="00AE32C7"/>
    <w:rsid w:val="00B02F46"/>
    <w:rsid w:val="00B120A2"/>
    <w:rsid w:val="00B27E2B"/>
    <w:rsid w:val="00B30815"/>
    <w:rsid w:val="00B77A68"/>
    <w:rsid w:val="00B85C3A"/>
    <w:rsid w:val="00BD0513"/>
    <w:rsid w:val="00BD1C02"/>
    <w:rsid w:val="00BD4A31"/>
    <w:rsid w:val="00BE0A49"/>
    <w:rsid w:val="00BE781D"/>
    <w:rsid w:val="00C142C7"/>
    <w:rsid w:val="00C2473D"/>
    <w:rsid w:val="00C35F73"/>
    <w:rsid w:val="00C46C31"/>
    <w:rsid w:val="00C474E5"/>
    <w:rsid w:val="00C47B03"/>
    <w:rsid w:val="00C7587B"/>
    <w:rsid w:val="00CC1E4D"/>
    <w:rsid w:val="00CF0AAD"/>
    <w:rsid w:val="00D13DDE"/>
    <w:rsid w:val="00D35CC0"/>
    <w:rsid w:val="00D62253"/>
    <w:rsid w:val="00D64C16"/>
    <w:rsid w:val="00DB52E7"/>
    <w:rsid w:val="00DD2AC3"/>
    <w:rsid w:val="00DE2769"/>
    <w:rsid w:val="00E1402C"/>
    <w:rsid w:val="00E166BA"/>
    <w:rsid w:val="00E7402C"/>
    <w:rsid w:val="00E75D3F"/>
    <w:rsid w:val="00E85EFE"/>
    <w:rsid w:val="00E86995"/>
    <w:rsid w:val="00E973F3"/>
    <w:rsid w:val="00EA081E"/>
    <w:rsid w:val="00EB063E"/>
    <w:rsid w:val="00EB1102"/>
    <w:rsid w:val="00EB5276"/>
    <w:rsid w:val="00EC7BE7"/>
    <w:rsid w:val="00F03D9B"/>
    <w:rsid w:val="00F10D8A"/>
    <w:rsid w:val="00F44CDD"/>
    <w:rsid w:val="00F5123B"/>
    <w:rsid w:val="00FD26B8"/>
    <w:rsid w:val="00FF1CF1"/>
    <w:rsid w:val="00FF297F"/>
    <w:rsid w:val="00FF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6D4037"/>
  <w15:chartTrackingRefBased/>
  <w15:docId w15:val="{BC056EB6-FA47-40D5-94CC-75A3992E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EE6"/>
    <w:pPr>
      <w:spacing w:before="120" w:after="120"/>
      <w:jc w:val="both"/>
    </w:pPr>
    <w:rPr>
      <w:rFonts w:ascii="Arial" w:hAnsi="Arial" w:cs="Arial"/>
    </w:rPr>
  </w:style>
  <w:style w:type="paragraph" w:styleId="Heading1">
    <w:name w:val="heading 1"/>
    <w:basedOn w:val="Normal"/>
    <w:next w:val="Normal"/>
    <w:link w:val="Heading1Char"/>
    <w:uiPriority w:val="9"/>
    <w:qFormat/>
    <w:rsid w:val="006031A8"/>
    <w:pPr>
      <w:spacing w:before="240" w:after="360"/>
      <w:jc w:val="center"/>
      <w:outlineLvl w:val="0"/>
    </w:pPr>
    <w:rPr>
      <w:b/>
      <w:sz w:val="28"/>
      <w:szCs w:val="28"/>
      <w:u w:val="single"/>
    </w:rPr>
  </w:style>
  <w:style w:type="paragraph" w:styleId="Heading2">
    <w:name w:val="heading 2"/>
    <w:basedOn w:val="Normal"/>
    <w:next w:val="Normal"/>
    <w:link w:val="Heading2Char"/>
    <w:uiPriority w:val="9"/>
    <w:unhideWhenUsed/>
    <w:qFormat/>
    <w:rsid w:val="002C05AD"/>
    <w:pPr>
      <w:spacing w:before="240" w:after="240"/>
      <w:outlineLvl w:val="1"/>
    </w:pPr>
    <w:rPr>
      <w:b/>
      <w:sz w:val="24"/>
      <w:szCs w:val="24"/>
      <w:u w:val="single"/>
    </w:rPr>
  </w:style>
  <w:style w:type="paragraph" w:styleId="Heading4">
    <w:name w:val="heading 4"/>
    <w:basedOn w:val="Normal"/>
    <w:next w:val="Normal"/>
    <w:link w:val="Heading4Char"/>
    <w:uiPriority w:val="9"/>
    <w:semiHidden/>
    <w:unhideWhenUsed/>
    <w:qFormat/>
    <w:rsid w:val="006E2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1A8"/>
    <w:rPr>
      <w:rFonts w:ascii="Arial" w:hAnsi="Arial" w:cs="Arial"/>
      <w:b/>
      <w:sz w:val="28"/>
      <w:szCs w:val="28"/>
      <w:u w:val="single"/>
    </w:rPr>
  </w:style>
  <w:style w:type="paragraph" w:styleId="TOCHeading">
    <w:name w:val="TOC Heading"/>
    <w:basedOn w:val="Heading1"/>
    <w:next w:val="Normal"/>
    <w:uiPriority w:val="39"/>
    <w:unhideWhenUsed/>
    <w:qFormat/>
    <w:rsid w:val="003323CC"/>
    <w:pPr>
      <w:outlineLvl w:val="9"/>
    </w:pPr>
    <w:rPr>
      <w:lang w:val="en-US"/>
    </w:rPr>
  </w:style>
  <w:style w:type="paragraph" w:styleId="ListParagraph">
    <w:name w:val="List Paragraph"/>
    <w:basedOn w:val="Normal"/>
    <w:uiPriority w:val="34"/>
    <w:qFormat/>
    <w:rsid w:val="003323CC"/>
    <w:pPr>
      <w:ind w:left="720"/>
      <w:contextualSpacing/>
    </w:pPr>
  </w:style>
  <w:style w:type="character" w:customStyle="1" w:styleId="Heading2Char">
    <w:name w:val="Heading 2 Char"/>
    <w:basedOn w:val="DefaultParagraphFont"/>
    <w:link w:val="Heading2"/>
    <w:uiPriority w:val="9"/>
    <w:rsid w:val="002C05AD"/>
    <w:rPr>
      <w:rFonts w:ascii="Arial" w:hAnsi="Arial" w:cs="Arial"/>
      <w:b/>
      <w:sz w:val="24"/>
      <w:szCs w:val="24"/>
      <w:u w:val="single"/>
    </w:rPr>
  </w:style>
  <w:style w:type="paragraph" w:styleId="TOC2">
    <w:name w:val="toc 2"/>
    <w:basedOn w:val="Normal"/>
    <w:next w:val="Normal"/>
    <w:autoRedefine/>
    <w:uiPriority w:val="39"/>
    <w:unhideWhenUsed/>
    <w:rsid w:val="00020EE6"/>
    <w:pPr>
      <w:spacing w:after="100"/>
      <w:ind w:left="220"/>
    </w:pPr>
  </w:style>
  <w:style w:type="character" w:styleId="Hyperlink">
    <w:name w:val="Hyperlink"/>
    <w:basedOn w:val="DefaultParagraphFont"/>
    <w:uiPriority w:val="99"/>
    <w:unhideWhenUsed/>
    <w:rsid w:val="00020EE6"/>
    <w:rPr>
      <w:color w:val="0563C1" w:themeColor="hyperlink"/>
      <w:u w:val="single"/>
    </w:rPr>
  </w:style>
  <w:style w:type="paragraph" w:styleId="Caption">
    <w:name w:val="caption"/>
    <w:basedOn w:val="Normal"/>
    <w:next w:val="Normal"/>
    <w:uiPriority w:val="35"/>
    <w:unhideWhenUsed/>
    <w:qFormat/>
    <w:rsid w:val="00D13DDE"/>
    <w:pPr>
      <w:keepNext/>
      <w:spacing w:before="240" w:after="60" w:line="240" w:lineRule="auto"/>
      <w:ind w:left="567"/>
    </w:pPr>
    <w:rPr>
      <w:b/>
      <w:iCs/>
      <w:sz w:val="18"/>
      <w:szCs w:val="18"/>
    </w:rPr>
  </w:style>
  <w:style w:type="paragraph" w:styleId="Header">
    <w:name w:val="header"/>
    <w:basedOn w:val="Normal"/>
    <w:link w:val="HeaderChar"/>
    <w:uiPriority w:val="99"/>
    <w:unhideWhenUsed/>
    <w:rsid w:val="00A120C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120C4"/>
    <w:rPr>
      <w:rFonts w:ascii="Arial" w:hAnsi="Arial" w:cs="Arial"/>
    </w:rPr>
  </w:style>
  <w:style w:type="paragraph" w:styleId="Footer">
    <w:name w:val="footer"/>
    <w:basedOn w:val="Normal"/>
    <w:link w:val="FooterChar"/>
    <w:uiPriority w:val="99"/>
    <w:unhideWhenUsed/>
    <w:rsid w:val="00A120C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120C4"/>
    <w:rPr>
      <w:rFonts w:ascii="Arial" w:hAnsi="Arial" w:cs="Arial"/>
    </w:rPr>
  </w:style>
  <w:style w:type="table" w:styleId="TableGrid">
    <w:name w:val="Table Grid"/>
    <w:basedOn w:val="TableNormal"/>
    <w:uiPriority w:val="39"/>
    <w:rsid w:val="00450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B2C35"/>
    <w:pPr>
      <w:spacing w:after="100"/>
    </w:pPr>
  </w:style>
  <w:style w:type="paragraph" w:styleId="BalloonText">
    <w:name w:val="Balloon Text"/>
    <w:basedOn w:val="Normal"/>
    <w:link w:val="BalloonTextChar"/>
    <w:uiPriority w:val="99"/>
    <w:semiHidden/>
    <w:unhideWhenUsed/>
    <w:rsid w:val="008B2C3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C35"/>
    <w:rPr>
      <w:rFonts w:ascii="Segoe UI" w:hAnsi="Segoe UI" w:cs="Segoe UI"/>
      <w:sz w:val="18"/>
      <w:szCs w:val="18"/>
    </w:rPr>
  </w:style>
  <w:style w:type="character" w:styleId="CommentReference">
    <w:name w:val="annotation reference"/>
    <w:basedOn w:val="DefaultParagraphFont"/>
    <w:uiPriority w:val="99"/>
    <w:semiHidden/>
    <w:unhideWhenUsed/>
    <w:rsid w:val="00A17D38"/>
    <w:rPr>
      <w:sz w:val="16"/>
      <w:szCs w:val="16"/>
    </w:rPr>
  </w:style>
  <w:style w:type="paragraph" w:styleId="CommentText">
    <w:name w:val="annotation text"/>
    <w:basedOn w:val="Normal"/>
    <w:link w:val="CommentTextChar"/>
    <w:uiPriority w:val="99"/>
    <w:semiHidden/>
    <w:unhideWhenUsed/>
    <w:rsid w:val="00A17D38"/>
    <w:pPr>
      <w:spacing w:line="240" w:lineRule="auto"/>
    </w:pPr>
    <w:rPr>
      <w:sz w:val="20"/>
      <w:szCs w:val="20"/>
    </w:rPr>
  </w:style>
  <w:style w:type="character" w:customStyle="1" w:styleId="CommentTextChar">
    <w:name w:val="Comment Text Char"/>
    <w:basedOn w:val="DefaultParagraphFont"/>
    <w:link w:val="CommentText"/>
    <w:uiPriority w:val="99"/>
    <w:semiHidden/>
    <w:rsid w:val="00A17D3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17D38"/>
    <w:rPr>
      <w:b/>
      <w:bCs/>
    </w:rPr>
  </w:style>
  <w:style w:type="character" w:customStyle="1" w:styleId="CommentSubjectChar">
    <w:name w:val="Comment Subject Char"/>
    <w:basedOn w:val="CommentTextChar"/>
    <w:link w:val="CommentSubject"/>
    <w:uiPriority w:val="99"/>
    <w:semiHidden/>
    <w:rsid w:val="00A17D38"/>
    <w:rPr>
      <w:rFonts w:ascii="Arial" w:hAnsi="Arial" w:cs="Arial"/>
      <w:b/>
      <w:bCs/>
      <w:sz w:val="20"/>
      <w:szCs w:val="20"/>
    </w:rPr>
  </w:style>
  <w:style w:type="paragraph" w:customStyle="1" w:styleId="BodyText1">
    <w:name w:val="Body Text1"/>
    <w:rsid w:val="00A17D38"/>
    <w:pPr>
      <w:spacing w:after="0" w:line="240" w:lineRule="auto"/>
    </w:pPr>
    <w:rPr>
      <w:rFonts w:ascii="Times New Roman" w:eastAsia="ヒラギノ角ゴ Pro W3" w:hAnsi="Times New Roman" w:cs="Times New Roman"/>
      <w:color w:val="000000"/>
      <w:szCs w:val="20"/>
      <w:lang w:eastAsia="en-GB"/>
    </w:rPr>
  </w:style>
  <w:style w:type="character" w:customStyle="1" w:styleId="Heading4Char">
    <w:name w:val="Heading 4 Char"/>
    <w:basedOn w:val="DefaultParagraphFont"/>
    <w:link w:val="Heading4"/>
    <w:uiPriority w:val="9"/>
    <w:semiHidden/>
    <w:rsid w:val="006E292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81599">
      <w:bodyDiv w:val="1"/>
      <w:marLeft w:val="0"/>
      <w:marRight w:val="0"/>
      <w:marTop w:val="0"/>
      <w:marBottom w:val="0"/>
      <w:divBdr>
        <w:top w:val="none" w:sz="0" w:space="0" w:color="auto"/>
        <w:left w:val="none" w:sz="0" w:space="0" w:color="auto"/>
        <w:bottom w:val="none" w:sz="0" w:space="0" w:color="auto"/>
        <w:right w:val="none" w:sz="0" w:space="0" w:color="auto"/>
      </w:divBdr>
    </w:div>
    <w:div w:id="1202281935">
      <w:bodyDiv w:val="1"/>
      <w:marLeft w:val="0"/>
      <w:marRight w:val="0"/>
      <w:marTop w:val="0"/>
      <w:marBottom w:val="0"/>
      <w:divBdr>
        <w:top w:val="none" w:sz="0" w:space="0" w:color="auto"/>
        <w:left w:val="none" w:sz="0" w:space="0" w:color="auto"/>
        <w:bottom w:val="none" w:sz="0" w:space="0" w:color="auto"/>
        <w:right w:val="none" w:sz="0" w:space="0" w:color="auto"/>
      </w:divBdr>
    </w:div>
    <w:div w:id="1766532657">
      <w:bodyDiv w:val="1"/>
      <w:marLeft w:val="0"/>
      <w:marRight w:val="0"/>
      <w:marTop w:val="0"/>
      <w:marBottom w:val="0"/>
      <w:divBdr>
        <w:top w:val="none" w:sz="0" w:space="0" w:color="auto"/>
        <w:left w:val="none" w:sz="0" w:space="0" w:color="auto"/>
        <w:bottom w:val="none" w:sz="0" w:space="0" w:color="auto"/>
        <w:right w:val="none" w:sz="0" w:space="0" w:color="auto"/>
      </w:divBdr>
    </w:div>
    <w:div w:id="18065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9CC5DD352CA4BA6869C87EFEB09E3" ma:contentTypeVersion="7" ma:contentTypeDescription="Create a new document." ma:contentTypeScope="" ma:versionID="667e68d1255fa4e3f057ccf098d06531">
  <xsd:schema xmlns:xsd="http://www.w3.org/2001/XMLSchema" xmlns:xs="http://www.w3.org/2001/XMLSchema" xmlns:p="http://schemas.microsoft.com/office/2006/metadata/properties" xmlns:ns3="0c895a65-33c2-4f1a-b073-7ec2fab8c16c" xmlns:ns4="0fc12e61-0f3b-4a69-8719-5efab87eceb1" targetNamespace="http://schemas.microsoft.com/office/2006/metadata/properties" ma:root="true" ma:fieldsID="e9ae568bec447b910341049757b0134c" ns3:_="" ns4:_="">
    <xsd:import namespace="0c895a65-33c2-4f1a-b073-7ec2fab8c16c"/>
    <xsd:import namespace="0fc12e61-0f3b-4a69-8719-5efab87ece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95a65-33c2-4f1a-b073-7ec2fab8c1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12e61-0f3b-4a69-8719-5efab87ece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C0819-CF86-48E7-8543-50E0D8D93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95a65-33c2-4f1a-b073-7ec2fab8c16c"/>
    <ds:schemaRef ds:uri="0fc12e61-0f3b-4a69-8719-5efab87ec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E9E51-A70E-4060-AC30-A38E3AE9833C}">
  <ds:schemaRefs>
    <ds:schemaRef ds:uri="http://schemas.microsoft.com/sharepoint/v3/contenttype/forms"/>
  </ds:schemaRefs>
</ds:datastoreItem>
</file>

<file path=customXml/itemProps3.xml><?xml version="1.0" encoding="utf-8"?>
<ds:datastoreItem xmlns:ds="http://schemas.openxmlformats.org/officeDocument/2006/customXml" ds:itemID="{33EFC648-06B9-4F75-9F83-02CB025D69BA}">
  <ds:schemaRefs>
    <ds:schemaRef ds:uri="http://schemas.microsoft.com/office/infopath/2007/PartnerControls"/>
    <ds:schemaRef ds:uri="http://purl.org/dc/terms/"/>
    <ds:schemaRef ds:uri="http://purl.org/dc/elements/1.1/"/>
    <ds:schemaRef ds:uri="0fc12e61-0f3b-4a69-8719-5efab87eceb1"/>
    <ds:schemaRef ds:uri="http://schemas.microsoft.com/office/2006/documentManagement/types"/>
    <ds:schemaRef ds:uri="0c895a65-33c2-4f1a-b073-7ec2fab8c16c"/>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A81A6AE-69AC-4C15-B07B-F19C9D31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Brice-Taylor, darren</dc:creator>
  <cp:keywords/>
  <dc:description/>
  <cp:lastModifiedBy>Paddock, Phoebe Miss (DES AS-P8A-Comrcl1c)</cp:lastModifiedBy>
  <cp:revision>2</cp:revision>
  <dcterms:created xsi:type="dcterms:W3CDTF">2020-01-09T12:33:00Z</dcterms:created>
  <dcterms:modified xsi:type="dcterms:W3CDTF">2020-01-09T12:33:00Z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0x01010031D9CC5DD352CA4BA6869C87EFEB09E3</vt:lpwstr>
  </property>
  <property fmtid="{D5CDD505-2E9C-101B-9397-08002B2CF9AE}" pid="4" name="ItemRetentionFormula">
    <vt:lpwstr/>
  </property>
  <property fmtid="{D5CDD505-2E9C-101B-9397-08002B2CF9AE}" pid="5" name="_dlc_DocIdItemGuid">
    <vt:lpwstr>877dafd7-ed82-481e-95db-1e9c9c988aa8</vt:lpwstr>
  </property>
  <property fmtid="{D5CDD505-2E9C-101B-9397-08002B2CF9AE}" pid="6" name="Subject Category">
    <vt:lpwstr>1;#International agreements|b1ac4cf1-d522-49a3-b203-21c3108fe922</vt:lpwstr>
  </property>
  <property fmtid="{D5CDD505-2E9C-101B-9397-08002B2CF9AE}" pid="7" name="TaxKeyword">
    <vt:lpwstr/>
  </property>
  <property fmtid="{D5CDD505-2E9C-101B-9397-08002B2CF9AE}" pid="8" name="Subject Keywords">
    <vt:lpwstr>2;#International Traffic in Arms Regulations|1084b5b5-7049-44cf-968d-5feb3d289ed1</vt:lpwstr>
  </property>
  <property fmtid="{D5CDD505-2E9C-101B-9397-08002B2CF9AE}" pid="9" name="fileplanid">
    <vt:lpwstr>8;#03_04 Provide Commercial Activities|ba8a9fa4-23a7-4d90-b9ae-12627a5eba3c</vt:lpwstr>
  </property>
  <property fmtid="{D5CDD505-2E9C-101B-9397-08002B2CF9AE}" pid="10" name="Business Owner">
    <vt:lpwstr>871;#DES AS AirISTAR|f0e7ab6e-db07-4dd5-a700-de92700ee48a</vt:lpwstr>
  </property>
</Properties>
</file>