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081A" w:rsidRDefault="00C347EB" w:rsidP="00C347EB">
      <w:pPr>
        <w:spacing w:after="0" w:line="240" w:lineRule="auto"/>
        <w:rPr>
          <w:rFonts w:ascii="Arial" w:hAnsi="Arial" w:cs="Arial"/>
          <w:b/>
        </w:rPr>
      </w:pPr>
      <w:r>
        <w:rPr>
          <w:noProof/>
          <w:lang w:eastAsia="en-GB"/>
        </w:rPr>
        <w:drawing>
          <wp:inline distT="0" distB="0" distL="0" distR="0" wp14:anchorId="416E95CC" wp14:editId="4A7589E0">
            <wp:extent cx="1669774" cy="890547"/>
            <wp:effectExtent l="0" t="0" r="6985" b="5080"/>
            <wp:docPr id="4" name="Picture 4" descr="C:\Users\jsmith6\AppData\Local\Microsoft\Windows\Temporary Internet Files\Content.Outlook\4XVWHYAA\Social Mobility Commission_SML_BLK_A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smith6\AppData\Local\Microsoft\Windows\Temporary Internet Files\Content.Outlook\4XVWHYAA\Social Mobility Commission_SML_BLK_AW.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679628" cy="895802"/>
                    </a:xfrm>
                    <a:prstGeom prst="rect">
                      <a:avLst/>
                    </a:prstGeom>
                    <a:noFill/>
                    <a:ln>
                      <a:noFill/>
                    </a:ln>
                  </pic:spPr>
                </pic:pic>
              </a:graphicData>
            </a:graphic>
          </wp:inline>
        </w:drawing>
      </w:r>
    </w:p>
    <w:p w:rsidR="00AF081A" w:rsidRDefault="00AF081A" w:rsidP="008C1F94">
      <w:pPr>
        <w:spacing w:after="0" w:line="240" w:lineRule="auto"/>
        <w:jc w:val="center"/>
        <w:rPr>
          <w:rFonts w:ascii="Arial" w:hAnsi="Arial" w:cs="Arial"/>
          <w:b/>
        </w:rPr>
      </w:pPr>
    </w:p>
    <w:p w:rsidR="009602AE" w:rsidRPr="004459FB" w:rsidRDefault="009602AE" w:rsidP="008C1F94">
      <w:pPr>
        <w:spacing w:after="0" w:line="240" w:lineRule="auto"/>
        <w:jc w:val="center"/>
        <w:rPr>
          <w:rFonts w:ascii="Arial" w:hAnsi="Arial" w:cs="Arial"/>
          <w:b/>
        </w:rPr>
      </w:pPr>
      <w:r w:rsidRPr="004459FB">
        <w:rPr>
          <w:rFonts w:ascii="Arial" w:hAnsi="Arial" w:cs="Arial"/>
          <w:b/>
        </w:rPr>
        <w:t>Tenders</w:t>
      </w:r>
      <w:r w:rsidR="00AF081A" w:rsidRPr="004459FB">
        <w:rPr>
          <w:rFonts w:ascii="Arial" w:hAnsi="Arial" w:cs="Arial"/>
          <w:b/>
        </w:rPr>
        <w:t xml:space="preserve"> sought for research </w:t>
      </w:r>
      <w:r w:rsidRPr="004459FB">
        <w:rPr>
          <w:rFonts w:ascii="Arial" w:hAnsi="Arial" w:cs="Arial"/>
          <w:b/>
        </w:rPr>
        <w:t>project</w:t>
      </w:r>
    </w:p>
    <w:p w:rsidR="009602AE" w:rsidRPr="004459FB" w:rsidRDefault="009602AE" w:rsidP="008C1F94">
      <w:pPr>
        <w:spacing w:after="0" w:line="240" w:lineRule="auto"/>
        <w:jc w:val="center"/>
        <w:rPr>
          <w:rFonts w:ascii="Arial" w:hAnsi="Arial" w:cs="Arial"/>
          <w:b/>
        </w:rPr>
      </w:pPr>
    </w:p>
    <w:p w:rsidR="00B17BA0" w:rsidRDefault="006F6721" w:rsidP="008C1F94">
      <w:pPr>
        <w:spacing w:after="0" w:line="240" w:lineRule="auto"/>
        <w:jc w:val="center"/>
        <w:rPr>
          <w:rFonts w:ascii="Arial" w:hAnsi="Arial" w:cs="Arial"/>
          <w:b/>
        </w:rPr>
      </w:pPr>
      <w:bookmarkStart w:id="0" w:name="_GoBack"/>
      <w:r>
        <w:rPr>
          <w:rFonts w:ascii="Arial" w:hAnsi="Arial" w:cs="Arial"/>
          <w:b/>
        </w:rPr>
        <w:t xml:space="preserve">What </w:t>
      </w:r>
      <w:r w:rsidR="001555DC">
        <w:rPr>
          <w:rFonts w:ascii="Arial" w:hAnsi="Arial" w:cs="Arial"/>
          <w:b/>
        </w:rPr>
        <w:t>can</w:t>
      </w:r>
      <w:r>
        <w:rPr>
          <w:rFonts w:ascii="Arial" w:hAnsi="Arial" w:cs="Arial"/>
          <w:b/>
        </w:rPr>
        <w:t xml:space="preserve"> the Labour Force Survey tell us about </w:t>
      </w:r>
      <w:r w:rsidR="001555DC">
        <w:rPr>
          <w:rFonts w:ascii="Arial" w:hAnsi="Arial" w:cs="Arial"/>
          <w:b/>
        </w:rPr>
        <w:t xml:space="preserve">inter-generational </w:t>
      </w:r>
      <w:r>
        <w:rPr>
          <w:rFonts w:ascii="Arial" w:hAnsi="Arial" w:cs="Arial"/>
          <w:b/>
        </w:rPr>
        <w:t>social mobility?</w:t>
      </w:r>
      <w:bookmarkEnd w:id="0"/>
    </w:p>
    <w:p w:rsidR="0092039C" w:rsidRDefault="0092039C" w:rsidP="008C1F94">
      <w:pPr>
        <w:spacing w:after="0" w:line="240" w:lineRule="auto"/>
        <w:jc w:val="center"/>
        <w:rPr>
          <w:rFonts w:ascii="Arial" w:hAnsi="Arial" w:cs="Arial"/>
          <w:b/>
        </w:rPr>
      </w:pPr>
    </w:p>
    <w:p w:rsidR="00AF081A" w:rsidRDefault="00AF081A" w:rsidP="008C1F94">
      <w:pPr>
        <w:spacing w:after="0" w:line="240" w:lineRule="auto"/>
        <w:rPr>
          <w:rFonts w:ascii="Arial" w:hAnsi="Arial" w:cs="Arial"/>
          <w:b/>
        </w:rPr>
      </w:pPr>
      <w:r w:rsidRPr="004459FB">
        <w:rPr>
          <w:rFonts w:ascii="Arial" w:hAnsi="Arial" w:cs="Arial"/>
          <w:b/>
        </w:rPr>
        <w:t>Overview</w:t>
      </w:r>
    </w:p>
    <w:p w:rsidR="0092039C" w:rsidRDefault="0092039C" w:rsidP="008C1F94">
      <w:pPr>
        <w:spacing w:after="0" w:line="240" w:lineRule="auto"/>
        <w:rPr>
          <w:rFonts w:ascii="Arial" w:hAnsi="Arial" w:cs="Arial"/>
          <w:b/>
        </w:rPr>
      </w:pPr>
    </w:p>
    <w:p w:rsidR="0092039C" w:rsidRDefault="00467137" w:rsidP="008C1F94">
      <w:pPr>
        <w:spacing w:after="0" w:line="240" w:lineRule="auto"/>
        <w:rPr>
          <w:rFonts w:ascii="Arial" w:hAnsi="Arial" w:cs="Arial"/>
        </w:rPr>
      </w:pPr>
      <w:r>
        <w:rPr>
          <w:rFonts w:ascii="Arial" w:hAnsi="Arial" w:cs="Arial"/>
        </w:rPr>
        <w:t xml:space="preserve">The UK Government has an ambition of creating a society where no-one is prevented from fulfilling their potential by the circumstances of their birth. </w:t>
      </w:r>
    </w:p>
    <w:p w:rsidR="00467137" w:rsidRDefault="00467137" w:rsidP="008C1F94">
      <w:pPr>
        <w:spacing w:after="0" w:line="240" w:lineRule="auto"/>
        <w:rPr>
          <w:rFonts w:ascii="Arial" w:hAnsi="Arial" w:cs="Arial"/>
        </w:rPr>
      </w:pPr>
    </w:p>
    <w:p w:rsidR="00467137" w:rsidRDefault="00467137" w:rsidP="008C1F94">
      <w:pPr>
        <w:spacing w:after="0" w:line="240" w:lineRule="auto"/>
        <w:rPr>
          <w:rFonts w:ascii="Arial" w:hAnsi="Arial" w:cs="Arial"/>
        </w:rPr>
      </w:pPr>
      <w:r>
        <w:rPr>
          <w:rFonts w:ascii="Arial" w:hAnsi="Arial" w:cs="Arial"/>
        </w:rPr>
        <w:t xml:space="preserve">However, the UK is a long way from achieving this vision. </w:t>
      </w:r>
      <w:r w:rsidR="00F20E07">
        <w:rPr>
          <w:rFonts w:ascii="Arial" w:hAnsi="Arial" w:cs="Arial"/>
        </w:rPr>
        <w:t>People</w:t>
      </w:r>
      <w:r>
        <w:rPr>
          <w:rFonts w:ascii="Arial" w:hAnsi="Arial" w:cs="Arial"/>
        </w:rPr>
        <w:t xml:space="preserve"> who grow up in high-income families are almost three-</w:t>
      </w:r>
      <w:r w:rsidR="00A741B0">
        <w:rPr>
          <w:rFonts w:ascii="Arial" w:hAnsi="Arial" w:cs="Arial"/>
        </w:rPr>
        <w:t>and-a-half times more likely to have a high income in their mid-30s than those who grow up in low-income families.</w:t>
      </w:r>
      <w:r w:rsidR="00505DBB">
        <w:rPr>
          <w:rStyle w:val="FootnoteReference"/>
          <w:rFonts w:ascii="Arial" w:hAnsi="Arial" w:cs="Arial"/>
        </w:rPr>
        <w:footnoteReference w:id="1"/>
      </w:r>
      <w:r w:rsidR="00A741B0">
        <w:rPr>
          <w:rFonts w:ascii="Arial" w:hAnsi="Arial" w:cs="Arial"/>
        </w:rPr>
        <w:t xml:space="preserve"> People with parents in managerial and professional jobs are over twice as likely to e</w:t>
      </w:r>
      <w:r w:rsidR="00F20E07">
        <w:rPr>
          <w:rFonts w:ascii="Arial" w:hAnsi="Arial" w:cs="Arial"/>
        </w:rPr>
        <w:t>nter these occupations as their peers with parents in semi-skilled and unskilled jobs</w:t>
      </w:r>
      <w:r w:rsidR="00A741B0">
        <w:rPr>
          <w:rFonts w:ascii="Arial" w:hAnsi="Arial" w:cs="Arial"/>
        </w:rPr>
        <w:t>.</w:t>
      </w:r>
      <w:r w:rsidR="00505DBB">
        <w:rPr>
          <w:rStyle w:val="FootnoteReference"/>
          <w:rFonts w:ascii="Arial" w:hAnsi="Arial" w:cs="Arial"/>
        </w:rPr>
        <w:footnoteReference w:id="2"/>
      </w:r>
      <w:r w:rsidR="00A741B0">
        <w:rPr>
          <w:rFonts w:ascii="Arial" w:hAnsi="Arial" w:cs="Arial"/>
        </w:rPr>
        <w:t xml:space="preserve"> Young people who are eligible for free school meals are little over half as likely to achieve 5 good GCSEs including English and maths</w:t>
      </w:r>
      <w:r w:rsidR="00F20E07">
        <w:rPr>
          <w:rFonts w:ascii="Arial" w:hAnsi="Arial" w:cs="Arial"/>
        </w:rPr>
        <w:t xml:space="preserve"> at age 16.</w:t>
      </w:r>
      <w:r w:rsidR="00505DBB">
        <w:rPr>
          <w:rStyle w:val="FootnoteReference"/>
          <w:rFonts w:ascii="Arial" w:hAnsi="Arial" w:cs="Arial"/>
        </w:rPr>
        <w:footnoteReference w:id="3"/>
      </w:r>
      <w:r w:rsidR="00F20E07">
        <w:rPr>
          <w:rFonts w:ascii="Arial" w:hAnsi="Arial" w:cs="Arial"/>
        </w:rPr>
        <w:t xml:space="preserve"> Only one in six young people eligible for free school meals enter university by the age of 18.</w:t>
      </w:r>
      <w:r w:rsidR="00505DBB">
        <w:rPr>
          <w:rStyle w:val="FootnoteReference"/>
          <w:rFonts w:ascii="Arial" w:hAnsi="Arial" w:cs="Arial"/>
        </w:rPr>
        <w:footnoteReference w:id="4"/>
      </w:r>
      <w:r>
        <w:rPr>
          <w:rFonts w:ascii="Arial" w:hAnsi="Arial" w:cs="Arial"/>
        </w:rPr>
        <w:t xml:space="preserve"> </w:t>
      </w:r>
    </w:p>
    <w:p w:rsidR="00F20E07" w:rsidRDefault="00F20E07" w:rsidP="008C1F94">
      <w:pPr>
        <w:spacing w:after="0" w:line="240" w:lineRule="auto"/>
        <w:rPr>
          <w:rFonts w:ascii="Arial" w:hAnsi="Arial" w:cs="Arial"/>
        </w:rPr>
      </w:pPr>
    </w:p>
    <w:p w:rsidR="000901A7" w:rsidRDefault="00F20E07" w:rsidP="000901A7">
      <w:pPr>
        <w:spacing w:after="0" w:line="240" w:lineRule="auto"/>
        <w:rPr>
          <w:rFonts w:ascii="Arial" w:hAnsi="Arial" w:cs="Arial"/>
        </w:rPr>
      </w:pPr>
      <w:r>
        <w:rPr>
          <w:rFonts w:ascii="Arial" w:hAnsi="Arial" w:cs="Arial"/>
        </w:rPr>
        <w:t xml:space="preserve">A key </w:t>
      </w:r>
      <w:r w:rsidR="000901A7">
        <w:rPr>
          <w:rFonts w:ascii="Arial" w:hAnsi="Arial" w:cs="Arial"/>
        </w:rPr>
        <w:t>constraint</w:t>
      </w:r>
      <w:r>
        <w:rPr>
          <w:rFonts w:ascii="Arial" w:hAnsi="Arial" w:cs="Arial"/>
        </w:rPr>
        <w:t xml:space="preserve"> in analysing trends in social mobility is the lack of information on </w:t>
      </w:r>
      <w:r w:rsidR="00AA58CB">
        <w:rPr>
          <w:rFonts w:ascii="Arial" w:hAnsi="Arial" w:cs="Arial"/>
        </w:rPr>
        <w:t>the impact that social background has on labour market outcomes in adult life.</w:t>
      </w:r>
      <w:r w:rsidR="00DA44A8">
        <w:rPr>
          <w:rFonts w:ascii="Arial" w:hAnsi="Arial" w:cs="Arial"/>
        </w:rPr>
        <w:t xml:space="preserve"> Academic studies of social mobility rely</w:t>
      </w:r>
      <w:r w:rsidR="00817EFB">
        <w:rPr>
          <w:rFonts w:ascii="Arial" w:hAnsi="Arial" w:cs="Arial"/>
        </w:rPr>
        <w:t xml:space="preserve"> on</w:t>
      </w:r>
      <w:r w:rsidR="00DA44A8">
        <w:rPr>
          <w:rFonts w:ascii="Arial" w:hAnsi="Arial" w:cs="Arial"/>
        </w:rPr>
        <w:t xml:space="preserve"> sources such as Birth Cohort Studies and the ONS Longitudinal Study</w:t>
      </w:r>
      <w:r w:rsidR="00817EFB">
        <w:rPr>
          <w:rFonts w:ascii="Arial" w:hAnsi="Arial" w:cs="Arial"/>
        </w:rPr>
        <w:t xml:space="preserve"> but these have limitations. An important recent development is the inclusion of new questions looking at social background in the Labour Force Survey</w:t>
      </w:r>
      <w:r w:rsidR="000901A7">
        <w:rPr>
          <w:rFonts w:ascii="Arial" w:hAnsi="Arial" w:cs="Arial"/>
        </w:rPr>
        <w:t xml:space="preserve">, </w:t>
      </w:r>
      <w:r w:rsidR="00817EFB">
        <w:rPr>
          <w:rFonts w:ascii="Arial" w:hAnsi="Arial" w:cs="Arial"/>
        </w:rPr>
        <w:t>asked annually from July-September 2014.</w:t>
      </w:r>
      <w:r w:rsidR="000901A7">
        <w:rPr>
          <w:rFonts w:ascii="Arial" w:hAnsi="Arial" w:cs="Arial"/>
        </w:rPr>
        <w:t xml:space="preserve"> </w:t>
      </w:r>
      <w:r w:rsidR="00817EFB">
        <w:rPr>
          <w:rFonts w:ascii="Arial" w:hAnsi="Arial" w:cs="Arial"/>
        </w:rPr>
        <w:t xml:space="preserve"> </w:t>
      </w:r>
      <w:r w:rsidR="000901A7">
        <w:rPr>
          <w:rFonts w:ascii="Arial" w:hAnsi="Arial" w:cs="Arial"/>
        </w:rPr>
        <w:t>This new data has the potential to help address a number of issues of interest to the Social Mobility Commission, for example:</w:t>
      </w:r>
    </w:p>
    <w:p w:rsidR="000901A7" w:rsidRDefault="000901A7" w:rsidP="000901A7">
      <w:pPr>
        <w:pStyle w:val="ListParagraph"/>
        <w:numPr>
          <w:ilvl w:val="0"/>
          <w:numId w:val="24"/>
        </w:numPr>
        <w:rPr>
          <w:rFonts w:ascii="Arial" w:hAnsi="Arial" w:cs="Arial"/>
        </w:rPr>
      </w:pPr>
      <w:r>
        <w:rPr>
          <w:rFonts w:ascii="Arial" w:hAnsi="Arial" w:cs="Arial"/>
        </w:rPr>
        <w:t>Trends in social mobility over time and across people’s lives.</w:t>
      </w:r>
    </w:p>
    <w:p w:rsidR="000901A7" w:rsidRDefault="000901A7" w:rsidP="000901A7">
      <w:pPr>
        <w:pStyle w:val="ListParagraph"/>
        <w:numPr>
          <w:ilvl w:val="0"/>
          <w:numId w:val="24"/>
        </w:numPr>
        <w:rPr>
          <w:rFonts w:ascii="Arial" w:hAnsi="Arial" w:cs="Arial"/>
        </w:rPr>
      </w:pPr>
      <w:r>
        <w:rPr>
          <w:rFonts w:ascii="Arial" w:hAnsi="Arial" w:cs="Arial"/>
        </w:rPr>
        <w:t>Differences in earnings between people from different social backgrounds within the same occupation.</w:t>
      </w:r>
    </w:p>
    <w:p w:rsidR="000901A7" w:rsidRDefault="000901A7" w:rsidP="000901A7">
      <w:pPr>
        <w:pStyle w:val="ListParagraph"/>
        <w:numPr>
          <w:ilvl w:val="0"/>
          <w:numId w:val="24"/>
        </w:numPr>
        <w:rPr>
          <w:rFonts w:ascii="Arial" w:hAnsi="Arial" w:cs="Arial"/>
        </w:rPr>
      </w:pPr>
      <w:r>
        <w:rPr>
          <w:rFonts w:ascii="Arial" w:hAnsi="Arial" w:cs="Arial"/>
        </w:rPr>
        <w:t>The impact of social background in the labour market over and above its impact through educational qualifications.</w:t>
      </w:r>
    </w:p>
    <w:p w:rsidR="000901A7" w:rsidRDefault="003F0FC2" w:rsidP="000901A7">
      <w:pPr>
        <w:pStyle w:val="ListParagraph"/>
        <w:numPr>
          <w:ilvl w:val="0"/>
          <w:numId w:val="24"/>
        </w:numPr>
        <w:rPr>
          <w:rFonts w:ascii="Arial" w:hAnsi="Arial" w:cs="Arial"/>
        </w:rPr>
      </w:pPr>
      <w:r>
        <w:rPr>
          <w:rFonts w:ascii="Arial" w:hAnsi="Arial" w:cs="Arial"/>
        </w:rPr>
        <w:t xml:space="preserve">Local </w:t>
      </w:r>
      <w:r w:rsidR="000901A7">
        <w:rPr>
          <w:rFonts w:ascii="Arial" w:hAnsi="Arial" w:cs="Arial"/>
        </w:rPr>
        <w:t>differences in social mobility.</w:t>
      </w:r>
    </w:p>
    <w:p w:rsidR="000901A7" w:rsidRPr="000901A7" w:rsidRDefault="000901A7" w:rsidP="000901A7">
      <w:pPr>
        <w:pStyle w:val="ListParagraph"/>
        <w:numPr>
          <w:ilvl w:val="0"/>
          <w:numId w:val="24"/>
        </w:numPr>
        <w:rPr>
          <w:rFonts w:ascii="Arial" w:hAnsi="Arial" w:cs="Arial"/>
        </w:rPr>
      </w:pPr>
      <w:r>
        <w:rPr>
          <w:rFonts w:ascii="Arial" w:hAnsi="Arial" w:cs="Arial"/>
        </w:rPr>
        <w:t>Inter-generational worklessness.</w:t>
      </w:r>
    </w:p>
    <w:p w:rsidR="000901A7" w:rsidRDefault="000901A7" w:rsidP="000901A7">
      <w:pPr>
        <w:pStyle w:val="ListParagraph"/>
        <w:numPr>
          <w:ilvl w:val="0"/>
          <w:numId w:val="24"/>
        </w:numPr>
        <w:rPr>
          <w:rFonts w:ascii="Arial" w:hAnsi="Arial" w:cs="Arial"/>
        </w:rPr>
      </w:pPr>
      <w:r>
        <w:rPr>
          <w:rFonts w:ascii="Arial" w:hAnsi="Arial" w:cs="Arial"/>
        </w:rPr>
        <w:t>Differences in experiences of labour market trends by social background over time e.g. unemployment increases or entries into work.</w:t>
      </w:r>
    </w:p>
    <w:p w:rsidR="000901A7" w:rsidRPr="000901A7" w:rsidRDefault="000901A7" w:rsidP="000901A7">
      <w:pPr>
        <w:pStyle w:val="ListParagraph"/>
        <w:numPr>
          <w:ilvl w:val="0"/>
          <w:numId w:val="24"/>
        </w:numPr>
        <w:rPr>
          <w:rFonts w:ascii="Arial" w:hAnsi="Arial" w:cs="Arial"/>
        </w:rPr>
      </w:pPr>
      <w:r>
        <w:rPr>
          <w:rFonts w:ascii="Arial" w:hAnsi="Arial" w:cs="Arial"/>
        </w:rPr>
        <w:t>Other analysis looking at the impact/correlation of social background and other Labour Force Survey variables.</w:t>
      </w:r>
    </w:p>
    <w:p w:rsidR="002D0FF0" w:rsidRDefault="002D0FF0" w:rsidP="008C1F94">
      <w:pPr>
        <w:spacing w:after="0" w:line="240" w:lineRule="auto"/>
        <w:rPr>
          <w:rFonts w:ascii="Arial" w:hAnsi="Arial" w:cs="Arial"/>
        </w:rPr>
      </w:pPr>
    </w:p>
    <w:p w:rsidR="002762FF" w:rsidRDefault="006F6721" w:rsidP="002762FF">
      <w:pPr>
        <w:spacing w:after="0" w:line="240" w:lineRule="auto"/>
        <w:rPr>
          <w:rFonts w:ascii="Arial" w:hAnsi="Arial" w:cs="Arial"/>
        </w:rPr>
      </w:pPr>
      <w:r>
        <w:rPr>
          <w:rFonts w:ascii="Arial" w:hAnsi="Arial" w:cs="Arial"/>
        </w:rPr>
        <w:t>We are commissioning this short p</w:t>
      </w:r>
      <w:r w:rsidR="00AB6786">
        <w:rPr>
          <w:rFonts w:ascii="Arial" w:hAnsi="Arial" w:cs="Arial"/>
        </w:rPr>
        <w:t xml:space="preserve">iece of analysis </w:t>
      </w:r>
      <w:r w:rsidR="00A77B25">
        <w:rPr>
          <w:rFonts w:ascii="Arial" w:hAnsi="Arial" w:cs="Arial"/>
        </w:rPr>
        <w:t>to</w:t>
      </w:r>
      <w:r w:rsidR="0055728F">
        <w:rPr>
          <w:rFonts w:ascii="Arial" w:hAnsi="Arial" w:cs="Arial"/>
        </w:rPr>
        <w:t xml:space="preserve"> explore</w:t>
      </w:r>
      <w:r w:rsidR="00A77B25">
        <w:rPr>
          <w:rFonts w:ascii="Arial" w:hAnsi="Arial" w:cs="Arial"/>
        </w:rPr>
        <w:t xml:space="preserve"> </w:t>
      </w:r>
      <w:r w:rsidR="0055728F">
        <w:rPr>
          <w:rFonts w:ascii="Arial" w:hAnsi="Arial" w:cs="Arial"/>
        </w:rPr>
        <w:t>the potential of this new dataset to shed light on trends in and patte</w:t>
      </w:r>
      <w:r w:rsidR="00AB6786">
        <w:rPr>
          <w:rFonts w:ascii="Arial" w:hAnsi="Arial" w:cs="Arial"/>
        </w:rPr>
        <w:t>rns of social mobility in the UK, including</w:t>
      </w:r>
      <w:r w:rsidR="002762FF">
        <w:rPr>
          <w:rFonts w:ascii="Arial" w:hAnsi="Arial" w:cs="Arial"/>
        </w:rPr>
        <w:t>:</w:t>
      </w:r>
    </w:p>
    <w:p w:rsidR="002762FF" w:rsidRDefault="002762FF" w:rsidP="002762FF">
      <w:pPr>
        <w:pStyle w:val="ListParagraph"/>
        <w:numPr>
          <w:ilvl w:val="0"/>
          <w:numId w:val="24"/>
        </w:numPr>
        <w:rPr>
          <w:rFonts w:ascii="Arial" w:hAnsi="Arial" w:cs="Arial"/>
        </w:rPr>
      </w:pPr>
      <w:r w:rsidRPr="002E612B">
        <w:rPr>
          <w:rFonts w:ascii="Arial" w:hAnsi="Arial" w:cs="Arial"/>
        </w:rPr>
        <w:t xml:space="preserve">Analysis of </w:t>
      </w:r>
      <w:r w:rsidR="003F0FC2">
        <w:rPr>
          <w:rFonts w:ascii="Arial" w:hAnsi="Arial" w:cs="Arial"/>
        </w:rPr>
        <w:t>the responses to</w:t>
      </w:r>
      <w:r w:rsidRPr="002E612B">
        <w:rPr>
          <w:rFonts w:ascii="Arial" w:hAnsi="Arial" w:cs="Arial"/>
        </w:rPr>
        <w:t xml:space="preserve"> the social background questions</w:t>
      </w:r>
      <w:r w:rsidR="00406E58">
        <w:rPr>
          <w:rFonts w:ascii="Arial" w:hAnsi="Arial" w:cs="Arial"/>
        </w:rPr>
        <w:t xml:space="preserve"> in the Labour Force Survey</w:t>
      </w:r>
      <w:r w:rsidR="003F0FC2">
        <w:rPr>
          <w:rFonts w:ascii="Arial" w:hAnsi="Arial" w:cs="Arial"/>
        </w:rPr>
        <w:t>, including the quality of the data</w:t>
      </w:r>
      <w:r>
        <w:rPr>
          <w:rFonts w:ascii="Arial" w:hAnsi="Arial" w:cs="Arial"/>
        </w:rPr>
        <w:t xml:space="preserve"> e.g. evidence on the extent of potential non-response bias, issue</w:t>
      </w:r>
      <w:r w:rsidR="0045542A">
        <w:rPr>
          <w:rFonts w:ascii="Arial" w:hAnsi="Arial" w:cs="Arial"/>
        </w:rPr>
        <w:t>s around non-classification</w:t>
      </w:r>
      <w:r w:rsidR="00516BD0">
        <w:rPr>
          <w:rFonts w:ascii="Arial" w:hAnsi="Arial" w:cs="Arial"/>
        </w:rPr>
        <w:t xml:space="preserve"> and so on</w:t>
      </w:r>
      <w:r w:rsidR="0045542A">
        <w:rPr>
          <w:rFonts w:ascii="Arial" w:hAnsi="Arial" w:cs="Arial"/>
        </w:rPr>
        <w:t>.</w:t>
      </w:r>
    </w:p>
    <w:p w:rsidR="002E612B" w:rsidRDefault="005D01BB" w:rsidP="002762FF">
      <w:pPr>
        <w:pStyle w:val="ListParagraph"/>
        <w:numPr>
          <w:ilvl w:val="0"/>
          <w:numId w:val="24"/>
        </w:numPr>
        <w:rPr>
          <w:rFonts w:ascii="Arial" w:hAnsi="Arial" w:cs="Arial"/>
        </w:rPr>
      </w:pPr>
      <w:r>
        <w:rPr>
          <w:rFonts w:ascii="Arial" w:hAnsi="Arial" w:cs="Arial"/>
        </w:rPr>
        <w:lastRenderedPageBreak/>
        <w:t>Descriptive analysis of what the Labour Force Survey tells us about the extent of inter-generational social mobility in the UK</w:t>
      </w:r>
      <w:r w:rsidR="00516BD0">
        <w:rPr>
          <w:rFonts w:ascii="Arial" w:hAnsi="Arial" w:cs="Arial"/>
        </w:rPr>
        <w:t xml:space="preserve"> and looking at variation across different sub-groups of the population</w:t>
      </w:r>
      <w:r>
        <w:rPr>
          <w:rFonts w:ascii="Arial" w:hAnsi="Arial" w:cs="Arial"/>
        </w:rPr>
        <w:t xml:space="preserve"> (e.g. by </w:t>
      </w:r>
      <w:r w:rsidR="00516BD0">
        <w:rPr>
          <w:rFonts w:ascii="Arial" w:hAnsi="Arial" w:cs="Arial"/>
        </w:rPr>
        <w:t>age and</w:t>
      </w:r>
      <w:r>
        <w:rPr>
          <w:rFonts w:ascii="Arial" w:hAnsi="Arial" w:cs="Arial"/>
        </w:rPr>
        <w:t xml:space="preserve"> area of residence). </w:t>
      </w:r>
    </w:p>
    <w:p w:rsidR="002E612B" w:rsidRDefault="002E612B" w:rsidP="002762FF">
      <w:pPr>
        <w:pStyle w:val="ListParagraph"/>
        <w:numPr>
          <w:ilvl w:val="0"/>
          <w:numId w:val="24"/>
        </w:numPr>
        <w:rPr>
          <w:rFonts w:ascii="Arial" w:hAnsi="Arial" w:cs="Arial"/>
        </w:rPr>
      </w:pPr>
      <w:r>
        <w:rPr>
          <w:rFonts w:ascii="Arial" w:hAnsi="Arial" w:cs="Arial"/>
        </w:rPr>
        <w:t xml:space="preserve">Descriptive analysis of the correlation between social background and key labour market </w:t>
      </w:r>
      <w:r w:rsidR="002C114F">
        <w:rPr>
          <w:rFonts w:ascii="Arial" w:hAnsi="Arial" w:cs="Arial"/>
        </w:rPr>
        <w:t xml:space="preserve">and other </w:t>
      </w:r>
      <w:r>
        <w:rPr>
          <w:rFonts w:ascii="Arial" w:hAnsi="Arial" w:cs="Arial"/>
        </w:rPr>
        <w:t>outcomes</w:t>
      </w:r>
      <w:r w:rsidR="005C35FC">
        <w:rPr>
          <w:rFonts w:ascii="Arial" w:hAnsi="Arial" w:cs="Arial"/>
        </w:rPr>
        <w:t xml:space="preserve"> that are</w:t>
      </w:r>
      <w:r w:rsidR="003F0FC2">
        <w:rPr>
          <w:rFonts w:ascii="Arial" w:hAnsi="Arial" w:cs="Arial"/>
        </w:rPr>
        <w:t xml:space="preserve"> of interest for social mobility</w:t>
      </w:r>
      <w:r>
        <w:rPr>
          <w:rFonts w:ascii="Arial" w:hAnsi="Arial" w:cs="Arial"/>
        </w:rPr>
        <w:t xml:space="preserve"> (e.g. employment status, occupational class, earnings</w:t>
      </w:r>
      <w:r w:rsidR="002C114F">
        <w:rPr>
          <w:rFonts w:ascii="Arial" w:hAnsi="Arial" w:cs="Arial"/>
        </w:rPr>
        <w:t>, household composition</w:t>
      </w:r>
      <w:r>
        <w:rPr>
          <w:rFonts w:ascii="Arial" w:hAnsi="Arial" w:cs="Arial"/>
        </w:rPr>
        <w:t>) for different sub-groups of the population (e.g. by age, area of residence, educational qualifications, occupational class).</w:t>
      </w:r>
    </w:p>
    <w:p w:rsidR="00C67C88" w:rsidRDefault="003F0FC2" w:rsidP="00C67C88">
      <w:pPr>
        <w:pStyle w:val="ListParagraph"/>
        <w:numPr>
          <w:ilvl w:val="0"/>
          <w:numId w:val="24"/>
        </w:numPr>
        <w:rPr>
          <w:rFonts w:ascii="Arial" w:hAnsi="Arial" w:cs="Arial"/>
        </w:rPr>
      </w:pPr>
      <w:r>
        <w:rPr>
          <w:rFonts w:ascii="Arial" w:hAnsi="Arial" w:cs="Arial"/>
        </w:rPr>
        <w:t xml:space="preserve">Exploration of the potential of the new data to </w:t>
      </w:r>
      <w:r w:rsidR="00C67C88">
        <w:rPr>
          <w:rFonts w:ascii="Arial" w:hAnsi="Arial" w:cs="Arial"/>
        </w:rPr>
        <w:t>shed light on</w:t>
      </w:r>
      <w:r w:rsidR="00D1238E">
        <w:rPr>
          <w:rFonts w:ascii="Arial" w:hAnsi="Arial" w:cs="Arial"/>
        </w:rPr>
        <w:t xml:space="preserve"> key social mobility policy questions, including ideas for future quantitative analysis using the new data and </w:t>
      </w:r>
      <w:r w:rsidR="002C114F">
        <w:rPr>
          <w:rFonts w:ascii="Arial" w:hAnsi="Arial" w:cs="Arial"/>
        </w:rPr>
        <w:t>an assessment of the limitations of the data</w:t>
      </w:r>
      <w:r>
        <w:rPr>
          <w:rFonts w:ascii="Arial" w:hAnsi="Arial" w:cs="Arial"/>
        </w:rPr>
        <w:t xml:space="preserve"> in doing this (e.g. sample sizes, data quality)</w:t>
      </w:r>
      <w:r w:rsidR="002C114F">
        <w:rPr>
          <w:rFonts w:ascii="Arial" w:hAnsi="Arial" w:cs="Arial"/>
        </w:rPr>
        <w:t>.</w:t>
      </w:r>
    </w:p>
    <w:p w:rsidR="001A4913" w:rsidRPr="001A4913" w:rsidRDefault="001A4913" w:rsidP="001A4913">
      <w:pPr>
        <w:pStyle w:val="ListParagraph"/>
        <w:rPr>
          <w:rFonts w:ascii="Arial" w:hAnsi="Arial" w:cs="Arial"/>
        </w:rPr>
      </w:pPr>
    </w:p>
    <w:p w:rsidR="00C67C88" w:rsidRDefault="00C67C88" w:rsidP="00C67C88">
      <w:pPr>
        <w:spacing w:after="0"/>
        <w:rPr>
          <w:rFonts w:ascii="Arial" w:hAnsi="Arial" w:cs="Arial"/>
        </w:rPr>
      </w:pPr>
      <w:r>
        <w:rPr>
          <w:rFonts w:ascii="Arial" w:hAnsi="Arial" w:cs="Arial"/>
        </w:rPr>
        <w:t>We would expect the final written report to include:</w:t>
      </w:r>
    </w:p>
    <w:p w:rsidR="00C67C88" w:rsidRDefault="00C67C88" w:rsidP="00C67C88">
      <w:pPr>
        <w:pStyle w:val="ListParagraph"/>
        <w:numPr>
          <w:ilvl w:val="0"/>
          <w:numId w:val="24"/>
        </w:numPr>
        <w:rPr>
          <w:rFonts w:ascii="Arial" w:hAnsi="Arial" w:cs="Arial"/>
        </w:rPr>
      </w:pPr>
      <w:r>
        <w:rPr>
          <w:rFonts w:ascii="Arial" w:hAnsi="Arial" w:cs="Arial"/>
        </w:rPr>
        <w:t>An overview of the social background questions that are asked in the Labour Force Survey and an assessment of the responses, including consideration of any data quality and sample size issues.</w:t>
      </w:r>
    </w:p>
    <w:p w:rsidR="00C67C88" w:rsidRDefault="00C67C88" w:rsidP="00C67C88">
      <w:pPr>
        <w:pStyle w:val="ListParagraph"/>
        <w:numPr>
          <w:ilvl w:val="0"/>
          <w:numId w:val="24"/>
        </w:numPr>
        <w:rPr>
          <w:rFonts w:ascii="Arial" w:hAnsi="Arial" w:cs="Arial"/>
        </w:rPr>
      </w:pPr>
      <w:r>
        <w:rPr>
          <w:rFonts w:ascii="Arial" w:hAnsi="Arial" w:cs="Arial"/>
        </w:rPr>
        <w:t>A concise summary of the headline findings about what the social background questions in the Labour Force Survey can tell us about social mobility in the UK.</w:t>
      </w:r>
    </w:p>
    <w:p w:rsidR="00C67C88" w:rsidRDefault="00C67C88" w:rsidP="00C67C88">
      <w:pPr>
        <w:pStyle w:val="ListParagraph"/>
        <w:numPr>
          <w:ilvl w:val="0"/>
          <w:numId w:val="24"/>
        </w:numPr>
        <w:rPr>
          <w:rFonts w:ascii="Arial" w:hAnsi="Arial" w:cs="Arial"/>
        </w:rPr>
      </w:pPr>
      <w:r>
        <w:rPr>
          <w:rFonts w:ascii="Arial" w:hAnsi="Arial" w:cs="Arial"/>
        </w:rPr>
        <w:t xml:space="preserve">Presentation of the descriptive analysis undertaken, including commentary, tables, charts and maps. </w:t>
      </w:r>
    </w:p>
    <w:p w:rsidR="00C67C88" w:rsidRDefault="00C67C88" w:rsidP="001A4913">
      <w:pPr>
        <w:pStyle w:val="ListParagraph"/>
        <w:numPr>
          <w:ilvl w:val="0"/>
          <w:numId w:val="24"/>
        </w:numPr>
        <w:rPr>
          <w:rFonts w:ascii="Arial" w:hAnsi="Arial" w:cs="Arial"/>
        </w:rPr>
      </w:pPr>
      <w:r>
        <w:rPr>
          <w:rFonts w:ascii="Arial" w:hAnsi="Arial" w:cs="Arial"/>
        </w:rPr>
        <w:t>A section exploring the potential of the new data to shed light on key social mobility policy questions, including consideration of the impact of data quality issues such as small sample sizes in limiting any sub-group analysis</w:t>
      </w:r>
      <w:r w:rsidR="001A4913">
        <w:rPr>
          <w:rFonts w:ascii="Arial" w:hAnsi="Arial" w:cs="Arial"/>
        </w:rPr>
        <w:t>.</w:t>
      </w:r>
    </w:p>
    <w:p w:rsidR="001A4913" w:rsidRPr="001A4913" w:rsidRDefault="001A4913" w:rsidP="001A4913">
      <w:pPr>
        <w:pStyle w:val="ListParagraph"/>
        <w:rPr>
          <w:rFonts w:ascii="Arial" w:hAnsi="Arial" w:cs="Arial"/>
        </w:rPr>
      </w:pPr>
    </w:p>
    <w:p w:rsidR="00BE06E8" w:rsidRDefault="00BE06E8" w:rsidP="00BB34C1">
      <w:pPr>
        <w:spacing w:after="0"/>
        <w:rPr>
          <w:rFonts w:ascii="Arial" w:hAnsi="Arial" w:cs="Arial"/>
        </w:rPr>
      </w:pPr>
      <w:r w:rsidRPr="00BB34C1">
        <w:rPr>
          <w:rFonts w:ascii="Arial" w:hAnsi="Arial" w:cs="Arial"/>
        </w:rPr>
        <w:t xml:space="preserve">This research will be commissioned via a single </w:t>
      </w:r>
      <w:r w:rsidR="00DF438A" w:rsidRPr="00BB34C1">
        <w:rPr>
          <w:rFonts w:ascii="Arial" w:hAnsi="Arial" w:cs="Arial"/>
        </w:rPr>
        <w:t xml:space="preserve">procurement </w:t>
      </w:r>
      <w:r w:rsidRPr="00BB34C1">
        <w:rPr>
          <w:rFonts w:ascii="Arial" w:hAnsi="Arial" w:cs="Arial"/>
        </w:rPr>
        <w:t>phase, for which succinct proposals are invited. Assessment of tenders will be on the basis of the criteria at the end of this document. The contract between the Commission and the successful bidder will run from the date of issue until no later than</w:t>
      </w:r>
      <w:r w:rsidR="000839D0" w:rsidRPr="004459FB">
        <w:rPr>
          <w:rFonts w:ascii="Arial" w:hAnsi="Arial" w:cs="Arial"/>
        </w:rPr>
        <w:t xml:space="preserve"> </w:t>
      </w:r>
      <w:r w:rsidR="003F0FC2" w:rsidRPr="003F0FC2">
        <w:rPr>
          <w:rFonts w:ascii="Arial" w:hAnsi="Arial" w:cs="Arial"/>
          <w:color w:val="000000" w:themeColor="text1"/>
        </w:rPr>
        <w:t>31 August 2016</w:t>
      </w:r>
      <w:r w:rsidRPr="004459FB">
        <w:rPr>
          <w:rFonts w:ascii="Arial" w:hAnsi="Arial" w:cs="Arial"/>
        </w:rPr>
        <w:t xml:space="preserve">. Research will be published on the Commission’s website and should be drafted with Social Mobility Commission branding and format. </w:t>
      </w:r>
    </w:p>
    <w:p w:rsidR="00155E10" w:rsidRDefault="00155E10" w:rsidP="004459FB">
      <w:pPr>
        <w:spacing w:after="0"/>
        <w:rPr>
          <w:rFonts w:ascii="Arial" w:hAnsi="Arial" w:cs="Arial"/>
        </w:rPr>
      </w:pPr>
    </w:p>
    <w:p w:rsidR="00AF081A" w:rsidRPr="004459FB" w:rsidRDefault="00AC6663" w:rsidP="004459FB">
      <w:pPr>
        <w:spacing w:after="0"/>
        <w:rPr>
          <w:rFonts w:ascii="Arial" w:hAnsi="Arial" w:cs="Arial"/>
        </w:rPr>
      </w:pPr>
      <w:r w:rsidRPr="004459FB">
        <w:rPr>
          <w:rFonts w:ascii="Arial" w:hAnsi="Arial" w:cs="Arial"/>
        </w:rPr>
        <w:t>Tenders</w:t>
      </w:r>
      <w:r w:rsidR="00AF081A" w:rsidRPr="004459FB">
        <w:rPr>
          <w:rFonts w:ascii="Arial" w:hAnsi="Arial" w:cs="Arial"/>
        </w:rPr>
        <w:t xml:space="preserve"> should be submitted to </w:t>
      </w:r>
      <w:hyperlink r:id="rId10" w:history="1">
        <w:r w:rsidR="00AF081A" w:rsidRPr="004459FB">
          <w:rPr>
            <w:rStyle w:val="Hyperlink"/>
            <w:rFonts w:ascii="Arial" w:hAnsi="Arial" w:cs="Arial"/>
          </w:rPr>
          <w:t>contact@smcpcommission.gsi.gov.uk</w:t>
        </w:r>
      </w:hyperlink>
      <w:r w:rsidR="00AF081A" w:rsidRPr="004459FB">
        <w:rPr>
          <w:rFonts w:ascii="Arial" w:hAnsi="Arial" w:cs="Arial"/>
        </w:rPr>
        <w:t xml:space="preserve"> </w:t>
      </w:r>
      <w:r w:rsidR="005D31DC" w:rsidRPr="004459FB">
        <w:rPr>
          <w:rFonts w:ascii="Arial" w:hAnsi="Arial" w:cs="Arial"/>
        </w:rPr>
        <w:t>no later than</w:t>
      </w:r>
      <w:r w:rsidR="007C65B9" w:rsidRPr="004459FB">
        <w:rPr>
          <w:rFonts w:ascii="Arial" w:hAnsi="Arial" w:cs="Arial"/>
        </w:rPr>
        <w:t xml:space="preserve"> </w:t>
      </w:r>
      <w:r w:rsidR="006D32FC">
        <w:rPr>
          <w:rFonts w:ascii="Arial" w:hAnsi="Arial" w:cs="Arial"/>
          <w:color w:val="000000" w:themeColor="text1"/>
        </w:rPr>
        <w:t>5pm</w:t>
      </w:r>
      <w:r w:rsidR="003F0FC2">
        <w:rPr>
          <w:rFonts w:ascii="Arial" w:hAnsi="Arial" w:cs="Arial"/>
          <w:color w:val="000000" w:themeColor="text1"/>
        </w:rPr>
        <w:t xml:space="preserve"> on </w:t>
      </w:r>
      <w:r w:rsidR="006D32FC">
        <w:rPr>
          <w:rFonts w:ascii="Arial" w:hAnsi="Arial" w:cs="Arial"/>
          <w:color w:val="000000" w:themeColor="text1"/>
        </w:rPr>
        <w:t>Friday</w:t>
      </w:r>
      <w:r w:rsidR="003F0FC2" w:rsidRPr="003F0FC2">
        <w:rPr>
          <w:rFonts w:ascii="Arial" w:hAnsi="Arial" w:cs="Arial"/>
          <w:color w:val="000000" w:themeColor="text1"/>
        </w:rPr>
        <w:t xml:space="preserve"> </w:t>
      </w:r>
      <w:r w:rsidR="006D32FC">
        <w:rPr>
          <w:rFonts w:ascii="Arial" w:hAnsi="Arial" w:cs="Arial"/>
          <w:color w:val="000000" w:themeColor="text1"/>
        </w:rPr>
        <w:t>24</w:t>
      </w:r>
      <w:r w:rsidR="003F0FC2" w:rsidRPr="003F0FC2">
        <w:rPr>
          <w:rFonts w:ascii="Arial" w:hAnsi="Arial" w:cs="Arial"/>
          <w:color w:val="000000" w:themeColor="text1"/>
        </w:rPr>
        <w:t xml:space="preserve"> June</w:t>
      </w:r>
      <w:r w:rsidR="003F0FC2">
        <w:rPr>
          <w:rFonts w:ascii="Arial" w:hAnsi="Arial" w:cs="Arial"/>
          <w:color w:val="000000" w:themeColor="text1"/>
        </w:rPr>
        <w:t xml:space="preserve"> 2016</w:t>
      </w:r>
      <w:r w:rsidR="009E30F4" w:rsidRPr="003F0FC2">
        <w:rPr>
          <w:rFonts w:ascii="Arial" w:hAnsi="Arial" w:cs="Arial"/>
          <w:color w:val="000000" w:themeColor="text1"/>
        </w:rPr>
        <w:t>.</w:t>
      </w:r>
      <w:r w:rsidR="001B4CD2" w:rsidRPr="003F0FC2">
        <w:rPr>
          <w:rFonts w:ascii="Arial" w:hAnsi="Arial" w:cs="Arial"/>
          <w:color w:val="000000" w:themeColor="text1"/>
        </w:rPr>
        <w:t xml:space="preserve"> </w:t>
      </w:r>
      <w:r w:rsidRPr="004459FB">
        <w:rPr>
          <w:rFonts w:ascii="Arial" w:hAnsi="Arial" w:cs="Arial"/>
        </w:rPr>
        <w:t xml:space="preserve">They should </w:t>
      </w:r>
      <w:r w:rsidR="009602AE" w:rsidRPr="004459FB">
        <w:rPr>
          <w:rFonts w:ascii="Arial" w:hAnsi="Arial" w:cs="Arial"/>
        </w:rPr>
        <w:t xml:space="preserve">be in Word or PDF format and </w:t>
      </w:r>
      <w:r w:rsidRPr="004459FB">
        <w:rPr>
          <w:rFonts w:ascii="Arial" w:hAnsi="Arial" w:cs="Arial"/>
        </w:rPr>
        <w:t>include:</w:t>
      </w:r>
    </w:p>
    <w:p w:rsidR="00AF081A" w:rsidRPr="004459FB" w:rsidRDefault="00AF081A" w:rsidP="004459FB">
      <w:pPr>
        <w:spacing w:after="0"/>
        <w:rPr>
          <w:rFonts w:ascii="Arial" w:hAnsi="Arial" w:cs="Arial"/>
        </w:rPr>
      </w:pPr>
    </w:p>
    <w:p w:rsidR="0004517E" w:rsidRPr="004459FB" w:rsidRDefault="00AC6663" w:rsidP="004459FB">
      <w:pPr>
        <w:pStyle w:val="ListParagraph"/>
        <w:numPr>
          <w:ilvl w:val="0"/>
          <w:numId w:val="6"/>
        </w:numPr>
        <w:spacing w:line="276" w:lineRule="auto"/>
        <w:rPr>
          <w:rFonts w:ascii="Arial" w:hAnsi="Arial" w:cs="Arial"/>
        </w:rPr>
      </w:pPr>
      <w:r w:rsidRPr="004459FB">
        <w:rPr>
          <w:rFonts w:ascii="Arial" w:hAnsi="Arial" w:cs="Arial"/>
        </w:rPr>
        <w:t>Your proposed approach to the research</w:t>
      </w:r>
      <w:r w:rsidR="0004517E" w:rsidRPr="004459FB">
        <w:rPr>
          <w:rFonts w:ascii="Arial" w:hAnsi="Arial" w:cs="Arial"/>
        </w:rPr>
        <w:t xml:space="preserve"> (2 sides max). You may wish to set out in this section:</w:t>
      </w:r>
    </w:p>
    <w:p w:rsidR="00BE06E8" w:rsidRPr="004459FB" w:rsidRDefault="00F104C6" w:rsidP="004459FB">
      <w:pPr>
        <w:pStyle w:val="ListParagraph"/>
        <w:numPr>
          <w:ilvl w:val="1"/>
          <w:numId w:val="6"/>
        </w:numPr>
        <w:spacing w:line="276" w:lineRule="auto"/>
        <w:rPr>
          <w:rFonts w:ascii="Arial" w:hAnsi="Arial" w:cs="Arial"/>
        </w:rPr>
      </w:pPr>
      <w:r w:rsidRPr="004459FB">
        <w:rPr>
          <w:rFonts w:ascii="Arial" w:hAnsi="Arial" w:cs="Arial"/>
        </w:rPr>
        <w:t>Overview of proposa</w:t>
      </w:r>
      <w:r w:rsidR="002C114F">
        <w:rPr>
          <w:rFonts w:ascii="Arial" w:hAnsi="Arial" w:cs="Arial"/>
        </w:rPr>
        <w:t>l.</w:t>
      </w:r>
    </w:p>
    <w:p w:rsidR="0004472C" w:rsidRDefault="0004472C" w:rsidP="004459FB">
      <w:pPr>
        <w:pStyle w:val="ListParagraph"/>
        <w:numPr>
          <w:ilvl w:val="1"/>
          <w:numId w:val="6"/>
        </w:numPr>
        <w:spacing w:line="276" w:lineRule="auto"/>
        <w:rPr>
          <w:rFonts w:ascii="Arial" w:hAnsi="Arial" w:cs="Arial"/>
        </w:rPr>
      </w:pPr>
      <w:r>
        <w:rPr>
          <w:rFonts w:ascii="Arial" w:hAnsi="Arial" w:cs="Arial"/>
        </w:rPr>
        <w:t>Pr</w:t>
      </w:r>
      <w:r w:rsidR="002C114F">
        <w:rPr>
          <w:rFonts w:ascii="Arial" w:hAnsi="Arial" w:cs="Arial"/>
        </w:rPr>
        <w:t>oposed methodology and approach.</w:t>
      </w:r>
    </w:p>
    <w:p w:rsidR="007C65B9" w:rsidRPr="004459FB" w:rsidRDefault="00F104C6" w:rsidP="004459FB">
      <w:pPr>
        <w:pStyle w:val="ListParagraph"/>
        <w:numPr>
          <w:ilvl w:val="1"/>
          <w:numId w:val="6"/>
        </w:numPr>
        <w:spacing w:line="276" w:lineRule="auto"/>
        <w:rPr>
          <w:rFonts w:ascii="Arial" w:hAnsi="Arial" w:cs="Arial"/>
        </w:rPr>
      </w:pPr>
      <w:r w:rsidRPr="004459FB">
        <w:rPr>
          <w:rFonts w:ascii="Arial" w:hAnsi="Arial" w:cs="Arial"/>
        </w:rPr>
        <w:t>Methodological constraints</w:t>
      </w:r>
      <w:r w:rsidR="002C114F">
        <w:rPr>
          <w:rFonts w:ascii="Arial" w:hAnsi="Arial" w:cs="Arial"/>
        </w:rPr>
        <w:t>.</w:t>
      </w:r>
    </w:p>
    <w:p w:rsidR="00BE06E8" w:rsidRPr="004459FB" w:rsidRDefault="00F104C6" w:rsidP="004459FB">
      <w:pPr>
        <w:pStyle w:val="ListParagraph"/>
        <w:numPr>
          <w:ilvl w:val="1"/>
          <w:numId w:val="6"/>
        </w:numPr>
        <w:spacing w:line="276" w:lineRule="auto"/>
        <w:rPr>
          <w:rFonts w:ascii="Arial" w:hAnsi="Arial" w:cs="Arial"/>
        </w:rPr>
      </w:pPr>
      <w:r w:rsidRPr="004459FB">
        <w:rPr>
          <w:rFonts w:ascii="Arial" w:hAnsi="Arial" w:cs="Arial"/>
        </w:rPr>
        <w:t>How you can</w:t>
      </w:r>
      <w:r w:rsidR="00BE06E8" w:rsidRPr="004459FB">
        <w:rPr>
          <w:rFonts w:ascii="Arial" w:hAnsi="Arial" w:cs="Arial"/>
        </w:rPr>
        <w:t xml:space="preserve"> add value and why you should be selected</w:t>
      </w:r>
      <w:r w:rsidR="002C114F">
        <w:rPr>
          <w:rFonts w:ascii="Arial" w:hAnsi="Arial" w:cs="Arial"/>
        </w:rPr>
        <w:t>.</w:t>
      </w:r>
    </w:p>
    <w:p w:rsidR="0004517E" w:rsidRPr="004459FB" w:rsidRDefault="0004517E" w:rsidP="004459FB">
      <w:pPr>
        <w:pStyle w:val="ListParagraph"/>
        <w:numPr>
          <w:ilvl w:val="1"/>
          <w:numId w:val="6"/>
        </w:numPr>
        <w:spacing w:line="276" w:lineRule="auto"/>
        <w:rPr>
          <w:rFonts w:ascii="Arial" w:hAnsi="Arial" w:cs="Arial"/>
        </w:rPr>
      </w:pPr>
      <w:r w:rsidRPr="004459FB">
        <w:rPr>
          <w:rFonts w:ascii="Arial" w:hAnsi="Arial" w:cs="Arial"/>
        </w:rPr>
        <w:t xml:space="preserve">Timeline </w:t>
      </w:r>
      <w:r w:rsidR="00B828B9" w:rsidRPr="004459FB">
        <w:rPr>
          <w:rFonts w:ascii="Arial" w:hAnsi="Arial" w:cs="Arial"/>
        </w:rPr>
        <w:t>and risks</w:t>
      </w:r>
      <w:r w:rsidR="00BE06E8" w:rsidRPr="004459FB">
        <w:rPr>
          <w:rFonts w:ascii="Arial" w:hAnsi="Arial" w:cs="Arial"/>
        </w:rPr>
        <w:t>.</w:t>
      </w:r>
    </w:p>
    <w:p w:rsidR="00AF081A" w:rsidRPr="004459FB" w:rsidRDefault="00AF081A" w:rsidP="004459FB">
      <w:pPr>
        <w:spacing w:after="0"/>
        <w:rPr>
          <w:rFonts w:ascii="Arial" w:hAnsi="Arial" w:cs="Arial"/>
        </w:rPr>
      </w:pPr>
    </w:p>
    <w:p w:rsidR="00AF081A" w:rsidRPr="004459FB" w:rsidRDefault="00AC6663" w:rsidP="004459FB">
      <w:pPr>
        <w:pStyle w:val="ListParagraph"/>
        <w:numPr>
          <w:ilvl w:val="0"/>
          <w:numId w:val="6"/>
        </w:numPr>
        <w:spacing w:line="276" w:lineRule="auto"/>
        <w:rPr>
          <w:rFonts w:ascii="Arial" w:hAnsi="Arial" w:cs="Arial"/>
        </w:rPr>
      </w:pPr>
      <w:r w:rsidRPr="004459FB">
        <w:rPr>
          <w:rFonts w:ascii="Arial" w:hAnsi="Arial" w:cs="Arial"/>
        </w:rPr>
        <w:t xml:space="preserve">Examples of key relevant experience </w:t>
      </w:r>
      <w:r w:rsidR="00D571E5">
        <w:rPr>
          <w:rFonts w:ascii="Arial" w:hAnsi="Arial" w:cs="Arial"/>
        </w:rPr>
        <w:t xml:space="preserve">and </w:t>
      </w:r>
      <w:r w:rsidR="0004517E" w:rsidRPr="004459FB">
        <w:rPr>
          <w:rFonts w:ascii="Arial" w:hAnsi="Arial" w:cs="Arial"/>
        </w:rPr>
        <w:t xml:space="preserve">individual/staff expertise and qualifications </w:t>
      </w:r>
      <w:r w:rsidRPr="004459FB">
        <w:rPr>
          <w:rFonts w:ascii="Arial" w:hAnsi="Arial" w:cs="Arial"/>
        </w:rPr>
        <w:t>(1</w:t>
      </w:r>
      <w:r w:rsidR="0004517E" w:rsidRPr="004459FB">
        <w:rPr>
          <w:rFonts w:ascii="Arial" w:hAnsi="Arial" w:cs="Arial"/>
        </w:rPr>
        <w:t>-2</w:t>
      </w:r>
      <w:r w:rsidRPr="004459FB">
        <w:rPr>
          <w:rFonts w:ascii="Arial" w:hAnsi="Arial" w:cs="Arial"/>
        </w:rPr>
        <w:t xml:space="preserve"> side</w:t>
      </w:r>
      <w:r w:rsidR="0004517E" w:rsidRPr="004459FB">
        <w:rPr>
          <w:rFonts w:ascii="Arial" w:hAnsi="Arial" w:cs="Arial"/>
        </w:rPr>
        <w:t>s</w:t>
      </w:r>
      <w:r w:rsidRPr="004459FB">
        <w:rPr>
          <w:rFonts w:ascii="Arial" w:hAnsi="Arial" w:cs="Arial"/>
        </w:rPr>
        <w:t xml:space="preserve"> max)</w:t>
      </w:r>
      <w:r w:rsidR="002C114F">
        <w:rPr>
          <w:rFonts w:ascii="Arial" w:hAnsi="Arial" w:cs="Arial"/>
        </w:rPr>
        <w:t>.</w:t>
      </w:r>
    </w:p>
    <w:p w:rsidR="00AC6663" w:rsidRPr="004459FB" w:rsidRDefault="00AC6663" w:rsidP="004459FB">
      <w:pPr>
        <w:pStyle w:val="ListParagraph"/>
        <w:spacing w:line="276" w:lineRule="auto"/>
        <w:rPr>
          <w:rFonts w:ascii="Arial" w:hAnsi="Arial" w:cs="Arial"/>
        </w:rPr>
      </w:pPr>
    </w:p>
    <w:p w:rsidR="00AC6663" w:rsidRPr="004459FB" w:rsidRDefault="00B828B9" w:rsidP="004459FB">
      <w:pPr>
        <w:pStyle w:val="ListParagraph"/>
        <w:numPr>
          <w:ilvl w:val="0"/>
          <w:numId w:val="6"/>
        </w:numPr>
        <w:spacing w:line="276" w:lineRule="auto"/>
        <w:rPr>
          <w:rFonts w:ascii="Arial" w:hAnsi="Arial" w:cs="Arial"/>
        </w:rPr>
      </w:pPr>
      <w:r w:rsidRPr="004459FB">
        <w:rPr>
          <w:rFonts w:ascii="Arial" w:hAnsi="Arial" w:cs="Arial"/>
        </w:rPr>
        <w:t xml:space="preserve">Summary </w:t>
      </w:r>
      <w:r w:rsidR="00AC6663" w:rsidRPr="004459FB">
        <w:rPr>
          <w:rFonts w:ascii="Arial" w:hAnsi="Arial" w:cs="Arial"/>
        </w:rPr>
        <w:t>of costs (1 side max)</w:t>
      </w:r>
      <w:r w:rsidR="009602AE" w:rsidRPr="004459FB">
        <w:rPr>
          <w:rFonts w:ascii="Arial" w:hAnsi="Arial" w:cs="Arial"/>
        </w:rPr>
        <w:t>.</w:t>
      </w:r>
    </w:p>
    <w:p w:rsidR="00AC6663" w:rsidRPr="004459FB" w:rsidRDefault="00AC6663" w:rsidP="004459FB">
      <w:pPr>
        <w:pStyle w:val="ListParagraph"/>
        <w:spacing w:line="276" w:lineRule="auto"/>
        <w:rPr>
          <w:rFonts w:ascii="Arial" w:hAnsi="Arial" w:cs="Arial"/>
        </w:rPr>
      </w:pPr>
    </w:p>
    <w:p w:rsidR="00AC6663" w:rsidRPr="004459FB" w:rsidRDefault="009602AE" w:rsidP="004459FB">
      <w:pPr>
        <w:spacing w:after="0"/>
        <w:rPr>
          <w:rFonts w:ascii="Arial" w:hAnsi="Arial" w:cs="Arial"/>
        </w:rPr>
      </w:pPr>
      <w:r w:rsidRPr="004459FB">
        <w:rPr>
          <w:rFonts w:ascii="Arial" w:hAnsi="Arial" w:cs="Arial"/>
        </w:rPr>
        <w:t>Communication of</w:t>
      </w:r>
      <w:r w:rsidR="00AC6663" w:rsidRPr="004459FB">
        <w:rPr>
          <w:rFonts w:ascii="Arial" w:hAnsi="Arial" w:cs="Arial"/>
        </w:rPr>
        <w:t xml:space="preserve"> complex information in a </w:t>
      </w:r>
      <w:r w:rsidRPr="004459FB">
        <w:rPr>
          <w:rFonts w:ascii="Arial" w:hAnsi="Arial" w:cs="Arial"/>
        </w:rPr>
        <w:t>straightforward</w:t>
      </w:r>
      <w:r w:rsidR="00AC6663" w:rsidRPr="004459FB">
        <w:rPr>
          <w:rFonts w:ascii="Arial" w:hAnsi="Arial" w:cs="Arial"/>
        </w:rPr>
        <w:t xml:space="preserve"> way</w:t>
      </w:r>
      <w:r w:rsidRPr="004459FB">
        <w:rPr>
          <w:rFonts w:ascii="Arial" w:hAnsi="Arial" w:cs="Arial"/>
        </w:rPr>
        <w:t xml:space="preserve"> is necessary to this project</w:t>
      </w:r>
      <w:r w:rsidR="00AC6663" w:rsidRPr="004459FB">
        <w:rPr>
          <w:rFonts w:ascii="Arial" w:hAnsi="Arial" w:cs="Arial"/>
        </w:rPr>
        <w:t xml:space="preserve">. Therefore </w:t>
      </w:r>
      <w:r w:rsidR="00AC6663" w:rsidRPr="004459FB">
        <w:rPr>
          <w:rFonts w:ascii="Arial" w:hAnsi="Arial" w:cs="Arial"/>
          <w:b/>
          <w:u w:val="single"/>
        </w:rPr>
        <w:t xml:space="preserve">tenders that exceed 5 sides of A4 will be </w:t>
      </w:r>
      <w:r w:rsidR="0004517E" w:rsidRPr="004459FB">
        <w:rPr>
          <w:rFonts w:ascii="Arial" w:hAnsi="Arial" w:cs="Arial"/>
          <w:b/>
          <w:u w:val="single"/>
        </w:rPr>
        <w:t xml:space="preserve">not </w:t>
      </w:r>
      <w:proofErr w:type="gramStart"/>
      <w:r w:rsidR="0004517E" w:rsidRPr="004459FB">
        <w:rPr>
          <w:rFonts w:ascii="Arial" w:hAnsi="Arial" w:cs="Arial"/>
          <w:b/>
          <w:u w:val="single"/>
        </w:rPr>
        <w:t>be</w:t>
      </w:r>
      <w:proofErr w:type="gramEnd"/>
      <w:r w:rsidR="0004517E" w:rsidRPr="004459FB">
        <w:rPr>
          <w:rFonts w:ascii="Arial" w:hAnsi="Arial" w:cs="Arial"/>
          <w:b/>
          <w:u w:val="single"/>
        </w:rPr>
        <w:t xml:space="preserve"> considered</w:t>
      </w:r>
      <w:r w:rsidR="00AC6663" w:rsidRPr="004459FB">
        <w:rPr>
          <w:rFonts w:ascii="Arial" w:hAnsi="Arial" w:cs="Arial"/>
        </w:rPr>
        <w:t>.</w:t>
      </w:r>
    </w:p>
    <w:p w:rsidR="003D41E2" w:rsidRPr="004459FB" w:rsidRDefault="003D41E2" w:rsidP="004459FB">
      <w:pPr>
        <w:spacing w:after="0"/>
        <w:rPr>
          <w:rFonts w:ascii="Arial" w:hAnsi="Arial" w:cs="Arial"/>
          <w:b/>
        </w:rPr>
      </w:pPr>
    </w:p>
    <w:p w:rsidR="003D41E2" w:rsidRPr="004459FB" w:rsidRDefault="000A39BD" w:rsidP="004459FB">
      <w:pPr>
        <w:rPr>
          <w:rFonts w:ascii="Arial" w:hAnsi="Arial" w:cs="Arial"/>
          <w:b/>
        </w:rPr>
      </w:pPr>
      <w:r>
        <w:rPr>
          <w:rFonts w:ascii="Arial" w:hAnsi="Arial" w:cs="Arial"/>
          <w:b/>
        </w:rPr>
        <w:t>Methodology</w:t>
      </w:r>
    </w:p>
    <w:p w:rsidR="00DB193D" w:rsidRPr="004E3D6E" w:rsidRDefault="0004472C" w:rsidP="004E3D6E">
      <w:pPr>
        <w:spacing w:after="0"/>
        <w:rPr>
          <w:rFonts w:ascii="Arial" w:hAnsi="Arial" w:cs="Arial"/>
        </w:rPr>
      </w:pPr>
      <w:r>
        <w:rPr>
          <w:rFonts w:ascii="Arial" w:hAnsi="Arial" w:cs="Arial"/>
        </w:rPr>
        <w:t>The Commission envisages that</w:t>
      </w:r>
      <w:r w:rsidR="004E3D6E">
        <w:rPr>
          <w:rFonts w:ascii="Arial" w:hAnsi="Arial" w:cs="Arial"/>
        </w:rPr>
        <w:t xml:space="preserve"> this project will mostly involve desk-based statistical analysis of the Labour Force Survey. However, we would also encourage</w:t>
      </w:r>
      <w:r>
        <w:rPr>
          <w:rFonts w:ascii="Arial" w:hAnsi="Arial" w:cs="Arial"/>
        </w:rPr>
        <w:t xml:space="preserve"> the successful provider to develop a network of expert stakeholders in order to</w:t>
      </w:r>
      <w:r w:rsidR="004E3D6E">
        <w:rPr>
          <w:rFonts w:ascii="Arial" w:hAnsi="Arial" w:cs="Arial"/>
        </w:rPr>
        <w:t xml:space="preserve"> shape the analysis. </w:t>
      </w:r>
      <w:r>
        <w:rPr>
          <w:rFonts w:ascii="Arial" w:hAnsi="Arial" w:cs="Arial"/>
        </w:rPr>
        <w:t xml:space="preserve">The provider should address the Commission’s </w:t>
      </w:r>
      <w:r w:rsidR="004E3D6E">
        <w:rPr>
          <w:rFonts w:ascii="Arial" w:hAnsi="Arial" w:cs="Arial"/>
        </w:rPr>
        <w:t>four</w:t>
      </w:r>
      <w:r>
        <w:rPr>
          <w:rFonts w:ascii="Arial" w:hAnsi="Arial" w:cs="Arial"/>
        </w:rPr>
        <w:t xml:space="preserve"> high le</w:t>
      </w:r>
      <w:r w:rsidR="005F1588">
        <w:rPr>
          <w:rFonts w:ascii="Arial" w:hAnsi="Arial" w:cs="Arial"/>
        </w:rPr>
        <w:t>vel questions, set out on page one</w:t>
      </w:r>
      <w:r>
        <w:rPr>
          <w:rFonts w:ascii="Arial" w:hAnsi="Arial" w:cs="Arial"/>
        </w:rPr>
        <w:t xml:space="preserve">. </w:t>
      </w:r>
      <w:r w:rsidR="00516BD0">
        <w:rPr>
          <w:rFonts w:ascii="Arial" w:hAnsi="Arial" w:cs="Arial"/>
        </w:rPr>
        <w:t xml:space="preserve"> </w:t>
      </w:r>
    </w:p>
    <w:p w:rsidR="00AB6786" w:rsidRDefault="00AB6786" w:rsidP="004459FB">
      <w:pPr>
        <w:widowControl w:val="0"/>
        <w:overflowPunct w:val="0"/>
        <w:autoSpaceDE w:val="0"/>
        <w:autoSpaceDN w:val="0"/>
        <w:adjustRightInd w:val="0"/>
        <w:spacing w:after="0"/>
        <w:textAlignment w:val="baseline"/>
        <w:rPr>
          <w:rFonts w:ascii="Arial" w:hAnsi="Arial" w:cs="Arial"/>
          <w:b/>
          <w:bCs/>
          <w:lang w:eastAsia="en-GB"/>
        </w:rPr>
      </w:pPr>
    </w:p>
    <w:p w:rsidR="00AF081A" w:rsidRPr="004459FB" w:rsidRDefault="00AF081A" w:rsidP="004459FB">
      <w:pPr>
        <w:widowControl w:val="0"/>
        <w:overflowPunct w:val="0"/>
        <w:autoSpaceDE w:val="0"/>
        <w:autoSpaceDN w:val="0"/>
        <w:adjustRightInd w:val="0"/>
        <w:spacing w:after="0"/>
        <w:textAlignment w:val="baseline"/>
        <w:rPr>
          <w:rFonts w:ascii="Arial" w:hAnsi="Arial" w:cs="Arial"/>
          <w:b/>
          <w:u w:val="single"/>
        </w:rPr>
      </w:pPr>
      <w:r w:rsidRPr="004459FB">
        <w:rPr>
          <w:rFonts w:ascii="Arial" w:hAnsi="Arial" w:cs="Arial"/>
          <w:b/>
          <w:bCs/>
          <w:lang w:eastAsia="en-GB"/>
        </w:rPr>
        <w:t>Acceptable standards of bidders</w:t>
      </w:r>
    </w:p>
    <w:p w:rsidR="00AF081A" w:rsidRPr="004459FB" w:rsidRDefault="00AF081A" w:rsidP="004459FB">
      <w:pPr>
        <w:spacing w:after="0"/>
        <w:rPr>
          <w:rFonts w:ascii="Arial" w:hAnsi="Arial" w:cs="Arial"/>
          <w:b/>
        </w:rPr>
      </w:pPr>
    </w:p>
    <w:p w:rsidR="00AF081A" w:rsidRPr="004459FB" w:rsidRDefault="00AF081A" w:rsidP="004459FB">
      <w:pPr>
        <w:spacing w:after="0"/>
        <w:rPr>
          <w:rFonts w:ascii="Arial" w:hAnsi="Arial" w:cs="Arial"/>
        </w:rPr>
      </w:pPr>
      <w:r w:rsidRPr="004459FB">
        <w:rPr>
          <w:rFonts w:ascii="Arial" w:hAnsi="Arial" w:cs="Arial"/>
        </w:rPr>
        <w:t>The following sets out the acceptable standards of bidders for this research and how these should be evidenced:</w:t>
      </w:r>
    </w:p>
    <w:p w:rsidR="00AF081A" w:rsidRPr="004459FB" w:rsidRDefault="00AF081A" w:rsidP="004459FB">
      <w:pPr>
        <w:spacing w:after="0"/>
        <w:rPr>
          <w:rFonts w:ascii="Arial" w:hAnsi="Arial" w:cs="Arial"/>
        </w:rPr>
      </w:pPr>
    </w:p>
    <w:p w:rsidR="00C954DB" w:rsidRDefault="00C954DB" w:rsidP="004459FB">
      <w:pPr>
        <w:pStyle w:val="ListParagraph"/>
        <w:numPr>
          <w:ilvl w:val="0"/>
          <w:numId w:val="2"/>
        </w:numPr>
        <w:spacing w:line="276" w:lineRule="auto"/>
        <w:contextualSpacing w:val="0"/>
        <w:rPr>
          <w:rFonts w:ascii="Arial" w:hAnsi="Arial" w:cs="Arial"/>
        </w:rPr>
      </w:pPr>
      <w:r>
        <w:rPr>
          <w:rFonts w:ascii="Arial" w:hAnsi="Arial" w:cs="Arial"/>
        </w:rPr>
        <w:t xml:space="preserve">Strong related policy knowledge and experience on the </w:t>
      </w:r>
      <w:r w:rsidR="00406E58">
        <w:rPr>
          <w:rFonts w:ascii="Arial" w:hAnsi="Arial" w:cs="Arial"/>
        </w:rPr>
        <w:t>labour market</w:t>
      </w:r>
      <w:r>
        <w:rPr>
          <w:rFonts w:ascii="Arial" w:hAnsi="Arial" w:cs="Arial"/>
        </w:rPr>
        <w:t xml:space="preserve"> and social mobility</w:t>
      </w:r>
      <w:r w:rsidR="00406E58">
        <w:rPr>
          <w:rFonts w:ascii="Arial" w:hAnsi="Arial" w:cs="Arial"/>
        </w:rPr>
        <w:t>, including</w:t>
      </w:r>
      <w:r w:rsidR="009568FC">
        <w:rPr>
          <w:rFonts w:ascii="Arial" w:hAnsi="Arial" w:cs="Arial"/>
        </w:rPr>
        <w:t xml:space="preserve"> access to and</w:t>
      </w:r>
      <w:r w:rsidR="00406E58">
        <w:rPr>
          <w:rFonts w:ascii="Arial" w:hAnsi="Arial" w:cs="Arial"/>
        </w:rPr>
        <w:t xml:space="preserve"> familiarity with the Labour Force Survey dataset</w:t>
      </w:r>
      <w:r>
        <w:rPr>
          <w:rFonts w:ascii="Arial" w:hAnsi="Arial" w:cs="Arial"/>
        </w:rPr>
        <w:t>.</w:t>
      </w:r>
    </w:p>
    <w:p w:rsidR="00AF081A" w:rsidRPr="004459FB" w:rsidRDefault="00AF081A" w:rsidP="004459FB">
      <w:pPr>
        <w:pStyle w:val="ListParagraph"/>
        <w:numPr>
          <w:ilvl w:val="0"/>
          <w:numId w:val="2"/>
        </w:numPr>
        <w:spacing w:line="276" w:lineRule="auto"/>
        <w:contextualSpacing w:val="0"/>
        <w:rPr>
          <w:rFonts w:ascii="Arial" w:hAnsi="Arial" w:cs="Arial"/>
        </w:rPr>
      </w:pPr>
      <w:r w:rsidRPr="004459FB">
        <w:rPr>
          <w:rFonts w:ascii="Arial" w:hAnsi="Arial" w:cs="Arial"/>
        </w:rPr>
        <w:t>Experience of working flex</w:t>
      </w:r>
      <w:r w:rsidR="00F724E7" w:rsidRPr="004459FB">
        <w:rPr>
          <w:rFonts w:ascii="Arial" w:hAnsi="Arial" w:cs="Arial"/>
        </w:rPr>
        <w:t xml:space="preserve">ibly with clients in developing </w:t>
      </w:r>
      <w:r w:rsidR="00E23B91" w:rsidRPr="004459FB">
        <w:rPr>
          <w:rFonts w:ascii="Arial" w:hAnsi="Arial" w:cs="Arial"/>
        </w:rPr>
        <w:t>concise, well drafted research reports</w:t>
      </w:r>
      <w:r w:rsidR="00F724E7" w:rsidRPr="004459FB">
        <w:rPr>
          <w:rFonts w:ascii="Arial" w:hAnsi="Arial" w:cs="Arial"/>
        </w:rPr>
        <w:t xml:space="preserve"> which </w:t>
      </w:r>
      <w:r w:rsidR="00E23B91" w:rsidRPr="004459FB">
        <w:rPr>
          <w:rFonts w:ascii="Arial" w:hAnsi="Arial" w:cs="Arial"/>
        </w:rPr>
        <w:t>draw out</w:t>
      </w:r>
      <w:r w:rsidR="00F724E7" w:rsidRPr="004459FB">
        <w:rPr>
          <w:rFonts w:ascii="Arial" w:hAnsi="Arial" w:cs="Arial"/>
        </w:rPr>
        <w:t xml:space="preserve"> clear, newsworthy conclusions</w:t>
      </w:r>
      <w:r w:rsidR="00C954DB">
        <w:rPr>
          <w:rFonts w:ascii="Arial" w:hAnsi="Arial" w:cs="Arial"/>
        </w:rPr>
        <w:t xml:space="preserve"> and policy recommendations</w:t>
      </w:r>
      <w:r w:rsidRPr="004459FB">
        <w:rPr>
          <w:rFonts w:ascii="Arial" w:hAnsi="Arial" w:cs="Arial"/>
        </w:rPr>
        <w:t>;</w:t>
      </w:r>
    </w:p>
    <w:p w:rsidR="00A16146" w:rsidRPr="00AB6786" w:rsidRDefault="00AF081A" w:rsidP="00AB6786">
      <w:pPr>
        <w:pStyle w:val="ListParagraph"/>
        <w:numPr>
          <w:ilvl w:val="0"/>
          <w:numId w:val="2"/>
        </w:numPr>
        <w:spacing w:line="276" w:lineRule="auto"/>
        <w:contextualSpacing w:val="0"/>
        <w:rPr>
          <w:rFonts w:ascii="Arial" w:hAnsi="Arial" w:cs="Arial"/>
        </w:rPr>
      </w:pPr>
      <w:r w:rsidRPr="004459FB">
        <w:rPr>
          <w:rFonts w:ascii="Arial" w:hAnsi="Arial" w:cs="Arial"/>
        </w:rPr>
        <w:t>Clarity in communicating progress of work to clients and explaining issue</w:t>
      </w:r>
      <w:r w:rsidR="00C954DB">
        <w:rPr>
          <w:rFonts w:ascii="Arial" w:hAnsi="Arial" w:cs="Arial"/>
        </w:rPr>
        <w:t>s that arise in a timely manner.</w:t>
      </w:r>
    </w:p>
    <w:p w:rsidR="00AB6786" w:rsidRDefault="00AB6786" w:rsidP="00AB6786">
      <w:pPr>
        <w:spacing w:after="0"/>
        <w:rPr>
          <w:rFonts w:ascii="Arial" w:hAnsi="Arial" w:cs="Arial"/>
          <w:b/>
        </w:rPr>
      </w:pPr>
    </w:p>
    <w:p w:rsidR="0042131A" w:rsidRPr="004459FB" w:rsidRDefault="0042131A" w:rsidP="00AB6786">
      <w:pPr>
        <w:spacing w:after="0"/>
        <w:rPr>
          <w:rFonts w:ascii="Arial" w:hAnsi="Arial" w:cs="Arial"/>
          <w:b/>
        </w:rPr>
      </w:pPr>
      <w:r w:rsidRPr="004459FB">
        <w:rPr>
          <w:rFonts w:ascii="Arial" w:hAnsi="Arial" w:cs="Arial"/>
          <w:b/>
        </w:rPr>
        <w:t>Evaluation criteria</w:t>
      </w:r>
    </w:p>
    <w:p w:rsidR="0042131A" w:rsidRPr="004459FB" w:rsidRDefault="0042131A" w:rsidP="004459FB">
      <w:pPr>
        <w:pStyle w:val="DeptBullets"/>
        <w:numPr>
          <w:ilvl w:val="0"/>
          <w:numId w:val="0"/>
        </w:numPr>
        <w:spacing w:after="0" w:line="276" w:lineRule="auto"/>
        <w:rPr>
          <w:rFonts w:ascii="Arial" w:hAnsi="Arial" w:cs="Arial"/>
          <w:b/>
        </w:rPr>
      </w:pPr>
    </w:p>
    <w:p w:rsidR="0042131A" w:rsidRPr="004459FB" w:rsidRDefault="00013F72" w:rsidP="004459FB">
      <w:pPr>
        <w:pStyle w:val="DeptBullets"/>
        <w:numPr>
          <w:ilvl w:val="0"/>
          <w:numId w:val="0"/>
        </w:numPr>
        <w:spacing w:after="0" w:line="276" w:lineRule="auto"/>
        <w:rPr>
          <w:rFonts w:ascii="Arial" w:hAnsi="Arial" w:cs="Arial"/>
        </w:rPr>
      </w:pPr>
      <w:r w:rsidRPr="004459FB">
        <w:rPr>
          <w:rFonts w:ascii="Arial" w:hAnsi="Arial" w:cs="Arial"/>
        </w:rPr>
        <w:t>Tenders will be evaluated against the criteria below</w:t>
      </w:r>
      <w:r w:rsidR="0042131A" w:rsidRPr="004459FB">
        <w:rPr>
          <w:rFonts w:ascii="Arial" w:hAnsi="Arial" w:cs="Arial"/>
        </w:rPr>
        <w:t>. A primary weighting means the criteria will be given greater consideration in assessment of bids.</w:t>
      </w:r>
    </w:p>
    <w:p w:rsidR="0042131A" w:rsidRPr="004459FB" w:rsidRDefault="0042131A" w:rsidP="004459FB">
      <w:pPr>
        <w:pStyle w:val="DeptBullets"/>
        <w:numPr>
          <w:ilvl w:val="0"/>
          <w:numId w:val="0"/>
        </w:numPr>
        <w:spacing w:after="0" w:line="276" w:lineRule="auto"/>
        <w:rPr>
          <w:rFonts w:ascii="Arial" w:hAnsi="Arial" w:cs="Arial"/>
        </w:rPr>
      </w:pPr>
    </w:p>
    <w:tbl>
      <w:tblPr>
        <w:tblStyle w:val="TableGrid"/>
        <w:tblW w:w="0" w:type="auto"/>
        <w:tblLook w:val="04A0" w:firstRow="1" w:lastRow="0" w:firstColumn="1" w:lastColumn="0" w:noHBand="0" w:noVBand="1"/>
      </w:tblPr>
      <w:tblGrid>
        <w:gridCol w:w="3080"/>
        <w:gridCol w:w="4258"/>
        <w:gridCol w:w="1904"/>
      </w:tblGrid>
      <w:tr w:rsidR="0042131A" w:rsidRPr="004459FB" w:rsidTr="001D28B5">
        <w:tc>
          <w:tcPr>
            <w:tcW w:w="3080" w:type="dxa"/>
            <w:shd w:val="clear" w:color="auto" w:fill="F2F2F2" w:themeFill="background1" w:themeFillShade="F2"/>
          </w:tcPr>
          <w:p w:rsidR="0042131A" w:rsidRPr="004459FB" w:rsidRDefault="0042131A" w:rsidP="004459FB">
            <w:pPr>
              <w:pStyle w:val="DeptBullets"/>
              <w:numPr>
                <w:ilvl w:val="0"/>
                <w:numId w:val="0"/>
              </w:numPr>
              <w:spacing w:after="0" w:line="276" w:lineRule="auto"/>
              <w:jc w:val="center"/>
              <w:rPr>
                <w:rFonts w:ascii="Arial" w:hAnsi="Arial" w:cs="Arial"/>
                <w:b/>
              </w:rPr>
            </w:pPr>
            <w:r w:rsidRPr="004459FB">
              <w:rPr>
                <w:rFonts w:ascii="Arial" w:hAnsi="Arial" w:cs="Arial"/>
                <w:b/>
              </w:rPr>
              <w:t>Criteria</w:t>
            </w:r>
          </w:p>
        </w:tc>
        <w:tc>
          <w:tcPr>
            <w:tcW w:w="4258" w:type="dxa"/>
            <w:shd w:val="clear" w:color="auto" w:fill="F2F2F2" w:themeFill="background1" w:themeFillShade="F2"/>
          </w:tcPr>
          <w:p w:rsidR="0042131A" w:rsidRPr="004459FB" w:rsidRDefault="0042131A" w:rsidP="004459FB">
            <w:pPr>
              <w:pStyle w:val="DeptBullets"/>
              <w:numPr>
                <w:ilvl w:val="0"/>
                <w:numId w:val="0"/>
              </w:numPr>
              <w:spacing w:after="0" w:line="276" w:lineRule="auto"/>
              <w:jc w:val="center"/>
              <w:rPr>
                <w:rFonts w:ascii="Arial" w:hAnsi="Arial" w:cs="Arial"/>
                <w:b/>
              </w:rPr>
            </w:pPr>
            <w:r w:rsidRPr="004459FB">
              <w:rPr>
                <w:rFonts w:ascii="Arial" w:hAnsi="Arial" w:cs="Arial"/>
                <w:b/>
              </w:rPr>
              <w:t>Potential examples</w:t>
            </w:r>
          </w:p>
        </w:tc>
        <w:tc>
          <w:tcPr>
            <w:tcW w:w="1904" w:type="dxa"/>
            <w:shd w:val="clear" w:color="auto" w:fill="F2F2F2" w:themeFill="background1" w:themeFillShade="F2"/>
          </w:tcPr>
          <w:p w:rsidR="0042131A" w:rsidRPr="004459FB" w:rsidRDefault="0042131A" w:rsidP="004459FB">
            <w:pPr>
              <w:pStyle w:val="DeptBullets"/>
              <w:numPr>
                <w:ilvl w:val="0"/>
                <w:numId w:val="0"/>
              </w:numPr>
              <w:spacing w:after="0" w:line="276" w:lineRule="auto"/>
              <w:jc w:val="center"/>
              <w:rPr>
                <w:rFonts w:ascii="Arial" w:hAnsi="Arial" w:cs="Arial"/>
                <w:b/>
              </w:rPr>
            </w:pPr>
            <w:r w:rsidRPr="004459FB">
              <w:rPr>
                <w:rFonts w:ascii="Arial" w:hAnsi="Arial" w:cs="Arial"/>
                <w:b/>
              </w:rPr>
              <w:t>Weighting</w:t>
            </w:r>
          </w:p>
          <w:p w:rsidR="0042131A" w:rsidRPr="004459FB" w:rsidRDefault="0042131A" w:rsidP="004459FB">
            <w:pPr>
              <w:pStyle w:val="DeptBullets"/>
              <w:numPr>
                <w:ilvl w:val="0"/>
                <w:numId w:val="0"/>
              </w:numPr>
              <w:spacing w:after="0" w:line="276" w:lineRule="auto"/>
              <w:jc w:val="center"/>
              <w:rPr>
                <w:rFonts w:ascii="Arial" w:hAnsi="Arial" w:cs="Arial"/>
                <w:b/>
              </w:rPr>
            </w:pPr>
          </w:p>
        </w:tc>
      </w:tr>
      <w:tr w:rsidR="0042131A" w:rsidRPr="004459FB" w:rsidTr="001D28B5">
        <w:tc>
          <w:tcPr>
            <w:tcW w:w="3080" w:type="dxa"/>
          </w:tcPr>
          <w:p w:rsidR="0042131A" w:rsidRPr="004459FB" w:rsidRDefault="00C86046" w:rsidP="004459FB">
            <w:pPr>
              <w:pStyle w:val="DeptBullets"/>
              <w:numPr>
                <w:ilvl w:val="0"/>
                <w:numId w:val="0"/>
              </w:numPr>
              <w:spacing w:after="0" w:line="276" w:lineRule="auto"/>
              <w:rPr>
                <w:rFonts w:ascii="Arial" w:hAnsi="Arial" w:cs="Arial"/>
              </w:rPr>
            </w:pPr>
            <w:r w:rsidRPr="004459FB">
              <w:rPr>
                <w:rFonts w:ascii="Arial" w:hAnsi="Arial" w:cs="Arial"/>
              </w:rPr>
              <w:t>Team and organisational e</w:t>
            </w:r>
            <w:r w:rsidR="0042131A" w:rsidRPr="004459FB">
              <w:rPr>
                <w:rFonts w:ascii="Arial" w:hAnsi="Arial" w:cs="Arial"/>
              </w:rPr>
              <w:t xml:space="preserve">xperience in </w:t>
            </w:r>
            <w:r w:rsidR="00E23B91" w:rsidRPr="004459FB">
              <w:rPr>
                <w:rFonts w:ascii="Arial" w:hAnsi="Arial" w:cs="Arial"/>
              </w:rPr>
              <w:t>conducting similar work</w:t>
            </w:r>
            <w:r w:rsidR="004F0082" w:rsidRPr="004459FB">
              <w:rPr>
                <w:rFonts w:ascii="Arial" w:hAnsi="Arial" w:cs="Arial"/>
              </w:rPr>
              <w:t xml:space="preserve"> </w:t>
            </w:r>
          </w:p>
        </w:tc>
        <w:tc>
          <w:tcPr>
            <w:tcW w:w="4258" w:type="dxa"/>
          </w:tcPr>
          <w:p w:rsidR="00E23B91" w:rsidRPr="004459FB" w:rsidRDefault="00E23B91" w:rsidP="004459FB">
            <w:pPr>
              <w:pStyle w:val="DeptBullets"/>
              <w:numPr>
                <w:ilvl w:val="0"/>
                <w:numId w:val="8"/>
              </w:numPr>
              <w:spacing w:after="0" w:line="276" w:lineRule="auto"/>
              <w:rPr>
                <w:rFonts w:ascii="Arial" w:hAnsi="Arial" w:cs="Arial"/>
              </w:rPr>
            </w:pPr>
            <w:r w:rsidRPr="004459FB">
              <w:rPr>
                <w:rFonts w:ascii="Arial" w:hAnsi="Arial" w:cs="Arial"/>
              </w:rPr>
              <w:t xml:space="preserve">Experience of previous work </w:t>
            </w:r>
            <w:r w:rsidR="00C954DB">
              <w:rPr>
                <w:rFonts w:ascii="Arial" w:hAnsi="Arial" w:cs="Arial"/>
              </w:rPr>
              <w:t>o</w:t>
            </w:r>
            <w:r w:rsidRPr="004459FB">
              <w:rPr>
                <w:rFonts w:ascii="Arial" w:hAnsi="Arial" w:cs="Arial"/>
              </w:rPr>
              <w:t xml:space="preserve">n the </w:t>
            </w:r>
            <w:r w:rsidR="00C954DB">
              <w:rPr>
                <w:rFonts w:ascii="Arial" w:hAnsi="Arial" w:cs="Arial"/>
              </w:rPr>
              <w:t xml:space="preserve">theme of the </w:t>
            </w:r>
            <w:r w:rsidR="00406E58">
              <w:rPr>
                <w:rFonts w:ascii="Arial" w:hAnsi="Arial" w:cs="Arial"/>
              </w:rPr>
              <w:t>labour market and social mobility</w:t>
            </w:r>
            <w:r w:rsidRPr="004459FB">
              <w:rPr>
                <w:rFonts w:ascii="Arial" w:hAnsi="Arial" w:cs="Arial"/>
              </w:rPr>
              <w:t>, with a solid understanding of the current policy and research context.</w:t>
            </w:r>
          </w:p>
          <w:p w:rsidR="0042131A" w:rsidRPr="004459FB" w:rsidRDefault="0042131A" w:rsidP="004459FB">
            <w:pPr>
              <w:pStyle w:val="DeptBullets"/>
              <w:numPr>
                <w:ilvl w:val="0"/>
                <w:numId w:val="8"/>
              </w:numPr>
              <w:spacing w:after="0" w:line="276" w:lineRule="auto"/>
              <w:rPr>
                <w:rFonts w:ascii="Arial" w:hAnsi="Arial" w:cs="Arial"/>
              </w:rPr>
            </w:pPr>
            <w:r w:rsidRPr="004459FB">
              <w:rPr>
                <w:rFonts w:ascii="Arial" w:hAnsi="Arial" w:cs="Arial"/>
              </w:rPr>
              <w:t>Experience of presenting findings in catching and clear ways</w:t>
            </w:r>
            <w:r w:rsidR="00E23B91" w:rsidRPr="004459FB">
              <w:rPr>
                <w:rFonts w:ascii="Arial" w:hAnsi="Arial" w:cs="Arial"/>
              </w:rPr>
              <w:t xml:space="preserve"> for a wide, non-expert audience.</w:t>
            </w:r>
          </w:p>
          <w:p w:rsidR="00A8098F" w:rsidRPr="004459FB" w:rsidRDefault="00A8098F" w:rsidP="004459FB">
            <w:pPr>
              <w:pStyle w:val="DeptBullets"/>
              <w:numPr>
                <w:ilvl w:val="0"/>
                <w:numId w:val="0"/>
              </w:numPr>
              <w:spacing w:after="0" w:line="276" w:lineRule="auto"/>
              <w:ind w:left="720"/>
              <w:rPr>
                <w:rFonts w:ascii="Arial" w:hAnsi="Arial" w:cs="Arial"/>
              </w:rPr>
            </w:pPr>
          </w:p>
        </w:tc>
        <w:tc>
          <w:tcPr>
            <w:tcW w:w="1904" w:type="dxa"/>
          </w:tcPr>
          <w:p w:rsidR="0042131A" w:rsidRPr="004459FB" w:rsidRDefault="0042131A" w:rsidP="004459FB">
            <w:pPr>
              <w:pStyle w:val="DeptBullets"/>
              <w:numPr>
                <w:ilvl w:val="0"/>
                <w:numId w:val="0"/>
              </w:numPr>
              <w:spacing w:after="0" w:line="276" w:lineRule="auto"/>
              <w:rPr>
                <w:rFonts w:ascii="Arial" w:hAnsi="Arial" w:cs="Arial"/>
              </w:rPr>
            </w:pPr>
            <w:r w:rsidRPr="004459FB">
              <w:rPr>
                <w:rFonts w:ascii="Arial" w:hAnsi="Arial" w:cs="Arial"/>
              </w:rPr>
              <w:t>Primary</w:t>
            </w:r>
          </w:p>
        </w:tc>
      </w:tr>
      <w:tr w:rsidR="00656E2C" w:rsidRPr="004459FB" w:rsidTr="001D28B5">
        <w:tc>
          <w:tcPr>
            <w:tcW w:w="3080" w:type="dxa"/>
          </w:tcPr>
          <w:p w:rsidR="00656E2C" w:rsidRPr="004459FB" w:rsidRDefault="00656E2C" w:rsidP="004459FB">
            <w:pPr>
              <w:pStyle w:val="DeptBullets"/>
              <w:numPr>
                <w:ilvl w:val="0"/>
                <w:numId w:val="0"/>
              </w:numPr>
              <w:spacing w:after="0" w:line="276" w:lineRule="auto"/>
              <w:rPr>
                <w:rFonts w:ascii="Arial" w:hAnsi="Arial" w:cs="Arial"/>
              </w:rPr>
            </w:pPr>
            <w:r w:rsidRPr="004459FB">
              <w:rPr>
                <w:rFonts w:ascii="Arial" w:hAnsi="Arial" w:cs="Arial"/>
              </w:rPr>
              <w:t>Expertise of proposed staff</w:t>
            </w:r>
          </w:p>
          <w:p w:rsidR="00656E2C" w:rsidRPr="004459FB" w:rsidRDefault="00656E2C" w:rsidP="004459FB">
            <w:pPr>
              <w:pStyle w:val="DeptBullets"/>
              <w:numPr>
                <w:ilvl w:val="0"/>
                <w:numId w:val="0"/>
              </w:numPr>
              <w:spacing w:after="0" w:line="276" w:lineRule="auto"/>
              <w:rPr>
                <w:rFonts w:ascii="Arial" w:hAnsi="Arial" w:cs="Arial"/>
              </w:rPr>
            </w:pPr>
          </w:p>
        </w:tc>
        <w:tc>
          <w:tcPr>
            <w:tcW w:w="4258" w:type="dxa"/>
          </w:tcPr>
          <w:p w:rsidR="001F6D04" w:rsidRDefault="00E23B91" w:rsidP="001F6D04">
            <w:pPr>
              <w:pStyle w:val="DeptBullets"/>
              <w:numPr>
                <w:ilvl w:val="0"/>
                <w:numId w:val="11"/>
              </w:numPr>
              <w:spacing w:after="0" w:line="276" w:lineRule="auto"/>
              <w:rPr>
                <w:rFonts w:ascii="Arial" w:hAnsi="Arial" w:cs="Arial"/>
              </w:rPr>
            </w:pPr>
            <w:r w:rsidRPr="004459FB">
              <w:rPr>
                <w:rFonts w:ascii="Arial" w:hAnsi="Arial" w:cs="Arial"/>
              </w:rPr>
              <w:t xml:space="preserve">Experience of </w:t>
            </w:r>
            <w:r w:rsidR="00C954DB">
              <w:rPr>
                <w:rFonts w:ascii="Arial" w:hAnsi="Arial" w:cs="Arial"/>
              </w:rPr>
              <w:t>similar</w:t>
            </w:r>
            <w:r w:rsidR="001F6D04">
              <w:rPr>
                <w:rFonts w:ascii="Arial" w:hAnsi="Arial" w:cs="Arial"/>
              </w:rPr>
              <w:t xml:space="preserve"> research</w:t>
            </w:r>
          </w:p>
          <w:p w:rsidR="001F6D04" w:rsidRPr="001F6D04" w:rsidRDefault="009568FC" w:rsidP="009568FC">
            <w:pPr>
              <w:pStyle w:val="DeptBullets"/>
              <w:numPr>
                <w:ilvl w:val="0"/>
                <w:numId w:val="11"/>
              </w:numPr>
              <w:spacing w:after="0" w:line="276" w:lineRule="auto"/>
              <w:rPr>
                <w:rFonts w:ascii="Arial" w:hAnsi="Arial" w:cs="Arial"/>
              </w:rPr>
            </w:pPr>
            <w:r>
              <w:rPr>
                <w:rFonts w:ascii="Arial" w:hAnsi="Arial" w:cs="Arial"/>
              </w:rPr>
              <w:t>Access to the</w:t>
            </w:r>
            <w:r w:rsidR="00406E58">
              <w:rPr>
                <w:rFonts w:ascii="Arial" w:hAnsi="Arial" w:cs="Arial"/>
              </w:rPr>
              <w:t xml:space="preserve"> Labour Force Survey</w:t>
            </w:r>
            <w:r>
              <w:rPr>
                <w:rFonts w:ascii="Arial" w:hAnsi="Arial" w:cs="Arial"/>
              </w:rPr>
              <w:t xml:space="preserve"> data set and familiarity with carrying out analysis using it </w:t>
            </w:r>
          </w:p>
        </w:tc>
        <w:tc>
          <w:tcPr>
            <w:tcW w:w="1904" w:type="dxa"/>
          </w:tcPr>
          <w:p w:rsidR="00656E2C" w:rsidRPr="004459FB" w:rsidRDefault="00656E2C" w:rsidP="004459FB">
            <w:pPr>
              <w:pStyle w:val="DeptBullets"/>
              <w:numPr>
                <w:ilvl w:val="0"/>
                <w:numId w:val="0"/>
              </w:numPr>
              <w:spacing w:after="0" w:line="276" w:lineRule="auto"/>
              <w:rPr>
                <w:rFonts w:ascii="Arial" w:hAnsi="Arial" w:cs="Arial"/>
              </w:rPr>
            </w:pPr>
            <w:r w:rsidRPr="004459FB">
              <w:rPr>
                <w:rFonts w:ascii="Arial" w:hAnsi="Arial" w:cs="Arial"/>
              </w:rPr>
              <w:t>Primary</w:t>
            </w:r>
          </w:p>
        </w:tc>
      </w:tr>
      <w:tr w:rsidR="008C1F94" w:rsidRPr="004459FB" w:rsidTr="008C1F94">
        <w:tc>
          <w:tcPr>
            <w:tcW w:w="3080" w:type="dxa"/>
            <w:shd w:val="clear" w:color="auto" w:fill="auto"/>
          </w:tcPr>
          <w:p w:rsidR="008C1F94" w:rsidRPr="004459FB" w:rsidRDefault="00E23B91" w:rsidP="004459FB">
            <w:pPr>
              <w:pStyle w:val="DeptBullets"/>
              <w:numPr>
                <w:ilvl w:val="0"/>
                <w:numId w:val="0"/>
              </w:numPr>
              <w:spacing w:after="0" w:line="276" w:lineRule="auto"/>
              <w:rPr>
                <w:rFonts w:ascii="Arial" w:hAnsi="Arial" w:cs="Arial"/>
              </w:rPr>
            </w:pPr>
            <w:r w:rsidRPr="004459FB">
              <w:rPr>
                <w:rFonts w:ascii="Arial" w:hAnsi="Arial" w:cs="Arial"/>
              </w:rPr>
              <w:t>Methodology</w:t>
            </w:r>
          </w:p>
        </w:tc>
        <w:tc>
          <w:tcPr>
            <w:tcW w:w="4258" w:type="dxa"/>
            <w:shd w:val="clear" w:color="auto" w:fill="auto"/>
          </w:tcPr>
          <w:p w:rsidR="00E23B91" w:rsidRPr="004459FB" w:rsidRDefault="00E23B91" w:rsidP="004459FB">
            <w:pPr>
              <w:pStyle w:val="DeptBullets"/>
              <w:numPr>
                <w:ilvl w:val="0"/>
                <w:numId w:val="11"/>
              </w:numPr>
              <w:spacing w:after="0" w:line="276" w:lineRule="auto"/>
              <w:rPr>
                <w:rFonts w:ascii="Arial" w:hAnsi="Arial" w:cs="Arial"/>
              </w:rPr>
            </w:pPr>
            <w:r w:rsidRPr="004459FB">
              <w:rPr>
                <w:rFonts w:ascii="Arial" w:hAnsi="Arial" w:cs="Arial"/>
              </w:rPr>
              <w:t xml:space="preserve">A robust methodological approach which addresses the research questions </w:t>
            </w:r>
          </w:p>
          <w:p w:rsidR="00E23B91" w:rsidRPr="004459FB" w:rsidRDefault="00E23B91" w:rsidP="004459FB">
            <w:pPr>
              <w:pStyle w:val="DeptBullets"/>
              <w:numPr>
                <w:ilvl w:val="0"/>
                <w:numId w:val="11"/>
              </w:numPr>
              <w:spacing w:after="0" w:line="276" w:lineRule="auto"/>
              <w:rPr>
                <w:rFonts w:ascii="Arial" w:hAnsi="Arial" w:cs="Arial"/>
              </w:rPr>
            </w:pPr>
            <w:r w:rsidRPr="004459FB">
              <w:rPr>
                <w:rFonts w:ascii="Arial" w:hAnsi="Arial" w:cs="Arial"/>
              </w:rPr>
              <w:t xml:space="preserve">A focus on ensuring a high quality study, including providing advice on how the approach could be </w:t>
            </w:r>
            <w:r w:rsidRPr="004459FB">
              <w:rPr>
                <w:rFonts w:ascii="Arial" w:hAnsi="Arial" w:cs="Arial"/>
              </w:rPr>
              <w:lastRenderedPageBreak/>
              <w:t>strengthened.</w:t>
            </w:r>
          </w:p>
          <w:p w:rsidR="008C1F94" w:rsidRPr="004459FB" w:rsidRDefault="008C1F94" w:rsidP="004459FB">
            <w:pPr>
              <w:pStyle w:val="DeptBullets"/>
              <w:numPr>
                <w:ilvl w:val="0"/>
                <w:numId w:val="0"/>
              </w:numPr>
              <w:spacing w:after="0" w:line="276" w:lineRule="auto"/>
              <w:ind w:left="720"/>
              <w:rPr>
                <w:rFonts w:ascii="Arial" w:hAnsi="Arial" w:cs="Arial"/>
              </w:rPr>
            </w:pPr>
          </w:p>
        </w:tc>
        <w:tc>
          <w:tcPr>
            <w:tcW w:w="1904" w:type="dxa"/>
            <w:shd w:val="clear" w:color="auto" w:fill="auto"/>
          </w:tcPr>
          <w:p w:rsidR="008C1F94" w:rsidRPr="004459FB" w:rsidRDefault="008C1F94" w:rsidP="004459FB">
            <w:pPr>
              <w:pStyle w:val="DeptBullets"/>
              <w:numPr>
                <w:ilvl w:val="0"/>
                <w:numId w:val="0"/>
              </w:numPr>
              <w:spacing w:after="0" w:line="276" w:lineRule="auto"/>
              <w:rPr>
                <w:rFonts w:ascii="Arial" w:hAnsi="Arial" w:cs="Arial"/>
              </w:rPr>
            </w:pPr>
            <w:r w:rsidRPr="004459FB">
              <w:rPr>
                <w:rFonts w:ascii="Arial" w:hAnsi="Arial" w:cs="Arial"/>
              </w:rPr>
              <w:lastRenderedPageBreak/>
              <w:t>Primary</w:t>
            </w:r>
          </w:p>
        </w:tc>
      </w:tr>
      <w:tr w:rsidR="000E1F9B" w:rsidRPr="004459FB" w:rsidTr="001D28B5">
        <w:tc>
          <w:tcPr>
            <w:tcW w:w="3080" w:type="dxa"/>
          </w:tcPr>
          <w:p w:rsidR="000E1F9B" w:rsidRPr="004459FB" w:rsidRDefault="000E1F9B" w:rsidP="004459FB">
            <w:pPr>
              <w:pStyle w:val="DeptBullets"/>
              <w:numPr>
                <w:ilvl w:val="0"/>
                <w:numId w:val="0"/>
              </w:numPr>
              <w:spacing w:after="0" w:line="276" w:lineRule="auto"/>
              <w:rPr>
                <w:rFonts w:ascii="Arial" w:hAnsi="Arial" w:cs="Arial"/>
              </w:rPr>
            </w:pPr>
            <w:r w:rsidRPr="004459FB">
              <w:rPr>
                <w:rFonts w:ascii="Arial" w:hAnsi="Arial" w:cs="Arial"/>
              </w:rPr>
              <w:lastRenderedPageBreak/>
              <w:t>Cost</w:t>
            </w:r>
          </w:p>
          <w:p w:rsidR="000E1F9B" w:rsidRPr="004459FB" w:rsidRDefault="000E1F9B" w:rsidP="004459FB">
            <w:pPr>
              <w:pStyle w:val="DeptBullets"/>
              <w:numPr>
                <w:ilvl w:val="0"/>
                <w:numId w:val="0"/>
              </w:numPr>
              <w:spacing w:after="0" w:line="276" w:lineRule="auto"/>
              <w:rPr>
                <w:rFonts w:ascii="Arial" w:hAnsi="Arial" w:cs="Arial"/>
              </w:rPr>
            </w:pPr>
          </w:p>
        </w:tc>
        <w:tc>
          <w:tcPr>
            <w:tcW w:w="4258" w:type="dxa"/>
          </w:tcPr>
          <w:p w:rsidR="000E1F9B" w:rsidRPr="004459FB" w:rsidRDefault="004459FB" w:rsidP="004459FB">
            <w:pPr>
              <w:pStyle w:val="DeptBullets"/>
              <w:numPr>
                <w:ilvl w:val="0"/>
                <w:numId w:val="12"/>
              </w:numPr>
              <w:spacing w:after="0" w:line="276" w:lineRule="auto"/>
              <w:rPr>
                <w:rFonts w:ascii="Arial" w:hAnsi="Arial" w:cs="Arial"/>
              </w:rPr>
            </w:pPr>
            <w:r w:rsidRPr="004459FB">
              <w:rPr>
                <w:rFonts w:ascii="Arial" w:hAnsi="Arial" w:cs="Arial"/>
              </w:rPr>
              <w:t>Estimation of cost.</w:t>
            </w:r>
          </w:p>
        </w:tc>
        <w:tc>
          <w:tcPr>
            <w:tcW w:w="1904" w:type="dxa"/>
          </w:tcPr>
          <w:p w:rsidR="000E1F9B" w:rsidRPr="004459FB" w:rsidRDefault="000E1F9B" w:rsidP="004459FB">
            <w:pPr>
              <w:pStyle w:val="DeptBullets"/>
              <w:numPr>
                <w:ilvl w:val="0"/>
                <w:numId w:val="0"/>
              </w:numPr>
              <w:spacing w:after="0" w:line="276" w:lineRule="auto"/>
              <w:rPr>
                <w:rFonts w:ascii="Arial" w:hAnsi="Arial" w:cs="Arial"/>
              </w:rPr>
            </w:pPr>
            <w:r w:rsidRPr="004459FB">
              <w:rPr>
                <w:rFonts w:ascii="Arial" w:hAnsi="Arial" w:cs="Arial"/>
              </w:rPr>
              <w:t>Primary</w:t>
            </w:r>
          </w:p>
        </w:tc>
      </w:tr>
    </w:tbl>
    <w:p w:rsidR="00AB6786" w:rsidRDefault="00AB6786" w:rsidP="004459FB">
      <w:pPr>
        <w:widowControl w:val="0"/>
        <w:overflowPunct w:val="0"/>
        <w:autoSpaceDE w:val="0"/>
        <w:autoSpaceDN w:val="0"/>
        <w:adjustRightInd w:val="0"/>
        <w:spacing w:after="0"/>
        <w:textAlignment w:val="baseline"/>
        <w:rPr>
          <w:rFonts w:ascii="Arial" w:hAnsi="Arial" w:cs="Arial"/>
          <w:b/>
          <w:bCs/>
          <w:lang w:eastAsia="en-GB"/>
        </w:rPr>
      </w:pPr>
    </w:p>
    <w:p w:rsidR="000E1F9B" w:rsidRPr="004459FB" w:rsidRDefault="000E1F9B" w:rsidP="004459FB">
      <w:pPr>
        <w:widowControl w:val="0"/>
        <w:overflowPunct w:val="0"/>
        <w:autoSpaceDE w:val="0"/>
        <w:autoSpaceDN w:val="0"/>
        <w:adjustRightInd w:val="0"/>
        <w:spacing w:after="0"/>
        <w:textAlignment w:val="baseline"/>
        <w:rPr>
          <w:rFonts w:ascii="Arial" w:hAnsi="Arial" w:cs="Arial"/>
          <w:b/>
          <w:u w:val="single"/>
        </w:rPr>
      </w:pPr>
      <w:r w:rsidRPr="004459FB">
        <w:rPr>
          <w:rFonts w:ascii="Arial" w:hAnsi="Arial" w:cs="Arial"/>
          <w:b/>
          <w:bCs/>
          <w:lang w:eastAsia="en-GB"/>
        </w:rPr>
        <w:t>Delivery Requirements</w:t>
      </w:r>
      <w:r w:rsidRPr="004459FB">
        <w:rPr>
          <w:rFonts w:ascii="Arial" w:hAnsi="Arial" w:cs="Arial"/>
          <w:lang w:eastAsia="en-GB"/>
        </w:rPr>
        <w:t xml:space="preserve"> </w:t>
      </w:r>
    </w:p>
    <w:p w:rsidR="000E1F9B" w:rsidRPr="004459FB" w:rsidRDefault="000E1F9B" w:rsidP="004459FB">
      <w:pPr>
        <w:spacing w:after="0"/>
        <w:rPr>
          <w:rFonts w:ascii="Arial" w:hAnsi="Arial" w:cs="Arial"/>
        </w:rPr>
      </w:pPr>
    </w:p>
    <w:p w:rsidR="000E1F9B" w:rsidRPr="004459FB" w:rsidRDefault="000E1F9B" w:rsidP="004459FB">
      <w:pPr>
        <w:spacing w:after="0"/>
        <w:rPr>
          <w:rFonts w:ascii="Arial" w:hAnsi="Arial" w:cs="Arial"/>
        </w:rPr>
      </w:pPr>
      <w:r w:rsidRPr="004459FB">
        <w:rPr>
          <w:rFonts w:ascii="Arial" w:hAnsi="Arial" w:cs="Arial"/>
        </w:rPr>
        <w:t xml:space="preserve">Based on commissioning in </w:t>
      </w:r>
      <w:r w:rsidR="003F0FC2">
        <w:rPr>
          <w:rFonts w:ascii="Arial" w:hAnsi="Arial" w:cs="Arial"/>
          <w:color w:val="000000" w:themeColor="text1"/>
        </w:rPr>
        <w:t>early July</w:t>
      </w:r>
      <w:r w:rsidR="004459FB" w:rsidRPr="004459FB">
        <w:rPr>
          <w:rFonts w:ascii="Arial" w:hAnsi="Arial" w:cs="Arial"/>
        </w:rPr>
        <w:t xml:space="preserve">, </w:t>
      </w:r>
      <w:r w:rsidRPr="004459FB">
        <w:rPr>
          <w:rFonts w:ascii="Arial" w:hAnsi="Arial" w:cs="Arial"/>
        </w:rPr>
        <w:t xml:space="preserve">the </w:t>
      </w:r>
      <w:r w:rsidR="004459FB" w:rsidRPr="004459FB">
        <w:rPr>
          <w:rFonts w:ascii="Arial" w:hAnsi="Arial" w:cs="Arial"/>
        </w:rPr>
        <w:t xml:space="preserve">Commission will require </w:t>
      </w:r>
      <w:r w:rsidR="00C954DB">
        <w:rPr>
          <w:rFonts w:ascii="Arial" w:hAnsi="Arial" w:cs="Arial"/>
        </w:rPr>
        <w:t xml:space="preserve">a full report by the end of </w:t>
      </w:r>
      <w:r w:rsidR="003F0FC2">
        <w:rPr>
          <w:rFonts w:ascii="Arial" w:hAnsi="Arial" w:cs="Arial"/>
          <w:color w:val="000000" w:themeColor="text1"/>
        </w:rPr>
        <w:t>August 2016</w:t>
      </w:r>
      <w:r w:rsidR="004459FB" w:rsidRPr="004459FB">
        <w:rPr>
          <w:rFonts w:ascii="Arial" w:hAnsi="Arial" w:cs="Arial"/>
        </w:rPr>
        <w:t xml:space="preserve">.  </w:t>
      </w:r>
      <w:r w:rsidRPr="004459FB">
        <w:rPr>
          <w:rFonts w:ascii="Arial" w:hAnsi="Arial" w:cs="Arial"/>
        </w:rPr>
        <w:t>Final products should be in electronic format</w:t>
      </w:r>
      <w:r w:rsidR="005D31DC" w:rsidRPr="004459FB">
        <w:rPr>
          <w:rFonts w:ascii="Arial" w:hAnsi="Arial" w:cs="Arial"/>
        </w:rPr>
        <w:t xml:space="preserve">, using a </w:t>
      </w:r>
      <w:r w:rsidR="00C954DB">
        <w:rPr>
          <w:rFonts w:ascii="Arial" w:hAnsi="Arial" w:cs="Arial"/>
        </w:rPr>
        <w:t>template</w:t>
      </w:r>
      <w:r w:rsidR="005D31DC" w:rsidRPr="004459FB">
        <w:rPr>
          <w:rFonts w:ascii="Arial" w:hAnsi="Arial" w:cs="Arial"/>
        </w:rPr>
        <w:t xml:space="preserve"> supplied by the Social Mobility Commission</w:t>
      </w:r>
      <w:r w:rsidRPr="004459FB">
        <w:rPr>
          <w:rFonts w:ascii="Arial" w:hAnsi="Arial" w:cs="Arial"/>
        </w:rPr>
        <w:t>.</w:t>
      </w:r>
    </w:p>
    <w:p w:rsidR="000E1F9B" w:rsidRPr="004459FB" w:rsidRDefault="000E1F9B" w:rsidP="004459FB">
      <w:pPr>
        <w:spacing w:after="0"/>
        <w:rPr>
          <w:rFonts w:ascii="Arial" w:hAnsi="Arial" w:cs="Arial"/>
        </w:rPr>
      </w:pPr>
    </w:p>
    <w:p w:rsidR="000E1F9B" w:rsidRPr="004459FB" w:rsidRDefault="000E1F9B" w:rsidP="004459FB">
      <w:pPr>
        <w:spacing w:after="0"/>
        <w:rPr>
          <w:rFonts w:ascii="Arial" w:hAnsi="Arial" w:cs="Arial"/>
        </w:rPr>
      </w:pPr>
      <w:r w:rsidRPr="004459FB">
        <w:rPr>
          <w:rFonts w:ascii="Arial" w:hAnsi="Arial" w:cs="Arial"/>
        </w:rPr>
        <w:t xml:space="preserve">We estimate the research should cost no more than </w:t>
      </w:r>
      <w:r w:rsidR="0090681E" w:rsidRPr="003F0FC2">
        <w:rPr>
          <w:rFonts w:ascii="Arial" w:hAnsi="Arial" w:cs="Arial"/>
          <w:color w:val="000000" w:themeColor="text1"/>
        </w:rPr>
        <w:t>£</w:t>
      </w:r>
      <w:r w:rsidR="00516BD0" w:rsidRPr="003F0FC2">
        <w:rPr>
          <w:rFonts w:ascii="Arial" w:hAnsi="Arial" w:cs="Arial"/>
          <w:color w:val="000000" w:themeColor="text1"/>
        </w:rPr>
        <w:t>7</w:t>
      </w:r>
      <w:r w:rsidR="0090681E" w:rsidRPr="003F0FC2">
        <w:rPr>
          <w:rFonts w:ascii="Arial" w:hAnsi="Arial" w:cs="Arial"/>
          <w:color w:val="000000" w:themeColor="text1"/>
        </w:rPr>
        <w:t>,000</w:t>
      </w:r>
      <w:r w:rsidR="00155E10" w:rsidRPr="003F0FC2">
        <w:rPr>
          <w:rFonts w:ascii="Arial" w:hAnsi="Arial" w:cs="Arial"/>
          <w:color w:val="000000" w:themeColor="text1"/>
        </w:rPr>
        <w:t xml:space="preserve"> </w:t>
      </w:r>
      <w:r w:rsidR="00155E10">
        <w:rPr>
          <w:rFonts w:ascii="Arial" w:hAnsi="Arial" w:cs="Arial"/>
        </w:rPr>
        <w:t>(excluding VAT)</w:t>
      </w:r>
      <w:r w:rsidRPr="004459FB">
        <w:rPr>
          <w:rFonts w:ascii="Arial" w:hAnsi="Arial" w:cs="Arial"/>
        </w:rPr>
        <w:t xml:space="preserve">. </w:t>
      </w:r>
    </w:p>
    <w:p w:rsidR="000E1F9B" w:rsidRPr="004459FB" w:rsidRDefault="000E1F9B" w:rsidP="004459FB">
      <w:pPr>
        <w:spacing w:after="0"/>
        <w:rPr>
          <w:rFonts w:ascii="Arial" w:hAnsi="Arial" w:cs="Arial"/>
        </w:rPr>
      </w:pPr>
    </w:p>
    <w:sectPr w:rsidR="000E1F9B" w:rsidRPr="004459FB">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D5AF6" w:rsidRDefault="006D5AF6" w:rsidP="00AF081A">
      <w:pPr>
        <w:spacing w:after="0" w:line="240" w:lineRule="auto"/>
      </w:pPr>
      <w:r>
        <w:separator/>
      </w:r>
    </w:p>
  </w:endnote>
  <w:endnote w:type="continuationSeparator" w:id="0">
    <w:p w:rsidR="006D5AF6" w:rsidRDefault="006D5AF6" w:rsidP="00AF081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23246175"/>
      <w:docPartObj>
        <w:docPartGallery w:val="Page Numbers (Bottom of Page)"/>
        <w:docPartUnique/>
      </w:docPartObj>
    </w:sdtPr>
    <w:sdtEndPr>
      <w:rPr>
        <w:noProof/>
      </w:rPr>
    </w:sdtEndPr>
    <w:sdtContent>
      <w:p w:rsidR="00AF081A" w:rsidRDefault="00AF081A">
        <w:pPr>
          <w:pStyle w:val="Footer"/>
          <w:jc w:val="right"/>
        </w:pPr>
        <w:r>
          <w:fldChar w:fldCharType="begin"/>
        </w:r>
        <w:r>
          <w:instrText xml:space="preserve"> PAGE   \* MERGEFORMAT </w:instrText>
        </w:r>
        <w:r>
          <w:fldChar w:fldCharType="separate"/>
        </w:r>
        <w:r w:rsidR="00A1711B">
          <w:rPr>
            <w:noProof/>
          </w:rPr>
          <w:t>1</w:t>
        </w:r>
        <w:r>
          <w:rPr>
            <w:noProof/>
          </w:rPr>
          <w:fldChar w:fldCharType="end"/>
        </w:r>
      </w:p>
    </w:sdtContent>
  </w:sdt>
  <w:p w:rsidR="00AF081A" w:rsidRDefault="00AF081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D5AF6" w:rsidRDefault="006D5AF6" w:rsidP="00AF081A">
      <w:pPr>
        <w:spacing w:after="0" w:line="240" w:lineRule="auto"/>
      </w:pPr>
      <w:r>
        <w:separator/>
      </w:r>
    </w:p>
  </w:footnote>
  <w:footnote w:type="continuationSeparator" w:id="0">
    <w:p w:rsidR="006D5AF6" w:rsidRDefault="006D5AF6" w:rsidP="00AF081A">
      <w:pPr>
        <w:spacing w:after="0" w:line="240" w:lineRule="auto"/>
      </w:pPr>
      <w:r>
        <w:continuationSeparator/>
      </w:r>
    </w:p>
  </w:footnote>
  <w:footnote w:id="1">
    <w:p w:rsidR="00505DBB" w:rsidRPr="009568FC" w:rsidRDefault="00505DBB">
      <w:pPr>
        <w:pStyle w:val="FootnoteText"/>
      </w:pPr>
      <w:r>
        <w:rPr>
          <w:rStyle w:val="FootnoteReference"/>
        </w:rPr>
        <w:footnoteRef/>
      </w:r>
      <w:r>
        <w:t xml:space="preserve"> </w:t>
      </w:r>
      <w:proofErr w:type="spellStart"/>
      <w:r w:rsidR="004B0A2B">
        <w:t>Blanden</w:t>
      </w:r>
      <w:proofErr w:type="spellEnd"/>
      <w:r w:rsidR="004B0A2B">
        <w:t xml:space="preserve"> J and Machin S,</w:t>
      </w:r>
      <w:r w:rsidR="009568FC">
        <w:t xml:space="preserve"> </w:t>
      </w:r>
      <w:r w:rsidR="009568FC">
        <w:rPr>
          <w:i/>
        </w:rPr>
        <w:t>Recent Changes in Intergenerational Mobility in Britain</w:t>
      </w:r>
      <w:r w:rsidR="004B0A2B">
        <w:t>, Sutton Trust, 2007</w:t>
      </w:r>
    </w:p>
  </w:footnote>
  <w:footnote w:id="2">
    <w:p w:rsidR="00505DBB" w:rsidRPr="004B0A2B" w:rsidRDefault="00505DBB">
      <w:pPr>
        <w:pStyle w:val="FootnoteText"/>
      </w:pPr>
      <w:r>
        <w:rPr>
          <w:rStyle w:val="FootnoteReference"/>
        </w:rPr>
        <w:footnoteRef/>
      </w:r>
      <w:r>
        <w:t xml:space="preserve"> </w:t>
      </w:r>
      <w:r w:rsidR="004B0A2B">
        <w:t xml:space="preserve">Buxton J, Clarke L, Grundy E and Marshall C E, </w:t>
      </w:r>
      <w:r w:rsidR="004B0A2B">
        <w:rPr>
          <w:i/>
        </w:rPr>
        <w:t>The Long Shadow of Childhood</w:t>
      </w:r>
      <w:r w:rsidR="004B0A2B">
        <w:t>, Population Trends 121, 2005</w:t>
      </w:r>
    </w:p>
  </w:footnote>
  <w:footnote w:id="3">
    <w:p w:rsidR="00505DBB" w:rsidRPr="004B0A2B" w:rsidRDefault="00505DBB">
      <w:pPr>
        <w:pStyle w:val="FootnoteText"/>
      </w:pPr>
      <w:r>
        <w:rPr>
          <w:rStyle w:val="FootnoteReference"/>
        </w:rPr>
        <w:footnoteRef/>
      </w:r>
      <w:r>
        <w:t xml:space="preserve"> </w:t>
      </w:r>
      <w:r w:rsidR="004B0A2B">
        <w:t xml:space="preserve">Department for Education, </w:t>
      </w:r>
      <w:r w:rsidR="004B0A2B">
        <w:rPr>
          <w:i/>
        </w:rPr>
        <w:t>Revised GCSE and Equivalent Results in England: 2014 to 2015</w:t>
      </w:r>
      <w:r w:rsidR="004B0A2B">
        <w:t>, 2016</w:t>
      </w:r>
    </w:p>
  </w:footnote>
  <w:footnote w:id="4">
    <w:p w:rsidR="00505DBB" w:rsidRPr="004B0A2B" w:rsidRDefault="00505DBB">
      <w:pPr>
        <w:pStyle w:val="FootnoteText"/>
      </w:pPr>
      <w:r>
        <w:rPr>
          <w:rStyle w:val="FootnoteReference"/>
        </w:rPr>
        <w:footnoteRef/>
      </w:r>
      <w:r>
        <w:t xml:space="preserve"> </w:t>
      </w:r>
      <w:r w:rsidR="004B0A2B">
        <w:t xml:space="preserve">UCAS, </w:t>
      </w:r>
      <w:r w:rsidR="004B0A2B">
        <w:rPr>
          <w:i/>
        </w:rPr>
        <w:t>2015 End of Cycle Report</w:t>
      </w:r>
      <w:r w:rsidR="004B0A2B">
        <w:t>, 2016</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EF0CC2"/>
    <w:multiLevelType w:val="multilevel"/>
    <w:tmpl w:val="2458A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5465850"/>
    <w:multiLevelType w:val="hybridMultilevel"/>
    <w:tmpl w:val="5D666E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3">
    <w:nsid w:val="1DF5643A"/>
    <w:multiLevelType w:val="hybridMultilevel"/>
    <w:tmpl w:val="9758A2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22A12BD5"/>
    <w:multiLevelType w:val="hybridMultilevel"/>
    <w:tmpl w:val="6FCEAD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23B0404E"/>
    <w:multiLevelType w:val="hybridMultilevel"/>
    <w:tmpl w:val="7A7C5E1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nsid w:val="2BCD23B1"/>
    <w:multiLevelType w:val="hybridMultilevel"/>
    <w:tmpl w:val="D35E64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D2B08BB"/>
    <w:multiLevelType w:val="hybridMultilevel"/>
    <w:tmpl w:val="17A8FB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2E1C3364"/>
    <w:multiLevelType w:val="hybridMultilevel"/>
    <w:tmpl w:val="63EA6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2E534F79"/>
    <w:multiLevelType w:val="hybridMultilevel"/>
    <w:tmpl w:val="4B5EC5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3C361529"/>
    <w:multiLevelType w:val="hybridMultilevel"/>
    <w:tmpl w:val="D8DAB4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CCC1929"/>
    <w:multiLevelType w:val="hybridMultilevel"/>
    <w:tmpl w:val="CF76A1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nsid w:val="3EFA4023"/>
    <w:multiLevelType w:val="hybridMultilevel"/>
    <w:tmpl w:val="9194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4163261C"/>
    <w:multiLevelType w:val="hybridMultilevel"/>
    <w:tmpl w:val="8B1E78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41B459DB"/>
    <w:multiLevelType w:val="hybridMultilevel"/>
    <w:tmpl w:val="C8AE49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16">
    <w:nsid w:val="4BF54B30"/>
    <w:multiLevelType w:val="hybridMultilevel"/>
    <w:tmpl w:val="54048B5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4DA5012E"/>
    <w:multiLevelType w:val="multilevel"/>
    <w:tmpl w:val="DBA4DFD6"/>
    <w:lvl w:ilvl="0">
      <w:start w:val="1"/>
      <w:numFmt w:val="decimal"/>
      <w:lvlRestart w:val="0"/>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8">
    <w:nsid w:val="5E0702BC"/>
    <w:multiLevelType w:val="hybridMultilevel"/>
    <w:tmpl w:val="3894DF2E"/>
    <w:lvl w:ilvl="0" w:tplc="08090001">
      <w:start w:val="1"/>
      <w:numFmt w:val="bullet"/>
      <w:lvlText w:val=""/>
      <w:lvlJc w:val="left"/>
      <w:pPr>
        <w:ind w:left="760" w:hanging="360"/>
      </w:pPr>
      <w:rPr>
        <w:rFonts w:ascii="Symbol" w:hAnsi="Symbol" w:hint="default"/>
      </w:rPr>
    </w:lvl>
    <w:lvl w:ilvl="1" w:tplc="08090003" w:tentative="1">
      <w:start w:val="1"/>
      <w:numFmt w:val="bullet"/>
      <w:lvlText w:val="o"/>
      <w:lvlJc w:val="left"/>
      <w:pPr>
        <w:ind w:left="1480" w:hanging="360"/>
      </w:pPr>
      <w:rPr>
        <w:rFonts w:ascii="Courier New" w:hAnsi="Courier New" w:cs="Courier New" w:hint="default"/>
      </w:rPr>
    </w:lvl>
    <w:lvl w:ilvl="2" w:tplc="08090005" w:tentative="1">
      <w:start w:val="1"/>
      <w:numFmt w:val="bullet"/>
      <w:lvlText w:val=""/>
      <w:lvlJc w:val="left"/>
      <w:pPr>
        <w:ind w:left="2200" w:hanging="360"/>
      </w:pPr>
      <w:rPr>
        <w:rFonts w:ascii="Wingdings" w:hAnsi="Wingdings" w:hint="default"/>
      </w:rPr>
    </w:lvl>
    <w:lvl w:ilvl="3" w:tplc="08090001" w:tentative="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9">
    <w:nsid w:val="64F26C2B"/>
    <w:multiLevelType w:val="hybridMultilevel"/>
    <w:tmpl w:val="3D14B7F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nsid w:val="668D76F1"/>
    <w:multiLevelType w:val="hybridMultilevel"/>
    <w:tmpl w:val="C9CAE9D2"/>
    <w:lvl w:ilvl="0" w:tplc="379A98E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6A8F2CEE"/>
    <w:multiLevelType w:val="hybridMultilevel"/>
    <w:tmpl w:val="0928C2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6BE758DD"/>
    <w:multiLevelType w:val="hybridMultilevel"/>
    <w:tmpl w:val="B0B455F4"/>
    <w:lvl w:ilvl="0" w:tplc="13F86770">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nsid w:val="7F66472D"/>
    <w:multiLevelType w:val="hybridMultilevel"/>
    <w:tmpl w:val="1EE237D2"/>
    <w:lvl w:ilvl="0" w:tplc="F232F5A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5"/>
  </w:num>
  <w:num w:numId="2">
    <w:abstractNumId w:val="5"/>
  </w:num>
  <w:num w:numId="3">
    <w:abstractNumId w:val="19"/>
  </w:num>
  <w:num w:numId="4">
    <w:abstractNumId w:val="1"/>
  </w:num>
  <w:num w:numId="5">
    <w:abstractNumId w:val="10"/>
  </w:num>
  <w:num w:numId="6">
    <w:abstractNumId w:val="13"/>
  </w:num>
  <w:num w:numId="7">
    <w:abstractNumId w:val="3"/>
  </w:num>
  <w:num w:numId="8">
    <w:abstractNumId w:val="11"/>
  </w:num>
  <w:num w:numId="9">
    <w:abstractNumId w:val="14"/>
  </w:num>
  <w:num w:numId="10">
    <w:abstractNumId w:val="4"/>
  </w:num>
  <w:num w:numId="11">
    <w:abstractNumId w:val="21"/>
  </w:num>
  <w:num w:numId="12">
    <w:abstractNumId w:val="6"/>
  </w:num>
  <w:num w:numId="13">
    <w:abstractNumId w:val="16"/>
  </w:num>
  <w:num w:numId="14">
    <w:abstractNumId w:val="17"/>
  </w:num>
  <w:num w:numId="15">
    <w:abstractNumId w:val="2"/>
  </w:num>
  <w:num w:numId="16">
    <w:abstractNumId w:val="7"/>
  </w:num>
  <w:num w:numId="17">
    <w:abstractNumId w:val="12"/>
  </w:num>
  <w:num w:numId="18">
    <w:abstractNumId w:val="18"/>
  </w:num>
  <w:num w:numId="19">
    <w:abstractNumId w:val="22"/>
  </w:num>
  <w:num w:numId="20">
    <w:abstractNumId w:val="9"/>
  </w:num>
  <w:num w:numId="21">
    <w:abstractNumId w:val="8"/>
  </w:num>
  <w:num w:numId="22">
    <w:abstractNumId w:val="0"/>
  </w:num>
  <w:num w:numId="23">
    <w:abstractNumId w:val="20"/>
  </w:num>
  <w:num w:numId="24">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081A"/>
    <w:rsid w:val="00013F72"/>
    <w:rsid w:val="0004472C"/>
    <w:rsid w:val="0004517E"/>
    <w:rsid w:val="00073C68"/>
    <w:rsid w:val="000839D0"/>
    <w:rsid w:val="000901A7"/>
    <w:rsid w:val="00092020"/>
    <w:rsid w:val="000A39BD"/>
    <w:rsid w:val="000E1D0B"/>
    <w:rsid w:val="000E1F9B"/>
    <w:rsid w:val="00105D7B"/>
    <w:rsid w:val="00114623"/>
    <w:rsid w:val="001555DC"/>
    <w:rsid w:val="00155E10"/>
    <w:rsid w:val="001A4913"/>
    <w:rsid w:val="001B4CD2"/>
    <w:rsid w:val="001C6D7A"/>
    <w:rsid w:val="001D18E3"/>
    <w:rsid w:val="001D28B5"/>
    <w:rsid w:val="001F140D"/>
    <w:rsid w:val="001F6D04"/>
    <w:rsid w:val="002762FF"/>
    <w:rsid w:val="002C114F"/>
    <w:rsid w:val="002D0FF0"/>
    <w:rsid w:val="002D479F"/>
    <w:rsid w:val="002E612B"/>
    <w:rsid w:val="002F5DBC"/>
    <w:rsid w:val="003431AE"/>
    <w:rsid w:val="003B0707"/>
    <w:rsid w:val="003D41E2"/>
    <w:rsid w:val="003F0FC2"/>
    <w:rsid w:val="00406E58"/>
    <w:rsid w:val="00413FB4"/>
    <w:rsid w:val="00420F5E"/>
    <w:rsid w:val="0042131A"/>
    <w:rsid w:val="004459FB"/>
    <w:rsid w:val="0045542A"/>
    <w:rsid w:val="00456DEC"/>
    <w:rsid w:val="00467137"/>
    <w:rsid w:val="004B0A2B"/>
    <w:rsid w:val="004C16D1"/>
    <w:rsid w:val="004E3D6E"/>
    <w:rsid w:val="004E71EA"/>
    <w:rsid w:val="004F0082"/>
    <w:rsid w:val="00505DBB"/>
    <w:rsid w:val="00516BD0"/>
    <w:rsid w:val="0055115F"/>
    <w:rsid w:val="0055728F"/>
    <w:rsid w:val="0057547C"/>
    <w:rsid w:val="005B66D2"/>
    <w:rsid w:val="005C35FC"/>
    <w:rsid w:val="005D01BB"/>
    <w:rsid w:val="005D1DC8"/>
    <w:rsid w:val="005D31DC"/>
    <w:rsid w:val="005F1588"/>
    <w:rsid w:val="0064447A"/>
    <w:rsid w:val="00656E2C"/>
    <w:rsid w:val="00662E61"/>
    <w:rsid w:val="006C0345"/>
    <w:rsid w:val="006D32FC"/>
    <w:rsid w:val="006D5AF6"/>
    <w:rsid w:val="006F6721"/>
    <w:rsid w:val="00710768"/>
    <w:rsid w:val="007411FD"/>
    <w:rsid w:val="00752715"/>
    <w:rsid w:val="007603D0"/>
    <w:rsid w:val="007C65B9"/>
    <w:rsid w:val="00817EFB"/>
    <w:rsid w:val="00861B64"/>
    <w:rsid w:val="008751DE"/>
    <w:rsid w:val="008C1F94"/>
    <w:rsid w:val="008E26AE"/>
    <w:rsid w:val="0090681E"/>
    <w:rsid w:val="0092039C"/>
    <w:rsid w:val="00923DF3"/>
    <w:rsid w:val="009536B4"/>
    <w:rsid w:val="009568FC"/>
    <w:rsid w:val="009602AE"/>
    <w:rsid w:val="00972C51"/>
    <w:rsid w:val="009C2FA8"/>
    <w:rsid w:val="009E30F4"/>
    <w:rsid w:val="00A16146"/>
    <w:rsid w:val="00A1711B"/>
    <w:rsid w:val="00A44A44"/>
    <w:rsid w:val="00A741B0"/>
    <w:rsid w:val="00A74670"/>
    <w:rsid w:val="00A761CD"/>
    <w:rsid w:val="00A77B25"/>
    <w:rsid w:val="00A8098F"/>
    <w:rsid w:val="00AA58CB"/>
    <w:rsid w:val="00AB29DF"/>
    <w:rsid w:val="00AB6786"/>
    <w:rsid w:val="00AC4BFA"/>
    <w:rsid w:val="00AC6663"/>
    <w:rsid w:val="00AF081A"/>
    <w:rsid w:val="00B07699"/>
    <w:rsid w:val="00B17BA0"/>
    <w:rsid w:val="00B279AF"/>
    <w:rsid w:val="00B54868"/>
    <w:rsid w:val="00B652DF"/>
    <w:rsid w:val="00B70FE0"/>
    <w:rsid w:val="00B828B9"/>
    <w:rsid w:val="00BB34C1"/>
    <w:rsid w:val="00BC24D1"/>
    <w:rsid w:val="00BD4044"/>
    <w:rsid w:val="00BD6D51"/>
    <w:rsid w:val="00BE06E8"/>
    <w:rsid w:val="00C25927"/>
    <w:rsid w:val="00C2773A"/>
    <w:rsid w:val="00C347EB"/>
    <w:rsid w:val="00C625D5"/>
    <w:rsid w:val="00C67C88"/>
    <w:rsid w:val="00C86046"/>
    <w:rsid w:val="00C954DB"/>
    <w:rsid w:val="00CC52FC"/>
    <w:rsid w:val="00D06067"/>
    <w:rsid w:val="00D1238E"/>
    <w:rsid w:val="00D1636A"/>
    <w:rsid w:val="00D571E5"/>
    <w:rsid w:val="00DA44A8"/>
    <w:rsid w:val="00DB193D"/>
    <w:rsid w:val="00DD5C60"/>
    <w:rsid w:val="00DE471F"/>
    <w:rsid w:val="00DF438A"/>
    <w:rsid w:val="00E23B91"/>
    <w:rsid w:val="00E36C44"/>
    <w:rsid w:val="00E64970"/>
    <w:rsid w:val="00E86ECE"/>
    <w:rsid w:val="00EA18A7"/>
    <w:rsid w:val="00ED7539"/>
    <w:rsid w:val="00EE24F2"/>
    <w:rsid w:val="00F104C6"/>
    <w:rsid w:val="00F20E07"/>
    <w:rsid w:val="00F27313"/>
    <w:rsid w:val="00F724E7"/>
    <w:rsid w:val="00FB5827"/>
    <w:rsid w:val="00FD5F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rsid w:val="00AF081A"/>
    <w:pPr>
      <w:numPr>
        <w:numId w:val="1"/>
      </w:numPr>
      <w:spacing w:after="240" w:line="240" w:lineRule="auto"/>
    </w:pPr>
  </w:style>
  <w:style w:type="paragraph" w:styleId="ListParagraph">
    <w:name w:val="List Paragraph"/>
    <w:basedOn w:val="Normal"/>
    <w:uiPriority w:val="34"/>
    <w:qFormat/>
    <w:rsid w:val="00AF081A"/>
    <w:pPr>
      <w:spacing w:after="0" w:line="240" w:lineRule="auto"/>
      <w:ind w:left="720"/>
      <w:contextualSpacing/>
    </w:pPr>
  </w:style>
  <w:style w:type="character" w:styleId="Hyperlink">
    <w:name w:val="Hyperlink"/>
    <w:basedOn w:val="DefaultParagraphFont"/>
    <w:uiPriority w:val="99"/>
    <w:unhideWhenUsed/>
    <w:rsid w:val="00AF081A"/>
    <w:rPr>
      <w:color w:val="0000FF" w:themeColor="hyperlink"/>
      <w:u w:val="single"/>
    </w:rPr>
  </w:style>
  <w:style w:type="paragraph" w:styleId="Header">
    <w:name w:val="header"/>
    <w:basedOn w:val="Normal"/>
    <w:link w:val="HeaderChar"/>
    <w:uiPriority w:val="99"/>
    <w:unhideWhenUsed/>
    <w:rsid w:val="00AF0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81A"/>
  </w:style>
  <w:style w:type="paragraph" w:styleId="Footer">
    <w:name w:val="footer"/>
    <w:basedOn w:val="Normal"/>
    <w:link w:val="FooterChar"/>
    <w:uiPriority w:val="99"/>
    <w:unhideWhenUsed/>
    <w:rsid w:val="00AF0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81A"/>
  </w:style>
  <w:style w:type="table" w:styleId="TableGrid">
    <w:name w:val="Table Grid"/>
    <w:basedOn w:val="TableNormal"/>
    <w:uiPriority w:val="59"/>
    <w:rsid w:val="0042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9E30F4"/>
    <w:pPr>
      <w:widowControl w:val="0"/>
      <w:numPr>
        <w:numId w:val="1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E30F4"/>
    <w:rPr>
      <w:rFonts w:ascii="Arial" w:eastAsia="Times New Roman" w:hAnsi="Arial" w:cs="Arial"/>
      <w:szCs w:val="20"/>
    </w:rPr>
  </w:style>
  <w:style w:type="paragraph" w:styleId="NoSpacing">
    <w:name w:val="No Spacing"/>
    <w:uiPriority w:val="1"/>
    <w:qFormat/>
    <w:rsid w:val="00A16146"/>
    <w:pPr>
      <w:spacing w:after="0" w:line="240" w:lineRule="auto"/>
    </w:pPr>
  </w:style>
  <w:style w:type="paragraph" w:styleId="BalloonText">
    <w:name w:val="Balloon Text"/>
    <w:basedOn w:val="Normal"/>
    <w:link w:val="BalloonTextChar"/>
    <w:uiPriority w:val="99"/>
    <w:semiHidden/>
    <w:unhideWhenUsed/>
    <w:rsid w:val="00BE0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E8"/>
    <w:rPr>
      <w:rFonts w:ascii="Tahoma" w:hAnsi="Tahoma" w:cs="Tahoma"/>
      <w:sz w:val="16"/>
      <w:szCs w:val="16"/>
    </w:rPr>
  </w:style>
  <w:style w:type="character" w:styleId="CommentReference">
    <w:name w:val="annotation reference"/>
    <w:basedOn w:val="DefaultParagraphFont"/>
    <w:uiPriority w:val="99"/>
    <w:semiHidden/>
    <w:unhideWhenUsed/>
    <w:rsid w:val="007603D0"/>
    <w:rPr>
      <w:sz w:val="16"/>
      <w:szCs w:val="16"/>
    </w:rPr>
  </w:style>
  <w:style w:type="paragraph" w:styleId="CommentText">
    <w:name w:val="annotation text"/>
    <w:basedOn w:val="Normal"/>
    <w:link w:val="CommentTextChar"/>
    <w:uiPriority w:val="99"/>
    <w:semiHidden/>
    <w:unhideWhenUsed/>
    <w:rsid w:val="007603D0"/>
    <w:pPr>
      <w:spacing w:line="240" w:lineRule="auto"/>
    </w:pPr>
    <w:rPr>
      <w:sz w:val="20"/>
      <w:szCs w:val="20"/>
    </w:rPr>
  </w:style>
  <w:style w:type="character" w:customStyle="1" w:styleId="CommentTextChar">
    <w:name w:val="Comment Text Char"/>
    <w:basedOn w:val="DefaultParagraphFont"/>
    <w:link w:val="CommentText"/>
    <w:uiPriority w:val="99"/>
    <w:semiHidden/>
    <w:rsid w:val="007603D0"/>
    <w:rPr>
      <w:sz w:val="20"/>
      <w:szCs w:val="20"/>
    </w:rPr>
  </w:style>
  <w:style w:type="paragraph" w:styleId="CommentSubject">
    <w:name w:val="annotation subject"/>
    <w:basedOn w:val="CommentText"/>
    <w:next w:val="CommentText"/>
    <w:link w:val="CommentSubjectChar"/>
    <w:uiPriority w:val="99"/>
    <w:semiHidden/>
    <w:unhideWhenUsed/>
    <w:rsid w:val="007603D0"/>
    <w:rPr>
      <w:b/>
      <w:bCs/>
    </w:rPr>
  </w:style>
  <w:style w:type="character" w:customStyle="1" w:styleId="CommentSubjectChar">
    <w:name w:val="Comment Subject Char"/>
    <w:basedOn w:val="CommentTextChar"/>
    <w:link w:val="CommentSubject"/>
    <w:uiPriority w:val="99"/>
    <w:semiHidden/>
    <w:rsid w:val="007603D0"/>
    <w:rPr>
      <w:b/>
      <w:bCs/>
      <w:sz w:val="20"/>
      <w:szCs w:val="20"/>
    </w:rPr>
  </w:style>
  <w:style w:type="paragraph" w:styleId="FootnoteText">
    <w:name w:val="footnote text"/>
    <w:basedOn w:val="Normal"/>
    <w:link w:val="FootnoteTextChar"/>
    <w:uiPriority w:val="99"/>
    <w:semiHidden/>
    <w:unhideWhenUsed/>
    <w:rsid w:val="00E86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ECE"/>
    <w:rPr>
      <w:sz w:val="20"/>
      <w:szCs w:val="20"/>
    </w:rPr>
  </w:style>
  <w:style w:type="character" w:styleId="FootnoteReference">
    <w:name w:val="footnote reference"/>
    <w:basedOn w:val="DefaultParagraphFont"/>
    <w:uiPriority w:val="99"/>
    <w:semiHidden/>
    <w:unhideWhenUsed/>
    <w:rsid w:val="00E86EC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F081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ptBullets">
    <w:name w:val="DeptBullets"/>
    <w:basedOn w:val="Normal"/>
    <w:rsid w:val="00AF081A"/>
    <w:pPr>
      <w:numPr>
        <w:numId w:val="1"/>
      </w:numPr>
      <w:spacing w:after="240" w:line="240" w:lineRule="auto"/>
    </w:pPr>
  </w:style>
  <w:style w:type="paragraph" w:styleId="ListParagraph">
    <w:name w:val="List Paragraph"/>
    <w:basedOn w:val="Normal"/>
    <w:uiPriority w:val="34"/>
    <w:qFormat/>
    <w:rsid w:val="00AF081A"/>
    <w:pPr>
      <w:spacing w:after="0" w:line="240" w:lineRule="auto"/>
      <w:ind w:left="720"/>
      <w:contextualSpacing/>
    </w:pPr>
  </w:style>
  <w:style w:type="character" w:styleId="Hyperlink">
    <w:name w:val="Hyperlink"/>
    <w:basedOn w:val="DefaultParagraphFont"/>
    <w:uiPriority w:val="99"/>
    <w:unhideWhenUsed/>
    <w:rsid w:val="00AF081A"/>
    <w:rPr>
      <w:color w:val="0000FF" w:themeColor="hyperlink"/>
      <w:u w:val="single"/>
    </w:rPr>
  </w:style>
  <w:style w:type="paragraph" w:styleId="Header">
    <w:name w:val="header"/>
    <w:basedOn w:val="Normal"/>
    <w:link w:val="HeaderChar"/>
    <w:uiPriority w:val="99"/>
    <w:unhideWhenUsed/>
    <w:rsid w:val="00AF081A"/>
    <w:pPr>
      <w:tabs>
        <w:tab w:val="center" w:pos="4513"/>
        <w:tab w:val="right" w:pos="9026"/>
      </w:tabs>
      <w:spacing w:after="0" w:line="240" w:lineRule="auto"/>
    </w:pPr>
  </w:style>
  <w:style w:type="character" w:customStyle="1" w:styleId="HeaderChar">
    <w:name w:val="Header Char"/>
    <w:basedOn w:val="DefaultParagraphFont"/>
    <w:link w:val="Header"/>
    <w:uiPriority w:val="99"/>
    <w:rsid w:val="00AF081A"/>
  </w:style>
  <w:style w:type="paragraph" w:styleId="Footer">
    <w:name w:val="footer"/>
    <w:basedOn w:val="Normal"/>
    <w:link w:val="FooterChar"/>
    <w:uiPriority w:val="99"/>
    <w:unhideWhenUsed/>
    <w:rsid w:val="00AF081A"/>
    <w:pPr>
      <w:tabs>
        <w:tab w:val="center" w:pos="4513"/>
        <w:tab w:val="right" w:pos="9026"/>
      </w:tabs>
      <w:spacing w:after="0" w:line="240" w:lineRule="auto"/>
    </w:pPr>
  </w:style>
  <w:style w:type="character" w:customStyle="1" w:styleId="FooterChar">
    <w:name w:val="Footer Char"/>
    <w:basedOn w:val="DefaultParagraphFont"/>
    <w:link w:val="Footer"/>
    <w:uiPriority w:val="99"/>
    <w:rsid w:val="00AF081A"/>
  </w:style>
  <w:style w:type="table" w:styleId="TableGrid">
    <w:name w:val="Table Grid"/>
    <w:basedOn w:val="TableNormal"/>
    <w:uiPriority w:val="59"/>
    <w:rsid w:val="004213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fESOutNumbered">
    <w:name w:val="DfESOutNumbered"/>
    <w:basedOn w:val="Normal"/>
    <w:link w:val="DfESOutNumberedChar"/>
    <w:rsid w:val="009E30F4"/>
    <w:pPr>
      <w:widowControl w:val="0"/>
      <w:numPr>
        <w:numId w:val="15"/>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9E30F4"/>
    <w:rPr>
      <w:rFonts w:ascii="Arial" w:eastAsia="Times New Roman" w:hAnsi="Arial" w:cs="Arial"/>
      <w:szCs w:val="20"/>
    </w:rPr>
  </w:style>
  <w:style w:type="paragraph" w:styleId="NoSpacing">
    <w:name w:val="No Spacing"/>
    <w:uiPriority w:val="1"/>
    <w:qFormat/>
    <w:rsid w:val="00A16146"/>
    <w:pPr>
      <w:spacing w:after="0" w:line="240" w:lineRule="auto"/>
    </w:pPr>
  </w:style>
  <w:style w:type="paragraph" w:styleId="BalloonText">
    <w:name w:val="Balloon Text"/>
    <w:basedOn w:val="Normal"/>
    <w:link w:val="BalloonTextChar"/>
    <w:uiPriority w:val="99"/>
    <w:semiHidden/>
    <w:unhideWhenUsed/>
    <w:rsid w:val="00BE06E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E06E8"/>
    <w:rPr>
      <w:rFonts w:ascii="Tahoma" w:hAnsi="Tahoma" w:cs="Tahoma"/>
      <w:sz w:val="16"/>
      <w:szCs w:val="16"/>
    </w:rPr>
  </w:style>
  <w:style w:type="character" w:styleId="CommentReference">
    <w:name w:val="annotation reference"/>
    <w:basedOn w:val="DefaultParagraphFont"/>
    <w:uiPriority w:val="99"/>
    <w:semiHidden/>
    <w:unhideWhenUsed/>
    <w:rsid w:val="007603D0"/>
    <w:rPr>
      <w:sz w:val="16"/>
      <w:szCs w:val="16"/>
    </w:rPr>
  </w:style>
  <w:style w:type="paragraph" w:styleId="CommentText">
    <w:name w:val="annotation text"/>
    <w:basedOn w:val="Normal"/>
    <w:link w:val="CommentTextChar"/>
    <w:uiPriority w:val="99"/>
    <w:semiHidden/>
    <w:unhideWhenUsed/>
    <w:rsid w:val="007603D0"/>
    <w:pPr>
      <w:spacing w:line="240" w:lineRule="auto"/>
    </w:pPr>
    <w:rPr>
      <w:sz w:val="20"/>
      <w:szCs w:val="20"/>
    </w:rPr>
  </w:style>
  <w:style w:type="character" w:customStyle="1" w:styleId="CommentTextChar">
    <w:name w:val="Comment Text Char"/>
    <w:basedOn w:val="DefaultParagraphFont"/>
    <w:link w:val="CommentText"/>
    <w:uiPriority w:val="99"/>
    <w:semiHidden/>
    <w:rsid w:val="007603D0"/>
    <w:rPr>
      <w:sz w:val="20"/>
      <w:szCs w:val="20"/>
    </w:rPr>
  </w:style>
  <w:style w:type="paragraph" w:styleId="CommentSubject">
    <w:name w:val="annotation subject"/>
    <w:basedOn w:val="CommentText"/>
    <w:next w:val="CommentText"/>
    <w:link w:val="CommentSubjectChar"/>
    <w:uiPriority w:val="99"/>
    <w:semiHidden/>
    <w:unhideWhenUsed/>
    <w:rsid w:val="007603D0"/>
    <w:rPr>
      <w:b/>
      <w:bCs/>
    </w:rPr>
  </w:style>
  <w:style w:type="character" w:customStyle="1" w:styleId="CommentSubjectChar">
    <w:name w:val="Comment Subject Char"/>
    <w:basedOn w:val="CommentTextChar"/>
    <w:link w:val="CommentSubject"/>
    <w:uiPriority w:val="99"/>
    <w:semiHidden/>
    <w:rsid w:val="007603D0"/>
    <w:rPr>
      <w:b/>
      <w:bCs/>
      <w:sz w:val="20"/>
      <w:szCs w:val="20"/>
    </w:rPr>
  </w:style>
  <w:style w:type="paragraph" w:styleId="FootnoteText">
    <w:name w:val="footnote text"/>
    <w:basedOn w:val="Normal"/>
    <w:link w:val="FootnoteTextChar"/>
    <w:uiPriority w:val="99"/>
    <w:semiHidden/>
    <w:unhideWhenUsed/>
    <w:rsid w:val="00E86EC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E86ECE"/>
    <w:rPr>
      <w:sz w:val="20"/>
      <w:szCs w:val="20"/>
    </w:rPr>
  </w:style>
  <w:style w:type="character" w:styleId="FootnoteReference">
    <w:name w:val="footnote reference"/>
    <w:basedOn w:val="DefaultParagraphFont"/>
    <w:uiPriority w:val="99"/>
    <w:semiHidden/>
    <w:unhideWhenUsed/>
    <w:rsid w:val="00E86EC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956002">
      <w:bodyDiv w:val="1"/>
      <w:marLeft w:val="0"/>
      <w:marRight w:val="0"/>
      <w:marTop w:val="0"/>
      <w:marBottom w:val="0"/>
      <w:divBdr>
        <w:top w:val="none" w:sz="0" w:space="0" w:color="auto"/>
        <w:left w:val="none" w:sz="0" w:space="0" w:color="auto"/>
        <w:bottom w:val="none" w:sz="0" w:space="0" w:color="auto"/>
        <w:right w:val="none" w:sz="0" w:space="0" w:color="auto"/>
      </w:divBdr>
      <w:divsChild>
        <w:div w:id="1766337726">
          <w:marLeft w:val="-300"/>
          <w:marRight w:val="0"/>
          <w:marTop w:val="0"/>
          <w:marBottom w:val="0"/>
          <w:divBdr>
            <w:top w:val="none" w:sz="0" w:space="0" w:color="auto"/>
            <w:left w:val="none" w:sz="0" w:space="0" w:color="auto"/>
            <w:bottom w:val="none" w:sz="0" w:space="0" w:color="auto"/>
            <w:right w:val="none" w:sz="0" w:space="0" w:color="auto"/>
          </w:divBdr>
          <w:divsChild>
            <w:div w:id="604269979">
              <w:marLeft w:val="0"/>
              <w:marRight w:val="0"/>
              <w:marTop w:val="0"/>
              <w:marBottom w:val="0"/>
              <w:divBdr>
                <w:top w:val="none" w:sz="0" w:space="0" w:color="auto"/>
                <w:left w:val="none" w:sz="0" w:space="0" w:color="auto"/>
                <w:bottom w:val="none" w:sz="0" w:space="0" w:color="auto"/>
                <w:right w:val="none" w:sz="0" w:space="0" w:color="auto"/>
              </w:divBdr>
              <w:divsChild>
                <w:div w:id="1723984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contact@smcpcommission.gsi.gov.uk" TargetMode="Externa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BB554E-87E4-4D71-A14C-D4EA33E043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1128</Words>
  <Characters>6433</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DfE</Company>
  <LinksUpToDate>false</LinksUpToDate>
  <CharactersWithSpaces>7546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BRANT, Peter</cp:lastModifiedBy>
  <cp:revision>2</cp:revision>
  <cp:lastPrinted>2014-11-20T09:13:00Z</cp:lastPrinted>
  <dcterms:created xsi:type="dcterms:W3CDTF">2016-06-03T11:39:00Z</dcterms:created>
  <dcterms:modified xsi:type="dcterms:W3CDTF">2016-06-03T11:39:00Z</dcterms:modified>
</cp:coreProperties>
</file>