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ED2E3"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0BED2E6" w14:textId="77777777" w:rsidTr="00061C01">
        <w:tc>
          <w:tcPr>
            <w:tcW w:w="4539" w:type="dxa"/>
          </w:tcPr>
          <w:p w14:paraId="50BED2E4"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0BED485" wp14:editId="50BED486">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0BED2E5"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0BED487" wp14:editId="50BED48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0BED2E7" w14:textId="77777777" w:rsidR="00582B96" w:rsidRDefault="00582B96" w:rsidP="00582B96"/>
    <w:p w14:paraId="50BED2E8" w14:textId="77777777" w:rsidR="00582B96" w:rsidRPr="00D144D9" w:rsidRDefault="00582B96" w:rsidP="00582B96">
      <w:pPr>
        <w:rPr>
          <w:color w:val="FF0000"/>
        </w:rPr>
      </w:pPr>
    </w:p>
    <w:p w14:paraId="50BED2E9" w14:textId="77777777" w:rsidR="00582B96" w:rsidRDefault="00582B96" w:rsidP="00582B96"/>
    <w:p w14:paraId="50BED2EA" w14:textId="77777777" w:rsidR="00582B96" w:rsidRDefault="00582B96" w:rsidP="00582B96"/>
    <w:p w14:paraId="50BED2EB" w14:textId="77777777" w:rsidR="00582B96" w:rsidRDefault="00582B96" w:rsidP="00582B96"/>
    <w:p w14:paraId="50BED2EC" w14:textId="77777777" w:rsidR="00C5289B" w:rsidRDefault="00C5289B" w:rsidP="00554089"/>
    <w:p w14:paraId="50BED2ED" w14:textId="7F37A660" w:rsidR="00582B96" w:rsidRPr="006D1D45" w:rsidRDefault="00582B96" w:rsidP="00582B96">
      <w:pPr>
        <w:rPr>
          <w:b/>
          <w:sz w:val="48"/>
          <w:szCs w:val="48"/>
        </w:rPr>
      </w:pPr>
      <w:r w:rsidRPr="006D1D45">
        <w:rPr>
          <w:b/>
          <w:sz w:val="48"/>
          <w:szCs w:val="48"/>
        </w:rPr>
        <w:t xml:space="preserve">SPECIFICATION </w:t>
      </w:r>
    </w:p>
    <w:p w14:paraId="50BED2EE" w14:textId="77777777" w:rsidR="00582B96" w:rsidRDefault="00582B96" w:rsidP="00582B96">
      <w:pPr>
        <w:rPr>
          <w:b/>
          <w:sz w:val="48"/>
          <w:szCs w:val="48"/>
        </w:rPr>
      </w:pPr>
    </w:p>
    <w:p w14:paraId="50BED2EF" w14:textId="77777777" w:rsidR="00582B96" w:rsidRDefault="00582B96" w:rsidP="00582B96">
      <w:pPr>
        <w:rPr>
          <w:b/>
          <w:sz w:val="48"/>
          <w:szCs w:val="48"/>
        </w:rPr>
      </w:pPr>
    </w:p>
    <w:p w14:paraId="50BED2F0" w14:textId="77777777" w:rsidR="00582B96" w:rsidRDefault="00582B96" w:rsidP="00582B96">
      <w:pPr>
        <w:rPr>
          <w:b/>
          <w:sz w:val="48"/>
          <w:szCs w:val="48"/>
        </w:rPr>
      </w:pPr>
    </w:p>
    <w:p w14:paraId="50BED2F1" w14:textId="4F1D63AD" w:rsidR="00582B96" w:rsidRPr="00360CDD" w:rsidRDefault="00582B96" w:rsidP="00582B96">
      <w:pPr>
        <w:rPr>
          <w:b/>
          <w:color w:val="FF0000"/>
          <w:sz w:val="36"/>
          <w:szCs w:val="36"/>
        </w:rPr>
      </w:pPr>
      <w:r w:rsidRPr="00360CDD">
        <w:rPr>
          <w:b/>
          <w:sz w:val="36"/>
          <w:szCs w:val="36"/>
        </w:rPr>
        <w:t xml:space="preserve">INVITATION TO TENDER </w:t>
      </w:r>
      <w:r w:rsidR="006D1D45" w:rsidRPr="006D1D45">
        <w:rPr>
          <w:b/>
          <w:sz w:val="36"/>
          <w:szCs w:val="36"/>
        </w:rPr>
        <w:t>itt_30163</w:t>
      </w:r>
    </w:p>
    <w:p w14:paraId="50BED2F2" w14:textId="77777777" w:rsidR="00582B96" w:rsidRPr="00360CDD" w:rsidRDefault="00582B96" w:rsidP="00582B96">
      <w:pPr>
        <w:autoSpaceDE w:val="0"/>
        <w:autoSpaceDN w:val="0"/>
        <w:adjustRightInd w:val="0"/>
        <w:rPr>
          <w:rFonts w:cs="Arial"/>
          <w:b/>
          <w:bCs/>
          <w:sz w:val="48"/>
          <w:szCs w:val="48"/>
        </w:rPr>
      </w:pPr>
    </w:p>
    <w:p w14:paraId="50BED2F3" w14:textId="77777777" w:rsidR="00582B96" w:rsidRPr="00360CDD" w:rsidRDefault="00582B96" w:rsidP="00582B96">
      <w:pPr>
        <w:autoSpaceDE w:val="0"/>
        <w:autoSpaceDN w:val="0"/>
        <w:adjustRightInd w:val="0"/>
        <w:rPr>
          <w:rFonts w:cs="Arial"/>
          <w:b/>
          <w:bCs/>
          <w:sz w:val="48"/>
          <w:szCs w:val="48"/>
        </w:rPr>
      </w:pPr>
    </w:p>
    <w:p w14:paraId="50BED2F5" w14:textId="5F5BFE9A" w:rsidR="009B7CFA" w:rsidRPr="009F6502" w:rsidRDefault="00204192" w:rsidP="00582B96">
      <w:pPr>
        <w:autoSpaceDE w:val="0"/>
        <w:autoSpaceDN w:val="0"/>
        <w:adjustRightInd w:val="0"/>
        <w:rPr>
          <w:rFonts w:cs="Arial"/>
          <w:b/>
          <w:bCs/>
          <w:sz w:val="36"/>
          <w:szCs w:val="36"/>
        </w:rPr>
      </w:pPr>
      <w:r w:rsidRPr="009F6502">
        <w:rPr>
          <w:rFonts w:cs="Arial"/>
          <w:b/>
          <w:bCs/>
          <w:sz w:val="36"/>
          <w:szCs w:val="36"/>
        </w:rPr>
        <w:t>Inclusive Labour Markets</w:t>
      </w:r>
      <w:r w:rsidR="006D1D45">
        <w:rPr>
          <w:rFonts w:cs="Arial"/>
          <w:b/>
          <w:bCs/>
          <w:sz w:val="36"/>
          <w:szCs w:val="36"/>
        </w:rPr>
        <w:t xml:space="preserve"> </w:t>
      </w:r>
      <w:r w:rsidR="009B7CFA">
        <w:rPr>
          <w:rFonts w:cs="Arial"/>
          <w:b/>
          <w:bCs/>
          <w:sz w:val="36"/>
          <w:szCs w:val="36"/>
        </w:rPr>
        <w:t>39-901</w:t>
      </w:r>
    </w:p>
    <w:p w14:paraId="50BED2F6" w14:textId="77777777" w:rsidR="00582B96" w:rsidRDefault="00582B96" w:rsidP="00582B96">
      <w:pPr>
        <w:rPr>
          <w:b/>
          <w:sz w:val="48"/>
          <w:szCs w:val="48"/>
        </w:rPr>
      </w:pPr>
    </w:p>
    <w:p w14:paraId="50BED2F7" w14:textId="77777777" w:rsidR="00582B96" w:rsidRDefault="00582B96" w:rsidP="00582B96">
      <w:pPr>
        <w:rPr>
          <w:b/>
          <w:sz w:val="48"/>
          <w:szCs w:val="48"/>
        </w:rPr>
      </w:pPr>
    </w:p>
    <w:p w14:paraId="50BED2F8" w14:textId="77777777" w:rsidR="00582B96" w:rsidRPr="00143BCC" w:rsidRDefault="00554089" w:rsidP="00582B96">
      <w:pPr>
        <w:rPr>
          <w:b/>
          <w:sz w:val="36"/>
          <w:szCs w:val="36"/>
        </w:rPr>
      </w:pPr>
      <w:r>
        <w:rPr>
          <w:b/>
          <w:sz w:val="36"/>
          <w:szCs w:val="36"/>
        </w:rPr>
        <w:t>York, North Yorkshire &amp; East Riding</w:t>
      </w:r>
      <w:r w:rsidR="009F6502">
        <w:rPr>
          <w:b/>
          <w:sz w:val="36"/>
          <w:szCs w:val="36"/>
        </w:rPr>
        <w:t xml:space="preserve"> LEP</w:t>
      </w:r>
    </w:p>
    <w:p w14:paraId="50BED2F9" w14:textId="77777777" w:rsidR="00582B96" w:rsidRDefault="00582B96" w:rsidP="00582B96">
      <w:pPr>
        <w:rPr>
          <w:b/>
          <w:sz w:val="48"/>
          <w:szCs w:val="48"/>
        </w:rPr>
      </w:pPr>
    </w:p>
    <w:p w14:paraId="50BED2FA" w14:textId="77777777" w:rsidR="00582B96" w:rsidRDefault="00582B96" w:rsidP="00582B96">
      <w:pPr>
        <w:rPr>
          <w:b/>
          <w:sz w:val="48"/>
          <w:szCs w:val="48"/>
        </w:rPr>
      </w:pPr>
    </w:p>
    <w:p w14:paraId="50BED2FB" w14:textId="77777777" w:rsidR="00582B96" w:rsidRDefault="00582B96" w:rsidP="00582B96">
      <w:pPr>
        <w:rPr>
          <w:b/>
          <w:sz w:val="48"/>
          <w:szCs w:val="48"/>
        </w:rPr>
      </w:pPr>
    </w:p>
    <w:p w14:paraId="50BED2FC" w14:textId="1C176A4D" w:rsidR="00582B96" w:rsidRPr="00360CDD" w:rsidRDefault="00582B96" w:rsidP="00582B96">
      <w:pPr>
        <w:rPr>
          <w:b/>
          <w:sz w:val="36"/>
          <w:szCs w:val="36"/>
        </w:rPr>
      </w:pPr>
      <w:r w:rsidRPr="00360CDD">
        <w:rPr>
          <w:b/>
          <w:sz w:val="36"/>
          <w:szCs w:val="36"/>
        </w:rPr>
        <w:t>DATE:</w:t>
      </w:r>
      <w:r w:rsidR="002F71DB">
        <w:rPr>
          <w:b/>
          <w:sz w:val="36"/>
          <w:szCs w:val="36"/>
        </w:rPr>
        <w:t xml:space="preserve"> </w:t>
      </w:r>
      <w:r w:rsidR="009B7CFA">
        <w:rPr>
          <w:b/>
          <w:sz w:val="36"/>
          <w:szCs w:val="36"/>
        </w:rPr>
        <w:t>Ju</w:t>
      </w:r>
      <w:r w:rsidR="006D1D45">
        <w:rPr>
          <w:b/>
          <w:sz w:val="36"/>
          <w:szCs w:val="36"/>
        </w:rPr>
        <w:t>ly</w:t>
      </w:r>
      <w:r w:rsidR="00A73216">
        <w:rPr>
          <w:b/>
          <w:sz w:val="36"/>
          <w:szCs w:val="36"/>
        </w:rPr>
        <w:t xml:space="preserve"> </w:t>
      </w:r>
      <w:r w:rsidR="00204192">
        <w:rPr>
          <w:b/>
          <w:sz w:val="36"/>
          <w:szCs w:val="36"/>
        </w:rPr>
        <w:t>2016</w:t>
      </w:r>
    </w:p>
    <w:p w14:paraId="50BED2FD" w14:textId="77777777" w:rsidR="00582B96" w:rsidRDefault="00582B96"/>
    <w:tbl>
      <w:tblPr>
        <w:tblW w:w="0" w:type="auto"/>
        <w:tblLook w:val="01E0" w:firstRow="1" w:lastRow="1" w:firstColumn="1" w:lastColumn="1" w:noHBand="0" w:noVBand="0"/>
      </w:tblPr>
      <w:tblGrid>
        <w:gridCol w:w="4421"/>
        <w:gridCol w:w="4366"/>
      </w:tblGrid>
      <w:tr w:rsidR="00ED67E0" w14:paraId="50BED300" w14:textId="77777777" w:rsidTr="00B24D65">
        <w:tc>
          <w:tcPr>
            <w:tcW w:w="4421" w:type="dxa"/>
          </w:tcPr>
          <w:p w14:paraId="50BED2FE" w14:textId="77777777" w:rsidR="00ED67E0" w:rsidRDefault="00ED67E0" w:rsidP="000419AD">
            <w:pPr>
              <w:pStyle w:val="Header"/>
              <w:tabs>
                <w:tab w:val="clear" w:pos="4153"/>
                <w:tab w:val="clear" w:pos="8306"/>
                <w:tab w:val="left" w:pos="1185"/>
              </w:tabs>
            </w:pPr>
            <w:r>
              <w:tab/>
            </w:r>
          </w:p>
        </w:tc>
        <w:tc>
          <w:tcPr>
            <w:tcW w:w="4366" w:type="dxa"/>
          </w:tcPr>
          <w:p w14:paraId="50BED2FF" w14:textId="77777777" w:rsidR="00ED67E0" w:rsidRDefault="00ED67E0" w:rsidP="000419AD">
            <w:pPr>
              <w:pStyle w:val="Header"/>
              <w:jc w:val="right"/>
            </w:pPr>
          </w:p>
        </w:tc>
      </w:tr>
      <w:tr w:rsidR="00ED67E0" w:rsidRPr="002465E9" w14:paraId="50BED303" w14:textId="77777777" w:rsidTr="00B24D65">
        <w:tc>
          <w:tcPr>
            <w:tcW w:w="4421" w:type="dxa"/>
          </w:tcPr>
          <w:p w14:paraId="50BED301" w14:textId="77777777" w:rsidR="00ED67E0" w:rsidRDefault="00ED67E0" w:rsidP="000419AD">
            <w:pPr>
              <w:pStyle w:val="Header"/>
            </w:pPr>
            <w:r>
              <w:rPr>
                <w:noProof/>
                <w:lang w:eastAsia="en-GB"/>
              </w:rPr>
              <w:lastRenderedPageBreak/>
              <w:drawing>
                <wp:inline distT="0" distB="0" distL="0" distR="0" wp14:anchorId="50BED489" wp14:editId="50BED48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0BED302" w14:textId="77777777" w:rsidR="00ED67E0" w:rsidRDefault="000D51DE" w:rsidP="000419AD">
            <w:pPr>
              <w:pStyle w:val="Header"/>
              <w:jc w:val="right"/>
            </w:pPr>
            <w:r>
              <w:rPr>
                <w:noProof/>
                <w:lang w:eastAsia="en-GB"/>
              </w:rPr>
              <w:drawing>
                <wp:inline distT="0" distB="0" distL="0" distR="0" wp14:anchorId="50BED48B" wp14:editId="50BED48C">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0BED306" w14:textId="77777777" w:rsidTr="00B24D65">
        <w:tc>
          <w:tcPr>
            <w:tcW w:w="4421" w:type="dxa"/>
          </w:tcPr>
          <w:p w14:paraId="50BED304" w14:textId="77777777" w:rsidR="008441FE" w:rsidRDefault="008441FE" w:rsidP="000419AD">
            <w:pPr>
              <w:pStyle w:val="Header"/>
              <w:rPr>
                <w:noProof/>
                <w:lang w:eastAsia="en-GB"/>
              </w:rPr>
            </w:pPr>
          </w:p>
        </w:tc>
        <w:tc>
          <w:tcPr>
            <w:tcW w:w="4366" w:type="dxa"/>
          </w:tcPr>
          <w:p w14:paraId="50BED305" w14:textId="77777777" w:rsidR="008441FE" w:rsidRDefault="008441FE" w:rsidP="000419AD">
            <w:pPr>
              <w:pStyle w:val="Header"/>
              <w:jc w:val="right"/>
              <w:rPr>
                <w:noProof/>
                <w:lang w:eastAsia="en-GB"/>
              </w:rPr>
            </w:pPr>
          </w:p>
        </w:tc>
      </w:tr>
    </w:tbl>
    <w:p w14:paraId="50BED307"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0BED30C" w14:textId="77777777" w:rsidTr="000D51DE">
        <w:trPr>
          <w:trHeight w:val="597"/>
        </w:trPr>
        <w:tc>
          <w:tcPr>
            <w:tcW w:w="9088" w:type="dxa"/>
          </w:tcPr>
          <w:p w14:paraId="50BED30A" w14:textId="09AFFF6E" w:rsidR="006002A9" w:rsidRPr="006D1D45" w:rsidRDefault="006D1D45" w:rsidP="00A524B5">
            <w:pPr>
              <w:pStyle w:val="BodyText"/>
              <w:tabs>
                <w:tab w:val="num" w:pos="1134"/>
              </w:tabs>
              <w:spacing w:after="0"/>
              <w:jc w:val="both"/>
              <w:rPr>
                <w:rFonts w:ascii="Arial" w:hAnsi="Arial" w:cs="Arial"/>
                <w:b/>
              </w:rPr>
            </w:pPr>
            <w:r>
              <w:rPr>
                <w:rFonts w:ascii="Arial" w:hAnsi="Arial" w:cs="Arial"/>
                <w:b/>
              </w:rPr>
              <w:t>ESF</w:t>
            </w:r>
            <w:r w:rsidR="00B3399A" w:rsidRPr="00143BCC">
              <w:rPr>
                <w:rFonts w:ascii="Arial" w:hAnsi="Arial" w:cs="Arial"/>
                <w:b/>
              </w:rPr>
              <w:t xml:space="preserve">: </w:t>
            </w:r>
            <w:r w:rsidR="0005224F" w:rsidRPr="00143BCC">
              <w:rPr>
                <w:rFonts w:ascii="Arial" w:hAnsi="Arial" w:cs="Arial"/>
                <w:b/>
              </w:rPr>
              <w:t>Access to Employment</w:t>
            </w:r>
            <w:r>
              <w:rPr>
                <w:rFonts w:ascii="Arial" w:hAnsi="Arial" w:cs="Arial"/>
                <w:b/>
              </w:rPr>
              <w:t xml:space="preserve"> </w:t>
            </w:r>
            <w:r w:rsidR="00554089">
              <w:rPr>
                <w:rFonts w:ascii="Arial" w:hAnsi="Arial" w:cs="Arial"/>
                <w:b/>
              </w:rPr>
              <w:t xml:space="preserve">York, North Yorkshire &amp; East Riding </w:t>
            </w:r>
            <w:r w:rsidR="005B3F9D" w:rsidRPr="00143BCC">
              <w:rPr>
                <w:rFonts w:ascii="Arial" w:hAnsi="Arial" w:cs="Arial"/>
                <w:b/>
              </w:rPr>
              <w:t xml:space="preserve">LEP </w:t>
            </w:r>
            <w:r w:rsidR="006002A9" w:rsidRPr="00143BCC">
              <w:rPr>
                <w:rFonts w:ascii="Arial" w:hAnsi="Arial" w:cs="Arial"/>
                <w:b/>
              </w:rPr>
              <w:t>–</w:t>
            </w:r>
            <w:r w:rsidR="005B3F9D" w:rsidRPr="00143BCC">
              <w:rPr>
                <w:rFonts w:ascii="Arial" w:hAnsi="Arial" w:cs="Arial"/>
                <w:b/>
              </w:rPr>
              <w:t xml:space="preserve"> </w:t>
            </w:r>
            <w:r w:rsidR="00143BCC" w:rsidRPr="00143BCC">
              <w:rPr>
                <w:rFonts w:ascii="Arial" w:hAnsi="Arial" w:cs="Arial"/>
                <w:b/>
              </w:rPr>
              <w:t>Careers Education IAG</w:t>
            </w:r>
            <w:r>
              <w:rPr>
                <w:rFonts w:ascii="Arial" w:hAnsi="Arial" w:cs="Arial"/>
                <w:b/>
              </w:rPr>
              <w:t xml:space="preserve"> </w:t>
            </w:r>
            <w:r w:rsidRPr="006D1D45">
              <w:rPr>
                <w:rFonts w:ascii="Arial" w:hAnsi="Arial" w:cs="Arial"/>
                <w:b/>
              </w:rPr>
              <w:t>itt_30163</w:t>
            </w:r>
          </w:p>
          <w:p w14:paraId="50BED30B"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50BED30E" w14:textId="77777777" w:rsidTr="005D131C">
        <w:trPr>
          <w:trHeight w:val="567"/>
        </w:trPr>
        <w:tc>
          <w:tcPr>
            <w:tcW w:w="9088" w:type="dxa"/>
            <w:shd w:val="clear" w:color="auto" w:fill="D9D9D9" w:themeFill="background1" w:themeFillShade="D9"/>
            <w:vAlign w:val="center"/>
          </w:tcPr>
          <w:p w14:paraId="50BED30D" w14:textId="77777777" w:rsidR="00967429" w:rsidRPr="00FD3B0A" w:rsidRDefault="004C726D" w:rsidP="00FD3B0A">
            <w:pPr>
              <w:pStyle w:val="SpecificationHeading"/>
            </w:pPr>
            <w:r w:rsidRPr="00FD3B0A">
              <w:t>BACKGROUND</w:t>
            </w:r>
          </w:p>
        </w:tc>
      </w:tr>
      <w:tr w:rsidR="00967429" w:rsidRPr="00EF4406" w14:paraId="50BED33F" w14:textId="77777777" w:rsidTr="000D51DE">
        <w:tc>
          <w:tcPr>
            <w:tcW w:w="9088" w:type="dxa"/>
          </w:tcPr>
          <w:p w14:paraId="50BED30F" w14:textId="77777777" w:rsidR="00B24D65" w:rsidRPr="002833D9" w:rsidRDefault="00B24D65" w:rsidP="00A524B5">
            <w:pPr>
              <w:tabs>
                <w:tab w:val="num" w:pos="900"/>
              </w:tabs>
              <w:autoSpaceDE w:val="0"/>
              <w:autoSpaceDN w:val="0"/>
              <w:adjustRightInd w:val="0"/>
              <w:rPr>
                <w:rFonts w:cs="Arial"/>
                <w:b/>
              </w:rPr>
            </w:pPr>
          </w:p>
          <w:p w14:paraId="50BED310"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0BED311" w14:textId="77777777" w:rsidR="002833D9" w:rsidRPr="002833D9" w:rsidRDefault="002833D9" w:rsidP="00A524B5">
            <w:pPr>
              <w:tabs>
                <w:tab w:val="num" w:pos="900"/>
              </w:tabs>
              <w:autoSpaceDE w:val="0"/>
              <w:autoSpaceDN w:val="0"/>
              <w:adjustRightInd w:val="0"/>
              <w:rPr>
                <w:rFonts w:cs="Arial"/>
                <w:b/>
              </w:rPr>
            </w:pPr>
          </w:p>
          <w:p w14:paraId="50BED312"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0BED313" w14:textId="77777777" w:rsidR="002833D9" w:rsidRPr="005A1D76" w:rsidRDefault="002833D9" w:rsidP="00A524B5">
            <w:pPr>
              <w:tabs>
                <w:tab w:val="num" w:pos="900"/>
              </w:tabs>
              <w:autoSpaceDE w:val="0"/>
              <w:autoSpaceDN w:val="0"/>
              <w:adjustRightInd w:val="0"/>
              <w:rPr>
                <w:rFonts w:cs="Arial"/>
              </w:rPr>
            </w:pPr>
          </w:p>
          <w:p w14:paraId="50BED31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0BED315" w14:textId="77777777" w:rsidR="002833D9" w:rsidRPr="005A1D76" w:rsidRDefault="002833D9" w:rsidP="00A524B5">
            <w:pPr>
              <w:rPr>
                <w:rFonts w:cs="Arial"/>
              </w:rPr>
            </w:pPr>
          </w:p>
          <w:p w14:paraId="50BED316"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50BED317" w14:textId="77777777" w:rsidR="00AD0B65" w:rsidRPr="00AD0B65" w:rsidRDefault="00AD0B65" w:rsidP="00AD0B65">
            <w:pPr>
              <w:rPr>
                <w:rFonts w:cs="Arial"/>
              </w:rPr>
            </w:pPr>
          </w:p>
          <w:p w14:paraId="50BED318" w14:textId="77777777" w:rsidR="00204192" w:rsidRDefault="009E7A30" w:rsidP="00AD0B65">
            <w:r w:rsidRPr="009B7CFA">
              <w:t>The</w:t>
            </w:r>
            <w:r w:rsidR="00A63E89" w:rsidRPr="009B7CFA">
              <w:t xml:space="preserve"> </w:t>
            </w:r>
            <w:r w:rsidR="00204192" w:rsidRPr="009B7CFA">
              <w:t xml:space="preserve">Priority Axis 1 </w:t>
            </w:r>
            <w:r w:rsidR="00A63E89" w:rsidRPr="009B7CFA">
              <w:t xml:space="preserve">supports </w:t>
            </w:r>
            <w:r w:rsidR="00204192" w:rsidRPr="009B7CFA">
              <w:t xml:space="preserve">activity to increase participation in the labour market and thereby improve social inclusion and mobility.   The objectives of Priority Axis 1 </w:t>
            </w:r>
            <w:r w:rsidR="00F0539E" w:rsidRPr="009B7CFA">
              <w:t xml:space="preserve">covered in this specification </w:t>
            </w:r>
            <w:r w:rsidR="00204192" w:rsidRPr="009B7CFA">
              <w:t>are:</w:t>
            </w:r>
          </w:p>
          <w:p w14:paraId="5F1C6291" w14:textId="77777777" w:rsidR="005D131C" w:rsidRPr="009B7CFA" w:rsidRDefault="005D131C" w:rsidP="00AD0B65"/>
          <w:p w14:paraId="50BED319" w14:textId="77777777" w:rsidR="00204192" w:rsidRPr="009B7CFA" w:rsidRDefault="00204192" w:rsidP="00A503FD">
            <w:pPr>
              <w:pStyle w:val="ListParagraph"/>
              <w:numPr>
                <w:ilvl w:val="0"/>
                <w:numId w:val="11"/>
              </w:numPr>
            </w:pPr>
            <w:r w:rsidRPr="009B7CFA">
              <w:t>To improve the employability of long-term unemployed people, so that they can compete effectively in the labour market.</w:t>
            </w:r>
          </w:p>
          <w:p w14:paraId="50BED31A" w14:textId="77777777" w:rsidR="00204192" w:rsidRPr="009B7CFA" w:rsidRDefault="00204192" w:rsidP="00A503FD">
            <w:pPr>
              <w:pStyle w:val="ListParagraph"/>
              <w:numPr>
                <w:ilvl w:val="0"/>
                <w:numId w:val="11"/>
              </w:numPr>
            </w:pPr>
            <w:r w:rsidRPr="009B7CFA">
              <w:t>To provide individuals from groups which face particular labour market disadvantage with additional support so that they can compete effectively in the labour market.</w:t>
            </w:r>
          </w:p>
          <w:p w14:paraId="50BED31B" w14:textId="77777777" w:rsidR="00204192" w:rsidRPr="009B7CFA" w:rsidRDefault="00204192" w:rsidP="00A503FD">
            <w:pPr>
              <w:pStyle w:val="ListParagraph"/>
              <w:numPr>
                <w:ilvl w:val="0"/>
                <w:numId w:val="11"/>
              </w:numPr>
            </w:pPr>
            <w:r w:rsidRPr="009B7CFA">
              <w:t>To encourage inactive people to participate in the labour market and to improve their employability.</w:t>
            </w:r>
          </w:p>
          <w:p w14:paraId="50BED31C" w14:textId="77777777" w:rsidR="00204192" w:rsidRPr="009B7CFA" w:rsidRDefault="00204192" w:rsidP="00A503FD">
            <w:pPr>
              <w:pStyle w:val="ListParagraph"/>
              <w:numPr>
                <w:ilvl w:val="0"/>
                <w:numId w:val="11"/>
              </w:numPr>
            </w:pPr>
            <w:r w:rsidRPr="009B7CFA">
              <w:t>To address the basic skills needs of unemployed and inactive people so that they can compete effectively in the labour market.</w:t>
            </w:r>
          </w:p>
          <w:p w14:paraId="50BED31D" w14:textId="77777777" w:rsidR="00204192" w:rsidRPr="009B7CFA" w:rsidRDefault="00204192" w:rsidP="00A503FD">
            <w:pPr>
              <w:pStyle w:val="Default"/>
              <w:numPr>
                <w:ilvl w:val="0"/>
                <w:numId w:val="11"/>
              </w:numPr>
            </w:pPr>
            <w:r w:rsidRPr="009B7CFA">
              <w:t xml:space="preserve">To provide support for women at a disadvantage in the labour market, and particularly those who are currently inactive, to contribute to our efforts to reduce the gender employment gap. </w:t>
            </w:r>
          </w:p>
          <w:p w14:paraId="50BED31E" w14:textId="77777777" w:rsidR="00F0539E" w:rsidRPr="009B7CFA" w:rsidRDefault="00F0539E" w:rsidP="00A503FD">
            <w:pPr>
              <w:pStyle w:val="Default"/>
              <w:numPr>
                <w:ilvl w:val="0"/>
                <w:numId w:val="11"/>
              </w:numPr>
            </w:pPr>
            <w:r w:rsidRPr="009B7CFA">
              <w:lastRenderedPageBreak/>
              <w:t xml:space="preserve">To support people with multiple and complex barriers to participation to address these underlying issues and to move closer to or into the labour market. </w:t>
            </w:r>
          </w:p>
          <w:p w14:paraId="50BED31F" w14:textId="77777777" w:rsidR="00204192" w:rsidRPr="009B7CFA" w:rsidRDefault="00F0539E" w:rsidP="00A503FD">
            <w:pPr>
              <w:pStyle w:val="ListParagraph"/>
              <w:numPr>
                <w:ilvl w:val="0"/>
                <w:numId w:val="11"/>
              </w:numPr>
            </w:pPr>
            <w:r w:rsidRPr="009B7CFA">
              <w:t>To engage marginalised individuals and support them to re-engage with education, training, or in employment.</w:t>
            </w:r>
          </w:p>
          <w:p w14:paraId="50BED320" w14:textId="77777777" w:rsidR="0096491B" w:rsidRPr="009B7CFA" w:rsidRDefault="0096491B" w:rsidP="00466FA7">
            <w:pPr>
              <w:pStyle w:val="Default"/>
              <w:numPr>
                <w:ilvl w:val="0"/>
                <w:numId w:val="11"/>
              </w:numPr>
            </w:pPr>
            <w:r w:rsidRPr="009B7CFA">
              <w:t xml:space="preserve">To engage marginalised 15-18 year olds and support them to re-engage with education or training. </w:t>
            </w:r>
          </w:p>
          <w:p w14:paraId="50BED321" w14:textId="77777777" w:rsidR="0096491B" w:rsidRPr="009B7CFA" w:rsidRDefault="0096491B" w:rsidP="0096491B">
            <w:pPr>
              <w:pStyle w:val="ListParagraph"/>
              <w:numPr>
                <w:ilvl w:val="0"/>
                <w:numId w:val="11"/>
              </w:numPr>
            </w:pPr>
            <w:r w:rsidRPr="009B7CFA">
              <w:t>To support young lone parents to overcome the barriers they face in participating in the labour market (including childcare).</w:t>
            </w:r>
          </w:p>
          <w:p w14:paraId="50BED322" w14:textId="77777777" w:rsidR="0096491B" w:rsidRPr="009B7CFA" w:rsidRDefault="0096491B" w:rsidP="0096491B">
            <w:pPr>
              <w:pStyle w:val="ListParagraph"/>
              <w:numPr>
                <w:ilvl w:val="0"/>
                <w:numId w:val="11"/>
              </w:numPr>
            </w:pPr>
            <w:r w:rsidRPr="009B7CFA">
              <w:t>To address the basic skills needs of young NEETS so that they can compete effectively in the labour market.</w:t>
            </w:r>
          </w:p>
          <w:p w14:paraId="50BED323" w14:textId="77777777" w:rsidR="0096491B" w:rsidRPr="009B7CFA" w:rsidRDefault="0096491B" w:rsidP="0096491B">
            <w:pPr>
              <w:pStyle w:val="ListParagraph"/>
              <w:numPr>
                <w:ilvl w:val="0"/>
                <w:numId w:val="11"/>
              </w:numPr>
            </w:pPr>
            <w:r w:rsidRPr="009B7CFA">
              <w:t>To support the rise in the participation age by providing additional traineeship and apprenticeship opportunities.</w:t>
            </w:r>
          </w:p>
          <w:p w14:paraId="50BED324" w14:textId="77777777" w:rsidR="007E51DD" w:rsidRPr="009B7CFA" w:rsidRDefault="007E51DD" w:rsidP="00AD0B65"/>
          <w:p w14:paraId="50BED325" w14:textId="3E4F8984" w:rsidR="004A2467" w:rsidRDefault="004A2467" w:rsidP="00AD0B65">
            <w:r>
              <w:t xml:space="preserve">The </w:t>
            </w:r>
            <w:r w:rsidR="00201FAC">
              <w:t>investment priority</w:t>
            </w:r>
            <w:r>
              <w:t xml:space="preserve"> </w:t>
            </w:r>
            <w:r w:rsidR="00F0539E">
              <w:t xml:space="preserve">in this specification </w:t>
            </w:r>
            <w:r>
              <w:t>are:</w:t>
            </w:r>
          </w:p>
          <w:p w14:paraId="5EFE3EEC" w14:textId="77777777" w:rsidR="005D131C" w:rsidRDefault="005D131C" w:rsidP="00AD0B65"/>
          <w:p w14:paraId="50BED326" w14:textId="77777777" w:rsidR="0096491B" w:rsidRDefault="0096491B" w:rsidP="0096491B">
            <w:pPr>
              <w:pStyle w:val="ListParagraph"/>
              <w:numPr>
                <w:ilvl w:val="0"/>
                <w:numId w:val="12"/>
              </w:numPr>
            </w:pPr>
            <w:r w:rsidRPr="00466FA7">
              <w:rPr>
                <w:b/>
              </w:rPr>
              <w:t>Sustainable integration of young people</w:t>
            </w:r>
            <w:r w:rsidRPr="0096491B">
              <w:t xml:space="preserve"> (</w:t>
            </w:r>
            <w:r>
              <w:t>IP</w:t>
            </w:r>
            <w:r w:rsidRPr="0096491B">
              <w:t>1.2) - to focus on helping young people, particularly those who are NEET or at risk of NEET, to participate in the labour market and learning in areas</w:t>
            </w:r>
            <w:r>
              <w:t xml:space="preserve"> through focused Information, Advice and Guidance.</w:t>
            </w:r>
          </w:p>
          <w:p w14:paraId="50BED327" w14:textId="77777777" w:rsidR="00F17CE2" w:rsidRDefault="00F17CE2" w:rsidP="00A524B5">
            <w:pPr>
              <w:tabs>
                <w:tab w:val="num" w:pos="900"/>
              </w:tabs>
              <w:autoSpaceDE w:val="0"/>
              <w:autoSpaceDN w:val="0"/>
              <w:adjustRightInd w:val="0"/>
              <w:rPr>
                <w:rFonts w:cs="Arial"/>
              </w:rPr>
            </w:pPr>
          </w:p>
          <w:p w14:paraId="50BED328" w14:textId="77777777" w:rsidR="0096491B" w:rsidRDefault="0096491B" w:rsidP="00A524B5">
            <w:pPr>
              <w:tabs>
                <w:tab w:val="num" w:pos="900"/>
              </w:tabs>
              <w:autoSpaceDE w:val="0"/>
              <w:autoSpaceDN w:val="0"/>
              <w:adjustRightInd w:val="0"/>
              <w:rPr>
                <w:rFonts w:cs="Arial"/>
              </w:rPr>
            </w:pPr>
            <w:r w:rsidRPr="00466FA7">
              <w:rPr>
                <w:rFonts w:cs="Arial"/>
                <w:b/>
              </w:rPr>
              <w:t>Sustainable Integration of Young People</w:t>
            </w:r>
          </w:p>
          <w:p w14:paraId="50BED329" w14:textId="77777777" w:rsidR="0096491B" w:rsidRDefault="0096491B" w:rsidP="00A524B5">
            <w:pPr>
              <w:tabs>
                <w:tab w:val="num" w:pos="900"/>
              </w:tabs>
              <w:autoSpaceDE w:val="0"/>
              <w:autoSpaceDN w:val="0"/>
              <w:adjustRightInd w:val="0"/>
              <w:rPr>
                <w:rFonts w:cs="Arial"/>
              </w:rPr>
            </w:pPr>
          </w:p>
          <w:p w14:paraId="50BED32A" w14:textId="77777777" w:rsidR="0096491B" w:rsidRDefault="0096491B" w:rsidP="0096491B">
            <w:pPr>
              <w:tabs>
                <w:tab w:val="num" w:pos="900"/>
              </w:tabs>
              <w:autoSpaceDE w:val="0"/>
              <w:autoSpaceDN w:val="0"/>
              <w:adjustRightInd w:val="0"/>
              <w:rPr>
                <w:rFonts w:cs="Arial"/>
              </w:rPr>
            </w:pPr>
            <w:r w:rsidRPr="0096491B">
              <w:rPr>
                <w:rFonts w:cs="Arial"/>
              </w:rPr>
              <w:t>Unemployment can have a long-term scarring 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to reduce the number who are NEET or at risk of being NEET. This investment priority will not support activities that duplicate or replace existing provision.</w:t>
            </w:r>
          </w:p>
          <w:p w14:paraId="50BED32B" w14:textId="77777777" w:rsidR="0096491B" w:rsidRPr="0096491B" w:rsidRDefault="0096491B" w:rsidP="0096491B">
            <w:pPr>
              <w:tabs>
                <w:tab w:val="num" w:pos="900"/>
              </w:tabs>
              <w:autoSpaceDE w:val="0"/>
              <w:autoSpaceDN w:val="0"/>
              <w:adjustRightInd w:val="0"/>
              <w:rPr>
                <w:rFonts w:cs="Arial"/>
              </w:rPr>
            </w:pPr>
          </w:p>
          <w:p w14:paraId="50BED32C" w14:textId="77777777" w:rsidR="0096491B" w:rsidRPr="00466FA7" w:rsidRDefault="0096491B" w:rsidP="0096491B">
            <w:pPr>
              <w:tabs>
                <w:tab w:val="num" w:pos="900"/>
              </w:tabs>
              <w:autoSpaceDE w:val="0"/>
              <w:autoSpaceDN w:val="0"/>
              <w:adjustRightInd w:val="0"/>
              <w:rPr>
                <w:rFonts w:cs="Arial"/>
                <w:b/>
              </w:rPr>
            </w:pPr>
            <w:r w:rsidRPr="00466FA7">
              <w:rPr>
                <w:rFonts w:cs="Arial"/>
                <w:b/>
              </w:rPr>
              <w:t>The focus of the work under this strand will be the provision of Information, Advice and Guidance to these young people</w:t>
            </w:r>
            <w:r w:rsidRPr="00466FA7">
              <w:rPr>
                <w:rFonts w:cs="Arial"/>
              </w:rPr>
              <w:t>.</w:t>
            </w:r>
          </w:p>
          <w:p w14:paraId="50BED32D" w14:textId="77777777" w:rsidR="009B1204" w:rsidRDefault="009B1204" w:rsidP="00A524B5">
            <w:pPr>
              <w:tabs>
                <w:tab w:val="num" w:pos="900"/>
              </w:tabs>
              <w:autoSpaceDE w:val="0"/>
              <w:autoSpaceDN w:val="0"/>
              <w:adjustRightInd w:val="0"/>
              <w:rPr>
                <w:rFonts w:cs="Arial"/>
              </w:rPr>
            </w:pPr>
          </w:p>
          <w:p w14:paraId="50BED32E"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0BED32F" w14:textId="77777777" w:rsidR="00722CB4" w:rsidRDefault="00722CB4" w:rsidP="00A524B5">
            <w:pPr>
              <w:rPr>
                <w:rFonts w:cs="Arial"/>
              </w:rPr>
            </w:pPr>
          </w:p>
          <w:p w14:paraId="50BED330" w14:textId="77777777" w:rsidR="002833D9" w:rsidRDefault="00554089" w:rsidP="00A524B5">
            <w:pPr>
              <w:rPr>
                <w:rFonts w:cs="Arial"/>
                <w:b/>
              </w:rPr>
            </w:pPr>
            <w:r>
              <w:rPr>
                <w:rFonts w:cs="Arial"/>
                <w:b/>
              </w:rPr>
              <w:t xml:space="preserve">York, North Yorkshire &amp; East Riding </w:t>
            </w:r>
            <w:r w:rsidR="000304B2">
              <w:rPr>
                <w:rFonts w:cs="Arial"/>
                <w:b/>
              </w:rPr>
              <w:t xml:space="preserve"> Local </w:t>
            </w:r>
            <w:r w:rsidR="00A76A58">
              <w:rPr>
                <w:rFonts w:cs="Arial"/>
                <w:b/>
              </w:rPr>
              <w:t>Enterprise Partnership</w:t>
            </w:r>
            <w:r w:rsidR="00F24C41">
              <w:rPr>
                <w:rFonts w:cs="Arial"/>
                <w:b/>
              </w:rPr>
              <w:t xml:space="preserve"> Background</w:t>
            </w:r>
          </w:p>
          <w:p w14:paraId="50BED331" w14:textId="77777777" w:rsidR="003B1BE5" w:rsidRDefault="003B1BE5" w:rsidP="00722CB4">
            <w:pPr>
              <w:rPr>
                <w:rFonts w:cs="Arial"/>
              </w:rPr>
            </w:pPr>
          </w:p>
          <w:p w14:paraId="50BED332" w14:textId="77777777" w:rsidR="00722CB4" w:rsidRPr="00064984" w:rsidRDefault="00722CB4" w:rsidP="00722CB4">
            <w:pPr>
              <w:rPr>
                <w:rFonts w:cs="Arial"/>
              </w:rPr>
            </w:pPr>
            <w:r w:rsidRPr="00064984">
              <w:rPr>
                <w:rFonts w:cs="Arial"/>
              </w:rPr>
              <w:t xml:space="preserve">The York, North Yorkshire and East Riding LEP’s ESIF Strategy and Strategic Economic Plan set out the priorities for economic growth </w:t>
            </w:r>
            <w:r>
              <w:rPr>
                <w:rFonts w:cs="Arial"/>
              </w:rPr>
              <w:t xml:space="preserve">in </w:t>
            </w:r>
            <w:r w:rsidRPr="00064984">
              <w:rPr>
                <w:rFonts w:cs="Arial"/>
              </w:rPr>
              <w:t xml:space="preserve">the area. </w:t>
            </w:r>
          </w:p>
          <w:p w14:paraId="50BED333" w14:textId="77777777" w:rsidR="00722CB4" w:rsidRDefault="00722CB4" w:rsidP="00722CB4">
            <w:pPr>
              <w:rPr>
                <w:rFonts w:cs="Arial"/>
              </w:rPr>
            </w:pPr>
            <w:r w:rsidRPr="00064984">
              <w:rPr>
                <w:rFonts w:cs="Arial"/>
              </w:rPr>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50BED334" w14:textId="77777777" w:rsidR="00722CB4" w:rsidRDefault="00722CB4" w:rsidP="00722CB4">
            <w:pPr>
              <w:rPr>
                <w:rFonts w:cs="Arial"/>
              </w:rPr>
            </w:pPr>
          </w:p>
          <w:p w14:paraId="50BED335" w14:textId="77777777" w:rsidR="00722CB4" w:rsidRPr="00064984" w:rsidRDefault="00722CB4" w:rsidP="00722CB4">
            <w:pPr>
              <w:rPr>
                <w:rFonts w:cs="Arial"/>
              </w:rPr>
            </w:pPr>
            <w:r w:rsidRPr="00064984">
              <w:rPr>
                <w:rFonts w:cs="Arial"/>
              </w:rPr>
              <w:lastRenderedPageBreak/>
              <w:t xml:space="preserve">To achieve its ambition the LEP has set out actions in its strategy which include support for young people to connect to the right learning opportunities and enable them progress into further education, training or a job; help for people in work and seeking work to improve skills and increase productivity; increase employability by connecting business to education; build competitive advantage through higher level skills and support high quality Apprenticeships, traineeships and internships.  </w:t>
            </w:r>
          </w:p>
          <w:p w14:paraId="50BED336" w14:textId="77777777" w:rsidR="00722CB4" w:rsidRDefault="00722CB4" w:rsidP="00722CB4">
            <w:pPr>
              <w:rPr>
                <w:rFonts w:cs="Arial"/>
              </w:rPr>
            </w:pPr>
          </w:p>
          <w:p w14:paraId="50BED337" w14:textId="77777777" w:rsidR="00722CB4" w:rsidRPr="00064984" w:rsidRDefault="00722CB4" w:rsidP="00722CB4">
            <w:pPr>
              <w:rPr>
                <w:rFonts w:cs="Arial"/>
              </w:rPr>
            </w:pPr>
            <w:r w:rsidRPr="00064984">
              <w:rPr>
                <w:rFonts w:cs="Arial"/>
              </w:rPr>
              <w:t>Whilst the York, North Yorkshire and East Riding has a generally healthy socio-economic profile with low unemployment and higher than average skills attainment there are pockets of deprivation which are evident in urban areas such as York, Harrogate and the coastal strip including Scarborough, Whitby</w:t>
            </w:r>
            <w:r>
              <w:rPr>
                <w:rFonts w:cs="Arial"/>
              </w:rPr>
              <w:t>, Withernsea</w:t>
            </w:r>
            <w:r w:rsidRPr="00064984">
              <w:rPr>
                <w:rFonts w:cs="Arial"/>
              </w:rPr>
              <w:t xml:space="preserve"> and Bridlington.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50BED338" w14:textId="77777777" w:rsidR="00722CB4" w:rsidRPr="00064984" w:rsidRDefault="00722CB4" w:rsidP="00722CB4">
            <w:pPr>
              <w:rPr>
                <w:rFonts w:cs="Arial"/>
              </w:rPr>
            </w:pPr>
          </w:p>
          <w:p w14:paraId="50BED339" w14:textId="77777777" w:rsidR="00722CB4" w:rsidRDefault="00722CB4" w:rsidP="00722CB4">
            <w:pPr>
              <w:rPr>
                <w:rFonts w:cs="Arial"/>
              </w:rPr>
            </w:pPr>
            <w:r w:rsidRPr="00064984">
              <w:rPr>
                <w:rFonts w:cs="Arial"/>
              </w:rPr>
              <w:t>Businesses need to train their staff to keep pace with technology and to ensure increased productivity. The ESIF strategy focusses on key sectors for the LEP area (agri</w:t>
            </w:r>
            <w:r w:rsidR="00A73216">
              <w:rPr>
                <w:rFonts w:cs="Arial"/>
              </w:rPr>
              <w:t>-</w:t>
            </w:r>
            <w:r w:rsidRPr="00064984">
              <w:rPr>
                <w:rFonts w:cs="Arial"/>
              </w:rPr>
              <w:t>tech, bio</w:t>
            </w:r>
            <w:r w:rsidR="00A73216">
              <w:rPr>
                <w:rFonts w:cs="Arial"/>
              </w:rPr>
              <w:t>-</w:t>
            </w:r>
            <w:r w:rsidRPr="00064984">
              <w:rPr>
                <w:rFonts w:cs="Arial"/>
              </w:rPr>
              <w:t>renewables and food manufacture) which drive growth. There are also skills gaps in sectors which employ large numbers in the LEP area including health and social care, the visitor economy</w:t>
            </w:r>
            <w:r>
              <w:rPr>
                <w:rFonts w:cs="Arial"/>
              </w:rPr>
              <w:t>, VCSE</w:t>
            </w:r>
            <w:r w:rsidRPr="00064984">
              <w:rPr>
                <w:rFonts w:cs="Arial"/>
              </w:rPr>
              <w:t xml:space="preserve"> and construction. The ageing workforce in important sectors such as engineering necessitates action to address the shortfall in skilled labour especially as significant economic opportunities such as off-shore wind, the potash mine and increased construction projects gather pace. There is also </w:t>
            </w:r>
            <w:r>
              <w:rPr>
                <w:rFonts w:cs="Arial"/>
              </w:rPr>
              <w:t xml:space="preserve">a </w:t>
            </w:r>
            <w:r w:rsidRPr="00064984">
              <w:rPr>
                <w:rFonts w:cs="Arial"/>
              </w:rPr>
              <w:t xml:space="preserve">need to address the gender imbalance of too few women </w:t>
            </w:r>
            <w:r>
              <w:rPr>
                <w:rFonts w:cs="Arial"/>
              </w:rPr>
              <w:t>in</w:t>
            </w:r>
            <w:r w:rsidRPr="00064984">
              <w:rPr>
                <w:rFonts w:cs="Arial"/>
              </w:rPr>
              <w:t xml:space="preserve"> STEM related career</w:t>
            </w:r>
            <w:r>
              <w:rPr>
                <w:rFonts w:cs="Arial"/>
              </w:rPr>
              <w:t>s</w:t>
            </w:r>
            <w:r w:rsidRPr="00064984">
              <w:rPr>
                <w:rFonts w:cs="Arial"/>
              </w:rPr>
              <w:t xml:space="preserve"> and </w:t>
            </w:r>
            <w:r>
              <w:rPr>
                <w:rFonts w:cs="Arial"/>
              </w:rPr>
              <w:t xml:space="preserve">there is an under representation of men in the care sector. </w:t>
            </w:r>
          </w:p>
          <w:p w14:paraId="50BED33A" w14:textId="77777777" w:rsidR="00722CB4" w:rsidRDefault="00722CB4" w:rsidP="00722CB4">
            <w:pPr>
              <w:rPr>
                <w:rFonts w:cs="Arial"/>
              </w:rPr>
            </w:pPr>
          </w:p>
          <w:p w14:paraId="50BED33B" w14:textId="77777777" w:rsidR="00722CB4" w:rsidRDefault="00722CB4" w:rsidP="00722CB4">
            <w:pPr>
              <w:rPr>
                <w:rFonts w:cs="Arial"/>
              </w:rPr>
            </w:pPr>
            <w:r>
              <w:rPr>
                <w:rFonts w:cs="Arial"/>
              </w:rPr>
              <w:t xml:space="preserve">The LEP has a goal to ‘Connect Every Student to Business’. It has identified that many young people do not have sufficient high quality encounters with the world of work that can help them make the best choices as they plan their careers. </w:t>
            </w:r>
            <w:r w:rsidR="006F2654">
              <w:rPr>
                <w:rFonts w:cs="Arial"/>
              </w:rPr>
              <w:t xml:space="preserve">It has identified that support is needed to enable businesses and schools/colleges to work together </w:t>
            </w:r>
            <w:r w:rsidR="004D3F78">
              <w:rPr>
                <w:rFonts w:cs="Arial"/>
              </w:rPr>
              <w:t xml:space="preserve">better </w:t>
            </w:r>
            <w:r w:rsidR="006F2654">
              <w:rPr>
                <w:rFonts w:cs="Arial"/>
              </w:rPr>
              <w:t xml:space="preserve">to support all young people to take opportunities and make the right decision relating to their futures. </w:t>
            </w:r>
            <w:r>
              <w:rPr>
                <w:rFonts w:cs="Arial"/>
              </w:rPr>
              <w:t>The</w:t>
            </w:r>
            <w:r w:rsidR="006F2654">
              <w:rPr>
                <w:rFonts w:cs="Arial"/>
              </w:rPr>
              <w:t xml:space="preserve"> LEP seeks to support educational institutions to </w:t>
            </w:r>
            <w:r w:rsidR="004D3F78">
              <w:rPr>
                <w:rFonts w:cs="Arial"/>
              </w:rPr>
              <w:t>provide high quality</w:t>
            </w:r>
            <w:r w:rsidR="006F2654">
              <w:rPr>
                <w:rFonts w:cs="Arial"/>
              </w:rPr>
              <w:t xml:space="preserve"> careers guidance and attain a recognised quality mark in CEIAG.   </w:t>
            </w:r>
          </w:p>
          <w:p w14:paraId="50BED33C" w14:textId="77777777" w:rsidR="006F2654" w:rsidRDefault="006F2654" w:rsidP="00722CB4">
            <w:pPr>
              <w:rPr>
                <w:rFonts w:cs="Arial"/>
              </w:rPr>
            </w:pPr>
          </w:p>
          <w:p w14:paraId="50BED33D" w14:textId="77777777" w:rsidR="006F2654" w:rsidRDefault="006F2654" w:rsidP="006F2654">
            <w:pPr>
              <w:rPr>
                <w:rFonts w:cs="Arial"/>
              </w:rPr>
            </w:pPr>
            <w:r w:rsidRPr="00064984">
              <w:rPr>
                <w:rFonts w:cs="Arial"/>
              </w:rPr>
              <w:t>The LEP ESIF strategy highlights the issue of poor take up of Apprenticeships and desc</w:t>
            </w:r>
            <w:r>
              <w:rPr>
                <w:rFonts w:cs="Arial"/>
              </w:rPr>
              <w:t xml:space="preserve">ribes the need to support </w:t>
            </w:r>
            <w:r w:rsidRPr="00064984">
              <w:rPr>
                <w:rFonts w:cs="Arial"/>
              </w:rPr>
              <w:t xml:space="preserve">people to connect to appropriate Apprenticeship vacancies. </w:t>
            </w:r>
          </w:p>
          <w:p w14:paraId="5AC0D34D" w14:textId="77777777" w:rsidR="000D51DE" w:rsidRDefault="000D51DE" w:rsidP="004D3F78">
            <w:pPr>
              <w:rPr>
                <w:rFonts w:cs="Arial"/>
                <w:lang w:eastAsia="en-GB"/>
              </w:rPr>
            </w:pPr>
          </w:p>
          <w:p w14:paraId="32771C92" w14:textId="77777777" w:rsidR="005D131C" w:rsidRDefault="005D131C" w:rsidP="004D3F78">
            <w:pPr>
              <w:rPr>
                <w:rFonts w:cs="Arial"/>
                <w:lang w:eastAsia="en-GB"/>
              </w:rPr>
            </w:pPr>
          </w:p>
          <w:p w14:paraId="1E8FE096" w14:textId="77777777" w:rsidR="005D131C" w:rsidRDefault="005D131C" w:rsidP="004D3F78">
            <w:pPr>
              <w:rPr>
                <w:rFonts w:cs="Arial"/>
                <w:lang w:eastAsia="en-GB"/>
              </w:rPr>
            </w:pPr>
          </w:p>
          <w:p w14:paraId="50BED33E" w14:textId="77777777" w:rsidR="005D131C" w:rsidRPr="002833D9" w:rsidRDefault="005D131C" w:rsidP="004D3F78">
            <w:pPr>
              <w:rPr>
                <w:rFonts w:cs="Arial"/>
                <w:lang w:eastAsia="en-GB"/>
              </w:rPr>
            </w:pPr>
          </w:p>
        </w:tc>
      </w:tr>
      <w:tr w:rsidR="00967429" w14:paraId="50BED341" w14:textId="77777777" w:rsidTr="005D131C">
        <w:trPr>
          <w:trHeight w:val="567"/>
        </w:trPr>
        <w:tc>
          <w:tcPr>
            <w:tcW w:w="9088" w:type="dxa"/>
            <w:shd w:val="clear" w:color="auto" w:fill="D9D9D9" w:themeFill="background1" w:themeFillShade="D9"/>
            <w:vAlign w:val="center"/>
          </w:tcPr>
          <w:p w14:paraId="50BED340"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0BED361" w14:textId="77777777" w:rsidTr="000D51DE">
        <w:tc>
          <w:tcPr>
            <w:tcW w:w="9088" w:type="dxa"/>
          </w:tcPr>
          <w:p w14:paraId="50BED342" w14:textId="77777777" w:rsidR="002E25F4" w:rsidRDefault="002E25F4" w:rsidP="00A524B5">
            <w:pPr>
              <w:rPr>
                <w:rFonts w:cs="Arial"/>
                <w:i/>
              </w:rPr>
            </w:pPr>
          </w:p>
          <w:p w14:paraId="4A00440B" w14:textId="77777777" w:rsidR="001C3992" w:rsidRDefault="001C3992" w:rsidP="001C3992">
            <w:pPr>
              <w:spacing w:before="120"/>
              <w:ind w:left="357" w:hanging="357"/>
              <w:rPr>
                <w:rFonts w:cs="Arial"/>
                <w:lang w:eastAsia="en-GB"/>
              </w:rPr>
            </w:pPr>
            <w:r w:rsidRPr="009A6BFF">
              <w:rPr>
                <w:rFonts w:cs="Arial"/>
                <w:b/>
                <w:lang w:eastAsia="en-GB"/>
              </w:rPr>
              <w:lastRenderedPageBreak/>
              <w:t>At risk of becoming NEET</w:t>
            </w:r>
            <w:r w:rsidRPr="009A6BFF">
              <w:rPr>
                <w:rFonts w:cs="Arial"/>
                <w:lang w:eastAsia="en-GB"/>
              </w:rPr>
              <w:t xml:space="preserve">: Support for at risk young people aged 15 to prevent them becoming NEET. </w:t>
            </w:r>
          </w:p>
          <w:p w14:paraId="50BED344" w14:textId="77777777" w:rsidR="005C44C5" w:rsidRDefault="005C44C5" w:rsidP="000304B2">
            <w:pPr>
              <w:ind w:left="360" w:hanging="360"/>
              <w:rPr>
                <w:b/>
              </w:rPr>
            </w:pPr>
          </w:p>
          <w:p w14:paraId="50BED345"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0BED346" w14:textId="77777777" w:rsidR="000304B2" w:rsidRPr="005A1D76" w:rsidRDefault="000304B2" w:rsidP="000304B2">
            <w:pPr>
              <w:ind w:left="360" w:hanging="360"/>
              <w:rPr>
                <w:b/>
              </w:rPr>
            </w:pPr>
          </w:p>
          <w:p w14:paraId="50BED347"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50BED348" w14:textId="77777777" w:rsidR="000304B2" w:rsidRPr="005A1D76" w:rsidRDefault="000304B2" w:rsidP="000304B2">
            <w:pPr>
              <w:ind w:left="360" w:hanging="360"/>
              <w:rPr>
                <w:b/>
              </w:rPr>
            </w:pPr>
          </w:p>
          <w:p w14:paraId="50BED349"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50BED34A" w14:textId="77777777" w:rsidR="00AA0B4C" w:rsidRDefault="00AA0B4C" w:rsidP="00AA0B4C">
            <w:pPr>
              <w:autoSpaceDE w:val="0"/>
              <w:autoSpaceDN w:val="0"/>
              <w:adjustRightInd w:val="0"/>
              <w:ind w:left="360" w:hanging="360"/>
            </w:pPr>
          </w:p>
          <w:p w14:paraId="50BED34B"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50BED34C" w14:textId="77777777" w:rsidR="008E2A7B" w:rsidRDefault="008E2A7B" w:rsidP="000304B2">
            <w:pPr>
              <w:autoSpaceDE w:val="0"/>
              <w:autoSpaceDN w:val="0"/>
              <w:adjustRightInd w:val="0"/>
              <w:ind w:left="360" w:hanging="360"/>
              <w:rPr>
                <w:b/>
              </w:rPr>
            </w:pPr>
          </w:p>
          <w:p w14:paraId="50BED34D"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50BED34E" w14:textId="77777777" w:rsidR="003A723F" w:rsidRDefault="003A723F" w:rsidP="005A1D76">
            <w:pPr>
              <w:autoSpaceDE w:val="0"/>
              <w:autoSpaceDN w:val="0"/>
              <w:adjustRightInd w:val="0"/>
            </w:pPr>
          </w:p>
          <w:p w14:paraId="50BED34F" w14:textId="77777777" w:rsidR="005C5B32" w:rsidRDefault="005C5B32" w:rsidP="001C3992">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50BED350" w14:textId="77777777" w:rsidR="005C5B32" w:rsidRDefault="005C5B32" w:rsidP="005A1D76">
            <w:pPr>
              <w:autoSpaceDE w:val="0"/>
              <w:autoSpaceDN w:val="0"/>
              <w:adjustRightInd w:val="0"/>
            </w:pPr>
          </w:p>
          <w:p w14:paraId="50BED351"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50BED352" w14:textId="77777777" w:rsidR="005C5B32" w:rsidRPr="005A1D76" w:rsidRDefault="005C5B32" w:rsidP="005A1D76">
            <w:pPr>
              <w:autoSpaceDE w:val="0"/>
              <w:autoSpaceDN w:val="0"/>
              <w:adjustRightInd w:val="0"/>
            </w:pPr>
          </w:p>
          <w:p w14:paraId="50BED353"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0BED354" w14:textId="77777777" w:rsidR="000304B2" w:rsidRPr="005A1D76" w:rsidRDefault="000304B2" w:rsidP="000304B2">
            <w:pPr>
              <w:autoSpaceDE w:val="0"/>
              <w:autoSpaceDN w:val="0"/>
              <w:adjustRightInd w:val="0"/>
              <w:ind w:left="360" w:hanging="360"/>
            </w:pPr>
          </w:p>
          <w:p w14:paraId="50BED355"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50BED356" w14:textId="77777777" w:rsidR="000304B2" w:rsidRPr="005A1D76" w:rsidRDefault="000304B2" w:rsidP="00C107CE">
            <w:pPr>
              <w:autoSpaceDE w:val="0"/>
              <w:autoSpaceDN w:val="0"/>
              <w:adjustRightInd w:val="0"/>
              <w:ind w:left="360" w:hanging="360"/>
            </w:pPr>
          </w:p>
          <w:p w14:paraId="50BED357"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50BED358" w14:textId="77777777" w:rsidR="000304B2" w:rsidRPr="005A1D76" w:rsidRDefault="000304B2" w:rsidP="000304B2">
            <w:pPr>
              <w:autoSpaceDE w:val="0"/>
              <w:autoSpaceDN w:val="0"/>
              <w:adjustRightInd w:val="0"/>
              <w:ind w:left="360" w:hanging="360"/>
            </w:pPr>
          </w:p>
          <w:p w14:paraId="50BED359"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0BED35A" w14:textId="77777777" w:rsidR="000304B2" w:rsidRPr="005A1D76" w:rsidRDefault="000304B2" w:rsidP="000304B2">
            <w:pPr>
              <w:autoSpaceDE w:val="0"/>
              <w:autoSpaceDN w:val="0"/>
              <w:adjustRightInd w:val="0"/>
              <w:ind w:left="360" w:hanging="360"/>
            </w:pPr>
          </w:p>
          <w:p w14:paraId="50BED35B"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50BED35C" w14:textId="77777777" w:rsidR="000304B2" w:rsidRPr="006002A9" w:rsidRDefault="000304B2" w:rsidP="000304B2">
            <w:pPr>
              <w:autoSpaceDE w:val="0"/>
              <w:autoSpaceDN w:val="0"/>
              <w:adjustRightInd w:val="0"/>
              <w:ind w:left="360" w:hanging="360"/>
            </w:pPr>
          </w:p>
          <w:p w14:paraId="50BED35D"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50BED35E" w14:textId="77777777" w:rsidR="005A1D76" w:rsidRPr="006002A9" w:rsidRDefault="005A1D76" w:rsidP="000304B2">
            <w:pPr>
              <w:autoSpaceDE w:val="0"/>
              <w:autoSpaceDN w:val="0"/>
              <w:adjustRightInd w:val="0"/>
              <w:ind w:left="360" w:hanging="360"/>
            </w:pPr>
          </w:p>
          <w:p w14:paraId="50BED35F" w14:textId="77777777" w:rsidR="000304B2" w:rsidRPr="003E0C7F" w:rsidRDefault="005A1D76" w:rsidP="003E0C7F">
            <w:pPr>
              <w:autoSpaceDE w:val="0"/>
              <w:autoSpaceDN w:val="0"/>
              <w:adjustRightInd w:val="0"/>
              <w:ind w:left="360" w:hanging="360"/>
            </w:pPr>
            <w:r w:rsidRPr="006002A9">
              <w:rPr>
                <w:b/>
              </w:rPr>
              <w:lastRenderedPageBreak/>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0BED360" w14:textId="77777777" w:rsidR="00200BC6" w:rsidRPr="00590073" w:rsidRDefault="00200BC6" w:rsidP="005A1D76">
            <w:pPr>
              <w:autoSpaceDE w:val="0"/>
              <w:autoSpaceDN w:val="0"/>
              <w:adjustRightInd w:val="0"/>
              <w:ind w:left="360" w:hanging="360"/>
            </w:pPr>
          </w:p>
        </w:tc>
      </w:tr>
      <w:tr w:rsidR="00967429" w:rsidRPr="00544738" w14:paraId="50BED363" w14:textId="77777777" w:rsidTr="001C3992">
        <w:trPr>
          <w:trHeight w:val="567"/>
        </w:trPr>
        <w:tc>
          <w:tcPr>
            <w:tcW w:w="9088" w:type="dxa"/>
            <w:shd w:val="clear" w:color="auto" w:fill="D9D9D9" w:themeFill="background1" w:themeFillShade="D9"/>
            <w:vAlign w:val="center"/>
          </w:tcPr>
          <w:p w14:paraId="50BED362"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0BED3C0" w14:textId="77777777" w:rsidTr="000D51DE">
        <w:tc>
          <w:tcPr>
            <w:tcW w:w="9088" w:type="dxa"/>
          </w:tcPr>
          <w:p w14:paraId="50BED364" w14:textId="77777777" w:rsidR="000D51DE" w:rsidRDefault="000D51DE" w:rsidP="00A524B5">
            <w:pPr>
              <w:rPr>
                <w:rFonts w:cs="Arial"/>
                <w:b/>
              </w:rPr>
            </w:pPr>
          </w:p>
          <w:p w14:paraId="50BED365"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0BED366" w14:textId="77777777" w:rsidR="00EA180F" w:rsidRPr="001A4B05" w:rsidRDefault="00EA180F" w:rsidP="00A524B5">
            <w:pPr>
              <w:rPr>
                <w:rFonts w:cs="Arial"/>
                <w:b/>
              </w:rPr>
            </w:pPr>
          </w:p>
          <w:p w14:paraId="50BED367"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0BED368" w14:textId="77777777" w:rsidR="00ED156A" w:rsidRPr="00D535E6" w:rsidRDefault="00ED156A" w:rsidP="00A524B5">
            <w:pPr>
              <w:rPr>
                <w:rFonts w:cs="Arial"/>
              </w:rPr>
            </w:pPr>
          </w:p>
          <w:p w14:paraId="50BED369" w14:textId="77777777" w:rsidR="0031325C" w:rsidRPr="00D535E6" w:rsidRDefault="00ED156A" w:rsidP="00A524B5">
            <w:pPr>
              <w:rPr>
                <w:rFonts w:cs="Arial"/>
                <w:b/>
                <w:i/>
              </w:rPr>
            </w:pPr>
            <w:r w:rsidRPr="00D535E6">
              <w:rPr>
                <w:rFonts w:cs="Arial"/>
                <w:b/>
                <w:i/>
              </w:rPr>
              <w:t>Capacity and readiness to deliver</w:t>
            </w:r>
          </w:p>
          <w:p w14:paraId="50BED36A" w14:textId="77777777" w:rsidR="00ED156A" w:rsidRPr="00D535E6" w:rsidRDefault="00ED156A" w:rsidP="00ED156A">
            <w:pPr>
              <w:autoSpaceDE w:val="0"/>
              <w:autoSpaceDN w:val="0"/>
              <w:adjustRightInd w:val="0"/>
              <w:rPr>
                <w:rFonts w:cs="Arial"/>
              </w:rPr>
            </w:pPr>
            <w:r w:rsidRPr="00D535E6">
              <w:rPr>
                <w:rFonts w:cs="Arial"/>
              </w:rPr>
              <w:t>Candidates must have:</w:t>
            </w:r>
          </w:p>
          <w:p w14:paraId="50BED36B"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0BED36C"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0BED36D"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0BED36E" w14:textId="77777777" w:rsidR="00ED156A" w:rsidRPr="002F4192" w:rsidRDefault="00ED156A" w:rsidP="00515602">
            <w:pPr>
              <w:rPr>
                <w:rFonts w:cs="Arial"/>
                <w:lang w:eastAsia="en-GB"/>
              </w:rPr>
            </w:pPr>
          </w:p>
          <w:p w14:paraId="50BED36F" w14:textId="77777777" w:rsidR="00ED156A" w:rsidRPr="005A1D76" w:rsidRDefault="00ED156A" w:rsidP="00515602">
            <w:pPr>
              <w:rPr>
                <w:rFonts w:cs="Arial"/>
                <w:b/>
                <w:i/>
                <w:lang w:eastAsia="en-GB"/>
              </w:rPr>
            </w:pPr>
            <w:r w:rsidRPr="005A1D76">
              <w:rPr>
                <w:rFonts w:cs="Arial"/>
                <w:b/>
                <w:i/>
                <w:lang w:eastAsia="en-GB"/>
              </w:rPr>
              <w:t>Track record</w:t>
            </w:r>
          </w:p>
          <w:p w14:paraId="50BED370"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0BED371" w14:textId="77777777" w:rsidR="00E43DDB" w:rsidRPr="005A1D76" w:rsidRDefault="00E43DDB" w:rsidP="00515602">
            <w:pPr>
              <w:rPr>
                <w:rFonts w:cs="Arial"/>
                <w:szCs w:val="22"/>
              </w:rPr>
            </w:pPr>
          </w:p>
          <w:p w14:paraId="50BED372" w14:textId="77777777" w:rsidR="00E43DDB" w:rsidRPr="00E43DDB" w:rsidRDefault="00E43DDB" w:rsidP="00E43DDB">
            <w:pPr>
              <w:rPr>
                <w:rFonts w:cs="Arial"/>
                <w:b/>
                <w:i/>
                <w:lang w:eastAsia="en-GB"/>
              </w:rPr>
            </w:pPr>
            <w:r w:rsidRPr="00E43DDB">
              <w:rPr>
                <w:rFonts w:cs="Arial"/>
                <w:b/>
                <w:i/>
                <w:lang w:eastAsia="en-GB"/>
              </w:rPr>
              <w:t>Information, Advice and Guidance</w:t>
            </w:r>
          </w:p>
          <w:p w14:paraId="50BED373"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0BED374"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0BED375"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50BED376" w14:textId="77777777" w:rsidR="00E43DDB" w:rsidRPr="00E43DDB" w:rsidRDefault="00E43DDB" w:rsidP="00E43DDB">
            <w:pPr>
              <w:rPr>
                <w:rFonts w:cs="Arial"/>
                <w:lang w:eastAsia="en-GB"/>
              </w:rPr>
            </w:pPr>
          </w:p>
          <w:p w14:paraId="50BED377" w14:textId="77777777" w:rsidR="00ED156A" w:rsidRPr="005A1D76" w:rsidRDefault="002E25F4" w:rsidP="00A524B5">
            <w:pPr>
              <w:rPr>
                <w:rFonts w:cs="Arial"/>
              </w:rPr>
            </w:pPr>
            <w:r w:rsidRPr="005A1D76">
              <w:rPr>
                <w:rFonts w:cs="Arial"/>
                <w:b/>
                <w:i/>
              </w:rPr>
              <w:t>Management and quality assurance</w:t>
            </w:r>
          </w:p>
          <w:p w14:paraId="50BED378"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Services must </w:t>
            </w:r>
            <w:r w:rsidRPr="005A1D76">
              <w:rPr>
                <w:rFonts w:cs="Arial"/>
              </w:rPr>
              <w:lastRenderedPageBreak/>
              <w:t>be delivered to a high quality and successful tenderers will need to have in place quality assurance and improvement processes.</w:t>
            </w:r>
          </w:p>
          <w:p w14:paraId="50BED379" w14:textId="77777777" w:rsidR="00B06A9F" w:rsidRPr="005A1D76" w:rsidRDefault="00B06A9F" w:rsidP="00A524B5">
            <w:pPr>
              <w:rPr>
                <w:rFonts w:cs="Arial"/>
              </w:rPr>
            </w:pPr>
          </w:p>
          <w:p w14:paraId="50BED37A"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0BED37B" w14:textId="77777777" w:rsidR="001A4B05" w:rsidRPr="005A1D76" w:rsidRDefault="001A4B05" w:rsidP="00A524B5">
            <w:pPr>
              <w:rPr>
                <w:rFonts w:cs="Arial"/>
              </w:rPr>
            </w:pPr>
          </w:p>
          <w:p w14:paraId="50BED37C" w14:textId="77777777" w:rsidR="002E25F4" w:rsidRPr="005A1D76" w:rsidRDefault="002E25F4" w:rsidP="00A524B5">
            <w:pPr>
              <w:rPr>
                <w:rFonts w:cs="Arial"/>
              </w:rPr>
            </w:pPr>
            <w:r w:rsidRPr="005A1D76">
              <w:rPr>
                <w:rFonts w:cs="Arial"/>
                <w:b/>
                <w:i/>
              </w:rPr>
              <w:t>Partnership working</w:t>
            </w:r>
          </w:p>
          <w:p w14:paraId="50BED37D"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50BED37E" w14:textId="77777777" w:rsidR="002E25F4" w:rsidRPr="005A1D76" w:rsidRDefault="002E25F4" w:rsidP="00A524B5">
            <w:pPr>
              <w:rPr>
                <w:rFonts w:cs="Arial"/>
              </w:rPr>
            </w:pPr>
          </w:p>
          <w:p w14:paraId="50BED37F"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0BED380" w14:textId="77777777" w:rsidR="00ED156A" w:rsidRPr="006C64F5" w:rsidRDefault="00ED156A" w:rsidP="00A524B5">
            <w:pPr>
              <w:rPr>
                <w:rFonts w:cs="Arial"/>
                <w:highlight w:val="yellow"/>
              </w:rPr>
            </w:pPr>
          </w:p>
          <w:p w14:paraId="50BED381"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0BED382"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0BED383" w14:textId="77777777" w:rsidR="000E66D3" w:rsidRDefault="000E66D3" w:rsidP="00A524B5">
            <w:pPr>
              <w:rPr>
                <w:rFonts w:cs="Arial"/>
              </w:rPr>
            </w:pPr>
          </w:p>
          <w:p w14:paraId="50BED384" w14:textId="77777777" w:rsidR="002E25F4" w:rsidRPr="00BC7F87" w:rsidRDefault="002E25F4" w:rsidP="00A524B5">
            <w:pPr>
              <w:rPr>
                <w:rFonts w:cs="Arial"/>
              </w:rPr>
            </w:pPr>
            <w:r w:rsidRPr="00BC7F87">
              <w:rPr>
                <w:rFonts w:cs="Arial"/>
                <w:b/>
                <w:i/>
              </w:rPr>
              <w:t>Market intelligence and local knowledge</w:t>
            </w:r>
          </w:p>
          <w:p w14:paraId="50BED385"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0BED386" w14:textId="77777777" w:rsidR="00812EC6" w:rsidRPr="00BC7F87" w:rsidRDefault="00812EC6" w:rsidP="00A524B5">
            <w:pPr>
              <w:rPr>
                <w:rFonts w:cs="Arial"/>
              </w:rPr>
            </w:pPr>
          </w:p>
          <w:p w14:paraId="50BED387"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0BED388"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0BED389" w14:textId="77777777" w:rsidR="002E25F4" w:rsidRPr="00BC7F87" w:rsidRDefault="002E25F4" w:rsidP="00A524B5">
            <w:pPr>
              <w:rPr>
                <w:rFonts w:cs="Arial"/>
              </w:rPr>
            </w:pPr>
          </w:p>
          <w:p w14:paraId="50BED38A"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50BED38B" w14:textId="77777777" w:rsidR="00C0243B" w:rsidRDefault="00C0243B" w:rsidP="009E7A30">
            <w:pPr>
              <w:rPr>
                <w:rFonts w:cs="Arial"/>
              </w:rPr>
            </w:pPr>
          </w:p>
          <w:p w14:paraId="50BED38C" w14:textId="77777777" w:rsidR="00B85F61" w:rsidRPr="00466FA7" w:rsidRDefault="00EA180F" w:rsidP="009E7A30">
            <w:pPr>
              <w:rPr>
                <w:rFonts w:cs="Arial"/>
                <w:b/>
                <w:i/>
              </w:rPr>
            </w:pPr>
            <w:r>
              <w:rPr>
                <w:rFonts w:cs="Arial"/>
                <w:b/>
              </w:rPr>
              <w:t>Specific Service Requirements</w:t>
            </w:r>
          </w:p>
          <w:p w14:paraId="50BED38D" w14:textId="77777777" w:rsidR="00F65D61" w:rsidRPr="006002A9" w:rsidRDefault="00F65D61" w:rsidP="00F65D61">
            <w:pPr>
              <w:rPr>
                <w:rFonts w:cs="Arial"/>
                <w:highlight w:val="green"/>
              </w:rPr>
            </w:pPr>
          </w:p>
          <w:p w14:paraId="50BED38E" w14:textId="77777777" w:rsidR="00F65D61" w:rsidRPr="00143BCC" w:rsidRDefault="00F65D61" w:rsidP="00F65D61">
            <w:pPr>
              <w:rPr>
                <w:rFonts w:cs="Arial"/>
                <w:b/>
              </w:rPr>
            </w:pPr>
            <w:r w:rsidRPr="00143BCC">
              <w:rPr>
                <w:rFonts w:cs="Arial"/>
                <w:b/>
              </w:rPr>
              <w:lastRenderedPageBreak/>
              <w:t>CAREERS EDUCATION INFORMATION ADVICE AND GUIDANCE</w:t>
            </w:r>
            <w:r w:rsidR="007118CF" w:rsidRPr="00143BCC">
              <w:rPr>
                <w:rFonts w:cs="Arial"/>
                <w:b/>
              </w:rPr>
              <w:t xml:space="preserve"> (IAG)</w:t>
            </w:r>
            <w:r w:rsidR="00723DA8">
              <w:rPr>
                <w:rFonts w:cs="Arial"/>
                <w:b/>
              </w:rPr>
              <w:t xml:space="preserve"> </w:t>
            </w:r>
            <w:r w:rsidR="00C1183A" w:rsidRPr="00143BCC">
              <w:rPr>
                <w:rFonts w:cs="Arial"/>
                <w:b/>
              </w:rPr>
              <w:t>(I</w:t>
            </w:r>
            <w:r w:rsidR="009F6502">
              <w:rPr>
                <w:rFonts w:cs="Arial"/>
                <w:b/>
              </w:rPr>
              <w:t xml:space="preserve">nvestment </w:t>
            </w:r>
            <w:r w:rsidR="00C1183A" w:rsidRPr="00143BCC">
              <w:rPr>
                <w:rFonts w:cs="Arial"/>
                <w:b/>
              </w:rPr>
              <w:t>P</w:t>
            </w:r>
            <w:r w:rsidR="009F6502">
              <w:rPr>
                <w:rFonts w:cs="Arial"/>
                <w:b/>
              </w:rPr>
              <w:t>riority</w:t>
            </w:r>
            <w:r w:rsidR="00C1183A" w:rsidRPr="00143BCC">
              <w:rPr>
                <w:rFonts w:cs="Arial"/>
                <w:b/>
              </w:rPr>
              <w:t>:</w:t>
            </w:r>
            <w:r w:rsidR="009F6502">
              <w:rPr>
                <w:rFonts w:cs="Arial"/>
                <w:b/>
              </w:rPr>
              <w:t xml:space="preserve"> </w:t>
            </w:r>
            <w:r w:rsidR="00C1183A" w:rsidRPr="00143BCC">
              <w:rPr>
                <w:rFonts w:cs="Arial"/>
                <w:b/>
              </w:rPr>
              <w:t>1.</w:t>
            </w:r>
            <w:r w:rsidR="00723DA8">
              <w:rPr>
                <w:rFonts w:cs="Arial"/>
                <w:b/>
              </w:rPr>
              <w:t>2</w:t>
            </w:r>
            <w:r w:rsidR="00C1183A" w:rsidRPr="00143BCC">
              <w:rPr>
                <w:rFonts w:cs="Arial"/>
                <w:b/>
              </w:rPr>
              <w:t>)</w:t>
            </w:r>
          </w:p>
          <w:p w14:paraId="50BED38F" w14:textId="77777777" w:rsidR="00F65D61" w:rsidRPr="00143BCC" w:rsidRDefault="00F65D61" w:rsidP="00F65D61">
            <w:pPr>
              <w:rPr>
                <w:rFonts w:cs="Arial"/>
                <w:b/>
              </w:rPr>
            </w:pPr>
          </w:p>
          <w:p w14:paraId="50BED390" w14:textId="77777777" w:rsidR="00F65D61" w:rsidRPr="00143BCC" w:rsidRDefault="00F65D61" w:rsidP="00F65D61">
            <w:pPr>
              <w:rPr>
                <w:rFonts w:cs="Arial"/>
              </w:rPr>
            </w:pPr>
            <w:r w:rsidRPr="00143BCC">
              <w:rPr>
                <w:rFonts w:cs="Arial"/>
              </w:rPr>
              <w:t xml:space="preserve">The Services </w:t>
            </w:r>
            <w:r w:rsidR="007118CF" w:rsidRPr="00143BCC">
              <w:rPr>
                <w:rFonts w:cs="Arial"/>
              </w:rPr>
              <w:t xml:space="preserve">must not duplicate the service delivered under the </w:t>
            </w:r>
            <w:r w:rsidRPr="00143BCC">
              <w:rPr>
                <w:rFonts w:cs="Arial"/>
              </w:rPr>
              <w:t>National Careers Service contract</w:t>
            </w:r>
            <w:r w:rsidR="007118CF" w:rsidRPr="00143BCC">
              <w:rPr>
                <w:rFonts w:cs="Arial"/>
              </w:rPr>
              <w:t xml:space="preserve"> but must add value to those services</w:t>
            </w:r>
            <w:r w:rsidRPr="00143BCC">
              <w:rPr>
                <w:rFonts w:cs="Arial"/>
              </w:rPr>
              <w:t xml:space="preserve">.  </w:t>
            </w:r>
          </w:p>
          <w:p w14:paraId="50BED391" w14:textId="77777777" w:rsidR="00F65D61" w:rsidRPr="00143BCC" w:rsidRDefault="00F65D61" w:rsidP="00F65D61">
            <w:pPr>
              <w:rPr>
                <w:rFonts w:cs="Arial"/>
              </w:rPr>
            </w:pPr>
          </w:p>
          <w:p w14:paraId="50BED392" w14:textId="77777777" w:rsidR="00F65D61" w:rsidRPr="00143BCC" w:rsidRDefault="00F65D61" w:rsidP="00F65D61">
            <w:pPr>
              <w:rPr>
                <w:rFonts w:cs="Arial"/>
              </w:rPr>
            </w:pPr>
            <w:r w:rsidRPr="00143BCC">
              <w:rPr>
                <w:rFonts w:cs="Arial"/>
              </w:rPr>
              <w:t xml:space="preserve">The Services </w:t>
            </w:r>
            <w:r w:rsidR="007118CF" w:rsidRPr="00143BCC">
              <w:rPr>
                <w:rFonts w:cs="Arial"/>
              </w:rPr>
              <w:t xml:space="preserve">must provide </w:t>
            </w:r>
            <w:r w:rsidRPr="00143BCC">
              <w:rPr>
                <w:rFonts w:cs="Arial"/>
              </w:rPr>
              <w:t xml:space="preserve">continuing development and further dissemination of high quality information, advice and guidance regarding career pathways.  </w:t>
            </w:r>
            <w:r w:rsidR="007118CF" w:rsidRPr="00143BCC">
              <w:rPr>
                <w:rFonts w:cs="Arial"/>
              </w:rPr>
              <w:t>The Services must</w:t>
            </w:r>
            <w:r w:rsidRPr="00143BCC">
              <w:rPr>
                <w:rFonts w:cs="Arial"/>
              </w:rPr>
              <w:t xml:space="preserve">, provide high quality advice regarding career pathways in the LEP’s economic growth sectors.  </w:t>
            </w:r>
            <w:r w:rsidR="007118CF" w:rsidRPr="00143BCC">
              <w:rPr>
                <w:rFonts w:cs="Arial"/>
              </w:rPr>
              <w:t>The Services must be provided flexibly i</w:t>
            </w:r>
            <w:r w:rsidRPr="00143BCC">
              <w:rPr>
                <w:rFonts w:cs="Arial"/>
              </w:rPr>
              <w:t>n order to respond to</w:t>
            </w:r>
            <w:r w:rsidR="007118CF" w:rsidRPr="00143BCC">
              <w:rPr>
                <w:rFonts w:cs="Arial"/>
              </w:rPr>
              <w:t xml:space="preserve"> participant</w:t>
            </w:r>
            <w:r w:rsidRPr="00143BCC">
              <w:rPr>
                <w:rFonts w:cs="Arial"/>
              </w:rPr>
              <w:t>s’ personal ambitions and the changing needs of the local economy</w:t>
            </w:r>
            <w:r w:rsidR="00655180" w:rsidRPr="00143BCC">
              <w:rPr>
                <w:rFonts w:cs="Arial"/>
              </w:rPr>
              <w:t>.</w:t>
            </w:r>
            <w:r w:rsidRPr="00143BCC">
              <w:rPr>
                <w:rFonts w:cs="Arial"/>
              </w:rPr>
              <w:t xml:space="preserve"> </w:t>
            </w:r>
            <w:r w:rsidR="007118CF" w:rsidRPr="00143BCC">
              <w:rPr>
                <w:rFonts w:cs="Arial"/>
              </w:rPr>
              <w:t xml:space="preserve">The Services must be made available to </w:t>
            </w:r>
            <w:r w:rsidRPr="00143BCC">
              <w:rPr>
                <w:rFonts w:cs="Arial"/>
              </w:rPr>
              <w:t>individuals, groups and areas which are disadvantaged</w:t>
            </w:r>
            <w:r w:rsidR="007118CF" w:rsidRPr="00143BCC">
              <w:rPr>
                <w:rFonts w:cs="Arial"/>
              </w:rPr>
              <w:t xml:space="preserve">. </w:t>
            </w:r>
          </w:p>
          <w:p w14:paraId="50BED393" w14:textId="77777777" w:rsidR="00F65D61" w:rsidRPr="00143BCC" w:rsidRDefault="00F65D61" w:rsidP="00F65D61">
            <w:pPr>
              <w:rPr>
                <w:rFonts w:cs="Arial"/>
              </w:rPr>
            </w:pPr>
          </w:p>
          <w:p w14:paraId="50BED394" w14:textId="77777777" w:rsidR="00784172" w:rsidRPr="00143BCC" w:rsidRDefault="00F65D61" w:rsidP="00A503FD">
            <w:pPr>
              <w:autoSpaceDE w:val="0"/>
              <w:autoSpaceDN w:val="0"/>
              <w:adjustRightInd w:val="0"/>
              <w:rPr>
                <w:rFonts w:cs="Arial"/>
              </w:rPr>
            </w:pPr>
            <w:r w:rsidRPr="00143BCC">
              <w:rPr>
                <w:rFonts w:cs="Arial"/>
              </w:rPr>
              <w:t xml:space="preserve">The </w:t>
            </w:r>
            <w:r w:rsidR="007118CF" w:rsidRPr="00143BCC">
              <w:rPr>
                <w:rFonts w:cs="Arial"/>
              </w:rPr>
              <w:t>S</w:t>
            </w:r>
            <w:r w:rsidRPr="00143BCC">
              <w:rPr>
                <w:rFonts w:cs="Arial"/>
              </w:rPr>
              <w:t>ervice</w:t>
            </w:r>
            <w:r w:rsidR="007118CF" w:rsidRPr="00143BCC">
              <w:rPr>
                <w:rFonts w:cs="Arial"/>
              </w:rPr>
              <w:t>s</w:t>
            </w:r>
            <w:r w:rsidRPr="00143BCC">
              <w:rPr>
                <w:rFonts w:cs="Arial"/>
              </w:rPr>
              <w:t xml:space="preserve"> </w:t>
            </w:r>
            <w:r w:rsidR="007118CF" w:rsidRPr="00143BCC">
              <w:rPr>
                <w:rFonts w:cs="Arial"/>
              </w:rPr>
              <w:t xml:space="preserve">must </w:t>
            </w:r>
            <w:r w:rsidRPr="00143BCC">
              <w:rPr>
                <w:rFonts w:cs="Arial"/>
              </w:rPr>
              <w:t xml:space="preserve">be innovative in providing enhanced IAG to individuals who wish to progress but at present, lack the ability to understand any clear progression routes either within their current industry or a different one.  The </w:t>
            </w:r>
            <w:r w:rsidR="007118CF" w:rsidRPr="00143BCC">
              <w:rPr>
                <w:rFonts w:cs="Arial"/>
              </w:rPr>
              <w:t xml:space="preserve">Services must </w:t>
            </w:r>
            <w:r w:rsidRPr="00143BCC">
              <w:rPr>
                <w:rFonts w:cs="Arial"/>
              </w:rPr>
              <w:t xml:space="preserve"> also support activities which inspire</w:t>
            </w:r>
            <w:r w:rsidR="007118CF" w:rsidRPr="00143BCC">
              <w:rPr>
                <w:rFonts w:cs="Arial"/>
              </w:rPr>
              <w:t xml:space="preserve"> participants </w:t>
            </w:r>
            <w:r w:rsidRPr="00143BCC">
              <w:rPr>
                <w:rFonts w:cs="Arial"/>
              </w:rPr>
              <w:t xml:space="preserve">into making better informed career choices at key transition points in their lives including by getting employers to work more closely with schools and colleges, preparing and inspiring the workforce of the future. </w:t>
            </w:r>
          </w:p>
          <w:p w14:paraId="50BED395" w14:textId="77777777" w:rsidR="00784172" w:rsidRPr="00143BCC" w:rsidRDefault="00784172" w:rsidP="00F65D61">
            <w:pPr>
              <w:rPr>
                <w:rFonts w:cs="Arial"/>
              </w:rPr>
            </w:pPr>
          </w:p>
          <w:p w14:paraId="50BED396" w14:textId="77777777" w:rsidR="00F65D61" w:rsidRPr="00143BCC" w:rsidRDefault="00784172" w:rsidP="00F65D61">
            <w:pPr>
              <w:rPr>
                <w:rFonts w:cs="Arial"/>
                <w:color w:val="000000"/>
              </w:rPr>
            </w:pPr>
            <w:r w:rsidRPr="00143BCC">
              <w:rPr>
                <w:rFonts w:cs="Arial"/>
              </w:rPr>
              <w:t>The Service</w:t>
            </w:r>
            <w:r w:rsidR="007118CF" w:rsidRPr="00143BCC">
              <w:rPr>
                <w:rFonts w:cs="Arial"/>
              </w:rPr>
              <w:t>s</w:t>
            </w:r>
            <w:r w:rsidR="00F65D61" w:rsidRPr="00143BCC">
              <w:rPr>
                <w:rFonts w:cs="Arial"/>
              </w:rPr>
              <w:t xml:space="preserve"> </w:t>
            </w:r>
            <w:r w:rsidR="007118CF" w:rsidRPr="00143BCC">
              <w:rPr>
                <w:rFonts w:cs="Arial"/>
              </w:rPr>
              <w:t xml:space="preserve">must </w:t>
            </w:r>
            <w:r w:rsidR="00F65D61" w:rsidRPr="00143BCC">
              <w:rPr>
                <w:rFonts w:cs="Arial"/>
              </w:rPr>
              <w:t xml:space="preserve">develop toolkits to support </w:t>
            </w:r>
            <w:r w:rsidR="00F65D61" w:rsidRPr="00143BCC">
              <w:rPr>
                <w:rFonts w:cs="Arial"/>
                <w:color w:val="000000"/>
              </w:rPr>
              <w:t>promotion and engagement of STEM opportunities</w:t>
            </w:r>
            <w:r w:rsidR="009B7CFA">
              <w:rPr>
                <w:rFonts w:cs="Arial"/>
                <w:color w:val="000000"/>
              </w:rPr>
              <w:t>.</w:t>
            </w:r>
          </w:p>
          <w:p w14:paraId="50BED397" w14:textId="77777777" w:rsidR="00F65D61" w:rsidRPr="00143BCC" w:rsidRDefault="00F65D61" w:rsidP="00A503FD">
            <w:pPr>
              <w:rPr>
                <w:rFonts w:cs="Arial"/>
                <w:color w:val="000000"/>
              </w:rPr>
            </w:pPr>
          </w:p>
          <w:p w14:paraId="50BED398" w14:textId="77777777" w:rsidR="00F65D61" w:rsidRPr="00143BCC" w:rsidRDefault="00F65D61" w:rsidP="00F65D61">
            <w:pPr>
              <w:rPr>
                <w:rFonts w:cs="Arial"/>
              </w:rPr>
            </w:pPr>
            <w:r w:rsidRPr="00143BCC">
              <w:rPr>
                <w:rFonts w:cs="Arial"/>
              </w:rPr>
              <w:t>The Services</w:t>
            </w:r>
            <w:r w:rsidR="00267691" w:rsidRPr="00143BCC">
              <w:rPr>
                <w:rFonts w:cs="Arial"/>
              </w:rPr>
              <w:t xml:space="preserve"> must </w:t>
            </w:r>
            <w:r w:rsidRPr="00143BCC">
              <w:rPr>
                <w:rFonts w:cs="Arial"/>
              </w:rPr>
              <w:t>provide up to date labour market intelligence, presented in a user-friendly way.  The Services will create, maintain and share a database of local provision.  Inspirational activities including promoting the Skills Show and facilitating local careers events</w:t>
            </w:r>
            <w:r w:rsidR="00267691" w:rsidRPr="00143BCC">
              <w:rPr>
                <w:rFonts w:cs="Arial"/>
              </w:rPr>
              <w:t xml:space="preserve"> must </w:t>
            </w:r>
            <w:r w:rsidRPr="00143BCC">
              <w:rPr>
                <w:rFonts w:cs="Arial"/>
              </w:rPr>
              <w:t>be delivered by the Services.</w:t>
            </w:r>
          </w:p>
          <w:p w14:paraId="50BED399" w14:textId="77777777" w:rsidR="00F65D61" w:rsidRPr="00143BCC" w:rsidRDefault="00F65D61" w:rsidP="00F65D61">
            <w:pPr>
              <w:rPr>
                <w:rFonts w:cs="Arial"/>
              </w:rPr>
            </w:pPr>
          </w:p>
          <w:p w14:paraId="50BED39A" w14:textId="77777777" w:rsidR="00F65D61" w:rsidRPr="00143BCC" w:rsidRDefault="00F65D61" w:rsidP="00F65D61">
            <w:pPr>
              <w:rPr>
                <w:rFonts w:cs="Arial"/>
              </w:rPr>
            </w:pPr>
            <w:r w:rsidRPr="00143BCC">
              <w:rPr>
                <w:rFonts w:cs="Arial"/>
              </w:rPr>
              <w:t xml:space="preserve">The Services </w:t>
            </w:r>
            <w:r w:rsidR="00267691" w:rsidRPr="00143BCC">
              <w:rPr>
                <w:rFonts w:cs="Arial"/>
              </w:rPr>
              <w:t xml:space="preserve">must </w:t>
            </w:r>
            <w:r w:rsidRPr="00143BCC">
              <w:rPr>
                <w:rFonts w:cs="Arial"/>
              </w:rPr>
              <w:t>undertake activities to improve the perception of sectors that are experiencing recruitment difficulties and skills shortages.</w:t>
            </w:r>
          </w:p>
          <w:p w14:paraId="50BED39B" w14:textId="77777777" w:rsidR="00F65D61" w:rsidRPr="00143BCC" w:rsidRDefault="00F65D61" w:rsidP="00F65D61">
            <w:pPr>
              <w:rPr>
                <w:rFonts w:cs="Arial"/>
              </w:rPr>
            </w:pPr>
          </w:p>
          <w:p w14:paraId="50BED39C" w14:textId="77777777" w:rsidR="00F65D61" w:rsidRPr="00143BCC" w:rsidRDefault="00F65D61" w:rsidP="00F65D61">
            <w:pPr>
              <w:rPr>
                <w:rFonts w:cs="Arial"/>
              </w:rPr>
            </w:pPr>
            <w:r w:rsidRPr="00143BCC">
              <w:rPr>
                <w:rFonts w:cs="Arial"/>
              </w:rPr>
              <w:t>The Services</w:t>
            </w:r>
            <w:r w:rsidR="00267691" w:rsidRPr="00143BCC">
              <w:rPr>
                <w:rFonts w:cs="Arial"/>
              </w:rPr>
              <w:t xml:space="preserve"> must </w:t>
            </w:r>
            <w:r w:rsidRPr="00143BCC">
              <w:rPr>
                <w:rFonts w:cs="Arial"/>
              </w:rPr>
              <w:t xml:space="preserve">develop </w:t>
            </w:r>
            <w:r w:rsidR="004D7B45">
              <w:rPr>
                <w:rFonts w:cs="Arial"/>
              </w:rPr>
              <w:t>a</w:t>
            </w:r>
            <w:r w:rsidRPr="00143BCC">
              <w:rPr>
                <w:rFonts w:cs="Arial"/>
              </w:rPr>
              <w:t xml:space="preserve"> skills evidence base that will enhance the tools available to careers guidance professionals and </w:t>
            </w:r>
            <w:r w:rsidR="00C1183A" w:rsidRPr="00143BCC">
              <w:rPr>
                <w:rFonts w:cs="Arial"/>
              </w:rPr>
              <w:t>participants</w:t>
            </w:r>
            <w:r w:rsidRPr="00143BCC">
              <w:rPr>
                <w:rFonts w:cs="Arial"/>
              </w:rPr>
              <w:t xml:space="preserve"> across the region, meaning that beneficiaries are able to make better-informed decisions about their future and thus </w:t>
            </w:r>
            <w:r w:rsidR="009B1CF3" w:rsidRPr="00143BCC">
              <w:rPr>
                <w:rFonts w:cs="Arial"/>
              </w:rPr>
              <w:t>increase the probability that they will sustain employment</w:t>
            </w:r>
            <w:r w:rsidRPr="00143BCC">
              <w:rPr>
                <w:rFonts w:cs="Arial"/>
              </w:rPr>
              <w:t xml:space="preserve">.  </w:t>
            </w:r>
          </w:p>
          <w:p w14:paraId="50BED39D" w14:textId="77777777" w:rsidR="00F65D61" w:rsidRPr="00143BCC" w:rsidRDefault="00F65D61" w:rsidP="00A503FD">
            <w:pPr>
              <w:rPr>
                <w:rFonts w:cs="Arial"/>
              </w:rPr>
            </w:pPr>
          </w:p>
          <w:p w14:paraId="50BED39E" w14:textId="77777777" w:rsidR="006640FB" w:rsidRPr="00143BCC" w:rsidRDefault="00F65D61" w:rsidP="006640FB">
            <w:pPr>
              <w:rPr>
                <w:rFonts w:cs="Arial"/>
              </w:rPr>
            </w:pPr>
            <w:r w:rsidRPr="00143BCC">
              <w:rPr>
                <w:rFonts w:cs="Arial"/>
              </w:rPr>
              <w:t xml:space="preserve">The Services </w:t>
            </w:r>
            <w:r w:rsidR="00267691" w:rsidRPr="00143BCC">
              <w:rPr>
                <w:rFonts w:cs="Arial"/>
              </w:rPr>
              <w:t xml:space="preserve">must </w:t>
            </w:r>
            <w:r w:rsidRPr="00143BCC">
              <w:rPr>
                <w:rFonts w:cs="Arial"/>
              </w:rPr>
              <w:t xml:space="preserve">provide </w:t>
            </w:r>
            <w:r w:rsidR="009B1CF3" w:rsidRPr="00143BCC">
              <w:rPr>
                <w:rFonts w:cs="Arial"/>
              </w:rPr>
              <w:t>stakeholder</w:t>
            </w:r>
            <w:r w:rsidRPr="00143BCC">
              <w:rPr>
                <w:rFonts w:cs="Arial"/>
              </w:rPr>
              <w:t xml:space="preserve"> programmes and Tutor CPD that will drive greater links between </w:t>
            </w:r>
            <w:r w:rsidR="009B1CF3" w:rsidRPr="00143BCC">
              <w:rPr>
                <w:rFonts w:cs="Arial"/>
              </w:rPr>
              <w:t>education</w:t>
            </w:r>
            <w:r w:rsidRPr="00143BCC">
              <w:rPr>
                <w:rFonts w:cs="Arial"/>
              </w:rPr>
              <w:t xml:space="preserve"> and employers, and expose </w:t>
            </w:r>
            <w:r w:rsidR="00C1183A" w:rsidRPr="00143BCC">
              <w:rPr>
                <w:rFonts w:cs="Arial"/>
              </w:rPr>
              <w:t>participants</w:t>
            </w:r>
            <w:r w:rsidRPr="00143BCC">
              <w:rPr>
                <w:rFonts w:cs="Arial"/>
              </w:rPr>
              <w:t xml:space="preserve"> and educators to careers in key growth sectors with an aim to increase the number of </w:t>
            </w:r>
            <w:r w:rsidR="009B1CF3" w:rsidRPr="00143BCC">
              <w:rPr>
                <w:rFonts w:cs="Arial"/>
              </w:rPr>
              <w:t>participants</w:t>
            </w:r>
            <w:r w:rsidRPr="00143BCC">
              <w:rPr>
                <w:rFonts w:cs="Arial"/>
              </w:rPr>
              <w:t xml:space="preserve"> taking up further education and employment in those sectors.</w:t>
            </w:r>
            <w:r w:rsidR="006640FB" w:rsidRPr="00143BCC">
              <w:rPr>
                <w:rFonts w:cs="Arial"/>
              </w:rPr>
              <w:t xml:space="preserve"> These costs will be integrated into the unit cost per individual.</w:t>
            </w:r>
          </w:p>
          <w:p w14:paraId="50BED39F" w14:textId="77777777" w:rsidR="00F65D61" w:rsidRPr="00143BCC" w:rsidRDefault="00F65D61" w:rsidP="00F65D61">
            <w:pPr>
              <w:rPr>
                <w:rFonts w:cs="Arial"/>
              </w:rPr>
            </w:pPr>
          </w:p>
          <w:p w14:paraId="50BED3A0" w14:textId="77777777" w:rsidR="00F65D61" w:rsidRPr="00143BCC" w:rsidRDefault="00F65D61" w:rsidP="001C3992">
            <w:pPr>
              <w:rPr>
                <w:rFonts w:cs="Arial"/>
              </w:rPr>
            </w:pPr>
            <w:r w:rsidRPr="00143BCC">
              <w:rPr>
                <w:rFonts w:cs="Arial"/>
              </w:rPr>
              <w:t>The Services</w:t>
            </w:r>
            <w:r w:rsidR="00267691" w:rsidRPr="00143BCC">
              <w:rPr>
                <w:rFonts w:cs="Arial"/>
              </w:rPr>
              <w:t xml:space="preserve"> must </w:t>
            </w:r>
            <w:r w:rsidRPr="00143BCC">
              <w:rPr>
                <w:rFonts w:cs="Arial"/>
              </w:rPr>
              <w:t xml:space="preserve">support enhanced careers provision and better links with employers, building upon the work already undertaken by the National Careers Service.  The Services </w:t>
            </w:r>
            <w:r w:rsidR="00267691" w:rsidRPr="00143BCC">
              <w:rPr>
                <w:rFonts w:cs="Arial"/>
              </w:rPr>
              <w:t xml:space="preserve">must </w:t>
            </w:r>
            <w:r w:rsidRPr="00143BCC">
              <w:rPr>
                <w:rFonts w:cs="Arial"/>
              </w:rPr>
              <w:t xml:space="preserve">provide an </w:t>
            </w:r>
            <w:r w:rsidR="00267691" w:rsidRPr="00143BCC">
              <w:rPr>
                <w:rFonts w:cs="Arial"/>
              </w:rPr>
              <w:t>e</w:t>
            </w:r>
            <w:r w:rsidRPr="00143BCC">
              <w:rPr>
                <w:rFonts w:cs="Arial"/>
              </w:rPr>
              <w:t xml:space="preserve">nhanced </w:t>
            </w:r>
            <w:r w:rsidR="00267691" w:rsidRPr="00143BCC">
              <w:rPr>
                <w:rFonts w:cs="Arial"/>
              </w:rPr>
              <w:t>c</w:t>
            </w:r>
            <w:r w:rsidRPr="00143BCC">
              <w:rPr>
                <w:rFonts w:cs="Arial"/>
              </w:rPr>
              <w:t xml:space="preserve">areers </w:t>
            </w:r>
            <w:r w:rsidR="00267691" w:rsidRPr="00143BCC">
              <w:rPr>
                <w:rFonts w:cs="Arial"/>
              </w:rPr>
              <w:t>s</w:t>
            </w:r>
            <w:r w:rsidRPr="00143BCC">
              <w:rPr>
                <w:rFonts w:cs="Arial"/>
              </w:rPr>
              <w:t xml:space="preserve">ervice to particular target groups and provide an </w:t>
            </w:r>
            <w:r w:rsidR="00267691" w:rsidRPr="00143BCC">
              <w:rPr>
                <w:rFonts w:cs="Arial"/>
              </w:rPr>
              <w:t>e</w:t>
            </w:r>
            <w:r w:rsidRPr="00143BCC">
              <w:rPr>
                <w:rFonts w:cs="Arial"/>
              </w:rPr>
              <w:t xml:space="preserve">nhanced Inspiration Agenda.  </w:t>
            </w:r>
          </w:p>
          <w:p w14:paraId="50BED3A1" w14:textId="77777777" w:rsidR="00F65D61" w:rsidRPr="00143BCC" w:rsidRDefault="00F65D61" w:rsidP="00F65D61">
            <w:pPr>
              <w:pStyle w:val="ListParagraph"/>
              <w:ind w:left="61"/>
              <w:rPr>
                <w:rFonts w:cs="Arial"/>
              </w:rPr>
            </w:pPr>
          </w:p>
          <w:p w14:paraId="50BED3A2" w14:textId="77777777" w:rsidR="00F65D61" w:rsidRPr="00143BCC" w:rsidRDefault="00F65D61" w:rsidP="001C3992">
            <w:pPr>
              <w:rPr>
                <w:rFonts w:cs="Arial"/>
              </w:rPr>
            </w:pPr>
            <w:r w:rsidRPr="00143BCC">
              <w:rPr>
                <w:rFonts w:cs="Arial"/>
              </w:rPr>
              <w:lastRenderedPageBreak/>
              <w:t xml:space="preserve">The </w:t>
            </w:r>
            <w:r w:rsidR="00375F41" w:rsidRPr="00143BCC">
              <w:rPr>
                <w:rFonts w:cs="Arial"/>
              </w:rPr>
              <w:t>S</w:t>
            </w:r>
            <w:r w:rsidRPr="00143BCC">
              <w:rPr>
                <w:rFonts w:cs="Arial"/>
              </w:rPr>
              <w:t>ervice</w:t>
            </w:r>
            <w:r w:rsidR="00375F41" w:rsidRPr="00143BCC">
              <w:rPr>
                <w:rFonts w:cs="Arial"/>
              </w:rPr>
              <w:t>s</w:t>
            </w:r>
            <w:r w:rsidRPr="00143BCC">
              <w:rPr>
                <w:rFonts w:cs="Arial"/>
              </w:rPr>
              <w:t xml:space="preserve"> </w:t>
            </w:r>
            <w:r w:rsidR="00155553" w:rsidRPr="00143BCC">
              <w:rPr>
                <w:rFonts w:cs="Arial"/>
              </w:rPr>
              <w:t>must focus</w:t>
            </w:r>
            <w:r w:rsidRPr="00143BCC">
              <w:rPr>
                <w:rFonts w:cs="Arial"/>
              </w:rPr>
              <w:t xml:space="preserve"> on key career intermediaries such as; Youth Services, Children’s centres, Community Learning, employers and voluntary sector, to provide Labour market information, develop practitioners, broker involvement of businesses.</w:t>
            </w:r>
          </w:p>
          <w:p w14:paraId="50BED3A3" w14:textId="77777777" w:rsidR="00F65D61" w:rsidRPr="00143BCC" w:rsidRDefault="00F65D61" w:rsidP="00F65D61">
            <w:pPr>
              <w:pStyle w:val="ListParagraph"/>
              <w:ind w:left="61"/>
              <w:rPr>
                <w:rFonts w:cs="Arial"/>
              </w:rPr>
            </w:pPr>
          </w:p>
          <w:p w14:paraId="50BED3A4" w14:textId="77777777" w:rsidR="00F65D61" w:rsidRPr="00143BCC" w:rsidRDefault="00F65D61" w:rsidP="001C3992">
            <w:pPr>
              <w:rPr>
                <w:rFonts w:cs="Arial"/>
              </w:rPr>
            </w:pPr>
            <w:r w:rsidRPr="00143BCC">
              <w:rPr>
                <w:rFonts w:cs="Arial"/>
              </w:rPr>
              <w:t xml:space="preserve">The </w:t>
            </w:r>
            <w:r w:rsidR="00375F41" w:rsidRPr="00143BCC">
              <w:rPr>
                <w:rFonts w:cs="Arial"/>
              </w:rPr>
              <w:t xml:space="preserve">successful Candidate must </w:t>
            </w:r>
            <w:r w:rsidRPr="00143BCC">
              <w:rPr>
                <w:rFonts w:cs="Arial"/>
              </w:rPr>
              <w:t xml:space="preserve">conduct research to inform service improvements and provide peer information, advice, signposting and referral to the NCS service. </w:t>
            </w:r>
          </w:p>
          <w:p w14:paraId="50BED3A5" w14:textId="77777777" w:rsidR="00F65D61" w:rsidRPr="00143BCC" w:rsidRDefault="00F65D61" w:rsidP="00F65D61">
            <w:pPr>
              <w:rPr>
                <w:rFonts w:cs="Arial"/>
                <w:b/>
              </w:rPr>
            </w:pPr>
          </w:p>
          <w:p w14:paraId="50BED3A6" w14:textId="77777777" w:rsidR="00F65D61" w:rsidRDefault="00F65D61" w:rsidP="00F65D61">
            <w:pPr>
              <w:rPr>
                <w:rFonts w:cs="Arial"/>
              </w:rPr>
            </w:pPr>
            <w:r w:rsidRPr="00143BCC">
              <w:rPr>
                <w:rFonts w:cs="Arial"/>
              </w:rPr>
              <w:t xml:space="preserve">The Service provision </w:t>
            </w:r>
            <w:r w:rsidR="00155553" w:rsidRPr="00143BCC">
              <w:rPr>
                <w:rFonts w:cs="Arial"/>
              </w:rPr>
              <w:t>must</w:t>
            </w:r>
            <w:r w:rsidRPr="00143BCC">
              <w:rPr>
                <w:rFonts w:cs="Arial"/>
              </w:rPr>
              <w:t xml:space="preserve"> invest in building capacity in the community to increase access to and engagement with the careers advice.  The Services will provide enhanced careers provision for priority groups which seeks to progress individuals into non accredited training to address identified need, voluntary work</w:t>
            </w:r>
            <w:r w:rsidR="006C7A9E">
              <w:rPr>
                <w:rFonts w:cs="Arial"/>
              </w:rPr>
              <w:t xml:space="preserve"> (which must be a minimum of </w:t>
            </w:r>
            <w:r w:rsidR="006C7A9E" w:rsidRPr="006C7A9E">
              <w:rPr>
                <w:rFonts w:cs="Arial"/>
              </w:rPr>
              <w:t>20 hours over a 4 week period claimed on completion)</w:t>
            </w:r>
            <w:r w:rsidRPr="00143BCC">
              <w:rPr>
                <w:rFonts w:cs="Arial"/>
              </w:rPr>
              <w:t>, one to one coaching in voluntary or paid work</w:t>
            </w:r>
            <w:r w:rsidR="009B7CFA">
              <w:rPr>
                <w:rFonts w:cs="Arial"/>
              </w:rPr>
              <w:t>.</w:t>
            </w:r>
          </w:p>
          <w:p w14:paraId="50BED3A7" w14:textId="77777777" w:rsidR="00EA356F" w:rsidRDefault="00EA356F" w:rsidP="00F65D61">
            <w:pPr>
              <w:rPr>
                <w:rFonts w:cs="Arial"/>
              </w:rPr>
            </w:pPr>
          </w:p>
          <w:p w14:paraId="50BED3A8" w14:textId="77777777" w:rsidR="00033A4E" w:rsidRDefault="00033A4E" w:rsidP="00C80FAC">
            <w:pPr>
              <w:autoSpaceDE w:val="0"/>
              <w:autoSpaceDN w:val="0"/>
              <w:adjustRightInd w:val="0"/>
              <w:rPr>
                <w:rFonts w:cs="Arial"/>
                <w:szCs w:val="22"/>
                <w:lang w:eastAsia="en-GB"/>
              </w:rPr>
            </w:pPr>
            <w:r>
              <w:rPr>
                <w:rFonts w:cs="Arial"/>
                <w:szCs w:val="22"/>
                <w:lang w:eastAsia="en-GB"/>
              </w:rPr>
              <w:t xml:space="preserve">The Services provision must provide support to schools and colleges to attain a </w:t>
            </w:r>
            <w:r w:rsidR="00D74BBA">
              <w:rPr>
                <w:rFonts w:cs="Arial"/>
                <w:szCs w:val="22"/>
                <w:lang w:eastAsia="en-GB"/>
              </w:rPr>
              <w:t xml:space="preserve">nationally </w:t>
            </w:r>
            <w:r>
              <w:rPr>
                <w:rFonts w:cs="Arial"/>
                <w:szCs w:val="22"/>
                <w:lang w:eastAsia="en-GB"/>
              </w:rPr>
              <w:t>recognised CEIAG quality mark</w:t>
            </w:r>
            <w:r w:rsidR="00A73216">
              <w:rPr>
                <w:rFonts w:cs="Arial"/>
                <w:szCs w:val="22"/>
                <w:lang w:eastAsia="en-GB"/>
              </w:rPr>
              <w:t xml:space="preserve"> in the more developed area of the York, North Yorkshire and East Riding LEP area.</w:t>
            </w:r>
          </w:p>
          <w:p w14:paraId="50BED3A9" w14:textId="77777777" w:rsidR="007A49FF" w:rsidRDefault="007A49FF" w:rsidP="00C80FAC">
            <w:pPr>
              <w:autoSpaceDE w:val="0"/>
              <w:autoSpaceDN w:val="0"/>
              <w:adjustRightInd w:val="0"/>
              <w:rPr>
                <w:rFonts w:cs="Arial"/>
                <w:szCs w:val="22"/>
                <w:lang w:eastAsia="en-GB"/>
              </w:rPr>
            </w:pPr>
          </w:p>
          <w:p w14:paraId="50BED3AA" w14:textId="77777777" w:rsidR="00D74BBA" w:rsidRDefault="007A49FF" w:rsidP="00D74BBA">
            <w:pPr>
              <w:ind w:right="-82"/>
              <w:rPr>
                <w:rFonts w:cs="Arial"/>
                <w:szCs w:val="22"/>
                <w:lang w:eastAsia="en-GB"/>
              </w:rPr>
            </w:pPr>
            <w:r>
              <w:rPr>
                <w:rFonts w:cs="Arial"/>
                <w:szCs w:val="22"/>
                <w:lang w:eastAsia="en-GB"/>
              </w:rPr>
              <w:t xml:space="preserve">The Services must </w:t>
            </w:r>
            <w:r w:rsidR="0062374F">
              <w:rPr>
                <w:rFonts w:cs="Arial"/>
                <w:szCs w:val="22"/>
                <w:lang w:eastAsia="en-GB"/>
              </w:rPr>
              <w:t xml:space="preserve">work with employers </w:t>
            </w:r>
            <w:r w:rsidR="00647DBD">
              <w:rPr>
                <w:rFonts w:cs="Arial"/>
                <w:szCs w:val="22"/>
                <w:lang w:eastAsia="en-GB"/>
              </w:rPr>
              <w:t xml:space="preserve">and schools/colleges </w:t>
            </w:r>
            <w:r w:rsidR="008E0A07">
              <w:rPr>
                <w:rFonts w:cs="Arial"/>
                <w:szCs w:val="22"/>
                <w:lang w:eastAsia="en-GB"/>
              </w:rPr>
              <w:t xml:space="preserve">in each District </w:t>
            </w:r>
            <w:r w:rsidR="00A73216">
              <w:rPr>
                <w:rFonts w:cs="Arial"/>
                <w:szCs w:val="22"/>
                <w:lang w:eastAsia="en-GB"/>
              </w:rPr>
              <w:t xml:space="preserve">of </w:t>
            </w:r>
            <w:r w:rsidR="008E0A07">
              <w:rPr>
                <w:rFonts w:cs="Arial"/>
                <w:szCs w:val="22"/>
                <w:lang w:eastAsia="en-GB"/>
              </w:rPr>
              <w:t xml:space="preserve">the LEP area to establish an Employability </w:t>
            </w:r>
            <w:r w:rsidR="000F5327">
              <w:rPr>
                <w:rFonts w:cs="Arial"/>
                <w:szCs w:val="22"/>
                <w:lang w:eastAsia="en-GB"/>
              </w:rPr>
              <w:t xml:space="preserve">Charter which will </w:t>
            </w:r>
            <w:r w:rsidR="008E0A07">
              <w:rPr>
                <w:rFonts w:cs="Arial"/>
                <w:szCs w:val="22"/>
                <w:lang w:eastAsia="en-GB"/>
              </w:rPr>
              <w:t>p</w:t>
            </w:r>
            <w:r>
              <w:rPr>
                <w:rFonts w:cs="Arial"/>
                <w:szCs w:val="22"/>
                <w:lang w:eastAsia="en-GB"/>
              </w:rPr>
              <w:t>rovid</w:t>
            </w:r>
            <w:r w:rsidR="0062374F">
              <w:rPr>
                <w:rFonts w:cs="Arial"/>
                <w:szCs w:val="22"/>
                <w:lang w:eastAsia="en-GB"/>
              </w:rPr>
              <w:t>e</w:t>
            </w:r>
            <w:r>
              <w:rPr>
                <w:rFonts w:cs="Arial"/>
                <w:szCs w:val="22"/>
                <w:lang w:eastAsia="en-GB"/>
              </w:rPr>
              <w:t xml:space="preserve"> a </w:t>
            </w:r>
            <w:r w:rsidR="0062374F">
              <w:rPr>
                <w:rFonts w:cs="Arial"/>
                <w:szCs w:val="22"/>
                <w:lang w:eastAsia="en-GB"/>
              </w:rPr>
              <w:t xml:space="preserve">locally-tailored </w:t>
            </w:r>
            <w:r>
              <w:rPr>
                <w:rFonts w:cs="Arial"/>
                <w:szCs w:val="22"/>
                <w:lang w:eastAsia="en-GB"/>
              </w:rPr>
              <w:t xml:space="preserve">menu of </w:t>
            </w:r>
            <w:r w:rsidR="0062374F">
              <w:rPr>
                <w:rFonts w:cs="Arial"/>
                <w:szCs w:val="22"/>
                <w:lang w:eastAsia="en-GB"/>
              </w:rPr>
              <w:t xml:space="preserve">activity for local employers to </w:t>
            </w:r>
            <w:r w:rsidR="008E0A07">
              <w:rPr>
                <w:rFonts w:cs="Arial"/>
                <w:szCs w:val="22"/>
                <w:lang w:eastAsia="en-GB"/>
              </w:rPr>
              <w:t xml:space="preserve">support </w:t>
            </w:r>
            <w:r w:rsidR="0062374F">
              <w:rPr>
                <w:rFonts w:cs="Arial"/>
                <w:szCs w:val="22"/>
                <w:lang w:eastAsia="en-GB"/>
              </w:rPr>
              <w:t>schools and colleges</w:t>
            </w:r>
            <w:r w:rsidR="008E0A07">
              <w:rPr>
                <w:rFonts w:cs="Arial"/>
                <w:szCs w:val="22"/>
                <w:lang w:eastAsia="en-GB"/>
              </w:rPr>
              <w:t xml:space="preserve"> to deliver high quality CEIAG. </w:t>
            </w:r>
            <w:r w:rsidR="00B642BD">
              <w:rPr>
                <w:rFonts w:cs="Arial"/>
                <w:szCs w:val="22"/>
                <w:lang w:eastAsia="en-GB"/>
              </w:rPr>
              <w:t xml:space="preserve"> </w:t>
            </w:r>
            <w:r w:rsidR="008E2F9A">
              <w:rPr>
                <w:rFonts w:cs="Arial"/>
                <w:szCs w:val="22"/>
                <w:lang w:eastAsia="en-GB"/>
              </w:rPr>
              <w:t>As part of the Charter, t</w:t>
            </w:r>
            <w:r w:rsidR="008E0A07">
              <w:rPr>
                <w:rFonts w:cs="Arial"/>
                <w:szCs w:val="22"/>
                <w:lang w:eastAsia="en-GB"/>
              </w:rPr>
              <w:t xml:space="preserve">he </w:t>
            </w:r>
            <w:r w:rsidR="000F5327">
              <w:rPr>
                <w:rFonts w:cs="Arial"/>
                <w:szCs w:val="22"/>
                <w:lang w:eastAsia="en-GB"/>
              </w:rPr>
              <w:t xml:space="preserve">Services will work with the employers, schools and colleges to deliver </w:t>
            </w:r>
            <w:r w:rsidR="008E0A07">
              <w:rPr>
                <w:rFonts w:cs="Arial"/>
                <w:szCs w:val="22"/>
                <w:lang w:eastAsia="en-GB"/>
              </w:rPr>
              <w:t xml:space="preserve">the following activities: </w:t>
            </w:r>
            <w:r w:rsidR="00D74BBA">
              <w:rPr>
                <w:rFonts w:cs="Arial"/>
                <w:szCs w:val="22"/>
                <w:lang w:eastAsia="en-GB"/>
              </w:rPr>
              <w:t xml:space="preserve"> </w:t>
            </w:r>
          </w:p>
          <w:p w14:paraId="3C139BEA" w14:textId="77777777" w:rsidR="001C3992" w:rsidRDefault="001C3992" w:rsidP="00D74BBA">
            <w:pPr>
              <w:ind w:right="-82"/>
              <w:rPr>
                <w:rFonts w:cs="Arial"/>
                <w:szCs w:val="22"/>
                <w:lang w:eastAsia="en-GB"/>
              </w:rPr>
            </w:pPr>
          </w:p>
          <w:p w14:paraId="50BED3AB" w14:textId="77777777" w:rsidR="00D74BBA" w:rsidRPr="00D74BBA" w:rsidRDefault="008E0A07" w:rsidP="001C3992">
            <w:pPr>
              <w:pStyle w:val="ListParagraph"/>
              <w:numPr>
                <w:ilvl w:val="0"/>
                <w:numId w:val="31"/>
              </w:numPr>
              <w:ind w:right="-82"/>
              <w:rPr>
                <w:rFonts w:cs="Arial"/>
              </w:rPr>
            </w:pPr>
            <w:r>
              <w:rPr>
                <w:rFonts w:cs="Arial"/>
              </w:rPr>
              <w:t>Lo</w:t>
            </w:r>
            <w:r w:rsidR="00D74BBA" w:rsidRPr="00D74BBA">
              <w:rPr>
                <w:rFonts w:cs="Arial"/>
              </w:rPr>
              <w:t xml:space="preserve">calised career events with local businesses </w:t>
            </w:r>
            <w:r w:rsidR="00B642BD">
              <w:rPr>
                <w:rFonts w:cs="Arial"/>
              </w:rPr>
              <w:t xml:space="preserve">to take place </w:t>
            </w:r>
            <w:r w:rsidR="00D74BBA" w:rsidRPr="00D74BBA">
              <w:rPr>
                <w:rFonts w:cs="Arial"/>
              </w:rPr>
              <w:t>in each district of the LEP area</w:t>
            </w:r>
          </w:p>
          <w:p w14:paraId="50BED3AC" w14:textId="77777777" w:rsidR="00D74BBA" w:rsidRPr="00723DA8" w:rsidRDefault="008E0A07" w:rsidP="003B1BE5">
            <w:pPr>
              <w:pStyle w:val="ListParagraph"/>
              <w:numPr>
                <w:ilvl w:val="0"/>
                <w:numId w:val="31"/>
              </w:numPr>
              <w:ind w:right="-82"/>
              <w:rPr>
                <w:rFonts w:cs="Arial"/>
              </w:rPr>
            </w:pPr>
            <w:r>
              <w:rPr>
                <w:rFonts w:cs="Arial"/>
              </w:rPr>
              <w:t xml:space="preserve">Career </w:t>
            </w:r>
            <w:r w:rsidR="00D74BBA" w:rsidRPr="00D74BBA">
              <w:rPr>
                <w:rFonts w:cs="Arial"/>
              </w:rPr>
              <w:t xml:space="preserve">pathway events, and apprenticeship awareness events including distribution of </w:t>
            </w:r>
            <w:r w:rsidR="00B642BD">
              <w:rPr>
                <w:rFonts w:cs="Arial"/>
              </w:rPr>
              <w:t xml:space="preserve">relevant </w:t>
            </w:r>
            <w:r w:rsidR="00D74BBA" w:rsidRPr="00D74BBA">
              <w:rPr>
                <w:rFonts w:cs="Arial"/>
              </w:rPr>
              <w:t>information to schools, businesses and colleges.</w:t>
            </w:r>
          </w:p>
          <w:p w14:paraId="50BED3AD" w14:textId="77777777" w:rsidR="00D74BBA" w:rsidRPr="00723DA8" w:rsidRDefault="000F5327" w:rsidP="003B1BE5">
            <w:pPr>
              <w:pStyle w:val="ListParagraph"/>
              <w:numPr>
                <w:ilvl w:val="0"/>
                <w:numId w:val="31"/>
              </w:numPr>
              <w:ind w:right="-82"/>
              <w:rPr>
                <w:rFonts w:cs="Arial"/>
              </w:rPr>
            </w:pPr>
            <w:r>
              <w:rPr>
                <w:rFonts w:cs="Arial"/>
              </w:rPr>
              <w:t xml:space="preserve">Development of a </w:t>
            </w:r>
            <w:r w:rsidR="00D74BBA" w:rsidRPr="00D74BBA">
              <w:rPr>
                <w:rFonts w:cs="Arial"/>
              </w:rPr>
              <w:t>LEP wide employer database to be used by businesses, schools and colleges.</w:t>
            </w:r>
          </w:p>
          <w:p w14:paraId="50BED3AE" w14:textId="77777777" w:rsidR="00D74BBA" w:rsidRPr="000F5327" w:rsidRDefault="000F5327" w:rsidP="003B1BE5">
            <w:pPr>
              <w:pStyle w:val="ListParagraph"/>
              <w:numPr>
                <w:ilvl w:val="0"/>
                <w:numId w:val="31"/>
              </w:numPr>
              <w:ind w:right="-82"/>
              <w:rPr>
                <w:rFonts w:cs="Arial"/>
              </w:rPr>
            </w:pPr>
            <w:r>
              <w:rPr>
                <w:rFonts w:cs="Arial"/>
              </w:rPr>
              <w:t xml:space="preserve">Other </w:t>
            </w:r>
            <w:r w:rsidR="00D74BBA" w:rsidRPr="000F5327">
              <w:rPr>
                <w:rFonts w:cs="Arial"/>
              </w:rPr>
              <w:t>employability activities in each district</w:t>
            </w:r>
          </w:p>
          <w:p w14:paraId="50BED3AF" w14:textId="77777777" w:rsidR="007A49FF" w:rsidRPr="00D74BBA" w:rsidRDefault="000F5327" w:rsidP="003B1BE5">
            <w:pPr>
              <w:pStyle w:val="ListParagraph"/>
              <w:numPr>
                <w:ilvl w:val="0"/>
                <w:numId w:val="31"/>
              </w:numPr>
              <w:autoSpaceDE w:val="0"/>
              <w:autoSpaceDN w:val="0"/>
              <w:adjustRightInd w:val="0"/>
              <w:rPr>
                <w:rFonts w:cs="Arial"/>
                <w:szCs w:val="22"/>
                <w:lang w:eastAsia="en-GB"/>
              </w:rPr>
            </w:pPr>
            <w:r>
              <w:rPr>
                <w:rFonts w:cs="Arial"/>
              </w:rPr>
              <w:t>Q</w:t>
            </w:r>
            <w:r w:rsidR="00D74BBA" w:rsidRPr="00D74BBA">
              <w:rPr>
                <w:rFonts w:cs="Arial"/>
              </w:rPr>
              <w:t xml:space="preserve">uarterly meetings in each district with the teachers responsible for careers advice </w:t>
            </w:r>
            <w:r w:rsidR="00B642BD">
              <w:rPr>
                <w:rFonts w:cs="Arial"/>
              </w:rPr>
              <w:t xml:space="preserve">to </w:t>
            </w:r>
            <w:r w:rsidR="00D74BBA" w:rsidRPr="00723DA8">
              <w:rPr>
                <w:rFonts w:cs="Arial"/>
              </w:rPr>
              <w:t>encourage networking, planning and joint working in relation to career events</w:t>
            </w:r>
            <w:r w:rsidR="00D74BBA">
              <w:rPr>
                <w:rFonts w:cs="Arial"/>
              </w:rPr>
              <w:t xml:space="preserve"> using existing networks where possible.</w:t>
            </w:r>
          </w:p>
          <w:p w14:paraId="50BED3B0" w14:textId="77777777" w:rsidR="003726C1" w:rsidRDefault="003726C1" w:rsidP="00C80FAC">
            <w:pPr>
              <w:autoSpaceDE w:val="0"/>
              <w:autoSpaceDN w:val="0"/>
              <w:adjustRightInd w:val="0"/>
              <w:rPr>
                <w:rFonts w:cs="Arial"/>
                <w:szCs w:val="22"/>
                <w:lang w:eastAsia="en-GB"/>
              </w:rPr>
            </w:pPr>
          </w:p>
          <w:p w14:paraId="50BED3B1" w14:textId="77777777" w:rsidR="00033A4E" w:rsidRDefault="00033A4E" w:rsidP="00C80FAC">
            <w:pPr>
              <w:autoSpaceDE w:val="0"/>
              <w:autoSpaceDN w:val="0"/>
              <w:adjustRightInd w:val="0"/>
              <w:rPr>
                <w:rFonts w:cs="Arial"/>
                <w:szCs w:val="22"/>
                <w:lang w:eastAsia="en-GB"/>
              </w:rPr>
            </w:pPr>
            <w:r>
              <w:rPr>
                <w:rFonts w:cs="Arial"/>
                <w:szCs w:val="22"/>
                <w:lang w:eastAsia="en-GB"/>
              </w:rPr>
              <w:t>The Services must focus on priority sectors as follows:</w:t>
            </w:r>
          </w:p>
          <w:p w14:paraId="5751282A" w14:textId="77777777" w:rsidR="001C3992" w:rsidRDefault="001C3992" w:rsidP="00C80FAC">
            <w:pPr>
              <w:autoSpaceDE w:val="0"/>
              <w:autoSpaceDN w:val="0"/>
              <w:adjustRightInd w:val="0"/>
              <w:rPr>
                <w:rFonts w:cs="Arial"/>
                <w:szCs w:val="22"/>
                <w:lang w:eastAsia="en-GB"/>
              </w:rPr>
            </w:pPr>
          </w:p>
          <w:p w14:paraId="50BED3B2" w14:textId="77777777" w:rsidR="00033A4E" w:rsidRDefault="00033A4E" w:rsidP="00C80FAC">
            <w:pPr>
              <w:autoSpaceDE w:val="0"/>
              <w:autoSpaceDN w:val="0"/>
              <w:adjustRightInd w:val="0"/>
              <w:rPr>
                <w:rFonts w:cs="Arial"/>
                <w:szCs w:val="22"/>
                <w:lang w:eastAsia="en-GB"/>
              </w:rPr>
            </w:pPr>
            <w:r>
              <w:rPr>
                <w:rFonts w:cs="Arial"/>
                <w:szCs w:val="22"/>
                <w:lang w:eastAsia="en-GB"/>
              </w:rPr>
              <w:t>Agri</w:t>
            </w:r>
            <w:r w:rsidR="00A73216">
              <w:rPr>
                <w:rFonts w:cs="Arial"/>
                <w:szCs w:val="22"/>
                <w:lang w:eastAsia="en-GB"/>
              </w:rPr>
              <w:t>-</w:t>
            </w:r>
            <w:r>
              <w:rPr>
                <w:rFonts w:cs="Arial"/>
                <w:szCs w:val="22"/>
                <w:lang w:eastAsia="en-GB"/>
              </w:rPr>
              <w:t>tech</w:t>
            </w:r>
          </w:p>
          <w:p w14:paraId="50BED3B3" w14:textId="77777777" w:rsidR="00033A4E" w:rsidRDefault="00033A4E" w:rsidP="00C80FAC">
            <w:pPr>
              <w:autoSpaceDE w:val="0"/>
              <w:autoSpaceDN w:val="0"/>
              <w:adjustRightInd w:val="0"/>
              <w:rPr>
                <w:rFonts w:cs="Arial"/>
                <w:szCs w:val="22"/>
                <w:lang w:eastAsia="en-GB"/>
              </w:rPr>
            </w:pPr>
            <w:r>
              <w:rPr>
                <w:rFonts w:cs="Arial"/>
                <w:szCs w:val="22"/>
                <w:lang w:eastAsia="en-GB"/>
              </w:rPr>
              <w:t>Bio</w:t>
            </w:r>
            <w:r w:rsidR="00A73216">
              <w:rPr>
                <w:rFonts w:cs="Arial"/>
                <w:szCs w:val="22"/>
                <w:lang w:eastAsia="en-GB"/>
              </w:rPr>
              <w:t>-</w:t>
            </w:r>
            <w:r>
              <w:rPr>
                <w:rFonts w:cs="Arial"/>
                <w:szCs w:val="22"/>
                <w:lang w:eastAsia="en-GB"/>
              </w:rPr>
              <w:t>renewables</w:t>
            </w:r>
          </w:p>
          <w:p w14:paraId="50BED3B4" w14:textId="77777777" w:rsidR="00033A4E" w:rsidRDefault="00033A4E" w:rsidP="00C80FAC">
            <w:pPr>
              <w:autoSpaceDE w:val="0"/>
              <w:autoSpaceDN w:val="0"/>
              <w:adjustRightInd w:val="0"/>
              <w:rPr>
                <w:rFonts w:cs="Arial"/>
                <w:szCs w:val="22"/>
                <w:lang w:eastAsia="en-GB"/>
              </w:rPr>
            </w:pPr>
            <w:r>
              <w:rPr>
                <w:rFonts w:cs="Arial"/>
                <w:szCs w:val="22"/>
                <w:lang w:eastAsia="en-GB"/>
              </w:rPr>
              <w:t>Food manufacture</w:t>
            </w:r>
          </w:p>
          <w:p w14:paraId="50BED3B5" w14:textId="77777777" w:rsidR="003766B7" w:rsidRDefault="003766B7" w:rsidP="00C80FAC">
            <w:pPr>
              <w:autoSpaceDE w:val="0"/>
              <w:autoSpaceDN w:val="0"/>
              <w:adjustRightInd w:val="0"/>
              <w:rPr>
                <w:rFonts w:cs="Arial"/>
                <w:szCs w:val="22"/>
                <w:lang w:eastAsia="en-GB"/>
              </w:rPr>
            </w:pPr>
            <w:r>
              <w:rPr>
                <w:rFonts w:cs="Arial"/>
                <w:szCs w:val="22"/>
                <w:lang w:eastAsia="en-GB"/>
              </w:rPr>
              <w:t>Engineering</w:t>
            </w:r>
          </w:p>
          <w:p w14:paraId="50BED3B6" w14:textId="77777777" w:rsidR="00033A4E" w:rsidRDefault="00033A4E" w:rsidP="00C80FAC">
            <w:pPr>
              <w:autoSpaceDE w:val="0"/>
              <w:autoSpaceDN w:val="0"/>
              <w:adjustRightInd w:val="0"/>
              <w:rPr>
                <w:rFonts w:cs="Arial"/>
                <w:szCs w:val="22"/>
                <w:lang w:eastAsia="en-GB"/>
              </w:rPr>
            </w:pPr>
            <w:r>
              <w:rPr>
                <w:rFonts w:cs="Arial"/>
                <w:szCs w:val="22"/>
                <w:lang w:eastAsia="en-GB"/>
              </w:rPr>
              <w:t>Construction</w:t>
            </w:r>
          </w:p>
          <w:p w14:paraId="50BED3B7" w14:textId="77777777" w:rsidR="00033A4E" w:rsidRDefault="00033A4E" w:rsidP="00C80FAC">
            <w:pPr>
              <w:autoSpaceDE w:val="0"/>
              <w:autoSpaceDN w:val="0"/>
              <w:adjustRightInd w:val="0"/>
              <w:rPr>
                <w:rFonts w:cs="Arial"/>
                <w:szCs w:val="22"/>
                <w:lang w:eastAsia="en-GB"/>
              </w:rPr>
            </w:pPr>
            <w:r>
              <w:rPr>
                <w:rFonts w:cs="Arial"/>
                <w:szCs w:val="22"/>
                <w:lang w:eastAsia="en-GB"/>
              </w:rPr>
              <w:t>Visitor Economy</w:t>
            </w:r>
          </w:p>
          <w:p w14:paraId="50BED3B8" w14:textId="77777777" w:rsidR="00033A4E" w:rsidRDefault="00033A4E" w:rsidP="00C80FAC">
            <w:pPr>
              <w:autoSpaceDE w:val="0"/>
              <w:autoSpaceDN w:val="0"/>
              <w:adjustRightInd w:val="0"/>
              <w:rPr>
                <w:rFonts w:cs="Arial"/>
                <w:szCs w:val="22"/>
                <w:lang w:eastAsia="en-GB"/>
              </w:rPr>
            </w:pPr>
            <w:r>
              <w:rPr>
                <w:rFonts w:cs="Arial"/>
                <w:szCs w:val="22"/>
                <w:lang w:eastAsia="en-GB"/>
              </w:rPr>
              <w:t>Voluntary, Community and Social Enterprise</w:t>
            </w:r>
          </w:p>
          <w:p w14:paraId="50BED3B9" w14:textId="77777777" w:rsidR="00033A4E" w:rsidRPr="00EA356F" w:rsidRDefault="00033A4E" w:rsidP="00C80FAC">
            <w:pPr>
              <w:autoSpaceDE w:val="0"/>
              <w:autoSpaceDN w:val="0"/>
              <w:adjustRightInd w:val="0"/>
              <w:rPr>
                <w:rFonts w:cs="Arial"/>
                <w:szCs w:val="22"/>
                <w:lang w:eastAsia="en-GB"/>
              </w:rPr>
            </w:pPr>
            <w:r>
              <w:rPr>
                <w:rFonts w:cs="Arial"/>
                <w:szCs w:val="22"/>
                <w:lang w:eastAsia="en-GB"/>
              </w:rPr>
              <w:t>Health and Social Care</w:t>
            </w:r>
          </w:p>
          <w:p w14:paraId="50BED3BA" w14:textId="77777777" w:rsidR="00AA5B48" w:rsidRPr="000C6E00" w:rsidRDefault="00AA5B48" w:rsidP="00AA5B48">
            <w:pPr>
              <w:rPr>
                <w:rFonts w:cs="Arial"/>
              </w:rPr>
            </w:pPr>
          </w:p>
          <w:p w14:paraId="50BED3BB" w14:textId="77777777" w:rsidR="00FD3B0A" w:rsidRDefault="003726C1" w:rsidP="009B7CFA">
            <w:pPr>
              <w:rPr>
                <w:rFonts w:cs="Arial"/>
              </w:rPr>
            </w:pPr>
            <w:r>
              <w:rPr>
                <w:rFonts w:cs="Arial"/>
              </w:rPr>
              <w:lastRenderedPageBreak/>
              <w:t>The Services must address gender imbalances where one gender is disproportionately represented in the workforce for example engineering, construction and care.</w:t>
            </w:r>
          </w:p>
          <w:p w14:paraId="50BED3BC" w14:textId="77777777" w:rsidR="009B7CFA" w:rsidRDefault="009B7CFA" w:rsidP="003B1BE5">
            <w:pPr>
              <w:rPr>
                <w:rFonts w:cs="Arial"/>
              </w:rPr>
            </w:pPr>
          </w:p>
          <w:p w14:paraId="50BED3BD" w14:textId="77777777" w:rsidR="003B1BE5" w:rsidRPr="00D82BF7" w:rsidRDefault="003B1BE5" w:rsidP="003B1BE5">
            <w:pPr>
              <w:rPr>
                <w:rFonts w:cs="Arial"/>
              </w:rPr>
            </w:pPr>
            <w:r>
              <w:rPr>
                <w:rFonts w:cs="Arial"/>
              </w:rPr>
              <w:t>The</w:t>
            </w:r>
            <w:r w:rsidRPr="00D82BF7">
              <w:rPr>
                <w:rFonts w:cs="Arial"/>
              </w:rPr>
              <w:t xml:space="preserve"> </w:t>
            </w:r>
            <w:r w:rsidR="00256012">
              <w:rPr>
                <w:rFonts w:cs="Arial"/>
              </w:rPr>
              <w:t>S</w:t>
            </w:r>
            <w:r w:rsidRPr="00D82BF7">
              <w:rPr>
                <w:rFonts w:cs="Arial"/>
              </w:rPr>
              <w:t xml:space="preserve">ervices must </w:t>
            </w:r>
            <w:r w:rsidR="00256012">
              <w:rPr>
                <w:rFonts w:cs="Arial"/>
              </w:rPr>
              <w:t xml:space="preserve">be </w:t>
            </w:r>
            <w:r w:rsidRPr="00D82BF7">
              <w:rPr>
                <w:rFonts w:cs="Arial"/>
              </w:rPr>
              <w:t>deliver</w:t>
            </w:r>
            <w:r w:rsidR="00256012">
              <w:rPr>
                <w:rFonts w:cs="Arial"/>
              </w:rPr>
              <w:t>ed</w:t>
            </w:r>
            <w:r w:rsidRPr="00D82BF7">
              <w:rPr>
                <w:rFonts w:cs="Arial"/>
              </w:rPr>
              <w:t xml:space="preserve"> across</w:t>
            </w:r>
            <w:r>
              <w:rPr>
                <w:rFonts w:cs="Arial"/>
              </w:rPr>
              <w:t xml:space="preserve"> - More Developed – York and North York and Transitional – East Riding </w:t>
            </w:r>
            <w:r w:rsidRPr="00D82BF7">
              <w:rPr>
                <w:rFonts w:cs="Arial"/>
              </w:rPr>
              <w:t xml:space="preserve">including isolated rural locations. </w:t>
            </w:r>
            <w:r w:rsidR="00256012">
              <w:rPr>
                <w:rFonts w:cs="Arial"/>
              </w:rPr>
              <w:t>The Services must provide i</w:t>
            </w:r>
            <w:r w:rsidRPr="00D82BF7">
              <w:rPr>
                <w:rFonts w:cs="Arial"/>
              </w:rPr>
              <w:t xml:space="preserve">nnovative and effective </w:t>
            </w:r>
            <w:r w:rsidR="00256012">
              <w:rPr>
                <w:rFonts w:cs="Arial"/>
              </w:rPr>
              <w:t xml:space="preserve">delivery </w:t>
            </w:r>
            <w:r w:rsidRPr="00D82BF7">
              <w:rPr>
                <w:rFonts w:cs="Arial"/>
              </w:rPr>
              <w:t xml:space="preserve">solutions </w:t>
            </w:r>
            <w:r w:rsidR="00256012">
              <w:rPr>
                <w:rFonts w:cs="Arial"/>
              </w:rPr>
              <w:t xml:space="preserve">in </w:t>
            </w:r>
            <w:r w:rsidRPr="00D82BF7">
              <w:rPr>
                <w:rFonts w:cs="Arial"/>
              </w:rPr>
              <w:t>rural</w:t>
            </w:r>
            <w:r w:rsidR="00256012">
              <w:rPr>
                <w:rFonts w:cs="Arial"/>
              </w:rPr>
              <w:t xml:space="preserve"> areas</w:t>
            </w:r>
            <w:r w:rsidRPr="00D82BF7">
              <w:rPr>
                <w:rFonts w:cs="Arial"/>
              </w:rPr>
              <w:t xml:space="preserve">. </w:t>
            </w:r>
            <w:r w:rsidR="00256012">
              <w:rPr>
                <w:rFonts w:cs="Arial"/>
              </w:rPr>
              <w:t xml:space="preserve"> The Services </w:t>
            </w:r>
            <w:r w:rsidRPr="00D82BF7">
              <w:rPr>
                <w:rFonts w:cs="Arial"/>
              </w:rPr>
              <w:t xml:space="preserve">must be available in areas of deprivation such as parts of York, Harrogate and the coastal strip including Whitby, Scarborough, Bridlington and Withernsea. </w:t>
            </w:r>
          </w:p>
          <w:p w14:paraId="50BED3BF"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50BED3C2" w14:textId="77777777" w:rsidTr="001C3992">
        <w:trPr>
          <w:trHeight w:val="567"/>
        </w:trPr>
        <w:tc>
          <w:tcPr>
            <w:tcW w:w="9088" w:type="dxa"/>
            <w:shd w:val="clear" w:color="auto" w:fill="D9D9D9" w:themeFill="background1" w:themeFillShade="D9"/>
            <w:vAlign w:val="center"/>
          </w:tcPr>
          <w:p w14:paraId="50BED3C1" w14:textId="77777777" w:rsidR="00967429" w:rsidRPr="00544738" w:rsidRDefault="003A52A2" w:rsidP="00FD3B0A">
            <w:pPr>
              <w:pStyle w:val="SpecificationHeading"/>
            </w:pPr>
            <w:r>
              <w:lastRenderedPageBreak/>
              <w:t>Eligibility</w:t>
            </w:r>
          </w:p>
        </w:tc>
      </w:tr>
      <w:tr w:rsidR="00967429" w:rsidRPr="00EF4406" w14:paraId="50BED3F7" w14:textId="77777777" w:rsidTr="000D51DE">
        <w:tc>
          <w:tcPr>
            <w:tcW w:w="9088" w:type="dxa"/>
          </w:tcPr>
          <w:p w14:paraId="50BED3C3" w14:textId="77777777" w:rsidR="001E23AA" w:rsidRDefault="001E23AA" w:rsidP="002F70E9">
            <w:pPr>
              <w:rPr>
                <w:rFonts w:cs="Arial"/>
                <w:b/>
                <w:u w:val="single"/>
              </w:rPr>
            </w:pPr>
          </w:p>
          <w:p w14:paraId="50BED3C4" w14:textId="77777777" w:rsidR="00A005EF" w:rsidRPr="00344FA1" w:rsidRDefault="00A005EF" w:rsidP="00A005EF">
            <w:r>
              <w:rPr>
                <w:b/>
              </w:rPr>
              <w:t>General</w:t>
            </w:r>
          </w:p>
          <w:p w14:paraId="50BED3C5"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0BED3C6" w14:textId="77777777" w:rsidR="00A005EF" w:rsidRDefault="00A005EF" w:rsidP="00C107CE">
            <w:pPr>
              <w:rPr>
                <w:rFonts w:cs="Arial"/>
              </w:rPr>
            </w:pPr>
          </w:p>
          <w:p w14:paraId="50BED3C7" w14:textId="77777777" w:rsidR="00162B5B" w:rsidRDefault="00394F36" w:rsidP="00143BCC">
            <w:pPr>
              <w:rPr>
                <w:rFonts w:cs="Arial"/>
              </w:rPr>
            </w:pPr>
            <w:r w:rsidRPr="00F67261">
              <w:rPr>
                <w:rFonts w:cs="Arial"/>
              </w:rPr>
              <w:t>Please note LEP Specific requirements are subject to the National Eligibility Rules detailed above.</w:t>
            </w:r>
          </w:p>
          <w:p w14:paraId="50BED3C8" w14:textId="77777777" w:rsidR="00B642BD" w:rsidRDefault="00B642BD" w:rsidP="00143BCC">
            <w:pPr>
              <w:rPr>
                <w:rFonts w:cs="Arial"/>
              </w:rPr>
            </w:pPr>
          </w:p>
          <w:p w14:paraId="50BED3C9" w14:textId="77777777" w:rsidR="00B642BD" w:rsidRPr="00143BCC" w:rsidRDefault="00B642BD" w:rsidP="00143BCC">
            <w:pPr>
              <w:rPr>
                <w:rFonts w:cs="Arial"/>
              </w:rPr>
            </w:pPr>
            <w:r>
              <w:rPr>
                <w:rFonts w:cs="Arial"/>
              </w:rPr>
              <w:t xml:space="preserve">Participants must be unemployed </w:t>
            </w:r>
            <w:r w:rsidR="003B1BE5">
              <w:rPr>
                <w:rFonts w:cs="Arial"/>
              </w:rPr>
              <w:t xml:space="preserve">or inactive </w:t>
            </w:r>
            <w:r>
              <w:rPr>
                <w:rFonts w:cs="Arial"/>
              </w:rPr>
              <w:t>and aged 15-24</w:t>
            </w:r>
          </w:p>
          <w:p w14:paraId="50BED3CA" w14:textId="77777777" w:rsidR="00162B5B" w:rsidRPr="00143BCC" w:rsidRDefault="00162B5B" w:rsidP="00394F36">
            <w:pPr>
              <w:rPr>
                <w:rFonts w:cs="Arial"/>
              </w:rPr>
            </w:pPr>
          </w:p>
          <w:p w14:paraId="50BED3CB" w14:textId="77777777" w:rsidR="00394F36" w:rsidRPr="00143BCC" w:rsidRDefault="00394F36" w:rsidP="00162B5B">
            <w:pPr>
              <w:rPr>
                <w:rFonts w:ascii="Calibri" w:hAnsi="Calibri"/>
                <w:iCs/>
                <w:sz w:val="22"/>
                <w:szCs w:val="22"/>
              </w:rPr>
            </w:pPr>
            <w:r w:rsidRPr="00143BC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50BED3CC" w14:textId="77777777" w:rsidR="009F6502" w:rsidRPr="00143BCC" w:rsidRDefault="009F6502" w:rsidP="00162B5B">
            <w:pPr>
              <w:rPr>
                <w:b/>
              </w:rPr>
            </w:pPr>
          </w:p>
          <w:tbl>
            <w:tblPr>
              <w:tblW w:w="10378" w:type="dxa"/>
              <w:tblLayout w:type="fixed"/>
              <w:tblLook w:val="04A0" w:firstRow="1" w:lastRow="0" w:firstColumn="1" w:lastColumn="0" w:noHBand="0" w:noVBand="1"/>
            </w:tblPr>
            <w:tblGrid>
              <w:gridCol w:w="4423"/>
              <w:gridCol w:w="1985"/>
              <w:gridCol w:w="1985"/>
              <w:gridCol w:w="1985"/>
            </w:tblGrid>
            <w:tr w:rsidR="009B7CFA" w:rsidRPr="009B7CFA" w14:paraId="50BED3D1" w14:textId="77777777" w:rsidTr="007B42A4">
              <w:trPr>
                <w:trHeight w:val="504"/>
              </w:trPr>
              <w:tc>
                <w:tcPr>
                  <w:tcW w:w="4423" w:type="dxa"/>
                  <w:tcBorders>
                    <w:top w:val="nil"/>
                    <w:left w:val="nil"/>
                    <w:bottom w:val="nil"/>
                    <w:right w:val="nil"/>
                  </w:tcBorders>
                  <w:shd w:val="clear" w:color="auto" w:fill="auto"/>
                  <w:noWrap/>
                  <w:vAlign w:val="bottom"/>
                  <w:hideMark/>
                </w:tcPr>
                <w:p w14:paraId="50BED3CD" w14:textId="77777777" w:rsidR="007B42A4" w:rsidRPr="009B7CFA" w:rsidRDefault="007B42A4" w:rsidP="00162B5B">
                  <w:pPr>
                    <w:rPr>
                      <w:rFonts w:cs="Arial"/>
                      <w:lang w:eastAsia="en-GB"/>
                    </w:rPr>
                  </w:pPr>
                </w:p>
              </w:tc>
              <w:tc>
                <w:tcPr>
                  <w:tcW w:w="1985" w:type="dxa"/>
                  <w:tcBorders>
                    <w:top w:val="nil"/>
                    <w:left w:val="nil"/>
                    <w:bottom w:val="nil"/>
                    <w:right w:val="nil"/>
                  </w:tcBorders>
                  <w:shd w:val="clear" w:color="auto" w:fill="auto"/>
                  <w:vAlign w:val="bottom"/>
                  <w:hideMark/>
                </w:tcPr>
                <w:p w14:paraId="50BED3CE" w14:textId="77777777" w:rsidR="007B42A4" w:rsidRPr="009B7CFA" w:rsidRDefault="007B42A4" w:rsidP="00162B5B">
                  <w:pPr>
                    <w:jc w:val="center"/>
                    <w:rPr>
                      <w:rFonts w:cs="Arial"/>
                      <w:b/>
                      <w:bCs/>
                      <w:lang w:eastAsia="en-GB"/>
                    </w:rPr>
                  </w:pPr>
                  <w:r w:rsidRPr="009B7CFA">
                    <w:rPr>
                      <w:rFonts w:cs="Arial"/>
                      <w:b/>
                      <w:bCs/>
                      <w:lang w:eastAsia="en-GB"/>
                    </w:rPr>
                    <w:t>More Developed</w:t>
                  </w:r>
                </w:p>
              </w:tc>
              <w:tc>
                <w:tcPr>
                  <w:tcW w:w="1985" w:type="dxa"/>
                  <w:tcBorders>
                    <w:top w:val="nil"/>
                    <w:left w:val="nil"/>
                    <w:bottom w:val="nil"/>
                    <w:right w:val="nil"/>
                  </w:tcBorders>
                </w:tcPr>
                <w:p w14:paraId="50BED3CF" w14:textId="77777777" w:rsidR="007B42A4" w:rsidRPr="009B7CFA" w:rsidRDefault="007B42A4" w:rsidP="00162B5B">
                  <w:pPr>
                    <w:jc w:val="center"/>
                    <w:rPr>
                      <w:rFonts w:cs="Arial"/>
                      <w:b/>
                      <w:bCs/>
                      <w:lang w:eastAsia="en-GB"/>
                    </w:rPr>
                  </w:pPr>
                  <w:r w:rsidRPr="009B7CFA">
                    <w:rPr>
                      <w:rFonts w:cs="Arial"/>
                      <w:b/>
                      <w:bCs/>
                      <w:lang w:eastAsia="en-GB"/>
                    </w:rPr>
                    <w:t>Transition</w:t>
                  </w:r>
                </w:p>
              </w:tc>
              <w:tc>
                <w:tcPr>
                  <w:tcW w:w="1985" w:type="dxa"/>
                  <w:tcBorders>
                    <w:top w:val="nil"/>
                    <w:left w:val="nil"/>
                    <w:bottom w:val="nil"/>
                    <w:right w:val="nil"/>
                  </w:tcBorders>
                </w:tcPr>
                <w:p w14:paraId="50BED3D0" w14:textId="77777777" w:rsidR="007B42A4" w:rsidRPr="009B7CFA" w:rsidRDefault="007B42A4" w:rsidP="00162B5B">
                  <w:pPr>
                    <w:jc w:val="center"/>
                    <w:rPr>
                      <w:rFonts w:cs="Arial"/>
                      <w:b/>
                      <w:bCs/>
                      <w:lang w:eastAsia="en-GB"/>
                    </w:rPr>
                  </w:pPr>
                </w:p>
              </w:tc>
            </w:tr>
            <w:tr w:rsidR="009B7CFA" w:rsidRPr="009B7CFA" w14:paraId="50BED3D6" w14:textId="77777777" w:rsidTr="003B1BE5">
              <w:trPr>
                <w:trHeight w:val="576"/>
              </w:trPr>
              <w:tc>
                <w:tcPr>
                  <w:tcW w:w="4423" w:type="dxa"/>
                  <w:tcBorders>
                    <w:top w:val="nil"/>
                    <w:left w:val="nil"/>
                    <w:bottom w:val="nil"/>
                    <w:right w:val="nil"/>
                  </w:tcBorders>
                  <w:shd w:val="clear" w:color="auto" w:fill="auto"/>
                  <w:vAlign w:val="bottom"/>
                </w:tcPr>
                <w:p w14:paraId="50BED3D2" w14:textId="77777777" w:rsidR="007B42A4" w:rsidRPr="009B7CFA" w:rsidRDefault="007B42A4" w:rsidP="007B42A4">
                  <w:pPr>
                    <w:rPr>
                      <w:rFonts w:cs="Arial"/>
                      <w:lang w:eastAsia="en-GB"/>
                    </w:rPr>
                  </w:pPr>
                </w:p>
              </w:tc>
              <w:tc>
                <w:tcPr>
                  <w:tcW w:w="1985" w:type="dxa"/>
                  <w:tcBorders>
                    <w:top w:val="nil"/>
                    <w:left w:val="nil"/>
                    <w:bottom w:val="nil"/>
                    <w:right w:val="nil"/>
                  </w:tcBorders>
                  <w:shd w:val="clear" w:color="auto" w:fill="auto"/>
                  <w:noWrap/>
                  <w:vAlign w:val="bottom"/>
                </w:tcPr>
                <w:p w14:paraId="50BED3D3" w14:textId="77777777" w:rsidR="007B42A4" w:rsidRPr="009B7CFA" w:rsidRDefault="007B42A4" w:rsidP="007B42A4">
                  <w:pPr>
                    <w:jc w:val="center"/>
                    <w:rPr>
                      <w:rFonts w:cs="Arial"/>
                      <w:lang w:eastAsia="en-GB"/>
                    </w:rPr>
                  </w:pPr>
                </w:p>
              </w:tc>
              <w:tc>
                <w:tcPr>
                  <w:tcW w:w="1985" w:type="dxa"/>
                  <w:tcBorders>
                    <w:top w:val="nil"/>
                    <w:left w:val="nil"/>
                    <w:bottom w:val="nil"/>
                    <w:right w:val="nil"/>
                  </w:tcBorders>
                  <w:shd w:val="clear" w:color="auto" w:fill="auto"/>
                  <w:vAlign w:val="bottom"/>
                </w:tcPr>
                <w:p w14:paraId="50BED3D4" w14:textId="77777777" w:rsidR="007B42A4" w:rsidRPr="009B7CFA" w:rsidRDefault="007B42A4" w:rsidP="007B42A4">
                  <w:pPr>
                    <w:jc w:val="center"/>
                    <w:rPr>
                      <w:rFonts w:cs="Arial"/>
                      <w:lang w:eastAsia="en-GB"/>
                    </w:rPr>
                  </w:pPr>
                </w:p>
              </w:tc>
              <w:tc>
                <w:tcPr>
                  <w:tcW w:w="1985" w:type="dxa"/>
                  <w:tcBorders>
                    <w:top w:val="nil"/>
                    <w:left w:val="nil"/>
                    <w:bottom w:val="nil"/>
                    <w:right w:val="nil"/>
                  </w:tcBorders>
                </w:tcPr>
                <w:p w14:paraId="50BED3D5" w14:textId="77777777" w:rsidR="007B42A4" w:rsidRPr="009B7CFA" w:rsidRDefault="007B42A4" w:rsidP="007B42A4">
                  <w:pPr>
                    <w:jc w:val="center"/>
                    <w:rPr>
                      <w:rFonts w:cs="Arial"/>
                      <w:lang w:eastAsia="en-GB"/>
                    </w:rPr>
                  </w:pPr>
                </w:p>
              </w:tc>
            </w:tr>
            <w:tr w:rsidR="009B7CFA" w:rsidRPr="009B7CFA" w14:paraId="50BED3DB" w14:textId="77777777" w:rsidTr="003B1BE5">
              <w:trPr>
                <w:trHeight w:val="288"/>
              </w:trPr>
              <w:tc>
                <w:tcPr>
                  <w:tcW w:w="4423" w:type="dxa"/>
                  <w:tcBorders>
                    <w:top w:val="nil"/>
                    <w:left w:val="nil"/>
                    <w:bottom w:val="nil"/>
                    <w:right w:val="nil"/>
                  </w:tcBorders>
                  <w:shd w:val="clear" w:color="auto" w:fill="auto"/>
                  <w:vAlign w:val="bottom"/>
                </w:tcPr>
                <w:p w14:paraId="50BED3D7" w14:textId="77777777" w:rsidR="007B42A4" w:rsidRPr="009B7CFA" w:rsidRDefault="007B42A4" w:rsidP="007B42A4">
                  <w:pPr>
                    <w:rPr>
                      <w:rFonts w:cs="Arial"/>
                      <w:lang w:eastAsia="en-GB"/>
                    </w:rPr>
                  </w:pPr>
                </w:p>
              </w:tc>
              <w:tc>
                <w:tcPr>
                  <w:tcW w:w="1985" w:type="dxa"/>
                  <w:tcBorders>
                    <w:top w:val="nil"/>
                    <w:left w:val="nil"/>
                    <w:bottom w:val="nil"/>
                    <w:right w:val="nil"/>
                  </w:tcBorders>
                  <w:shd w:val="clear" w:color="auto" w:fill="auto"/>
                  <w:noWrap/>
                  <w:vAlign w:val="bottom"/>
                </w:tcPr>
                <w:p w14:paraId="50BED3D8" w14:textId="77777777" w:rsidR="007B42A4" w:rsidRPr="009B7CFA" w:rsidRDefault="007B42A4" w:rsidP="007B42A4">
                  <w:pPr>
                    <w:jc w:val="center"/>
                    <w:rPr>
                      <w:rFonts w:cs="Arial"/>
                      <w:lang w:eastAsia="en-GB"/>
                    </w:rPr>
                  </w:pPr>
                </w:p>
              </w:tc>
              <w:tc>
                <w:tcPr>
                  <w:tcW w:w="1985" w:type="dxa"/>
                  <w:tcBorders>
                    <w:top w:val="nil"/>
                    <w:left w:val="nil"/>
                    <w:bottom w:val="nil"/>
                    <w:right w:val="nil"/>
                  </w:tcBorders>
                  <w:shd w:val="clear" w:color="auto" w:fill="auto"/>
                  <w:vAlign w:val="bottom"/>
                </w:tcPr>
                <w:p w14:paraId="50BED3D9" w14:textId="77777777" w:rsidR="007B42A4" w:rsidRPr="009B7CFA" w:rsidRDefault="007B42A4" w:rsidP="007B42A4">
                  <w:pPr>
                    <w:jc w:val="center"/>
                    <w:rPr>
                      <w:rFonts w:cs="Arial"/>
                      <w:lang w:eastAsia="en-GB"/>
                    </w:rPr>
                  </w:pPr>
                </w:p>
              </w:tc>
              <w:tc>
                <w:tcPr>
                  <w:tcW w:w="1985" w:type="dxa"/>
                  <w:tcBorders>
                    <w:top w:val="nil"/>
                    <w:left w:val="nil"/>
                    <w:bottom w:val="nil"/>
                    <w:right w:val="nil"/>
                  </w:tcBorders>
                </w:tcPr>
                <w:p w14:paraId="50BED3DA" w14:textId="77777777" w:rsidR="007B42A4" w:rsidRPr="009B7CFA" w:rsidRDefault="007B42A4" w:rsidP="007B42A4">
                  <w:pPr>
                    <w:jc w:val="center"/>
                    <w:rPr>
                      <w:rFonts w:cs="Arial"/>
                      <w:lang w:eastAsia="en-GB"/>
                    </w:rPr>
                  </w:pPr>
                </w:p>
              </w:tc>
            </w:tr>
            <w:tr w:rsidR="009B7CFA" w:rsidRPr="009B7CFA" w14:paraId="50BED3E0" w14:textId="77777777" w:rsidTr="001E26DF">
              <w:trPr>
                <w:trHeight w:val="288"/>
              </w:trPr>
              <w:tc>
                <w:tcPr>
                  <w:tcW w:w="4423" w:type="dxa"/>
                  <w:tcBorders>
                    <w:top w:val="nil"/>
                    <w:left w:val="nil"/>
                    <w:bottom w:val="nil"/>
                    <w:right w:val="nil"/>
                  </w:tcBorders>
                  <w:shd w:val="clear" w:color="auto" w:fill="auto"/>
                  <w:vAlign w:val="bottom"/>
                  <w:hideMark/>
                </w:tcPr>
                <w:p w14:paraId="50BED3DC" w14:textId="77777777" w:rsidR="007B42A4" w:rsidRPr="009B7CFA" w:rsidRDefault="007B42A4" w:rsidP="007B42A4">
                  <w:pPr>
                    <w:rPr>
                      <w:rFonts w:cs="Arial"/>
                      <w:lang w:eastAsia="en-GB"/>
                    </w:rPr>
                  </w:pPr>
                  <w:r w:rsidRPr="009B7CFA">
                    <w:rPr>
                      <w:rFonts w:cs="Arial"/>
                      <w:lang w:eastAsia="en-GB"/>
                    </w:rPr>
                    <w:t>Participants from ethnic minorities</w:t>
                  </w:r>
                </w:p>
              </w:tc>
              <w:tc>
                <w:tcPr>
                  <w:tcW w:w="1985" w:type="dxa"/>
                  <w:tcBorders>
                    <w:top w:val="nil"/>
                    <w:left w:val="nil"/>
                    <w:bottom w:val="nil"/>
                    <w:right w:val="nil"/>
                  </w:tcBorders>
                  <w:shd w:val="clear" w:color="auto" w:fill="auto"/>
                  <w:noWrap/>
                  <w:vAlign w:val="bottom"/>
                  <w:hideMark/>
                </w:tcPr>
                <w:p w14:paraId="50BED3DD" w14:textId="77777777" w:rsidR="007B42A4" w:rsidRPr="009B7CFA" w:rsidRDefault="00987BF5" w:rsidP="00987BF5">
                  <w:pPr>
                    <w:jc w:val="center"/>
                    <w:rPr>
                      <w:rFonts w:cs="Arial"/>
                      <w:lang w:eastAsia="en-GB"/>
                    </w:rPr>
                  </w:pPr>
                  <w:r w:rsidRPr="009B7CFA">
                    <w:rPr>
                      <w:rFonts w:cs="Arial"/>
                      <w:lang w:eastAsia="en-GB"/>
                    </w:rPr>
                    <w:t>4</w:t>
                  </w:r>
                  <w:r w:rsidR="007B42A4" w:rsidRPr="009B7CFA">
                    <w:rPr>
                      <w:rFonts w:cs="Arial"/>
                      <w:lang w:eastAsia="en-GB"/>
                    </w:rPr>
                    <w:t>%</w:t>
                  </w:r>
                </w:p>
              </w:tc>
              <w:tc>
                <w:tcPr>
                  <w:tcW w:w="1985" w:type="dxa"/>
                  <w:tcBorders>
                    <w:top w:val="nil"/>
                    <w:left w:val="nil"/>
                    <w:bottom w:val="nil"/>
                    <w:right w:val="nil"/>
                  </w:tcBorders>
                  <w:shd w:val="clear" w:color="auto" w:fill="auto"/>
                  <w:vAlign w:val="bottom"/>
                </w:tcPr>
                <w:p w14:paraId="50BED3DE" w14:textId="77777777" w:rsidR="007B42A4" w:rsidRPr="009B7CFA" w:rsidRDefault="00987BF5" w:rsidP="007B42A4">
                  <w:pPr>
                    <w:jc w:val="center"/>
                    <w:rPr>
                      <w:rFonts w:cs="Arial"/>
                      <w:lang w:eastAsia="en-GB"/>
                    </w:rPr>
                  </w:pPr>
                  <w:r w:rsidRPr="009B7CFA">
                    <w:rPr>
                      <w:rFonts w:cs="Arial"/>
                      <w:lang w:eastAsia="en-GB"/>
                    </w:rPr>
                    <w:t>8</w:t>
                  </w:r>
                  <w:r w:rsidR="007B42A4" w:rsidRPr="009B7CFA">
                    <w:rPr>
                      <w:rFonts w:cs="Arial"/>
                      <w:lang w:eastAsia="en-GB"/>
                    </w:rPr>
                    <w:t>%</w:t>
                  </w:r>
                </w:p>
              </w:tc>
              <w:tc>
                <w:tcPr>
                  <w:tcW w:w="1985" w:type="dxa"/>
                  <w:tcBorders>
                    <w:top w:val="nil"/>
                    <w:left w:val="nil"/>
                    <w:bottom w:val="nil"/>
                    <w:right w:val="nil"/>
                  </w:tcBorders>
                </w:tcPr>
                <w:p w14:paraId="50BED3DF" w14:textId="77777777" w:rsidR="007B42A4" w:rsidRPr="009B7CFA" w:rsidRDefault="007B42A4" w:rsidP="007B42A4">
                  <w:pPr>
                    <w:jc w:val="center"/>
                    <w:rPr>
                      <w:rFonts w:cs="Arial"/>
                      <w:lang w:eastAsia="en-GB"/>
                    </w:rPr>
                  </w:pPr>
                </w:p>
              </w:tc>
            </w:tr>
            <w:tr w:rsidR="009B7CFA" w:rsidRPr="009B7CFA" w14:paraId="50BED3E5" w14:textId="77777777" w:rsidTr="001E26DF">
              <w:trPr>
                <w:trHeight w:val="288"/>
              </w:trPr>
              <w:tc>
                <w:tcPr>
                  <w:tcW w:w="4423" w:type="dxa"/>
                  <w:tcBorders>
                    <w:top w:val="nil"/>
                    <w:left w:val="nil"/>
                    <w:bottom w:val="nil"/>
                    <w:right w:val="nil"/>
                  </w:tcBorders>
                  <w:shd w:val="clear" w:color="auto" w:fill="auto"/>
                  <w:vAlign w:val="bottom"/>
                  <w:hideMark/>
                </w:tcPr>
                <w:p w14:paraId="50BED3E1" w14:textId="77777777" w:rsidR="007B42A4" w:rsidRPr="009B7CFA" w:rsidRDefault="007B42A4" w:rsidP="007B42A4">
                  <w:pPr>
                    <w:rPr>
                      <w:rFonts w:cs="Arial"/>
                      <w:lang w:eastAsia="en-GB"/>
                    </w:rPr>
                  </w:pPr>
                  <w:r w:rsidRPr="009B7CFA">
                    <w:rPr>
                      <w:rFonts w:cs="Arial"/>
                      <w:lang w:eastAsia="en-GB"/>
                    </w:rPr>
                    <w:t>Female participants</w:t>
                  </w:r>
                </w:p>
              </w:tc>
              <w:tc>
                <w:tcPr>
                  <w:tcW w:w="1985" w:type="dxa"/>
                  <w:tcBorders>
                    <w:top w:val="nil"/>
                    <w:left w:val="nil"/>
                    <w:bottom w:val="nil"/>
                    <w:right w:val="nil"/>
                  </w:tcBorders>
                  <w:shd w:val="clear" w:color="auto" w:fill="auto"/>
                  <w:noWrap/>
                  <w:vAlign w:val="bottom"/>
                  <w:hideMark/>
                </w:tcPr>
                <w:p w14:paraId="50BED3E2" w14:textId="77777777" w:rsidR="007B42A4" w:rsidRPr="009B7CFA" w:rsidRDefault="007B42A4" w:rsidP="007B42A4">
                  <w:pPr>
                    <w:jc w:val="center"/>
                    <w:rPr>
                      <w:rFonts w:cs="Arial"/>
                      <w:lang w:eastAsia="en-GB"/>
                    </w:rPr>
                  </w:pPr>
                  <w:r w:rsidRPr="009B7CFA">
                    <w:rPr>
                      <w:rFonts w:cs="Arial"/>
                      <w:lang w:eastAsia="en-GB"/>
                    </w:rPr>
                    <w:t>45%</w:t>
                  </w:r>
                </w:p>
              </w:tc>
              <w:tc>
                <w:tcPr>
                  <w:tcW w:w="1985" w:type="dxa"/>
                  <w:tcBorders>
                    <w:top w:val="nil"/>
                    <w:left w:val="nil"/>
                    <w:bottom w:val="nil"/>
                    <w:right w:val="nil"/>
                  </w:tcBorders>
                  <w:shd w:val="clear" w:color="auto" w:fill="auto"/>
                  <w:vAlign w:val="bottom"/>
                </w:tcPr>
                <w:p w14:paraId="50BED3E3" w14:textId="77777777" w:rsidR="007B42A4" w:rsidRPr="009B7CFA" w:rsidRDefault="007B42A4" w:rsidP="00E41DEA">
                  <w:pPr>
                    <w:jc w:val="center"/>
                    <w:rPr>
                      <w:rFonts w:cs="Arial"/>
                      <w:lang w:eastAsia="en-GB"/>
                    </w:rPr>
                  </w:pPr>
                  <w:r w:rsidRPr="009B7CFA">
                    <w:rPr>
                      <w:rFonts w:cs="Arial"/>
                      <w:lang w:eastAsia="en-GB"/>
                    </w:rPr>
                    <w:t>4</w:t>
                  </w:r>
                  <w:r w:rsidR="00E41DEA" w:rsidRPr="009B7CFA">
                    <w:rPr>
                      <w:rFonts w:cs="Arial"/>
                      <w:lang w:eastAsia="en-GB"/>
                    </w:rPr>
                    <w:t>6</w:t>
                  </w:r>
                  <w:r w:rsidRPr="009B7CFA">
                    <w:rPr>
                      <w:rFonts w:cs="Arial"/>
                      <w:lang w:eastAsia="en-GB"/>
                    </w:rPr>
                    <w:t>%</w:t>
                  </w:r>
                </w:p>
              </w:tc>
              <w:tc>
                <w:tcPr>
                  <w:tcW w:w="1985" w:type="dxa"/>
                  <w:tcBorders>
                    <w:top w:val="nil"/>
                    <w:left w:val="nil"/>
                    <w:bottom w:val="nil"/>
                    <w:right w:val="nil"/>
                  </w:tcBorders>
                </w:tcPr>
                <w:p w14:paraId="50BED3E4" w14:textId="77777777" w:rsidR="007B42A4" w:rsidRPr="009B7CFA" w:rsidRDefault="007B42A4" w:rsidP="007B42A4">
                  <w:pPr>
                    <w:jc w:val="center"/>
                    <w:rPr>
                      <w:rFonts w:cs="Arial"/>
                      <w:lang w:eastAsia="en-GB"/>
                    </w:rPr>
                  </w:pPr>
                </w:p>
              </w:tc>
            </w:tr>
            <w:tr w:rsidR="009B7CFA" w:rsidRPr="009B7CFA" w14:paraId="50BED3EA" w14:textId="77777777" w:rsidTr="001E26DF">
              <w:trPr>
                <w:trHeight w:val="288"/>
              </w:trPr>
              <w:tc>
                <w:tcPr>
                  <w:tcW w:w="4423" w:type="dxa"/>
                  <w:tcBorders>
                    <w:top w:val="nil"/>
                    <w:left w:val="nil"/>
                    <w:bottom w:val="nil"/>
                    <w:right w:val="nil"/>
                  </w:tcBorders>
                  <w:shd w:val="clear" w:color="auto" w:fill="auto"/>
                  <w:vAlign w:val="bottom"/>
                  <w:hideMark/>
                </w:tcPr>
                <w:p w14:paraId="50BED3E6" w14:textId="77777777" w:rsidR="007B42A4" w:rsidRPr="009B7CFA" w:rsidRDefault="007B42A4" w:rsidP="007B42A4">
                  <w:pPr>
                    <w:rPr>
                      <w:rFonts w:cs="Arial"/>
                      <w:lang w:eastAsia="en-GB"/>
                    </w:rPr>
                  </w:pPr>
                  <w:r w:rsidRPr="009B7CFA">
                    <w:rPr>
                      <w:rFonts w:cs="Arial"/>
                      <w:lang w:eastAsia="en-GB"/>
                    </w:rPr>
                    <w:t>Participants with a disability or health problems</w:t>
                  </w:r>
                </w:p>
              </w:tc>
              <w:tc>
                <w:tcPr>
                  <w:tcW w:w="1985" w:type="dxa"/>
                  <w:tcBorders>
                    <w:top w:val="nil"/>
                    <w:left w:val="nil"/>
                    <w:bottom w:val="nil"/>
                    <w:right w:val="nil"/>
                  </w:tcBorders>
                  <w:shd w:val="clear" w:color="auto" w:fill="auto"/>
                  <w:noWrap/>
                  <w:vAlign w:val="bottom"/>
                  <w:hideMark/>
                </w:tcPr>
                <w:p w14:paraId="50BED3E7" w14:textId="77777777" w:rsidR="007B42A4" w:rsidRPr="009B7CFA" w:rsidRDefault="00E41DEA" w:rsidP="007B42A4">
                  <w:pPr>
                    <w:jc w:val="center"/>
                    <w:rPr>
                      <w:rFonts w:cs="Arial"/>
                      <w:lang w:eastAsia="en-GB"/>
                    </w:rPr>
                  </w:pPr>
                  <w:r w:rsidRPr="009B7CFA">
                    <w:rPr>
                      <w:rFonts w:cs="Arial"/>
                      <w:lang w:eastAsia="en-GB"/>
                    </w:rPr>
                    <w:t>10</w:t>
                  </w:r>
                  <w:r w:rsidR="007B42A4" w:rsidRPr="009B7CFA">
                    <w:rPr>
                      <w:rFonts w:cs="Arial"/>
                      <w:lang w:eastAsia="en-GB"/>
                    </w:rPr>
                    <w:t>%</w:t>
                  </w:r>
                </w:p>
              </w:tc>
              <w:tc>
                <w:tcPr>
                  <w:tcW w:w="1985" w:type="dxa"/>
                  <w:tcBorders>
                    <w:top w:val="nil"/>
                    <w:left w:val="nil"/>
                    <w:bottom w:val="nil"/>
                    <w:right w:val="nil"/>
                  </w:tcBorders>
                  <w:shd w:val="clear" w:color="auto" w:fill="auto"/>
                  <w:vAlign w:val="bottom"/>
                </w:tcPr>
                <w:p w14:paraId="50BED3E8" w14:textId="77777777" w:rsidR="007B42A4" w:rsidRPr="009B7CFA" w:rsidRDefault="00E41DEA" w:rsidP="007B42A4">
                  <w:pPr>
                    <w:jc w:val="center"/>
                    <w:rPr>
                      <w:rFonts w:cs="Arial"/>
                      <w:lang w:eastAsia="en-GB"/>
                    </w:rPr>
                  </w:pPr>
                  <w:r w:rsidRPr="009B7CFA">
                    <w:rPr>
                      <w:rFonts w:cs="Arial"/>
                      <w:lang w:eastAsia="en-GB"/>
                    </w:rPr>
                    <w:t>10%</w:t>
                  </w:r>
                </w:p>
              </w:tc>
              <w:tc>
                <w:tcPr>
                  <w:tcW w:w="1985" w:type="dxa"/>
                  <w:tcBorders>
                    <w:top w:val="nil"/>
                    <w:left w:val="nil"/>
                    <w:bottom w:val="nil"/>
                    <w:right w:val="nil"/>
                  </w:tcBorders>
                </w:tcPr>
                <w:p w14:paraId="50BED3E9" w14:textId="77777777" w:rsidR="007B42A4" w:rsidRPr="009B7CFA" w:rsidRDefault="007B42A4" w:rsidP="007B42A4">
                  <w:pPr>
                    <w:jc w:val="center"/>
                    <w:rPr>
                      <w:rFonts w:cs="Arial"/>
                      <w:lang w:eastAsia="en-GB"/>
                    </w:rPr>
                  </w:pPr>
                </w:p>
              </w:tc>
            </w:tr>
            <w:tr w:rsidR="009B7CFA" w:rsidRPr="009B7CFA" w14:paraId="50BED3EF" w14:textId="77777777" w:rsidTr="001E26DF">
              <w:trPr>
                <w:trHeight w:val="288"/>
              </w:trPr>
              <w:tc>
                <w:tcPr>
                  <w:tcW w:w="4423" w:type="dxa"/>
                  <w:tcBorders>
                    <w:top w:val="nil"/>
                    <w:left w:val="nil"/>
                    <w:bottom w:val="nil"/>
                    <w:right w:val="nil"/>
                  </w:tcBorders>
                  <w:shd w:val="clear" w:color="auto" w:fill="auto"/>
                  <w:vAlign w:val="bottom"/>
                  <w:hideMark/>
                </w:tcPr>
                <w:p w14:paraId="50BED3EB" w14:textId="77777777" w:rsidR="007B42A4" w:rsidRPr="009B7CFA" w:rsidRDefault="007B42A4" w:rsidP="007B42A4">
                  <w:pPr>
                    <w:rPr>
                      <w:rFonts w:cs="Arial"/>
                      <w:lang w:eastAsia="en-GB"/>
                    </w:rPr>
                  </w:pPr>
                  <w:r w:rsidRPr="009B7CFA">
                    <w:rPr>
                      <w:rFonts w:cs="Arial"/>
                      <w:lang w:eastAsia="en-GB"/>
                    </w:rPr>
                    <w:t>Participants who are lone parents</w:t>
                  </w:r>
                </w:p>
              </w:tc>
              <w:tc>
                <w:tcPr>
                  <w:tcW w:w="1985" w:type="dxa"/>
                  <w:tcBorders>
                    <w:top w:val="nil"/>
                    <w:left w:val="nil"/>
                    <w:bottom w:val="nil"/>
                    <w:right w:val="nil"/>
                  </w:tcBorders>
                  <w:shd w:val="clear" w:color="auto" w:fill="auto"/>
                  <w:noWrap/>
                  <w:vAlign w:val="bottom"/>
                  <w:hideMark/>
                </w:tcPr>
                <w:p w14:paraId="50BED3EC" w14:textId="77777777" w:rsidR="007B42A4" w:rsidRPr="009B7CFA" w:rsidRDefault="00E41DEA" w:rsidP="007B42A4">
                  <w:pPr>
                    <w:jc w:val="center"/>
                    <w:rPr>
                      <w:rFonts w:cs="Arial"/>
                      <w:lang w:eastAsia="en-GB"/>
                    </w:rPr>
                  </w:pPr>
                  <w:r w:rsidRPr="009B7CFA">
                    <w:rPr>
                      <w:rFonts w:cs="Arial"/>
                      <w:lang w:eastAsia="en-GB"/>
                    </w:rPr>
                    <w:t>4</w:t>
                  </w:r>
                  <w:r w:rsidR="007B42A4" w:rsidRPr="009B7CFA">
                    <w:rPr>
                      <w:rFonts w:cs="Arial"/>
                      <w:lang w:eastAsia="en-GB"/>
                    </w:rPr>
                    <w:t>%</w:t>
                  </w:r>
                </w:p>
              </w:tc>
              <w:tc>
                <w:tcPr>
                  <w:tcW w:w="1985" w:type="dxa"/>
                  <w:tcBorders>
                    <w:top w:val="nil"/>
                    <w:left w:val="nil"/>
                    <w:bottom w:val="nil"/>
                    <w:right w:val="nil"/>
                  </w:tcBorders>
                  <w:shd w:val="clear" w:color="auto" w:fill="auto"/>
                  <w:vAlign w:val="bottom"/>
                </w:tcPr>
                <w:p w14:paraId="50BED3ED" w14:textId="77777777" w:rsidR="007B42A4" w:rsidRPr="009B7CFA" w:rsidRDefault="00E41DEA" w:rsidP="007B42A4">
                  <w:pPr>
                    <w:jc w:val="center"/>
                    <w:rPr>
                      <w:rFonts w:cs="Arial"/>
                      <w:lang w:eastAsia="en-GB"/>
                    </w:rPr>
                  </w:pPr>
                  <w:r w:rsidRPr="009B7CFA">
                    <w:rPr>
                      <w:rFonts w:cs="Arial"/>
                      <w:lang w:eastAsia="en-GB"/>
                    </w:rPr>
                    <w:t>6</w:t>
                  </w:r>
                  <w:r w:rsidR="007B42A4" w:rsidRPr="009B7CFA">
                    <w:rPr>
                      <w:rFonts w:cs="Arial"/>
                      <w:lang w:eastAsia="en-GB"/>
                    </w:rPr>
                    <w:t>%</w:t>
                  </w:r>
                </w:p>
              </w:tc>
              <w:tc>
                <w:tcPr>
                  <w:tcW w:w="1985" w:type="dxa"/>
                  <w:tcBorders>
                    <w:top w:val="nil"/>
                    <w:left w:val="nil"/>
                    <w:bottom w:val="nil"/>
                    <w:right w:val="nil"/>
                  </w:tcBorders>
                </w:tcPr>
                <w:p w14:paraId="50BED3EE" w14:textId="77777777" w:rsidR="007B42A4" w:rsidRPr="009B7CFA" w:rsidRDefault="007B42A4" w:rsidP="007B42A4">
                  <w:pPr>
                    <w:jc w:val="center"/>
                    <w:rPr>
                      <w:rFonts w:cs="Arial"/>
                      <w:lang w:eastAsia="en-GB"/>
                    </w:rPr>
                  </w:pPr>
                </w:p>
              </w:tc>
            </w:tr>
            <w:tr w:rsidR="009B7CFA" w:rsidRPr="009B7CFA" w14:paraId="50BED3F5" w14:textId="77777777" w:rsidTr="00610AE5">
              <w:trPr>
                <w:trHeight w:val="288"/>
              </w:trPr>
              <w:tc>
                <w:tcPr>
                  <w:tcW w:w="4423" w:type="dxa"/>
                  <w:tcBorders>
                    <w:top w:val="nil"/>
                    <w:left w:val="nil"/>
                    <w:bottom w:val="nil"/>
                    <w:right w:val="nil"/>
                  </w:tcBorders>
                  <w:shd w:val="clear" w:color="auto" w:fill="auto"/>
                </w:tcPr>
                <w:p w14:paraId="50BED3F0" w14:textId="77777777" w:rsidR="00E41DEA" w:rsidRPr="009B7CFA" w:rsidRDefault="00E41DEA" w:rsidP="00E41DEA">
                  <w:pPr>
                    <w:rPr>
                      <w:rFonts w:cs="Arial"/>
                      <w:lang w:eastAsia="en-GB"/>
                    </w:rPr>
                  </w:pPr>
                  <w:r w:rsidRPr="009B7CFA">
                    <w:t>Participants without basic skills</w:t>
                  </w:r>
                </w:p>
              </w:tc>
              <w:tc>
                <w:tcPr>
                  <w:tcW w:w="1985" w:type="dxa"/>
                  <w:tcBorders>
                    <w:top w:val="nil"/>
                    <w:left w:val="nil"/>
                    <w:bottom w:val="nil"/>
                    <w:right w:val="nil"/>
                  </w:tcBorders>
                  <w:shd w:val="clear" w:color="auto" w:fill="auto"/>
                  <w:noWrap/>
                </w:tcPr>
                <w:p w14:paraId="50BED3F1" w14:textId="77777777" w:rsidR="00E41DEA" w:rsidRPr="009B7CFA" w:rsidRDefault="00E41DEA" w:rsidP="00E41DEA">
                  <w:pPr>
                    <w:jc w:val="center"/>
                    <w:rPr>
                      <w:rFonts w:cs="Arial"/>
                      <w:lang w:eastAsia="en-GB"/>
                    </w:rPr>
                  </w:pPr>
                  <w:r w:rsidRPr="009B7CFA">
                    <w:t>16%</w:t>
                  </w:r>
                </w:p>
              </w:tc>
              <w:tc>
                <w:tcPr>
                  <w:tcW w:w="1985" w:type="dxa"/>
                  <w:tcBorders>
                    <w:top w:val="nil"/>
                    <w:left w:val="nil"/>
                    <w:bottom w:val="nil"/>
                    <w:right w:val="nil"/>
                  </w:tcBorders>
                  <w:shd w:val="clear" w:color="auto" w:fill="auto"/>
                </w:tcPr>
                <w:p w14:paraId="50BED3F2" w14:textId="77777777" w:rsidR="00E41DEA" w:rsidRPr="009B7CFA" w:rsidRDefault="00E41DEA" w:rsidP="00E41DEA">
                  <w:pPr>
                    <w:jc w:val="center"/>
                  </w:pPr>
                  <w:r w:rsidRPr="009B7CFA">
                    <w:t>18%</w:t>
                  </w:r>
                </w:p>
                <w:p w14:paraId="7B444CC6" w14:textId="77777777" w:rsidR="003B1BE5" w:rsidRDefault="003B1BE5" w:rsidP="00E41DEA">
                  <w:pPr>
                    <w:jc w:val="center"/>
                    <w:rPr>
                      <w:rFonts w:cs="Arial"/>
                      <w:lang w:eastAsia="en-GB"/>
                    </w:rPr>
                  </w:pPr>
                </w:p>
                <w:p w14:paraId="064230FC" w14:textId="77777777" w:rsidR="001C3992" w:rsidRDefault="001C3992" w:rsidP="00E41DEA">
                  <w:pPr>
                    <w:jc w:val="center"/>
                    <w:rPr>
                      <w:rFonts w:cs="Arial"/>
                      <w:lang w:eastAsia="en-GB"/>
                    </w:rPr>
                  </w:pPr>
                </w:p>
                <w:p w14:paraId="345DDA23" w14:textId="77777777" w:rsidR="001C3992" w:rsidRDefault="001C3992" w:rsidP="00E41DEA">
                  <w:pPr>
                    <w:jc w:val="center"/>
                    <w:rPr>
                      <w:rFonts w:cs="Arial"/>
                      <w:lang w:eastAsia="en-GB"/>
                    </w:rPr>
                  </w:pPr>
                </w:p>
                <w:p w14:paraId="0F863919" w14:textId="77777777" w:rsidR="001C3992" w:rsidRDefault="001C3992" w:rsidP="00E41DEA">
                  <w:pPr>
                    <w:jc w:val="center"/>
                    <w:rPr>
                      <w:rFonts w:cs="Arial"/>
                      <w:lang w:eastAsia="en-GB"/>
                    </w:rPr>
                  </w:pPr>
                </w:p>
                <w:p w14:paraId="50BED3F3" w14:textId="77777777" w:rsidR="001C3992" w:rsidRPr="009B7CFA" w:rsidRDefault="001C3992" w:rsidP="00E41DEA">
                  <w:pPr>
                    <w:jc w:val="center"/>
                    <w:rPr>
                      <w:rFonts w:cs="Arial"/>
                      <w:lang w:eastAsia="en-GB"/>
                    </w:rPr>
                  </w:pPr>
                </w:p>
              </w:tc>
              <w:tc>
                <w:tcPr>
                  <w:tcW w:w="1985" w:type="dxa"/>
                  <w:tcBorders>
                    <w:top w:val="nil"/>
                    <w:left w:val="nil"/>
                    <w:bottom w:val="nil"/>
                    <w:right w:val="nil"/>
                  </w:tcBorders>
                </w:tcPr>
                <w:p w14:paraId="50BED3F4" w14:textId="77777777" w:rsidR="00E41DEA" w:rsidRPr="009B7CFA" w:rsidRDefault="00E41DEA" w:rsidP="00E41DEA">
                  <w:pPr>
                    <w:jc w:val="center"/>
                    <w:rPr>
                      <w:rFonts w:cs="Arial"/>
                      <w:lang w:eastAsia="en-GB"/>
                    </w:rPr>
                  </w:pPr>
                </w:p>
              </w:tc>
            </w:tr>
          </w:tbl>
          <w:p w14:paraId="50BED3F6" w14:textId="77777777" w:rsidR="00FD3B0A" w:rsidRPr="00162B5B" w:rsidRDefault="00FD3B0A" w:rsidP="00162B5B">
            <w:pPr>
              <w:rPr>
                <w:rFonts w:cs="Arial"/>
                <w:color w:val="000000"/>
              </w:rPr>
            </w:pPr>
          </w:p>
        </w:tc>
      </w:tr>
      <w:tr w:rsidR="00967429" w:rsidRPr="00EF4406" w14:paraId="50BED3F9" w14:textId="77777777" w:rsidTr="000D51DE">
        <w:tc>
          <w:tcPr>
            <w:tcW w:w="9088" w:type="dxa"/>
            <w:shd w:val="clear" w:color="auto" w:fill="D9D9D9" w:themeFill="background1" w:themeFillShade="D9"/>
          </w:tcPr>
          <w:p w14:paraId="50BED3F8" w14:textId="77777777" w:rsidR="00967429" w:rsidRPr="00A005EF" w:rsidRDefault="00A005EF" w:rsidP="005E37D8">
            <w:pPr>
              <w:spacing w:before="120" w:after="120"/>
              <w:rPr>
                <w:b/>
                <w:bCs/>
              </w:rPr>
            </w:pPr>
            <w:r w:rsidRPr="00A005EF">
              <w:rPr>
                <w:b/>
              </w:rPr>
              <w:t>GEOGRAPHY / AREA OF DELIVERY</w:t>
            </w:r>
          </w:p>
        </w:tc>
      </w:tr>
      <w:tr w:rsidR="00967429" w:rsidRPr="0052695C" w14:paraId="50BED3FF" w14:textId="77777777" w:rsidTr="000D51DE">
        <w:trPr>
          <w:trHeight w:val="983"/>
        </w:trPr>
        <w:tc>
          <w:tcPr>
            <w:tcW w:w="9088" w:type="dxa"/>
          </w:tcPr>
          <w:p w14:paraId="50BED3FA" w14:textId="77777777" w:rsidR="00A005EF" w:rsidRDefault="00A005EF" w:rsidP="00A005EF"/>
          <w:p w14:paraId="194D8F0F" w14:textId="77777777" w:rsidR="001C3992" w:rsidRDefault="007E7731" w:rsidP="001C3992">
            <w:pPr>
              <w:rPr>
                <w:b/>
              </w:rPr>
            </w:pPr>
            <w:r>
              <w:rPr>
                <w:b/>
              </w:rPr>
              <w:t>LEP Specific</w:t>
            </w:r>
          </w:p>
          <w:p w14:paraId="50BED3FD" w14:textId="4F75F4FC" w:rsidR="00787807" w:rsidRPr="001C3992" w:rsidRDefault="00A005EF" w:rsidP="001C3992">
            <w:pPr>
              <w:rPr>
                <w:b/>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554089">
              <w:rPr>
                <w:rFonts w:cs="Arial"/>
              </w:rPr>
              <w:t>York</w:t>
            </w:r>
            <w:r w:rsidR="007B42A4">
              <w:rPr>
                <w:rFonts w:cs="Arial"/>
              </w:rPr>
              <w:t>, North Yorkshire &amp; East Riding</w:t>
            </w:r>
            <w:r w:rsidR="000304B2">
              <w:rPr>
                <w:rFonts w:cs="Arial"/>
              </w:rPr>
              <w:t xml:space="preserve"> </w:t>
            </w:r>
            <w:r w:rsidR="00105A7C">
              <w:rPr>
                <w:rFonts w:cs="Arial"/>
              </w:rPr>
              <w:t>Local Enterprise Partnership area</w:t>
            </w:r>
            <w:r w:rsidR="007C2B80">
              <w:rPr>
                <w:rFonts w:cs="Arial"/>
              </w:rPr>
              <w:t>.</w:t>
            </w:r>
          </w:p>
          <w:p w14:paraId="50BED3FE" w14:textId="77777777" w:rsidR="007C2B80" w:rsidRPr="00FF6CCA" w:rsidRDefault="007C2B80" w:rsidP="009F6502">
            <w:pPr>
              <w:autoSpaceDE w:val="0"/>
              <w:autoSpaceDN w:val="0"/>
              <w:adjustRightInd w:val="0"/>
            </w:pPr>
          </w:p>
        </w:tc>
      </w:tr>
      <w:tr w:rsidR="00967429" w:rsidRPr="00505117" w14:paraId="50BED401" w14:textId="77777777" w:rsidTr="000D51DE">
        <w:trPr>
          <w:trHeight w:val="510"/>
        </w:trPr>
        <w:tc>
          <w:tcPr>
            <w:tcW w:w="9088" w:type="dxa"/>
            <w:shd w:val="clear" w:color="auto" w:fill="D9D9D9" w:themeFill="background1" w:themeFillShade="D9"/>
          </w:tcPr>
          <w:p w14:paraId="50BED400" w14:textId="77777777" w:rsidR="00967429" w:rsidRPr="00A005EF" w:rsidRDefault="00A005EF" w:rsidP="00DA3E5E">
            <w:pPr>
              <w:spacing w:before="120" w:after="120"/>
              <w:rPr>
                <w:b/>
                <w:bCs/>
              </w:rPr>
            </w:pPr>
            <w:r w:rsidRPr="00A005EF">
              <w:rPr>
                <w:b/>
              </w:rPr>
              <w:t>FUNDING AND DELIVERABLES</w:t>
            </w:r>
          </w:p>
        </w:tc>
      </w:tr>
      <w:tr w:rsidR="00967429" w:rsidRPr="00EF4406" w14:paraId="50BED483" w14:textId="77777777" w:rsidTr="000D51DE">
        <w:trPr>
          <w:trHeight w:val="1408"/>
        </w:trPr>
        <w:tc>
          <w:tcPr>
            <w:tcW w:w="9088" w:type="dxa"/>
          </w:tcPr>
          <w:p w14:paraId="50BED402" w14:textId="77777777" w:rsidR="007E7731" w:rsidRDefault="007E7731" w:rsidP="00A005EF">
            <w:pPr>
              <w:rPr>
                <w:rFonts w:cs="Arial"/>
              </w:rPr>
            </w:pPr>
          </w:p>
          <w:p w14:paraId="50BED403" w14:textId="77777777" w:rsidR="007E7731" w:rsidRPr="00C107CE" w:rsidRDefault="007E7731" w:rsidP="00A005EF">
            <w:pPr>
              <w:rPr>
                <w:rFonts w:cs="Arial"/>
                <w:b/>
              </w:rPr>
            </w:pPr>
            <w:r>
              <w:rPr>
                <w:rFonts w:cs="Arial"/>
                <w:b/>
              </w:rPr>
              <w:t>LEP Specific</w:t>
            </w:r>
          </w:p>
          <w:p w14:paraId="50BED404" w14:textId="77777777" w:rsidR="007E7731" w:rsidRDefault="007E7731" w:rsidP="00A005EF">
            <w:pPr>
              <w:rPr>
                <w:rFonts w:cs="Arial"/>
              </w:rPr>
            </w:pPr>
          </w:p>
          <w:p w14:paraId="50BED405" w14:textId="355249A7" w:rsidR="00E41DEA" w:rsidRDefault="00475879" w:rsidP="00A005EF">
            <w:pPr>
              <w:rPr>
                <w:rFonts w:cs="Arial"/>
              </w:rPr>
            </w:pPr>
            <w:r w:rsidRPr="00BC7F87">
              <w:rPr>
                <w:rFonts w:cs="Arial"/>
              </w:rPr>
              <w:t>Currently</w:t>
            </w:r>
            <w:r w:rsidR="00A005EF" w:rsidRPr="00BC7F87">
              <w:rPr>
                <w:rFonts w:cs="Arial"/>
              </w:rPr>
              <w:t xml:space="preserve"> </w:t>
            </w:r>
            <w:r w:rsidR="002D24AF" w:rsidRPr="00623E92">
              <w:rPr>
                <w:rFonts w:cs="Arial"/>
                <w:b/>
              </w:rPr>
              <w:t>£</w:t>
            </w:r>
            <w:r w:rsidR="00A449E3">
              <w:rPr>
                <w:rFonts w:cs="Arial"/>
                <w:b/>
              </w:rPr>
              <w:t>426,000</w:t>
            </w:r>
            <w:r w:rsidR="002D24AF">
              <w:rPr>
                <w:rFonts w:cs="Arial"/>
              </w:rPr>
              <w:t xml:space="preserve"> </w:t>
            </w:r>
            <w:r w:rsidR="009552C2" w:rsidRPr="00BC7F87">
              <w:rPr>
                <w:rFonts w:cs="Arial"/>
              </w:rPr>
              <w:t>will be available</w:t>
            </w:r>
            <w:r w:rsidR="00C107CE" w:rsidRPr="00BC7F87">
              <w:rPr>
                <w:rFonts w:cs="Arial"/>
              </w:rPr>
              <w:t xml:space="preserve"> for the period from </w:t>
            </w:r>
            <w:r w:rsidR="001C3992">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E41DEA">
              <w:rPr>
                <w:rFonts w:cs="Arial"/>
              </w:rPr>
              <w:t>:</w:t>
            </w:r>
            <w:r w:rsidR="009552C2" w:rsidRPr="00BC7F87">
              <w:rPr>
                <w:rFonts w:cs="Arial"/>
              </w:rPr>
              <w:t xml:space="preserve"> </w:t>
            </w:r>
          </w:p>
          <w:p w14:paraId="50BED406" w14:textId="77777777" w:rsidR="00E41DEA" w:rsidRDefault="00E41DEA" w:rsidP="00A005EF">
            <w:pPr>
              <w:rPr>
                <w:rFonts w:cs="Arial"/>
              </w:rPr>
            </w:pPr>
          </w:p>
          <w:p w14:paraId="50BED407" w14:textId="77777777" w:rsidR="00E41DEA" w:rsidRDefault="00E41DEA" w:rsidP="00A005EF">
            <w:pPr>
              <w:rPr>
                <w:rFonts w:cs="Arial"/>
              </w:rPr>
            </w:pPr>
            <w:r>
              <w:rPr>
                <w:rFonts w:cs="Arial"/>
              </w:rPr>
              <w:t>£225,000 for More Developed</w:t>
            </w:r>
          </w:p>
          <w:p w14:paraId="50BED408" w14:textId="440460F3" w:rsidR="00E41DEA" w:rsidRDefault="003B1BE5" w:rsidP="00A005EF">
            <w:pPr>
              <w:rPr>
                <w:rFonts w:cs="Arial"/>
              </w:rPr>
            </w:pPr>
            <w:r>
              <w:rPr>
                <w:rFonts w:cs="Arial"/>
              </w:rPr>
              <w:t>£</w:t>
            </w:r>
            <w:r w:rsidR="00A449E3">
              <w:rPr>
                <w:rFonts w:cs="Arial"/>
              </w:rPr>
              <w:t>201,000</w:t>
            </w:r>
            <w:r w:rsidR="00E41DEA">
              <w:rPr>
                <w:rFonts w:cs="Arial"/>
              </w:rPr>
              <w:t xml:space="preserve"> for Transition</w:t>
            </w:r>
          </w:p>
          <w:p w14:paraId="50BED409" w14:textId="77777777" w:rsidR="00E41DEA" w:rsidRDefault="00E41DEA" w:rsidP="00A005EF">
            <w:pPr>
              <w:rPr>
                <w:rFonts w:cs="Arial"/>
              </w:rPr>
            </w:pPr>
          </w:p>
          <w:p w14:paraId="50BED40A" w14:textId="77777777" w:rsidR="00A005EF" w:rsidRDefault="00E41DEA" w:rsidP="00A005EF">
            <w:pPr>
              <w:rPr>
                <w:rFonts w:cs="Arial"/>
              </w:rPr>
            </w:pPr>
            <w:r w:rsidRPr="00BC7F87">
              <w:rPr>
                <w:rFonts w:cs="Arial"/>
              </w:rPr>
              <w:t>This</w:t>
            </w:r>
            <w:r w:rsidR="00C107CE" w:rsidRPr="00BC7F87">
              <w:rPr>
                <w:rFonts w:cs="Arial"/>
              </w:rPr>
              <w:t xml:space="preserve"> </w:t>
            </w:r>
            <w:r w:rsidR="009552C2" w:rsidRPr="00BC7F87">
              <w:rPr>
                <w:rFonts w:cs="Arial"/>
              </w:rPr>
              <w:t xml:space="preserve">may be increased if </w:t>
            </w:r>
            <w:r w:rsidR="00475879" w:rsidRPr="00BC7F87">
              <w:rPr>
                <w:rFonts w:cs="Arial"/>
              </w:rPr>
              <w:t>additional funding</w:t>
            </w:r>
            <w:r w:rsidR="009552C2" w:rsidRPr="00BC7F87">
              <w:rPr>
                <w:rFonts w:cs="Arial"/>
              </w:rPr>
              <w:t xml:space="preserve"> becomes available</w:t>
            </w:r>
            <w:r w:rsidR="00C107CE" w:rsidRPr="00BC7F87">
              <w:rPr>
                <w:rFonts w:cs="Arial"/>
              </w:rPr>
              <w:t>.</w:t>
            </w:r>
          </w:p>
          <w:p w14:paraId="50BED40B" w14:textId="77777777" w:rsidR="003B1BE5" w:rsidRDefault="003B1BE5" w:rsidP="00A005EF">
            <w:pPr>
              <w:rPr>
                <w:rFonts w:cs="Arial"/>
              </w:rPr>
            </w:pPr>
          </w:p>
          <w:p w14:paraId="50BED40C" w14:textId="10CA55F6"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50BED40D" w14:textId="77777777" w:rsidR="00394F36" w:rsidRPr="00BC7F87" w:rsidRDefault="00394F36" w:rsidP="00A005EF">
            <w:pPr>
              <w:rPr>
                <w:b/>
              </w:rPr>
            </w:pPr>
          </w:p>
          <w:p w14:paraId="50BED40E" w14:textId="77777777" w:rsidR="00627E01" w:rsidRDefault="00A005EF" w:rsidP="009F6502">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50BED410" w14:textId="77777777" w:rsidR="009B7CFA" w:rsidRDefault="009B7CFA" w:rsidP="009F6502">
            <w:pPr>
              <w:autoSpaceDE w:val="0"/>
              <w:autoSpaceDN w:val="0"/>
              <w:adjustRightInd w:val="0"/>
              <w:rPr>
                <w:rFonts w:cs="Arial"/>
              </w:rPr>
            </w:pPr>
          </w:p>
          <w:p w14:paraId="50BED411" w14:textId="77777777" w:rsidR="009B7CFA" w:rsidRDefault="00A62680" w:rsidP="009F6502">
            <w:pPr>
              <w:autoSpaceDE w:val="0"/>
              <w:autoSpaceDN w:val="0"/>
              <w:adjustRightInd w:val="0"/>
              <w:rPr>
                <w:rFonts w:cs="Arial"/>
                <w:b/>
              </w:rPr>
            </w:pPr>
            <w:r w:rsidRPr="00A62680">
              <w:rPr>
                <w:rFonts w:cs="Arial"/>
                <w:b/>
              </w:rPr>
              <w:t>More Developed £225,000</w:t>
            </w:r>
          </w:p>
          <w:p w14:paraId="50BED412" w14:textId="77777777" w:rsidR="00A62680" w:rsidRDefault="00A62680" w:rsidP="009F6502">
            <w:pPr>
              <w:autoSpaceDE w:val="0"/>
              <w:autoSpaceDN w:val="0"/>
              <w:adjustRightInd w:val="0"/>
              <w:rPr>
                <w:rFonts w:cs="Arial"/>
                <w:b/>
              </w:rPr>
            </w:pPr>
          </w:p>
          <w:tbl>
            <w:tblPr>
              <w:tblW w:w="8529" w:type="dxa"/>
              <w:tblLayout w:type="fixed"/>
              <w:tblLook w:val="04A0" w:firstRow="1" w:lastRow="0" w:firstColumn="1" w:lastColumn="0" w:noHBand="0" w:noVBand="1"/>
            </w:tblPr>
            <w:tblGrid>
              <w:gridCol w:w="4680"/>
              <w:gridCol w:w="1120"/>
              <w:gridCol w:w="1453"/>
              <w:gridCol w:w="1276"/>
            </w:tblGrid>
            <w:tr w:rsidR="00A62680" w:rsidRPr="00A62680" w14:paraId="50BED417" w14:textId="77777777" w:rsidTr="00A62680">
              <w:trPr>
                <w:trHeight w:val="860"/>
              </w:trPr>
              <w:tc>
                <w:tcPr>
                  <w:tcW w:w="46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13" w14:textId="77777777" w:rsidR="00A62680" w:rsidRPr="00A62680" w:rsidRDefault="00A62680" w:rsidP="00A62680">
                  <w:pPr>
                    <w:rPr>
                      <w:rFonts w:cs="Arial"/>
                      <w:b/>
                      <w:bCs/>
                      <w:color w:val="000000"/>
                      <w:sz w:val="20"/>
                      <w:szCs w:val="20"/>
                      <w:lang w:eastAsia="en-GB"/>
                    </w:rPr>
                  </w:pPr>
                  <w:r w:rsidRPr="00A62680">
                    <w:rPr>
                      <w:rFonts w:cs="Arial"/>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14"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Volumes</w:t>
                  </w:r>
                </w:p>
              </w:tc>
              <w:tc>
                <w:tcPr>
                  <w:tcW w:w="145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15"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0BED416"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w:t>
                  </w:r>
                </w:p>
              </w:tc>
            </w:tr>
            <w:tr w:rsidR="00A62680" w:rsidRPr="00A62680" w14:paraId="50BED41C"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18"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19"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354</w:t>
                  </w:r>
                </w:p>
              </w:tc>
              <w:tc>
                <w:tcPr>
                  <w:tcW w:w="145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BED41A"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£250</w:t>
                  </w:r>
                </w:p>
              </w:tc>
              <w:tc>
                <w:tcPr>
                  <w:tcW w:w="127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0BED41B"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£88,500</w:t>
                  </w:r>
                </w:p>
              </w:tc>
            </w:tr>
            <w:tr w:rsidR="00A62680" w:rsidRPr="00A62680" w14:paraId="50BED421"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1D"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PG01 Progression Paid Employment (EMP)</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1E" w14:textId="77777777" w:rsidR="00A62680" w:rsidRPr="00A62680" w:rsidRDefault="00A62680" w:rsidP="00A62680">
                  <w:pPr>
                    <w:jc w:val="center"/>
                    <w:rPr>
                      <w:rFonts w:cs="Arial"/>
                      <w:sz w:val="20"/>
                      <w:szCs w:val="20"/>
                      <w:lang w:eastAsia="en-GB"/>
                    </w:rPr>
                  </w:pPr>
                  <w:r w:rsidRPr="00A62680">
                    <w:rPr>
                      <w:rFonts w:cs="Arial"/>
                      <w:sz w:val="20"/>
                      <w:szCs w:val="20"/>
                      <w:lang w:eastAsia="en-GB"/>
                    </w:rPr>
                    <w:t>20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1F"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20"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£8,000</w:t>
                  </w:r>
                </w:p>
              </w:tc>
            </w:tr>
            <w:tr w:rsidR="00A62680" w:rsidRPr="00A62680" w14:paraId="50BED426"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22"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PG02 Progression Unpaid Employment (VOL)</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23" w14:textId="77777777" w:rsidR="00A62680" w:rsidRPr="00A62680" w:rsidRDefault="00A62680" w:rsidP="00A62680">
                  <w:pPr>
                    <w:jc w:val="center"/>
                    <w:rPr>
                      <w:rFonts w:cs="Arial"/>
                      <w:sz w:val="20"/>
                      <w:szCs w:val="20"/>
                      <w:lang w:eastAsia="en-GB"/>
                    </w:rPr>
                  </w:pPr>
                  <w:r w:rsidRPr="00A62680">
                    <w:rPr>
                      <w:rFonts w:cs="Arial"/>
                      <w:sz w:val="20"/>
                      <w:szCs w:val="20"/>
                      <w:lang w:eastAsia="en-GB"/>
                    </w:rPr>
                    <w:t>11</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24"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25"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£4,400</w:t>
                  </w:r>
                </w:p>
              </w:tc>
            </w:tr>
            <w:tr w:rsidR="00A62680" w:rsidRPr="00A62680" w14:paraId="50BED42B"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27"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28" w14:textId="77777777" w:rsidR="00A62680" w:rsidRPr="00A62680" w:rsidRDefault="00A62680" w:rsidP="00A62680">
                  <w:pPr>
                    <w:jc w:val="center"/>
                    <w:rPr>
                      <w:rFonts w:cs="Arial"/>
                      <w:sz w:val="20"/>
                      <w:szCs w:val="20"/>
                      <w:lang w:eastAsia="en-GB"/>
                    </w:rPr>
                  </w:pPr>
                  <w:r w:rsidRPr="00A62680">
                    <w:rPr>
                      <w:rFonts w:cs="Arial"/>
                      <w:sz w:val="20"/>
                      <w:szCs w:val="20"/>
                      <w:lang w:eastAsia="en-GB"/>
                    </w:rPr>
                    <w:t>20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29"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2A"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£8,000</w:t>
                  </w:r>
                </w:p>
              </w:tc>
            </w:tr>
            <w:tr w:rsidR="00A62680" w:rsidRPr="00A62680" w14:paraId="50BED430"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2C"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2D" w14:textId="77777777" w:rsidR="00A62680" w:rsidRPr="00A62680" w:rsidRDefault="00A62680" w:rsidP="00A62680">
                  <w:pPr>
                    <w:jc w:val="center"/>
                    <w:rPr>
                      <w:rFonts w:cs="Arial"/>
                      <w:sz w:val="20"/>
                      <w:szCs w:val="20"/>
                      <w:lang w:eastAsia="en-GB"/>
                    </w:rPr>
                  </w:pPr>
                  <w:r w:rsidRPr="00A62680">
                    <w:rPr>
                      <w:rFonts w:cs="Arial"/>
                      <w:sz w:val="20"/>
                      <w:szCs w:val="20"/>
                      <w:lang w:eastAsia="en-GB"/>
                    </w:rPr>
                    <w:t>20</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2E"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2F"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£8,000</w:t>
                  </w:r>
                </w:p>
              </w:tc>
            </w:tr>
            <w:tr w:rsidR="00A62680" w:rsidRPr="00A62680" w14:paraId="50BED435"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31"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PG05 Progression Traineeship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32" w14:textId="77777777" w:rsidR="00A62680" w:rsidRPr="00A62680" w:rsidRDefault="00A62680" w:rsidP="00A62680">
                  <w:pPr>
                    <w:jc w:val="center"/>
                    <w:rPr>
                      <w:rFonts w:cs="Arial"/>
                      <w:sz w:val="20"/>
                      <w:szCs w:val="20"/>
                      <w:lang w:eastAsia="en-GB"/>
                    </w:rPr>
                  </w:pPr>
                  <w:r w:rsidRPr="00A62680">
                    <w:rPr>
                      <w:rFonts w:cs="Arial"/>
                      <w:sz w:val="20"/>
                      <w:szCs w:val="20"/>
                      <w:lang w:eastAsia="en-GB"/>
                    </w:rPr>
                    <w:t>20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33"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34"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£8,000</w:t>
                  </w:r>
                </w:p>
              </w:tc>
            </w:tr>
            <w:tr w:rsidR="00A62680" w:rsidRPr="00A62680" w14:paraId="50BED43A"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36"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SD01 Employability Charter achieved</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37" w14:textId="77777777" w:rsidR="00A62680" w:rsidRPr="00A62680" w:rsidRDefault="00A62680" w:rsidP="00A62680">
                  <w:pPr>
                    <w:jc w:val="center"/>
                    <w:rPr>
                      <w:rFonts w:cs="Arial"/>
                      <w:sz w:val="20"/>
                      <w:szCs w:val="20"/>
                      <w:lang w:eastAsia="en-GB"/>
                    </w:rPr>
                  </w:pPr>
                  <w:r w:rsidRPr="00A62680">
                    <w:rPr>
                      <w:rFonts w:cs="Arial"/>
                      <w:sz w:val="20"/>
                      <w:szCs w:val="20"/>
                      <w:lang w:eastAsia="en-GB"/>
                    </w:rPr>
                    <w:t>5</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38"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£10,020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39"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£50,100</w:t>
                  </w:r>
                </w:p>
              </w:tc>
            </w:tr>
            <w:tr w:rsidR="00A62680" w:rsidRPr="00A62680" w14:paraId="50BED43F"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3B"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SD02 CEIAG quality mark achieved</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3C" w14:textId="77777777" w:rsidR="00A62680" w:rsidRPr="00A62680" w:rsidRDefault="00A62680" w:rsidP="00A62680">
                  <w:pPr>
                    <w:jc w:val="center"/>
                    <w:rPr>
                      <w:rFonts w:cs="Arial"/>
                      <w:sz w:val="20"/>
                      <w:szCs w:val="20"/>
                      <w:lang w:eastAsia="en-GB"/>
                    </w:rPr>
                  </w:pPr>
                  <w:r w:rsidRPr="00A62680">
                    <w:rPr>
                      <w:rFonts w:cs="Arial"/>
                      <w:sz w:val="20"/>
                      <w:szCs w:val="20"/>
                      <w:lang w:eastAsia="en-GB"/>
                    </w:rPr>
                    <w:t>20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3D"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£2,500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3E"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£50,000</w:t>
                  </w:r>
                </w:p>
              </w:tc>
            </w:tr>
            <w:tr w:rsidR="00A62680" w:rsidRPr="00A62680" w14:paraId="50BED444" w14:textId="77777777" w:rsidTr="00A62680">
              <w:trPr>
                <w:trHeight w:val="450"/>
              </w:trPr>
              <w:tc>
                <w:tcPr>
                  <w:tcW w:w="46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40"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Total</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ED441" w14:textId="77777777" w:rsidR="00A62680" w:rsidRPr="00A62680" w:rsidRDefault="00A62680" w:rsidP="00A62680">
                  <w:pPr>
                    <w:jc w:val="center"/>
                    <w:rPr>
                      <w:rFonts w:cs="Arial"/>
                      <w:sz w:val="20"/>
                      <w:szCs w:val="20"/>
                      <w:lang w:eastAsia="en-GB"/>
                    </w:rPr>
                  </w:pPr>
                  <w:r w:rsidRPr="00A62680">
                    <w:rPr>
                      <w:rFonts w:cs="Arial"/>
                      <w:sz w:val="20"/>
                      <w:szCs w:val="20"/>
                      <w:lang w:eastAsia="en-GB"/>
                    </w:rPr>
                    <w:t> </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BED442"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43"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£225,000</w:t>
                  </w:r>
                </w:p>
              </w:tc>
            </w:tr>
          </w:tbl>
          <w:p w14:paraId="50BED445" w14:textId="77777777" w:rsidR="00A62680" w:rsidRDefault="00A62680" w:rsidP="009F6502">
            <w:pPr>
              <w:autoSpaceDE w:val="0"/>
              <w:autoSpaceDN w:val="0"/>
              <w:adjustRightInd w:val="0"/>
              <w:rPr>
                <w:rFonts w:cs="Arial"/>
                <w:b/>
              </w:rPr>
            </w:pPr>
          </w:p>
          <w:p w14:paraId="50BED446" w14:textId="77777777" w:rsidR="00A62680" w:rsidRDefault="00A62680" w:rsidP="009F6502">
            <w:pPr>
              <w:autoSpaceDE w:val="0"/>
              <w:autoSpaceDN w:val="0"/>
              <w:adjustRightInd w:val="0"/>
              <w:rPr>
                <w:rFonts w:cs="Arial"/>
                <w:b/>
              </w:rPr>
            </w:pPr>
          </w:p>
          <w:p w14:paraId="50BED447" w14:textId="77777777" w:rsidR="00A62680" w:rsidRDefault="00A62680" w:rsidP="009F6502">
            <w:pPr>
              <w:autoSpaceDE w:val="0"/>
              <w:autoSpaceDN w:val="0"/>
              <w:adjustRightInd w:val="0"/>
              <w:rPr>
                <w:rFonts w:cs="Arial"/>
                <w:b/>
              </w:rPr>
            </w:pPr>
          </w:p>
          <w:p w14:paraId="50BED448" w14:textId="7708252A" w:rsidR="00A62680" w:rsidRPr="00A62680" w:rsidRDefault="00A62680" w:rsidP="009F6502">
            <w:pPr>
              <w:autoSpaceDE w:val="0"/>
              <w:autoSpaceDN w:val="0"/>
              <w:adjustRightInd w:val="0"/>
              <w:rPr>
                <w:rFonts w:cs="Arial"/>
                <w:b/>
              </w:rPr>
            </w:pPr>
            <w:r>
              <w:rPr>
                <w:rFonts w:cs="Arial"/>
                <w:b/>
              </w:rPr>
              <w:t>Transition £</w:t>
            </w:r>
            <w:r w:rsidR="00A449E3">
              <w:rPr>
                <w:rFonts w:cs="Arial"/>
                <w:b/>
              </w:rPr>
              <w:t>201,000</w:t>
            </w:r>
          </w:p>
          <w:p w14:paraId="50BED449" w14:textId="77777777" w:rsidR="00A62680" w:rsidRDefault="00A62680" w:rsidP="009F6502">
            <w:pPr>
              <w:autoSpaceDE w:val="0"/>
              <w:autoSpaceDN w:val="0"/>
              <w:adjustRightInd w:val="0"/>
              <w:rPr>
                <w:rFonts w:cs="Arial"/>
              </w:rPr>
            </w:pPr>
          </w:p>
          <w:tbl>
            <w:tblPr>
              <w:tblW w:w="8529" w:type="dxa"/>
              <w:tblLayout w:type="fixed"/>
              <w:tblLook w:val="04A0" w:firstRow="1" w:lastRow="0" w:firstColumn="1" w:lastColumn="0" w:noHBand="0" w:noVBand="1"/>
            </w:tblPr>
            <w:tblGrid>
              <w:gridCol w:w="4702"/>
              <w:gridCol w:w="1134"/>
              <w:gridCol w:w="1417"/>
              <w:gridCol w:w="1276"/>
            </w:tblGrid>
            <w:tr w:rsidR="00A62680" w:rsidRPr="00A62680" w14:paraId="50BED44E" w14:textId="77777777" w:rsidTr="008648C7">
              <w:trPr>
                <w:trHeight w:val="860"/>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4A" w14:textId="77777777" w:rsidR="00A62680" w:rsidRPr="00A62680" w:rsidRDefault="00A62680" w:rsidP="00A62680">
                  <w:pPr>
                    <w:rPr>
                      <w:rFonts w:cs="Arial"/>
                      <w:b/>
                      <w:bCs/>
                      <w:color w:val="000000"/>
                      <w:sz w:val="20"/>
                      <w:szCs w:val="20"/>
                      <w:lang w:eastAsia="en-GB"/>
                    </w:rPr>
                  </w:pPr>
                  <w:r w:rsidRPr="00A62680">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4B"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BED44C"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0BED44D" w14:textId="77777777" w:rsidR="00A62680" w:rsidRPr="00A62680" w:rsidRDefault="00A62680" w:rsidP="00A62680">
                  <w:pPr>
                    <w:jc w:val="center"/>
                    <w:rPr>
                      <w:rFonts w:cs="Arial"/>
                      <w:b/>
                      <w:bCs/>
                      <w:color w:val="000000"/>
                      <w:sz w:val="20"/>
                      <w:szCs w:val="20"/>
                      <w:lang w:eastAsia="en-GB"/>
                    </w:rPr>
                  </w:pPr>
                  <w:r w:rsidRPr="00A62680">
                    <w:rPr>
                      <w:rFonts w:cs="Arial"/>
                      <w:b/>
                      <w:bCs/>
                      <w:color w:val="000000"/>
                      <w:sz w:val="20"/>
                      <w:szCs w:val="20"/>
                      <w:lang w:eastAsia="en-GB"/>
                    </w:rPr>
                    <w:t>£</w:t>
                  </w:r>
                </w:p>
              </w:tc>
            </w:tr>
            <w:tr w:rsidR="00A62680" w:rsidRPr="00A62680" w14:paraId="50BED453"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4F"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50" w14:textId="0E86A2C3" w:rsidR="00A62680" w:rsidRPr="00A62680" w:rsidRDefault="008648C7" w:rsidP="00A62680">
                  <w:pPr>
                    <w:jc w:val="center"/>
                    <w:rPr>
                      <w:rFonts w:cs="Arial"/>
                      <w:color w:val="000000"/>
                      <w:sz w:val="20"/>
                      <w:szCs w:val="20"/>
                      <w:lang w:eastAsia="en-GB"/>
                    </w:rPr>
                  </w:pPr>
                  <w:r>
                    <w:rPr>
                      <w:rFonts w:cs="Arial"/>
                      <w:color w:val="000000"/>
                      <w:sz w:val="20"/>
                      <w:szCs w:val="20"/>
                      <w:lang w:eastAsia="en-GB"/>
                    </w:rPr>
                    <w:t>4</w:t>
                  </w:r>
                  <w:r w:rsidR="00A449E3">
                    <w:rPr>
                      <w:rFonts w:cs="Arial"/>
                      <w:color w:val="000000"/>
                      <w:sz w:val="20"/>
                      <w:szCs w:val="20"/>
                      <w:lang w:eastAsia="en-GB"/>
                    </w:rPr>
                    <w:t>28</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BED451"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£250</w:t>
                  </w:r>
                </w:p>
              </w:tc>
              <w:tc>
                <w:tcPr>
                  <w:tcW w:w="127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0BED452" w14:textId="5E1ED8E5"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w:t>
                  </w:r>
                  <w:r w:rsidR="00A449E3">
                    <w:rPr>
                      <w:rFonts w:cs="Arial"/>
                      <w:color w:val="000000"/>
                      <w:sz w:val="20"/>
                      <w:szCs w:val="20"/>
                      <w:lang w:eastAsia="en-GB"/>
                    </w:rPr>
                    <w:t>107,000</w:t>
                  </w:r>
                </w:p>
              </w:tc>
            </w:tr>
            <w:tr w:rsidR="00A62680" w:rsidRPr="00A62680" w14:paraId="50BED458"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54"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55" w14:textId="77777777" w:rsidR="00A62680" w:rsidRPr="00A62680" w:rsidRDefault="008648C7" w:rsidP="00A62680">
                  <w:pPr>
                    <w:jc w:val="center"/>
                    <w:rPr>
                      <w:rFonts w:cs="Arial"/>
                      <w:sz w:val="20"/>
                      <w:szCs w:val="20"/>
                      <w:lang w:eastAsia="en-GB"/>
                    </w:rPr>
                  </w:pPr>
                  <w:r>
                    <w:rPr>
                      <w:rFonts w:cs="Arial"/>
                      <w:sz w:val="20"/>
                      <w:szCs w:val="20"/>
                      <w:lang w:eastAsia="en-GB"/>
                    </w:rPr>
                    <w:t>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56"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57"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£10,000</w:t>
                  </w:r>
                </w:p>
              </w:tc>
            </w:tr>
            <w:tr w:rsidR="00A62680" w:rsidRPr="00A62680" w14:paraId="50BED45D"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59"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PG02 Progression Unpaid Employment (VOL)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5A" w14:textId="77777777" w:rsidR="00A62680" w:rsidRPr="00A62680" w:rsidRDefault="008648C7" w:rsidP="00A62680">
                  <w:pPr>
                    <w:jc w:val="center"/>
                    <w:rPr>
                      <w:rFonts w:cs="Arial"/>
                      <w:sz w:val="20"/>
                      <w:szCs w:val="20"/>
                      <w:lang w:eastAsia="en-GB"/>
                    </w:rPr>
                  </w:pPr>
                  <w:r>
                    <w:rPr>
                      <w:rFonts w:cs="Arial"/>
                      <w:sz w:val="20"/>
                      <w:szCs w:val="20"/>
                      <w:lang w:eastAsia="en-GB"/>
                    </w:rPr>
                    <w:t>20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5B"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5C"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£8,000</w:t>
                  </w:r>
                </w:p>
              </w:tc>
            </w:tr>
            <w:tr w:rsidR="00A62680" w:rsidRPr="00A62680" w14:paraId="50BED462"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5E"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5F" w14:textId="77777777" w:rsidR="00A62680" w:rsidRPr="00A62680" w:rsidRDefault="008648C7" w:rsidP="00A62680">
                  <w:pPr>
                    <w:jc w:val="center"/>
                    <w:rPr>
                      <w:rFonts w:cs="Arial"/>
                      <w:color w:val="000000"/>
                      <w:sz w:val="20"/>
                      <w:szCs w:val="20"/>
                      <w:lang w:eastAsia="en-GB"/>
                    </w:rPr>
                  </w:pPr>
                  <w:r>
                    <w:rPr>
                      <w:rFonts w:cs="Arial"/>
                      <w:color w:val="000000"/>
                      <w:sz w:val="20"/>
                      <w:szCs w:val="20"/>
                      <w:lang w:eastAsia="en-GB"/>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60"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61"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£12,000</w:t>
                  </w:r>
                </w:p>
              </w:tc>
            </w:tr>
            <w:tr w:rsidR="00A62680" w:rsidRPr="00A62680" w14:paraId="50BED467"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63"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64" w14:textId="77777777" w:rsidR="00A62680" w:rsidRPr="00A62680" w:rsidRDefault="008648C7" w:rsidP="00A62680">
                  <w:pPr>
                    <w:jc w:val="center"/>
                    <w:rPr>
                      <w:rFonts w:cs="Arial"/>
                      <w:sz w:val="20"/>
                      <w:szCs w:val="20"/>
                      <w:lang w:eastAsia="en-GB"/>
                    </w:rPr>
                  </w:pPr>
                  <w:r>
                    <w:rPr>
                      <w:rFonts w:cs="Arial"/>
                      <w:sz w:val="20"/>
                      <w:szCs w:val="20"/>
                      <w:lang w:eastAsia="en-GB"/>
                    </w:rPr>
                    <w:t>25</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65"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66"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£10,000</w:t>
                  </w:r>
                </w:p>
              </w:tc>
            </w:tr>
            <w:tr w:rsidR="00A62680" w:rsidRPr="00A62680" w14:paraId="50BED46C"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68"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PG05 Progression Traineeship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69" w14:textId="77777777" w:rsidR="00A62680" w:rsidRPr="00A62680" w:rsidRDefault="008648C7" w:rsidP="00A62680">
                  <w:pPr>
                    <w:jc w:val="center"/>
                    <w:rPr>
                      <w:rFonts w:cs="Arial"/>
                      <w:sz w:val="20"/>
                      <w:szCs w:val="20"/>
                      <w:lang w:eastAsia="en-GB"/>
                    </w:rPr>
                  </w:pPr>
                  <w:r>
                    <w:rPr>
                      <w:rFonts w:cs="Arial"/>
                      <w:sz w:val="20"/>
                      <w:szCs w:val="20"/>
                      <w:lang w:eastAsia="en-GB"/>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D46A"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6B"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£4,000</w:t>
                  </w:r>
                </w:p>
              </w:tc>
            </w:tr>
            <w:tr w:rsidR="00A62680" w:rsidRPr="00A62680" w14:paraId="50BED471"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0BED46D"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SD01 Employability Charter completed</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BED46E" w14:textId="77777777" w:rsidR="00A62680" w:rsidRPr="00A62680" w:rsidRDefault="008648C7" w:rsidP="00A62680">
                  <w:pPr>
                    <w:jc w:val="center"/>
                    <w:rPr>
                      <w:rFonts w:cs="Arial"/>
                      <w:sz w:val="20"/>
                      <w:szCs w:val="20"/>
                      <w:lang w:eastAsia="en-GB"/>
                    </w:rPr>
                  </w:pPr>
                  <w:r>
                    <w:rPr>
                      <w:rFonts w:cs="Arial"/>
                      <w:sz w:val="20"/>
                      <w:szCs w:val="20"/>
                      <w:lang w:eastAsia="en-GB"/>
                    </w:rPr>
                    <w:t>5</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BED46F"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£10,000</w:t>
                  </w:r>
                </w:p>
              </w:tc>
              <w:tc>
                <w:tcPr>
                  <w:tcW w:w="127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0BED470"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£50,000</w:t>
                  </w:r>
                </w:p>
              </w:tc>
            </w:tr>
            <w:tr w:rsidR="00A62680" w:rsidRPr="00A62680" w14:paraId="50BED476" w14:textId="77777777" w:rsidTr="008648C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BED472" w14:textId="77777777" w:rsidR="00A62680" w:rsidRPr="00A62680" w:rsidRDefault="00A62680" w:rsidP="00A62680">
                  <w:pPr>
                    <w:rPr>
                      <w:rFonts w:cs="Arial"/>
                      <w:color w:val="000000"/>
                      <w:sz w:val="20"/>
                      <w:szCs w:val="20"/>
                      <w:lang w:eastAsia="en-GB"/>
                    </w:rPr>
                  </w:pPr>
                  <w:r w:rsidRPr="00A62680">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ED473" w14:textId="77777777" w:rsidR="00A62680" w:rsidRPr="00A62680" w:rsidRDefault="00A62680" w:rsidP="00A62680">
                  <w:pPr>
                    <w:jc w:val="center"/>
                    <w:rPr>
                      <w:rFonts w:cs="Arial"/>
                      <w:sz w:val="20"/>
                      <w:szCs w:val="20"/>
                      <w:lang w:eastAsia="en-GB"/>
                    </w:rPr>
                  </w:pPr>
                  <w:r w:rsidRPr="00A62680">
                    <w:rPr>
                      <w:rFonts w:cs="Arial"/>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BED474" w14:textId="77777777"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ED475" w14:textId="6073C306" w:rsidR="00A62680" w:rsidRPr="00A62680" w:rsidRDefault="00A62680" w:rsidP="00A62680">
                  <w:pPr>
                    <w:jc w:val="center"/>
                    <w:rPr>
                      <w:rFonts w:cs="Arial"/>
                      <w:color w:val="000000"/>
                      <w:sz w:val="20"/>
                      <w:szCs w:val="20"/>
                      <w:lang w:eastAsia="en-GB"/>
                    </w:rPr>
                  </w:pPr>
                  <w:r w:rsidRPr="00A62680">
                    <w:rPr>
                      <w:rFonts w:cs="Arial"/>
                      <w:color w:val="000000"/>
                      <w:sz w:val="20"/>
                      <w:szCs w:val="20"/>
                      <w:lang w:eastAsia="en-GB"/>
                    </w:rPr>
                    <w:t>£</w:t>
                  </w:r>
                  <w:r w:rsidR="00A449E3">
                    <w:rPr>
                      <w:rFonts w:cs="Arial"/>
                      <w:color w:val="000000"/>
                      <w:sz w:val="20"/>
                      <w:szCs w:val="20"/>
                      <w:lang w:eastAsia="en-GB"/>
                    </w:rPr>
                    <w:t>201,000</w:t>
                  </w:r>
                </w:p>
              </w:tc>
            </w:tr>
          </w:tbl>
          <w:p w14:paraId="50BED477" w14:textId="77777777" w:rsidR="00A62680" w:rsidRDefault="00A62680" w:rsidP="009F6502">
            <w:pPr>
              <w:autoSpaceDE w:val="0"/>
              <w:autoSpaceDN w:val="0"/>
              <w:adjustRightInd w:val="0"/>
              <w:rPr>
                <w:rFonts w:cs="Arial"/>
              </w:rPr>
            </w:pPr>
          </w:p>
          <w:p w14:paraId="50BED478" w14:textId="77777777" w:rsidR="00A62680" w:rsidRDefault="00A62680" w:rsidP="009F6502">
            <w:pPr>
              <w:autoSpaceDE w:val="0"/>
              <w:autoSpaceDN w:val="0"/>
              <w:adjustRightInd w:val="0"/>
              <w:rPr>
                <w:rFonts w:cs="Arial"/>
              </w:rPr>
            </w:pPr>
          </w:p>
          <w:p w14:paraId="50BED479" w14:textId="77777777" w:rsidR="00A62680" w:rsidRDefault="00A62680" w:rsidP="009F6502">
            <w:pPr>
              <w:autoSpaceDE w:val="0"/>
              <w:autoSpaceDN w:val="0"/>
              <w:adjustRightInd w:val="0"/>
              <w:rPr>
                <w:rFonts w:cs="Arial"/>
              </w:rPr>
            </w:pPr>
          </w:p>
          <w:p w14:paraId="50BED47A" w14:textId="77777777" w:rsidR="00A62680" w:rsidRDefault="00A62680" w:rsidP="009F6502">
            <w:pPr>
              <w:autoSpaceDE w:val="0"/>
              <w:autoSpaceDN w:val="0"/>
              <w:adjustRightInd w:val="0"/>
              <w:rPr>
                <w:rFonts w:cs="Arial"/>
              </w:rPr>
            </w:pPr>
          </w:p>
          <w:p w14:paraId="50BED47B" w14:textId="77777777" w:rsidR="00A62680" w:rsidRDefault="00A62680" w:rsidP="009F6502">
            <w:pPr>
              <w:autoSpaceDE w:val="0"/>
              <w:autoSpaceDN w:val="0"/>
              <w:adjustRightInd w:val="0"/>
              <w:rPr>
                <w:rFonts w:cs="Arial"/>
              </w:rPr>
            </w:pPr>
          </w:p>
          <w:p w14:paraId="50BED47C" w14:textId="77777777" w:rsidR="00A62680" w:rsidRDefault="00A62680" w:rsidP="009F6502">
            <w:pPr>
              <w:autoSpaceDE w:val="0"/>
              <w:autoSpaceDN w:val="0"/>
              <w:adjustRightInd w:val="0"/>
              <w:rPr>
                <w:rFonts w:cs="Arial"/>
              </w:rPr>
            </w:pPr>
          </w:p>
          <w:p w14:paraId="50BED47D" w14:textId="77777777" w:rsidR="00A62680" w:rsidRDefault="00A62680" w:rsidP="009F6502">
            <w:pPr>
              <w:autoSpaceDE w:val="0"/>
              <w:autoSpaceDN w:val="0"/>
              <w:adjustRightInd w:val="0"/>
              <w:rPr>
                <w:rFonts w:cs="Arial"/>
              </w:rPr>
            </w:pPr>
          </w:p>
          <w:p w14:paraId="50BED47E" w14:textId="77777777" w:rsidR="00A62680" w:rsidRDefault="00A62680" w:rsidP="009F6502">
            <w:pPr>
              <w:autoSpaceDE w:val="0"/>
              <w:autoSpaceDN w:val="0"/>
              <w:adjustRightInd w:val="0"/>
              <w:rPr>
                <w:rFonts w:cs="Arial"/>
              </w:rPr>
            </w:pPr>
          </w:p>
          <w:p w14:paraId="50BED47F" w14:textId="77777777" w:rsidR="00A62680" w:rsidRDefault="00A62680" w:rsidP="009F6502">
            <w:pPr>
              <w:autoSpaceDE w:val="0"/>
              <w:autoSpaceDN w:val="0"/>
              <w:adjustRightInd w:val="0"/>
              <w:rPr>
                <w:rFonts w:cs="Arial"/>
              </w:rPr>
            </w:pPr>
          </w:p>
          <w:p w14:paraId="50BED480" w14:textId="77777777" w:rsidR="009B7CFA" w:rsidRDefault="009B7CFA" w:rsidP="009F6502">
            <w:pPr>
              <w:autoSpaceDE w:val="0"/>
              <w:autoSpaceDN w:val="0"/>
              <w:adjustRightInd w:val="0"/>
            </w:pPr>
          </w:p>
          <w:p w14:paraId="50BED481" w14:textId="77777777" w:rsidR="009F6502" w:rsidRDefault="009F6502" w:rsidP="009F6502">
            <w:pPr>
              <w:autoSpaceDE w:val="0"/>
              <w:autoSpaceDN w:val="0"/>
              <w:adjustRightInd w:val="0"/>
              <w:rPr>
                <w:rFonts w:cs="Arial"/>
                <w:b/>
              </w:rPr>
            </w:pPr>
          </w:p>
          <w:p w14:paraId="50BED482" w14:textId="77777777" w:rsidR="009F6502" w:rsidRPr="00DB2FA1" w:rsidRDefault="009F6502" w:rsidP="009F6502">
            <w:pPr>
              <w:autoSpaceDE w:val="0"/>
              <w:autoSpaceDN w:val="0"/>
              <w:adjustRightInd w:val="0"/>
              <w:rPr>
                <w:rFonts w:cs="Arial"/>
                <w:b/>
              </w:rPr>
            </w:pPr>
          </w:p>
        </w:tc>
      </w:tr>
    </w:tbl>
    <w:p w14:paraId="50BED484" w14:textId="77777777" w:rsidR="00A005EF" w:rsidRDefault="00A005EF"/>
    <w:p w14:paraId="28E7D7CF" w14:textId="77777777" w:rsidR="006D1D45" w:rsidRDefault="006D1D45"/>
    <w:p w14:paraId="614EE774" w14:textId="77777777" w:rsidR="006D1D45" w:rsidRDefault="006D1D45"/>
    <w:p w14:paraId="2B124361" w14:textId="77777777" w:rsidR="006D1D45" w:rsidRDefault="006D1D45"/>
    <w:p w14:paraId="76AFABD7" w14:textId="77777777" w:rsidR="006D1D45" w:rsidRDefault="006D1D45"/>
    <w:p w14:paraId="4C603B82" w14:textId="77777777" w:rsidR="006D1D45" w:rsidRDefault="006D1D45"/>
    <w:p w14:paraId="22D7D35A" w14:textId="77777777" w:rsidR="006D1D45" w:rsidRDefault="006D1D45"/>
    <w:p w14:paraId="4CD3F777" w14:textId="77777777" w:rsidR="006D1D45" w:rsidRDefault="006D1D45"/>
    <w:p w14:paraId="7AC96CEA" w14:textId="77777777" w:rsidR="006D1D45" w:rsidRDefault="006D1D45"/>
    <w:p w14:paraId="1C64414D" w14:textId="77777777" w:rsidR="006D1D45" w:rsidRDefault="006D1D45"/>
    <w:p w14:paraId="4D29D6DA" w14:textId="77777777" w:rsidR="006D1D45" w:rsidRDefault="006D1D45"/>
    <w:p w14:paraId="592445A8" w14:textId="77777777" w:rsidR="006D1D45" w:rsidRDefault="006D1D45"/>
    <w:p w14:paraId="5F911D6A" w14:textId="77777777" w:rsidR="006D1D45" w:rsidRDefault="006D1D45"/>
    <w:p w14:paraId="5D224E1D" w14:textId="77777777" w:rsidR="006D1D45" w:rsidRDefault="006D1D45"/>
    <w:p w14:paraId="081B89E0" w14:textId="77777777" w:rsidR="006D1D45" w:rsidRDefault="006D1D45"/>
    <w:p w14:paraId="238519F6" w14:textId="77777777" w:rsidR="006D1D45" w:rsidRDefault="006D1D45"/>
    <w:p w14:paraId="4441C610" w14:textId="77777777" w:rsidR="006D1D45" w:rsidRDefault="006D1D45"/>
    <w:p w14:paraId="2A582988" w14:textId="77777777" w:rsidR="006D1D45" w:rsidRDefault="006D1D45"/>
    <w:p w14:paraId="133E1875" w14:textId="77777777" w:rsidR="006D1D45" w:rsidRDefault="006D1D45">
      <w:bookmarkStart w:id="0" w:name="_GoBack"/>
      <w:bookmarkEnd w:id="0"/>
    </w:p>
    <w:sectPr w:rsidR="006D1D45"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1364" w14:textId="77777777" w:rsidR="00206AF8" w:rsidRDefault="00206AF8">
      <w:r>
        <w:separator/>
      </w:r>
    </w:p>
  </w:endnote>
  <w:endnote w:type="continuationSeparator" w:id="0">
    <w:p w14:paraId="5BA1C3E3" w14:textId="77777777" w:rsidR="00206AF8" w:rsidRDefault="0020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0BED492" w14:textId="77777777" w:rsidR="00267691" w:rsidRDefault="002676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50BED495" w14:textId="77777777" w:rsidTr="009808AC">
          <w:tc>
            <w:tcPr>
              <w:tcW w:w="4908" w:type="dxa"/>
            </w:tcPr>
            <w:p w14:paraId="50BED493" w14:textId="77777777" w:rsidR="00267691" w:rsidRDefault="00267691" w:rsidP="009808AC">
              <w:pPr>
                <w:pStyle w:val="Footer"/>
              </w:pPr>
            </w:p>
          </w:tc>
          <w:tc>
            <w:tcPr>
              <w:tcW w:w="3869" w:type="dxa"/>
            </w:tcPr>
            <w:p w14:paraId="50BED494" w14:textId="77777777" w:rsidR="00267691" w:rsidRDefault="0026769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E5FDD">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E5FDD">
                <w:rPr>
                  <w:b/>
                  <w:bCs/>
                  <w:noProof/>
                </w:rPr>
                <w:t>12</w:t>
              </w:r>
              <w:r>
                <w:rPr>
                  <w:b/>
                  <w:bCs/>
                </w:rPr>
                <w:fldChar w:fldCharType="end"/>
              </w:r>
            </w:p>
          </w:tc>
        </w:tr>
      </w:tbl>
      <w:p w14:paraId="50BED496" w14:textId="77777777" w:rsidR="00267691" w:rsidRDefault="00206AF8">
        <w:pPr>
          <w:pStyle w:val="Footer"/>
          <w:jc w:val="right"/>
        </w:pPr>
      </w:p>
    </w:sdtContent>
  </w:sdt>
  <w:p w14:paraId="50BED497" w14:textId="77777777" w:rsidR="00267691" w:rsidRDefault="0026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95496" w14:textId="77777777" w:rsidR="00206AF8" w:rsidRDefault="00206AF8">
      <w:r>
        <w:separator/>
      </w:r>
    </w:p>
  </w:footnote>
  <w:footnote w:type="continuationSeparator" w:id="0">
    <w:p w14:paraId="19D6D600" w14:textId="77777777" w:rsidR="00206AF8" w:rsidRDefault="00206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0BED491" w14:textId="77777777" w:rsidR="00267691" w:rsidRDefault="00206AF8">
        <w:pPr>
          <w:pStyle w:val="Header"/>
        </w:pPr>
        <w:r>
          <w:rPr>
            <w:noProof/>
            <w:lang w:val="en-US"/>
          </w:rPr>
          <w:pict w14:anchorId="50BE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A213278"/>
    <w:multiLevelType w:val="hybridMultilevel"/>
    <w:tmpl w:val="C85E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5161A"/>
    <w:multiLevelType w:val="hybridMultilevel"/>
    <w:tmpl w:val="4E00C48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2"/>
  </w:num>
  <w:num w:numId="3">
    <w:abstractNumId w:val="20"/>
  </w:num>
  <w:num w:numId="4">
    <w:abstractNumId w:val="20"/>
  </w:num>
  <w:num w:numId="5">
    <w:abstractNumId w:val="2"/>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8"/>
  </w:num>
  <w:num w:numId="11">
    <w:abstractNumId w:val="16"/>
  </w:num>
  <w:num w:numId="12">
    <w:abstractNumId w:val="23"/>
  </w:num>
  <w:num w:numId="13">
    <w:abstractNumId w:val="19"/>
  </w:num>
  <w:num w:numId="14">
    <w:abstractNumId w:val="14"/>
  </w:num>
  <w:num w:numId="15">
    <w:abstractNumId w:val="10"/>
  </w:num>
  <w:num w:numId="16">
    <w:abstractNumId w:val="7"/>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8"/>
  </w:num>
  <w:num w:numId="28">
    <w:abstractNumId w:val="13"/>
  </w:num>
  <w:num w:numId="29">
    <w:abstractNumId w:val="5"/>
  </w:num>
  <w:num w:numId="30">
    <w:abstractNumId w:val="24"/>
  </w:num>
  <w:num w:numId="31">
    <w:abstractNumId w:val="3"/>
  </w:num>
  <w:num w:numId="32">
    <w:abstractNumId w:val="9"/>
  </w:num>
  <w:num w:numId="3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A4E"/>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20DA"/>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40D"/>
    <w:rsid w:val="000E66D3"/>
    <w:rsid w:val="000F0F49"/>
    <w:rsid w:val="000F1295"/>
    <w:rsid w:val="000F1BF3"/>
    <w:rsid w:val="000F5327"/>
    <w:rsid w:val="00101C79"/>
    <w:rsid w:val="00105A7C"/>
    <w:rsid w:val="00110113"/>
    <w:rsid w:val="00111F99"/>
    <w:rsid w:val="0012138E"/>
    <w:rsid w:val="00123C60"/>
    <w:rsid w:val="00131443"/>
    <w:rsid w:val="0013204A"/>
    <w:rsid w:val="00133A11"/>
    <w:rsid w:val="00136327"/>
    <w:rsid w:val="00137737"/>
    <w:rsid w:val="00143A7D"/>
    <w:rsid w:val="00143BCC"/>
    <w:rsid w:val="0014553F"/>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3992"/>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1FAC"/>
    <w:rsid w:val="0020278B"/>
    <w:rsid w:val="00202EA7"/>
    <w:rsid w:val="00204192"/>
    <w:rsid w:val="00204794"/>
    <w:rsid w:val="0020486E"/>
    <w:rsid w:val="00206AF8"/>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56012"/>
    <w:rsid w:val="00257DCB"/>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24AF"/>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251F"/>
    <w:rsid w:val="003436BF"/>
    <w:rsid w:val="00343705"/>
    <w:rsid w:val="003437A8"/>
    <w:rsid w:val="003441FF"/>
    <w:rsid w:val="00344FA1"/>
    <w:rsid w:val="003531F2"/>
    <w:rsid w:val="0035514D"/>
    <w:rsid w:val="00363111"/>
    <w:rsid w:val="0036417A"/>
    <w:rsid w:val="00365815"/>
    <w:rsid w:val="00370ADD"/>
    <w:rsid w:val="003711BA"/>
    <w:rsid w:val="003726C1"/>
    <w:rsid w:val="00372BC6"/>
    <w:rsid w:val="00375F41"/>
    <w:rsid w:val="003766B7"/>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1BE5"/>
    <w:rsid w:val="003B6ACC"/>
    <w:rsid w:val="003B6D47"/>
    <w:rsid w:val="003C070A"/>
    <w:rsid w:val="003C218D"/>
    <w:rsid w:val="003C3FC1"/>
    <w:rsid w:val="003C436C"/>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21F0"/>
    <w:rsid w:val="004D3F78"/>
    <w:rsid w:val="004D45FA"/>
    <w:rsid w:val="004D7820"/>
    <w:rsid w:val="004D7B45"/>
    <w:rsid w:val="004E5C17"/>
    <w:rsid w:val="005005F6"/>
    <w:rsid w:val="0050287E"/>
    <w:rsid w:val="00502963"/>
    <w:rsid w:val="00503222"/>
    <w:rsid w:val="00503817"/>
    <w:rsid w:val="00505330"/>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089"/>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3775"/>
    <w:rsid w:val="005C44C5"/>
    <w:rsid w:val="005C5996"/>
    <w:rsid w:val="005C5B32"/>
    <w:rsid w:val="005C74C2"/>
    <w:rsid w:val="005D131C"/>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36DD"/>
    <w:rsid w:val="0062374F"/>
    <w:rsid w:val="00623E92"/>
    <w:rsid w:val="006254BD"/>
    <w:rsid w:val="00627E01"/>
    <w:rsid w:val="006321E9"/>
    <w:rsid w:val="00647DBD"/>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C7A9E"/>
    <w:rsid w:val="006D1D45"/>
    <w:rsid w:val="006D484F"/>
    <w:rsid w:val="006D5858"/>
    <w:rsid w:val="006E31CF"/>
    <w:rsid w:val="006E4BB8"/>
    <w:rsid w:val="006E609B"/>
    <w:rsid w:val="006E6DED"/>
    <w:rsid w:val="006E7CEE"/>
    <w:rsid w:val="006F2654"/>
    <w:rsid w:val="006F33C3"/>
    <w:rsid w:val="006F520C"/>
    <w:rsid w:val="006F59E0"/>
    <w:rsid w:val="007002C7"/>
    <w:rsid w:val="0070487E"/>
    <w:rsid w:val="0070702A"/>
    <w:rsid w:val="007118CF"/>
    <w:rsid w:val="007121E9"/>
    <w:rsid w:val="007167C9"/>
    <w:rsid w:val="0072012D"/>
    <w:rsid w:val="00721D14"/>
    <w:rsid w:val="007221B7"/>
    <w:rsid w:val="00722CB4"/>
    <w:rsid w:val="00723DA8"/>
    <w:rsid w:val="00733C44"/>
    <w:rsid w:val="00734B1E"/>
    <w:rsid w:val="007362B9"/>
    <w:rsid w:val="00736E23"/>
    <w:rsid w:val="00740BBC"/>
    <w:rsid w:val="00741E70"/>
    <w:rsid w:val="00742085"/>
    <w:rsid w:val="00744574"/>
    <w:rsid w:val="00746376"/>
    <w:rsid w:val="007544F0"/>
    <w:rsid w:val="00755E41"/>
    <w:rsid w:val="00757723"/>
    <w:rsid w:val="00757D21"/>
    <w:rsid w:val="0076010B"/>
    <w:rsid w:val="007654E6"/>
    <w:rsid w:val="00765616"/>
    <w:rsid w:val="00766D5A"/>
    <w:rsid w:val="00772BBA"/>
    <w:rsid w:val="00773DA2"/>
    <w:rsid w:val="0077412E"/>
    <w:rsid w:val="007779B8"/>
    <w:rsid w:val="00780C7F"/>
    <w:rsid w:val="00784172"/>
    <w:rsid w:val="00785103"/>
    <w:rsid w:val="00787807"/>
    <w:rsid w:val="00794997"/>
    <w:rsid w:val="00795FB8"/>
    <w:rsid w:val="007977E5"/>
    <w:rsid w:val="00797BD3"/>
    <w:rsid w:val="007A1505"/>
    <w:rsid w:val="007A1663"/>
    <w:rsid w:val="007A38DA"/>
    <w:rsid w:val="007A3B66"/>
    <w:rsid w:val="007A49FF"/>
    <w:rsid w:val="007A4CDA"/>
    <w:rsid w:val="007A63F7"/>
    <w:rsid w:val="007B305F"/>
    <w:rsid w:val="007B33D4"/>
    <w:rsid w:val="007B42A4"/>
    <w:rsid w:val="007C1168"/>
    <w:rsid w:val="007C1C00"/>
    <w:rsid w:val="007C294F"/>
    <w:rsid w:val="007C2B80"/>
    <w:rsid w:val="007D184B"/>
    <w:rsid w:val="007D2251"/>
    <w:rsid w:val="007D25C3"/>
    <w:rsid w:val="007D2872"/>
    <w:rsid w:val="007E2C13"/>
    <w:rsid w:val="007E2F31"/>
    <w:rsid w:val="007E51DD"/>
    <w:rsid w:val="007E5629"/>
    <w:rsid w:val="007E7731"/>
    <w:rsid w:val="007F0830"/>
    <w:rsid w:val="007F51F2"/>
    <w:rsid w:val="007F575A"/>
    <w:rsid w:val="007F61A6"/>
    <w:rsid w:val="008040A8"/>
    <w:rsid w:val="00806C56"/>
    <w:rsid w:val="00812EC6"/>
    <w:rsid w:val="008139C0"/>
    <w:rsid w:val="0081783D"/>
    <w:rsid w:val="008441FE"/>
    <w:rsid w:val="00845EC7"/>
    <w:rsid w:val="0086257F"/>
    <w:rsid w:val="008648C7"/>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A07"/>
    <w:rsid w:val="008E0CA3"/>
    <w:rsid w:val="008E1A0A"/>
    <w:rsid w:val="008E2A7B"/>
    <w:rsid w:val="008E2EBC"/>
    <w:rsid w:val="008E2F9A"/>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351F"/>
    <w:rsid w:val="00975D7E"/>
    <w:rsid w:val="009808AC"/>
    <w:rsid w:val="009840A5"/>
    <w:rsid w:val="00987BF5"/>
    <w:rsid w:val="009907A3"/>
    <w:rsid w:val="009924E0"/>
    <w:rsid w:val="009945CA"/>
    <w:rsid w:val="009A48CE"/>
    <w:rsid w:val="009A64BE"/>
    <w:rsid w:val="009A79E6"/>
    <w:rsid w:val="009B020D"/>
    <w:rsid w:val="009B1204"/>
    <w:rsid w:val="009B1CF3"/>
    <w:rsid w:val="009B485E"/>
    <w:rsid w:val="009B6412"/>
    <w:rsid w:val="009B666D"/>
    <w:rsid w:val="009B7CFA"/>
    <w:rsid w:val="009C1A29"/>
    <w:rsid w:val="009C4474"/>
    <w:rsid w:val="009D12A3"/>
    <w:rsid w:val="009D12C5"/>
    <w:rsid w:val="009D13EE"/>
    <w:rsid w:val="009D327E"/>
    <w:rsid w:val="009D3D53"/>
    <w:rsid w:val="009D404E"/>
    <w:rsid w:val="009D55C8"/>
    <w:rsid w:val="009E0CB1"/>
    <w:rsid w:val="009E20A3"/>
    <w:rsid w:val="009E7A30"/>
    <w:rsid w:val="009F1166"/>
    <w:rsid w:val="009F51A8"/>
    <w:rsid w:val="009F6502"/>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49E3"/>
    <w:rsid w:val="00A477D1"/>
    <w:rsid w:val="00A503FD"/>
    <w:rsid w:val="00A524B5"/>
    <w:rsid w:val="00A60220"/>
    <w:rsid w:val="00A605B5"/>
    <w:rsid w:val="00A62680"/>
    <w:rsid w:val="00A62B87"/>
    <w:rsid w:val="00A63E89"/>
    <w:rsid w:val="00A6430E"/>
    <w:rsid w:val="00A653BB"/>
    <w:rsid w:val="00A668E8"/>
    <w:rsid w:val="00A73216"/>
    <w:rsid w:val="00A76A58"/>
    <w:rsid w:val="00A813F8"/>
    <w:rsid w:val="00A818CD"/>
    <w:rsid w:val="00A85142"/>
    <w:rsid w:val="00A85312"/>
    <w:rsid w:val="00A857B7"/>
    <w:rsid w:val="00A87E0F"/>
    <w:rsid w:val="00A91617"/>
    <w:rsid w:val="00A926B4"/>
    <w:rsid w:val="00A933DA"/>
    <w:rsid w:val="00A93F46"/>
    <w:rsid w:val="00A940C1"/>
    <w:rsid w:val="00A9434F"/>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E5FDD"/>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29FE"/>
    <w:rsid w:val="00B642BD"/>
    <w:rsid w:val="00B64855"/>
    <w:rsid w:val="00B650A9"/>
    <w:rsid w:val="00B6696F"/>
    <w:rsid w:val="00B66CC6"/>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1C54"/>
    <w:rsid w:val="00C13DE3"/>
    <w:rsid w:val="00C14DC6"/>
    <w:rsid w:val="00C20DCE"/>
    <w:rsid w:val="00C279B8"/>
    <w:rsid w:val="00C3030B"/>
    <w:rsid w:val="00C336D2"/>
    <w:rsid w:val="00C34EC6"/>
    <w:rsid w:val="00C3711A"/>
    <w:rsid w:val="00C4536B"/>
    <w:rsid w:val="00C47F4E"/>
    <w:rsid w:val="00C510A4"/>
    <w:rsid w:val="00C51CBE"/>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24836"/>
    <w:rsid w:val="00D30ED0"/>
    <w:rsid w:val="00D359D1"/>
    <w:rsid w:val="00D40CC3"/>
    <w:rsid w:val="00D4509F"/>
    <w:rsid w:val="00D47BED"/>
    <w:rsid w:val="00D501D9"/>
    <w:rsid w:val="00D52ABC"/>
    <w:rsid w:val="00D535E6"/>
    <w:rsid w:val="00D6167E"/>
    <w:rsid w:val="00D67580"/>
    <w:rsid w:val="00D70054"/>
    <w:rsid w:val="00D73447"/>
    <w:rsid w:val="00D74256"/>
    <w:rsid w:val="00D74BBA"/>
    <w:rsid w:val="00D75418"/>
    <w:rsid w:val="00D76FA8"/>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4CC5"/>
    <w:rsid w:val="00E275C2"/>
    <w:rsid w:val="00E37B6C"/>
    <w:rsid w:val="00E413C6"/>
    <w:rsid w:val="00E41BB7"/>
    <w:rsid w:val="00E41DEA"/>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343F"/>
    <w:rsid w:val="00EA356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5D61"/>
    <w:rsid w:val="00F66474"/>
    <w:rsid w:val="00F722BB"/>
    <w:rsid w:val="00F72938"/>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BED2E3"/>
  <w15:docId w15:val="{DB4E4A6E-A487-4036-A34F-3F46107D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8389">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4307671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E7BFF7EF-7BF4-4CA4-8FC8-1FE63338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3DAAE-A404-4D4B-A621-1D6CA12F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22874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4</cp:revision>
  <cp:lastPrinted>2015-12-16T12:57:00Z</cp:lastPrinted>
  <dcterms:created xsi:type="dcterms:W3CDTF">2016-07-28T09:31:00Z</dcterms:created>
  <dcterms:modified xsi:type="dcterms:W3CDTF">2016-07-28T09:32:00Z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