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4FAEA" w14:textId="62C88DD3" w:rsidR="00404DB5" w:rsidRPr="005060A8" w:rsidRDefault="0023444C" w:rsidP="005060A8">
      <w:pPr>
        <w:pStyle w:val="Heading1"/>
      </w:pPr>
      <w:r w:rsidRPr="00A628D7">
        <w:t>Key chang</w:t>
      </w:r>
      <w:r w:rsidRPr="005060A8">
        <w:t>es between the G-Cloud 11 and G-Cloud 12 Call</w:t>
      </w:r>
      <w:r w:rsidR="00A628D7" w:rsidRPr="00A628D7">
        <w:t>-</w:t>
      </w:r>
      <w:r w:rsidRPr="005060A8">
        <w:t>Off Contracts</w:t>
      </w:r>
    </w:p>
    <w:p w14:paraId="704AB6C6" w14:textId="77777777" w:rsidR="00404DB5" w:rsidRPr="00A628D7" w:rsidRDefault="00404DB5" w:rsidP="00E35E6D">
      <w:pPr>
        <w:pBdr>
          <w:top w:val="nil"/>
          <w:left w:val="nil"/>
          <w:bottom w:val="nil"/>
          <w:right w:val="nil"/>
          <w:between w:val="nil"/>
        </w:pBdr>
        <w:spacing w:line="240" w:lineRule="auto"/>
        <w:rPr>
          <w:rFonts w:eastAsia="Calibri"/>
          <w:color w:val="000000"/>
          <w:sz w:val="24"/>
          <w:szCs w:val="24"/>
        </w:rPr>
      </w:pPr>
    </w:p>
    <w:p w14:paraId="061A1826" w14:textId="74D89A4F" w:rsidR="00A628D7" w:rsidRPr="00A628D7" w:rsidRDefault="0023444C" w:rsidP="00E35E6D">
      <w:pPr>
        <w:pBdr>
          <w:top w:val="nil"/>
          <w:left w:val="nil"/>
          <w:bottom w:val="nil"/>
          <w:right w:val="nil"/>
          <w:between w:val="nil"/>
        </w:pBdr>
        <w:spacing w:line="240" w:lineRule="auto"/>
        <w:rPr>
          <w:rFonts w:eastAsia="Calibri"/>
          <w:color w:val="000000"/>
          <w:sz w:val="24"/>
          <w:szCs w:val="24"/>
        </w:rPr>
      </w:pPr>
      <w:bookmarkStart w:id="0" w:name="_heading=h.gjdgxs" w:colFirst="0" w:colLast="0"/>
      <w:bookmarkEnd w:id="0"/>
      <w:r w:rsidRPr="00A628D7">
        <w:rPr>
          <w:rFonts w:eastAsia="Calibri"/>
          <w:color w:val="000000"/>
          <w:sz w:val="24"/>
          <w:szCs w:val="24"/>
        </w:rPr>
        <w:t>Th</w:t>
      </w:r>
      <w:r w:rsidR="00A628D7" w:rsidRPr="00A628D7">
        <w:rPr>
          <w:rFonts w:eastAsia="Calibri"/>
          <w:color w:val="000000"/>
          <w:sz w:val="24"/>
          <w:szCs w:val="24"/>
        </w:rPr>
        <w:t>is document</w:t>
      </w:r>
      <w:r w:rsidRPr="00A628D7">
        <w:rPr>
          <w:rFonts w:eastAsia="Calibri"/>
          <w:color w:val="000000"/>
          <w:sz w:val="24"/>
          <w:szCs w:val="24"/>
        </w:rPr>
        <w:t xml:space="preserve"> sets out the key changes between the G-Cloud 1</w:t>
      </w:r>
      <w:r w:rsidR="00E35E6D" w:rsidRPr="00A628D7">
        <w:rPr>
          <w:rFonts w:eastAsia="Calibri"/>
          <w:color w:val="000000"/>
          <w:sz w:val="24"/>
          <w:szCs w:val="24"/>
        </w:rPr>
        <w:t>1</w:t>
      </w:r>
      <w:r w:rsidRPr="00A628D7">
        <w:rPr>
          <w:rFonts w:eastAsia="Calibri"/>
          <w:color w:val="000000"/>
          <w:sz w:val="24"/>
          <w:szCs w:val="24"/>
        </w:rPr>
        <w:t xml:space="preserve"> and G-Cloud 1</w:t>
      </w:r>
      <w:r w:rsidR="00E35E6D" w:rsidRPr="00A628D7">
        <w:rPr>
          <w:rFonts w:eastAsia="Calibri"/>
          <w:color w:val="000000"/>
          <w:sz w:val="24"/>
          <w:szCs w:val="24"/>
        </w:rPr>
        <w:t>2</w:t>
      </w:r>
      <w:r w:rsidRPr="00A628D7">
        <w:rPr>
          <w:rFonts w:eastAsia="Calibri"/>
          <w:color w:val="000000"/>
          <w:sz w:val="24"/>
          <w:szCs w:val="24"/>
        </w:rPr>
        <w:t xml:space="preserve"> Call</w:t>
      </w:r>
      <w:r w:rsidR="00A628D7" w:rsidRPr="00A628D7">
        <w:rPr>
          <w:rFonts w:eastAsia="Calibri"/>
          <w:color w:val="000000"/>
          <w:sz w:val="24"/>
          <w:szCs w:val="24"/>
        </w:rPr>
        <w:t>-</w:t>
      </w:r>
      <w:r w:rsidRPr="00A628D7">
        <w:rPr>
          <w:rFonts w:eastAsia="Calibri"/>
          <w:color w:val="000000"/>
          <w:sz w:val="24"/>
          <w:szCs w:val="24"/>
        </w:rPr>
        <w:t>Off Contracts. It does not set-out minor changes such as numbering and the capitalisation of individual terms</w:t>
      </w:r>
      <w:r w:rsidR="00A628D7" w:rsidRPr="00A628D7">
        <w:rPr>
          <w:rFonts w:eastAsia="Calibri"/>
          <w:color w:val="000000"/>
          <w:sz w:val="24"/>
          <w:szCs w:val="24"/>
        </w:rPr>
        <w:t>.</w:t>
      </w:r>
      <w:r w:rsidRPr="00A628D7">
        <w:rPr>
          <w:rFonts w:eastAsia="Calibri"/>
          <w:color w:val="000000"/>
          <w:sz w:val="24"/>
          <w:szCs w:val="24"/>
        </w:rPr>
        <w:t xml:space="preserve"> </w:t>
      </w:r>
      <w:r w:rsidR="00A628D7" w:rsidRPr="00A628D7">
        <w:rPr>
          <w:rFonts w:eastAsia="Calibri"/>
          <w:color w:val="000000"/>
          <w:sz w:val="24"/>
          <w:szCs w:val="24"/>
        </w:rPr>
        <w:t>A</w:t>
      </w:r>
      <w:r w:rsidRPr="00A628D7">
        <w:rPr>
          <w:rFonts w:eastAsia="Calibri"/>
          <w:color w:val="000000"/>
          <w:sz w:val="24"/>
          <w:szCs w:val="24"/>
        </w:rPr>
        <w:t>ll existing and new capitalised terms are defined under Call</w:t>
      </w:r>
      <w:r w:rsidR="00A628D7" w:rsidRPr="00A628D7">
        <w:rPr>
          <w:rFonts w:eastAsia="Calibri"/>
          <w:color w:val="000000"/>
          <w:sz w:val="24"/>
          <w:szCs w:val="24"/>
        </w:rPr>
        <w:t>-</w:t>
      </w:r>
      <w:r w:rsidRPr="00A628D7">
        <w:rPr>
          <w:rFonts w:eastAsia="Calibri"/>
          <w:color w:val="000000"/>
          <w:sz w:val="24"/>
          <w:szCs w:val="24"/>
        </w:rPr>
        <w:t>Off Contract Schedule 6</w:t>
      </w:r>
      <w:r w:rsidR="00A628D7" w:rsidRPr="00A628D7">
        <w:rPr>
          <w:rFonts w:eastAsia="Calibri"/>
          <w:color w:val="000000"/>
          <w:sz w:val="24"/>
          <w:szCs w:val="24"/>
        </w:rPr>
        <w:t>:</w:t>
      </w:r>
      <w:r w:rsidRPr="00A628D7">
        <w:rPr>
          <w:rFonts w:eastAsia="Calibri"/>
          <w:color w:val="000000"/>
          <w:sz w:val="24"/>
          <w:szCs w:val="24"/>
        </w:rPr>
        <w:t xml:space="preserve"> Glossary and Interpretations. </w:t>
      </w:r>
    </w:p>
    <w:p w14:paraId="238B92B9" w14:textId="77777777" w:rsidR="00A628D7" w:rsidRPr="00A628D7" w:rsidRDefault="00A628D7" w:rsidP="00E35E6D">
      <w:pPr>
        <w:pBdr>
          <w:top w:val="nil"/>
          <w:left w:val="nil"/>
          <w:bottom w:val="nil"/>
          <w:right w:val="nil"/>
          <w:between w:val="nil"/>
        </w:pBdr>
        <w:spacing w:line="240" w:lineRule="auto"/>
        <w:rPr>
          <w:rFonts w:eastAsia="Calibri"/>
          <w:color w:val="000000"/>
          <w:sz w:val="24"/>
          <w:szCs w:val="24"/>
        </w:rPr>
      </w:pPr>
    </w:p>
    <w:p w14:paraId="7D52CCFA" w14:textId="321D27C6" w:rsidR="00404DB5" w:rsidRPr="00A628D7" w:rsidRDefault="0023444C" w:rsidP="00E35E6D">
      <w:pPr>
        <w:pBdr>
          <w:top w:val="nil"/>
          <w:left w:val="nil"/>
          <w:bottom w:val="nil"/>
          <w:right w:val="nil"/>
          <w:between w:val="nil"/>
        </w:pBdr>
        <w:spacing w:line="240" w:lineRule="auto"/>
        <w:rPr>
          <w:rFonts w:eastAsia="Times New Roman"/>
          <w:color w:val="000000"/>
          <w:sz w:val="24"/>
          <w:szCs w:val="24"/>
        </w:rPr>
      </w:pPr>
      <w:r w:rsidRPr="00A628D7">
        <w:rPr>
          <w:rFonts w:eastAsia="Calibri"/>
          <w:color w:val="000000"/>
          <w:sz w:val="24"/>
          <w:szCs w:val="24"/>
        </w:rPr>
        <w:t>This is intended to be used as a guide and Applicants are recommended to complete their own checks.</w:t>
      </w:r>
    </w:p>
    <w:p w14:paraId="6C8E872E" w14:textId="77777777" w:rsidR="00404DB5" w:rsidRPr="00A628D7" w:rsidRDefault="00404DB5" w:rsidP="00E35E6D">
      <w:pPr>
        <w:rPr>
          <w:rFonts w:eastAsia="Calibri"/>
          <w:sz w:val="24"/>
          <w:szCs w:val="24"/>
        </w:rPr>
      </w:pPr>
    </w:p>
    <w:tbl>
      <w:tblPr>
        <w:tblStyle w:val="a0"/>
        <w:tblW w:w="13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05"/>
        <w:gridCol w:w="5325"/>
        <w:gridCol w:w="5520"/>
      </w:tblGrid>
      <w:tr w:rsidR="00404DB5" w:rsidRPr="00A628D7" w14:paraId="6BEF8E63" w14:textId="77777777">
        <w:tc>
          <w:tcPr>
            <w:tcW w:w="3105" w:type="dxa"/>
            <w:shd w:val="clear" w:color="auto" w:fill="auto"/>
            <w:tcMar>
              <w:top w:w="100" w:type="dxa"/>
              <w:left w:w="100" w:type="dxa"/>
              <w:bottom w:w="100" w:type="dxa"/>
              <w:right w:w="100" w:type="dxa"/>
            </w:tcMar>
          </w:tcPr>
          <w:p w14:paraId="32E4F35C" w14:textId="2302DF15" w:rsidR="00404DB5" w:rsidRPr="00A628D7" w:rsidRDefault="0023444C" w:rsidP="00E35E6D">
            <w:pPr>
              <w:widowControl w:val="0"/>
              <w:pBdr>
                <w:top w:val="nil"/>
                <w:left w:val="nil"/>
                <w:bottom w:val="nil"/>
                <w:right w:val="nil"/>
                <w:between w:val="nil"/>
              </w:pBdr>
              <w:spacing w:line="240" w:lineRule="auto"/>
              <w:rPr>
                <w:rFonts w:eastAsia="Calibri"/>
                <w:b/>
                <w:sz w:val="24"/>
                <w:szCs w:val="24"/>
              </w:rPr>
            </w:pPr>
            <w:r w:rsidRPr="00A628D7">
              <w:rPr>
                <w:rFonts w:eastAsia="Calibri"/>
                <w:b/>
                <w:sz w:val="24"/>
                <w:szCs w:val="24"/>
              </w:rPr>
              <w:t xml:space="preserve">Place in Call Off Contract Description of </w:t>
            </w:r>
            <w:r w:rsidR="00A628D7" w:rsidRPr="00A628D7">
              <w:rPr>
                <w:rFonts w:eastAsia="Calibri"/>
                <w:b/>
                <w:sz w:val="24"/>
                <w:szCs w:val="24"/>
              </w:rPr>
              <w:t>u</w:t>
            </w:r>
            <w:r w:rsidRPr="00A628D7">
              <w:rPr>
                <w:rFonts w:eastAsia="Calibri"/>
                <w:b/>
                <w:sz w:val="24"/>
                <w:szCs w:val="24"/>
              </w:rPr>
              <w:t xml:space="preserve">pdate </w:t>
            </w:r>
          </w:p>
        </w:tc>
        <w:tc>
          <w:tcPr>
            <w:tcW w:w="5325" w:type="dxa"/>
            <w:shd w:val="clear" w:color="auto" w:fill="auto"/>
            <w:tcMar>
              <w:top w:w="100" w:type="dxa"/>
              <w:left w:w="100" w:type="dxa"/>
              <w:bottom w:w="100" w:type="dxa"/>
              <w:right w:w="100" w:type="dxa"/>
            </w:tcMar>
          </w:tcPr>
          <w:p w14:paraId="1458EFCF" w14:textId="4034F0C9" w:rsidR="00404DB5" w:rsidRPr="00A628D7" w:rsidRDefault="0023444C" w:rsidP="00E35E6D">
            <w:pPr>
              <w:widowControl w:val="0"/>
              <w:pBdr>
                <w:top w:val="nil"/>
                <w:left w:val="nil"/>
                <w:bottom w:val="nil"/>
                <w:right w:val="nil"/>
                <w:between w:val="nil"/>
              </w:pBdr>
              <w:spacing w:line="240" w:lineRule="auto"/>
              <w:rPr>
                <w:rFonts w:eastAsia="Calibri"/>
                <w:b/>
                <w:sz w:val="24"/>
                <w:szCs w:val="24"/>
              </w:rPr>
            </w:pPr>
            <w:r w:rsidRPr="00A628D7">
              <w:rPr>
                <w:rFonts w:eastAsia="Calibri"/>
                <w:b/>
                <w:sz w:val="24"/>
                <w:szCs w:val="24"/>
              </w:rPr>
              <w:t>G-11 Call</w:t>
            </w:r>
            <w:r w:rsidR="00A628D7">
              <w:rPr>
                <w:rFonts w:eastAsia="Calibri"/>
                <w:b/>
                <w:sz w:val="24"/>
                <w:szCs w:val="24"/>
              </w:rPr>
              <w:t>-</w:t>
            </w:r>
            <w:r w:rsidRPr="00A628D7">
              <w:rPr>
                <w:rFonts w:eastAsia="Calibri"/>
                <w:b/>
                <w:sz w:val="24"/>
                <w:szCs w:val="24"/>
              </w:rPr>
              <w:t>Off Contract</w:t>
            </w:r>
          </w:p>
        </w:tc>
        <w:tc>
          <w:tcPr>
            <w:tcW w:w="5520" w:type="dxa"/>
            <w:shd w:val="clear" w:color="auto" w:fill="auto"/>
            <w:tcMar>
              <w:top w:w="100" w:type="dxa"/>
              <w:left w:w="100" w:type="dxa"/>
              <w:bottom w:w="100" w:type="dxa"/>
              <w:right w:w="100" w:type="dxa"/>
            </w:tcMar>
          </w:tcPr>
          <w:p w14:paraId="32F49471" w14:textId="4A0625C9" w:rsidR="00404DB5" w:rsidRPr="00A628D7" w:rsidRDefault="0023444C" w:rsidP="00E35E6D">
            <w:pPr>
              <w:widowControl w:val="0"/>
              <w:pBdr>
                <w:top w:val="nil"/>
                <w:left w:val="nil"/>
                <w:bottom w:val="nil"/>
                <w:right w:val="nil"/>
                <w:between w:val="nil"/>
              </w:pBdr>
              <w:spacing w:line="240" w:lineRule="auto"/>
              <w:rPr>
                <w:rFonts w:eastAsia="Calibri"/>
                <w:b/>
                <w:sz w:val="24"/>
                <w:szCs w:val="24"/>
              </w:rPr>
            </w:pPr>
            <w:r w:rsidRPr="00A628D7">
              <w:rPr>
                <w:rFonts w:eastAsia="Calibri"/>
                <w:b/>
                <w:sz w:val="24"/>
                <w:szCs w:val="24"/>
              </w:rPr>
              <w:t>G-12 Call</w:t>
            </w:r>
            <w:r w:rsidR="00A628D7">
              <w:rPr>
                <w:rFonts w:eastAsia="Calibri"/>
                <w:b/>
                <w:sz w:val="24"/>
                <w:szCs w:val="24"/>
              </w:rPr>
              <w:t>-</w:t>
            </w:r>
            <w:r w:rsidRPr="00A628D7">
              <w:rPr>
                <w:rFonts w:eastAsia="Calibri"/>
                <w:b/>
                <w:sz w:val="24"/>
                <w:szCs w:val="24"/>
              </w:rPr>
              <w:t>Off Contract</w:t>
            </w:r>
          </w:p>
        </w:tc>
      </w:tr>
      <w:tr w:rsidR="00425E55" w:rsidRPr="00A628D7" w14:paraId="705A5054" w14:textId="77777777" w:rsidTr="00A628D7">
        <w:tc>
          <w:tcPr>
            <w:tcW w:w="3105" w:type="dxa"/>
            <w:shd w:val="clear" w:color="auto" w:fill="auto"/>
            <w:tcMar>
              <w:top w:w="100" w:type="dxa"/>
              <w:left w:w="100" w:type="dxa"/>
              <w:bottom w:w="100" w:type="dxa"/>
              <w:right w:w="100" w:type="dxa"/>
            </w:tcMar>
          </w:tcPr>
          <w:p w14:paraId="1339C9F0" w14:textId="04D6DF45" w:rsidR="00425E55" w:rsidRPr="00425E55" w:rsidRDefault="00425E55" w:rsidP="00E35E6D">
            <w:pPr>
              <w:widowControl w:val="0"/>
              <w:pBdr>
                <w:top w:val="nil"/>
                <w:left w:val="nil"/>
                <w:bottom w:val="nil"/>
                <w:right w:val="nil"/>
                <w:between w:val="nil"/>
              </w:pBdr>
              <w:spacing w:line="240" w:lineRule="auto"/>
              <w:rPr>
                <w:rFonts w:eastAsia="Times New Roman"/>
                <w:color w:val="000000"/>
                <w:sz w:val="24"/>
                <w:szCs w:val="24"/>
              </w:rPr>
            </w:pPr>
            <w:r w:rsidRPr="00425E55">
              <w:rPr>
                <w:rFonts w:eastAsia="Times New Roman"/>
                <w:color w:val="000000"/>
                <w:sz w:val="24"/>
                <w:szCs w:val="24"/>
              </w:rPr>
              <w:t>Call-off Contract Part B Clause 16.5</w:t>
            </w:r>
          </w:p>
        </w:tc>
        <w:tc>
          <w:tcPr>
            <w:tcW w:w="5325" w:type="dxa"/>
            <w:shd w:val="clear" w:color="auto" w:fill="auto"/>
            <w:tcMar>
              <w:top w:w="100" w:type="dxa"/>
              <w:left w:w="100" w:type="dxa"/>
              <w:bottom w:w="100" w:type="dxa"/>
              <w:right w:w="100" w:type="dxa"/>
            </w:tcMar>
          </w:tcPr>
          <w:p w14:paraId="743B4AAE" w14:textId="77777777" w:rsidR="00425E55" w:rsidRPr="00425E55" w:rsidRDefault="00425E55" w:rsidP="00425E55">
            <w:pPr>
              <w:widowControl w:val="0"/>
              <w:spacing w:after="200"/>
              <w:rPr>
                <w:rFonts w:eastAsia="Helvetica Neue"/>
                <w:sz w:val="24"/>
                <w:szCs w:val="24"/>
                <w:lang w:eastAsia="en-US"/>
              </w:rPr>
            </w:pPr>
            <w:r w:rsidRPr="00425E55">
              <w:rPr>
                <w:rFonts w:eastAsia="Helvetica Neue"/>
                <w:sz w:val="24"/>
                <w:szCs w:val="24"/>
                <w:lang w:eastAsia="en-US"/>
              </w:rPr>
              <w:t xml:space="preserve">The Supplier will immediately notify </w:t>
            </w:r>
            <w:r w:rsidRPr="00425E55">
              <w:rPr>
                <w:rFonts w:eastAsia="Helvetica Neue"/>
                <w:b/>
                <w:sz w:val="24"/>
                <w:szCs w:val="24"/>
                <w:lang w:eastAsia="en-US"/>
              </w:rPr>
              <w:t>CCS</w:t>
            </w:r>
            <w:r w:rsidRPr="00425E55">
              <w:rPr>
                <w:rFonts w:eastAsia="Helvetica Neue"/>
                <w:sz w:val="24"/>
                <w:szCs w:val="24"/>
                <w:lang w:eastAsia="en-US"/>
              </w:rPr>
              <w:t xml:space="preserve"> of any breach of security of </w:t>
            </w:r>
            <w:r w:rsidRPr="00425E55">
              <w:rPr>
                <w:rFonts w:eastAsia="Helvetica Neue"/>
                <w:b/>
                <w:sz w:val="24"/>
                <w:szCs w:val="24"/>
                <w:lang w:eastAsia="en-US"/>
              </w:rPr>
              <w:t>CCS’s</w:t>
            </w:r>
            <w:r w:rsidRPr="00425E55">
              <w:rPr>
                <w:rFonts w:eastAsia="Helvetica Neue"/>
                <w:sz w:val="24"/>
                <w:szCs w:val="24"/>
                <w:lang w:eastAsia="en-US"/>
              </w:rPr>
              <w:t xml:space="preserve"> Confidential Information (and the Buyer of any Buyer Confidential Information breach). Where the breach occurred because of a Supplier Default, the Supplier will recover the </w:t>
            </w:r>
            <w:r w:rsidRPr="00425E55">
              <w:rPr>
                <w:rFonts w:eastAsia="Helvetica Neue"/>
                <w:b/>
                <w:sz w:val="24"/>
                <w:szCs w:val="24"/>
                <w:lang w:eastAsia="en-US"/>
              </w:rPr>
              <w:t xml:space="preserve">CCS </w:t>
            </w:r>
            <w:r w:rsidRPr="00425E55">
              <w:rPr>
                <w:rFonts w:eastAsia="Helvetica Neue"/>
                <w:sz w:val="24"/>
                <w:szCs w:val="24"/>
                <w:lang w:eastAsia="en-US"/>
              </w:rPr>
              <w:t>and Buyer Confidential Information however it may be recorded.</w:t>
            </w:r>
          </w:p>
          <w:p w14:paraId="2B04A566" w14:textId="77777777" w:rsidR="00425E55" w:rsidRPr="00244F7C" w:rsidRDefault="00425E55" w:rsidP="00E35E6D">
            <w:pPr>
              <w:widowControl w:val="0"/>
              <w:pBdr>
                <w:top w:val="nil"/>
                <w:left w:val="nil"/>
                <w:bottom w:val="nil"/>
                <w:right w:val="nil"/>
                <w:between w:val="nil"/>
              </w:pBdr>
              <w:spacing w:line="240" w:lineRule="auto"/>
              <w:rPr>
                <w:rFonts w:eastAsia="Calibri"/>
                <w:sz w:val="24"/>
                <w:szCs w:val="24"/>
              </w:rPr>
            </w:pPr>
          </w:p>
        </w:tc>
        <w:tc>
          <w:tcPr>
            <w:tcW w:w="5520" w:type="dxa"/>
            <w:shd w:val="clear" w:color="auto" w:fill="auto"/>
            <w:tcMar>
              <w:top w:w="100" w:type="dxa"/>
              <w:left w:w="100" w:type="dxa"/>
              <w:bottom w:w="100" w:type="dxa"/>
              <w:right w:w="100" w:type="dxa"/>
            </w:tcMar>
            <w:vAlign w:val="center"/>
          </w:tcPr>
          <w:p w14:paraId="6C4A1025" w14:textId="557ACB2D" w:rsidR="00425E55" w:rsidRPr="00425E55" w:rsidRDefault="00425E55" w:rsidP="00425E55">
            <w:pPr>
              <w:pStyle w:val="NormalWeb"/>
              <w:spacing w:before="0" w:beforeAutospacing="0" w:after="0" w:afterAutospacing="0"/>
              <w:rPr>
                <w:rFonts w:ascii="Arial" w:hAnsi="Arial" w:cs="Arial"/>
                <w:color w:val="000000"/>
              </w:rPr>
            </w:pPr>
            <w:r w:rsidRPr="00425E55">
              <w:rPr>
                <w:rFonts w:ascii="Arial" w:hAnsi="Arial" w:cs="Arial"/>
              </w:rPr>
              <w:t xml:space="preserve">The Supplier will immediately notify the </w:t>
            </w:r>
            <w:r w:rsidRPr="00425E55">
              <w:rPr>
                <w:rFonts w:ascii="Arial" w:hAnsi="Arial" w:cs="Arial"/>
                <w:b/>
              </w:rPr>
              <w:t>Buyer</w:t>
            </w:r>
            <w:r w:rsidRPr="00425E55">
              <w:rPr>
                <w:rFonts w:ascii="Arial" w:hAnsi="Arial" w:cs="Arial"/>
              </w:rPr>
              <w:t xml:space="preserve"> of any breach of security of </w:t>
            </w:r>
            <w:r w:rsidRPr="00425E55">
              <w:rPr>
                <w:rFonts w:ascii="Arial" w:hAnsi="Arial" w:cs="Arial"/>
                <w:b/>
              </w:rPr>
              <w:t>Buyer’s</w:t>
            </w:r>
            <w:r w:rsidRPr="00425E55">
              <w:rPr>
                <w:rFonts w:ascii="Arial" w:hAnsi="Arial" w:cs="Arial"/>
              </w:rPr>
              <w:t xml:space="preserve"> Confidential Information (and the Buyer of any Buyer Confidential Information breach). Where the breach occurred because of a Supplier Default, the Supplier will recover the </w:t>
            </w:r>
            <w:r w:rsidRPr="00425E55">
              <w:rPr>
                <w:rFonts w:ascii="Arial" w:hAnsi="Arial" w:cs="Arial"/>
                <w:b/>
              </w:rPr>
              <w:t>Buyer’s</w:t>
            </w:r>
            <w:r w:rsidRPr="00425E55">
              <w:rPr>
                <w:rFonts w:ascii="Arial" w:hAnsi="Arial" w:cs="Arial"/>
              </w:rPr>
              <w:t xml:space="preserve"> Confidential Information however it may be recorded.</w:t>
            </w:r>
          </w:p>
        </w:tc>
      </w:tr>
      <w:tr w:rsidR="00A47300" w:rsidRPr="00A628D7" w14:paraId="24F1CA17" w14:textId="77777777" w:rsidTr="00A628D7">
        <w:tc>
          <w:tcPr>
            <w:tcW w:w="3105" w:type="dxa"/>
            <w:shd w:val="clear" w:color="auto" w:fill="auto"/>
            <w:tcMar>
              <w:top w:w="100" w:type="dxa"/>
              <w:left w:w="100" w:type="dxa"/>
              <w:bottom w:w="100" w:type="dxa"/>
              <w:right w:w="100" w:type="dxa"/>
            </w:tcMar>
          </w:tcPr>
          <w:p w14:paraId="14C65C81" w14:textId="54E218E3" w:rsidR="00A47300" w:rsidRPr="00425E55" w:rsidRDefault="00A47300" w:rsidP="00A47300">
            <w:pPr>
              <w:widowControl w:val="0"/>
              <w:pBdr>
                <w:top w:val="nil"/>
                <w:left w:val="nil"/>
                <w:bottom w:val="nil"/>
                <w:right w:val="nil"/>
                <w:between w:val="nil"/>
              </w:pBdr>
              <w:spacing w:line="240" w:lineRule="auto"/>
              <w:rPr>
                <w:color w:val="000000"/>
                <w:sz w:val="24"/>
                <w:szCs w:val="24"/>
              </w:rPr>
            </w:pPr>
            <w:r w:rsidRPr="00425E55">
              <w:rPr>
                <w:rFonts w:eastAsia="Times New Roman"/>
                <w:color w:val="000000"/>
                <w:sz w:val="24"/>
                <w:szCs w:val="24"/>
              </w:rPr>
              <w:t>Call-off Contract Part A: Order Form</w:t>
            </w:r>
          </w:p>
        </w:tc>
        <w:tc>
          <w:tcPr>
            <w:tcW w:w="5325" w:type="dxa"/>
            <w:shd w:val="clear" w:color="auto" w:fill="auto"/>
            <w:tcMar>
              <w:top w:w="100" w:type="dxa"/>
              <w:left w:w="100" w:type="dxa"/>
              <w:bottom w:w="100" w:type="dxa"/>
              <w:right w:w="100" w:type="dxa"/>
            </w:tcMar>
          </w:tcPr>
          <w:p w14:paraId="18D7704C" w14:textId="7472F645" w:rsidR="00A47300" w:rsidRPr="00A47300" w:rsidRDefault="00A47300" w:rsidP="00A47300">
            <w:pPr>
              <w:widowControl w:val="0"/>
              <w:pBdr>
                <w:top w:val="nil"/>
                <w:left w:val="nil"/>
                <w:bottom w:val="nil"/>
                <w:right w:val="nil"/>
                <w:between w:val="nil"/>
              </w:pBdr>
              <w:spacing w:line="240" w:lineRule="auto"/>
              <w:rPr>
                <w:rFonts w:eastAsia="Calibri"/>
                <w:sz w:val="24"/>
                <w:szCs w:val="24"/>
              </w:rPr>
            </w:pPr>
            <w:r w:rsidRPr="00A47300">
              <w:rPr>
                <w:rFonts w:eastAsia="Helvetica Neue"/>
                <w:sz w:val="24"/>
                <w:szCs w:val="24"/>
              </w:rPr>
              <w:t>The quality standards required for this Call-Off Contract are [enter text].</w:t>
            </w:r>
          </w:p>
        </w:tc>
        <w:tc>
          <w:tcPr>
            <w:tcW w:w="5520" w:type="dxa"/>
            <w:shd w:val="clear" w:color="auto" w:fill="auto"/>
            <w:tcMar>
              <w:top w:w="100" w:type="dxa"/>
              <w:left w:w="100" w:type="dxa"/>
              <w:bottom w:w="100" w:type="dxa"/>
              <w:right w:w="100" w:type="dxa"/>
            </w:tcMar>
            <w:vAlign w:val="center"/>
          </w:tcPr>
          <w:p w14:paraId="5CE0217E" w14:textId="77777777" w:rsidR="00A47300" w:rsidRPr="00A47300" w:rsidRDefault="00A47300" w:rsidP="00A47300">
            <w:pPr>
              <w:spacing w:before="240"/>
            </w:pPr>
            <w:bookmarkStart w:id="1" w:name="_GoBack"/>
            <w:bookmarkEnd w:id="1"/>
            <w:r w:rsidRPr="00A47300">
              <w:t xml:space="preserve">The quality standards required for this Call-Off Contract are </w:t>
            </w:r>
            <w:r w:rsidRPr="00A47300">
              <w:rPr>
                <w:b/>
              </w:rPr>
              <w:t>[enter text].</w:t>
            </w:r>
          </w:p>
          <w:p w14:paraId="1BFBC643" w14:textId="1D71D29D" w:rsidR="00A47300" w:rsidRPr="00244F7C" w:rsidRDefault="00A47300" w:rsidP="00A47300">
            <w:pPr>
              <w:pStyle w:val="NormalWeb"/>
              <w:spacing w:before="0" w:beforeAutospacing="0" w:after="0" w:afterAutospacing="0"/>
              <w:rPr>
                <w:rFonts w:ascii="Arial" w:hAnsi="Arial" w:cs="Arial"/>
                <w:color w:val="000000"/>
              </w:rPr>
            </w:pPr>
            <w:r w:rsidRPr="00A47300">
              <w:rPr>
                <w:rFonts w:ascii="Arial" w:eastAsia="Arial" w:hAnsi="Arial" w:cs="Arial"/>
                <w:sz w:val="22"/>
                <w:szCs w:val="22"/>
              </w:rPr>
              <w:t>[Provide information as detailed in the relevant Service Description, and you should only use those quality standards that were used as a requirement or acceptance criteria.]</w:t>
            </w:r>
          </w:p>
        </w:tc>
      </w:tr>
      <w:tr w:rsidR="00A47300" w:rsidRPr="00A628D7" w14:paraId="5E2A71DD" w14:textId="77777777" w:rsidTr="00A628D7">
        <w:tc>
          <w:tcPr>
            <w:tcW w:w="3105" w:type="dxa"/>
            <w:shd w:val="clear" w:color="auto" w:fill="auto"/>
            <w:tcMar>
              <w:top w:w="100" w:type="dxa"/>
              <w:left w:w="100" w:type="dxa"/>
              <w:bottom w:w="100" w:type="dxa"/>
              <w:right w:w="100" w:type="dxa"/>
            </w:tcMar>
          </w:tcPr>
          <w:p w14:paraId="78DC8E89" w14:textId="6A994127" w:rsidR="00A47300" w:rsidRPr="00244F7C" w:rsidRDefault="00A47300" w:rsidP="00A47300">
            <w:pPr>
              <w:widowControl w:val="0"/>
              <w:pBdr>
                <w:top w:val="nil"/>
                <w:left w:val="nil"/>
                <w:bottom w:val="nil"/>
                <w:right w:val="nil"/>
                <w:between w:val="nil"/>
              </w:pBdr>
              <w:spacing w:line="240" w:lineRule="auto"/>
              <w:rPr>
                <w:rFonts w:eastAsia="Calibri"/>
                <w:sz w:val="24"/>
                <w:szCs w:val="24"/>
              </w:rPr>
            </w:pPr>
            <w:r w:rsidRPr="00244F7C">
              <w:rPr>
                <w:color w:val="000000"/>
                <w:sz w:val="24"/>
                <w:szCs w:val="24"/>
              </w:rPr>
              <w:lastRenderedPageBreak/>
              <w:t>Call-Off Contract clause 11.6.1</w:t>
            </w:r>
          </w:p>
        </w:tc>
        <w:tc>
          <w:tcPr>
            <w:tcW w:w="5325" w:type="dxa"/>
            <w:shd w:val="clear" w:color="auto" w:fill="auto"/>
            <w:tcMar>
              <w:top w:w="100" w:type="dxa"/>
              <w:left w:w="100" w:type="dxa"/>
              <w:bottom w:w="100" w:type="dxa"/>
              <w:right w:w="100" w:type="dxa"/>
            </w:tcMar>
          </w:tcPr>
          <w:p w14:paraId="40550DCA" w14:textId="77777777" w:rsidR="00A47300" w:rsidRPr="00244F7C" w:rsidRDefault="00A47300" w:rsidP="00A47300">
            <w:pPr>
              <w:widowControl w:val="0"/>
              <w:pBdr>
                <w:top w:val="nil"/>
                <w:left w:val="nil"/>
                <w:bottom w:val="nil"/>
                <w:right w:val="nil"/>
                <w:between w:val="nil"/>
              </w:pBdr>
              <w:spacing w:line="240" w:lineRule="auto"/>
              <w:rPr>
                <w:rFonts w:eastAsia="Calibri"/>
                <w:sz w:val="24"/>
                <w:szCs w:val="24"/>
              </w:rPr>
            </w:pPr>
          </w:p>
        </w:tc>
        <w:tc>
          <w:tcPr>
            <w:tcW w:w="5520" w:type="dxa"/>
            <w:shd w:val="clear" w:color="auto" w:fill="auto"/>
            <w:tcMar>
              <w:top w:w="100" w:type="dxa"/>
              <w:left w:w="100" w:type="dxa"/>
              <w:bottom w:w="100" w:type="dxa"/>
              <w:right w:w="100" w:type="dxa"/>
            </w:tcMar>
            <w:vAlign w:val="center"/>
          </w:tcPr>
          <w:p w14:paraId="7C4731A5" w14:textId="77777777" w:rsidR="00A47300" w:rsidRPr="00244F7C" w:rsidRDefault="00A47300" w:rsidP="00A47300">
            <w:pPr>
              <w:pStyle w:val="NormalWeb"/>
              <w:spacing w:before="0" w:beforeAutospacing="0" w:after="0" w:afterAutospacing="0"/>
            </w:pPr>
            <w:r w:rsidRPr="00244F7C">
              <w:rPr>
                <w:rFonts w:ascii="Arial" w:hAnsi="Arial" w:cs="Arial"/>
                <w:color w:val="000000"/>
              </w:rPr>
              <w:t>“</w:t>
            </w:r>
            <w:proofErr w:type="gramStart"/>
            <w:r w:rsidRPr="00244F7C">
              <w:rPr>
                <w:rFonts w:ascii="Arial" w:hAnsi="Arial" w:cs="Arial"/>
                <w:color w:val="000000"/>
              </w:rPr>
              <w:t>modify</w:t>
            </w:r>
            <w:proofErr w:type="gramEnd"/>
            <w:r w:rsidRPr="00244F7C">
              <w:rPr>
                <w:rFonts w:ascii="Arial" w:hAnsi="Arial" w:cs="Arial"/>
                <w:color w:val="000000"/>
              </w:rPr>
              <w:t xml:space="preserve"> the relevant part of the Services without reducing its functionality or performance.”</w:t>
            </w:r>
          </w:p>
          <w:p w14:paraId="19FEC724" w14:textId="02CB2244" w:rsidR="00A47300" w:rsidRPr="00244F7C" w:rsidRDefault="00A47300" w:rsidP="00A47300">
            <w:pPr>
              <w:pStyle w:val="NormalWeb"/>
              <w:spacing w:before="0" w:beforeAutospacing="0" w:after="0" w:afterAutospacing="0"/>
            </w:pPr>
            <w:r w:rsidRPr="00244F7C">
              <w:rPr>
                <w:rFonts w:ascii="Arial" w:hAnsi="Arial" w:cs="Arial"/>
                <w:color w:val="000000"/>
              </w:rPr>
              <w:t>The change is rectifying the incorrect capitalisation of the word “performance”.</w:t>
            </w:r>
          </w:p>
        </w:tc>
      </w:tr>
      <w:tr w:rsidR="00A47300" w:rsidRPr="00A628D7" w14:paraId="650CB8F5" w14:textId="77777777" w:rsidTr="00A628D7">
        <w:tc>
          <w:tcPr>
            <w:tcW w:w="3105" w:type="dxa"/>
            <w:shd w:val="clear" w:color="auto" w:fill="auto"/>
            <w:tcMar>
              <w:top w:w="100" w:type="dxa"/>
              <w:left w:w="100" w:type="dxa"/>
              <w:bottom w:w="100" w:type="dxa"/>
              <w:right w:w="100" w:type="dxa"/>
            </w:tcMar>
          </w:tcPr>
          <w:p w14:paraId="69F5E502" w14:textId="4DE0FE29" w:rsidR="00A47300" w:rsidRPr="00244F7C" w:rsidRDefault="00A47300" w:rsidP="00A47300">
            <w:pPr>
              <w:widowControl w:val="0"/>
              <w:pBdr>
                <w:top w:val="nil"/>
                <w:left w:val="nil"/>
                <w:bottom w:val="nil"/>
                <w:right w:val="nil"/>
                <w:between w:val="nil"/>
              </w:pBdr>
              <w:spacing w:line="240" w:lineRule="auto"/>
              <w:rPr>
                <w:rFonts w:eastAsia="Calibri"/>
                <w:sz w:val="24"/>
                <w:szCs w:val="24"/>
              </w:rPr>
            </w:pPr>
            <w:r w:rsidRPr="00244F7C">
              <w:rPr>
                <w:color w:val="000000"/>
                <w:sz w:val="24"/>
                <w:szCs w:val="24"/>
              </w:rPr>
              <w:t>Call-Off Contract clause 25.3</w:t>
            </w:r>
          </w:p>
        </w:tc>
        <w:tc>
          <w:tcPr>
            <w:tcW w:w="5325" w:type="dxa"/>
            <w:shd w:val="clear" w:color="auto" w:fill="auto"/>
            <w:tcMar>
              <w:top w:w="100" w:type="dxa"/>
              <w:left w:w="100" w:type="dxa"/>
              <w:bottom w:w="100" w:type="dxa"/>
              <w:right w:w="100" w:type="dxa"/>
            </w:tcMar>
          </w:tcPr>
          <w:p w14:paraId="195F5CE3" w14:textId="77777777" w:rsidR="00A47300" w:rsidRPr="00244F7C" w:rsidRDefault="00A47300" w:rsidP="00A47300">
            <w:pPr>
              <w:widowControl w:val="0"/>
              <w:pBdr>
                <w:top w:val="nil"/>
                <w:left w:val="nil"/>
                <w:bottom w:val="nil"/>
                <w:right w:val="nil"/>
                <w:between w:val="nil"/>
              </w:pBdr>
              <w:spacing w:line="240" w:lineRule="auto"/>
              <w:rPr>
                <w:rFonts w:eastAsia="Calibri"/>
                <w:sz w:val="24"/>
                <w:szCs w:val="24"/>
              </w:rPr>
            </w:pPr>
          </w:p>
        </w:tc>
        <w:tc>
          <w:tcPr>
            <w:tcW w:w="5520" w:type="dxa"/>
            <w:shd w:val="clear" w:color="auto" w:fill="auto"/>
            <w:tcMar>
              <w:top w:w="100" w:type="dxa"/>
              <w:left w:w="100" w:type="dxa"/>
              <w:bottom w:w="100" w:type="dxa"/>
              <w:right w:w="100" w:type="dxa"/>
            </w:tcMar>
            <w:vAlign w:val="center"/>
          </w:tcPr>
          <w:p w14:paraId="1B950E0D" w14:textId="77777777" w:rsidR="00A47300" w:rsidRPr="00244F7C" w:rsidRDefault="00A47300" w:rsidP="00A47300">
            <w:pPr>
              <w:pStyle w:val="NormalWeb"/>
              <w:spacing w:before="0" w:beforeAutospacing="0" w:after="0" w:afterAutospacing="0"/>
            </w:pPr>
            <w:r w:rsidRPr="00244F7C">
              <w:rPr>
                <w:rFonts w:ascii="Arial" w:hAnsi="Arial" w:cs="Arial"/>
                <w:color w:val="000000"/>
              </w:rPr>
              <w:t>“The Supplier will vacate the Buyer’s premises when the Call-Off Contract Ends or expires.”</w:t>
            </w:r>
          </w:p>
          <w:p w14:paraId="4048B6F4" w14:textId="77777777" w:rsidR="00A47300" w:rsidRPr="00244F7C" w:rsidRDefault="00A47300" w:rsidP="00A47300">
            <w:pPr>
              <w:pStyle w:val="NormalWeb"/>
              <w:spacing w:before="0" w:beforeAutospacing="0" w:after="0" w:afterAutospacing="0"/>
            </w:pPr>
            <w:r w:rsidRPr="00244F7C">
              <w:rPr>
                <w:rFonts w:ascii="Arial" w:hAnsi="Arial" w:cs="Arial"/>
                <w:color w:val="000000"/>
              </w:rPr>
              <w:t>The change is rectifying the incorrect capitalisation of the word “expires”.</w:t>
            </w:r>
          </w:p>
          <w:p w14:paraId="7A7B3E2A" w14:textId="77777777" w:rsidR="00A47300" w:rsidRPr="00244F7C" w:rsidRDefault="00A47300" w:rsidP="00A47300">
            <w:pPr>
              <w:spacing w:line="240" w:lineRule="auto"/>
              <w:rPr>
                <w:sz w:val="24"/>
                <w:szCs w:val="24"/>
              </w:rPr>
            </w:pPr>
          </w:p>
        </w:tc>
      </w:tr>
      <w:tr w:rsidR="00A47300" w:rsidRPr="00A628D7" w14:paraId="0B26AE9F" w14:textId="77777777" w:rsidTr="00A628D7">
        <w:tc>
          <w:tcPr>
            <w:tcW w:w="3105" w:type="dxa"/>
            <w:shd w:val="clear" w:color="auto" w:fill="auto"/>
            <w:tcMar>
              <w:top w:w="100" w:type="dxa"/>
              <w:left w:w="100" w:type="dxa"/>
              <w:bottom w:w="100" w:type="dxa"/>
              <w:right w:w="100" w:type="dxa"/>
            </w:tcMar>
          </w:tcPr>
          <w:p w14:paraId="603655E9" w14:textId="77777777" w:rsidR="00A47300" w:rsidRPr="005060A8" w:rsidRDefault="00A47300" w:rsidP="00A47300">
            <w:pPr>
              <w:widowControl w:val="0"/>
              <w:pBdr>
                <w:top w:val="nil"/>
                <w:left w:val="nil"/>
                <w:bottom w:val="nil"/>
                <w:right w:val="nil"/>
                <w:between w:val="nil"/>
              </w:pBdr>
              <w:spacing w:line="240" w:lineRule="auto"/>
              <w:rPr>
                <w:rFonts w:eastAsia="Calibri"/>
                <w:sz w:val="24"/>
                <w:szCs w:val="24"/>
              </w:rPr>
            </w:pPr>
            <w:r w:rsidRPr="005060A8">
              <w:rPr>
                <w:rFonts w:eastAsia="Calibri"/>
                <w:sz w:val="24"/>
                <w:szCs w:val="24"/>
              </w:rPr>
              <w:t>Ending (Order Form)</w:t>
            </w:r>
          </w:p>
        </w:tc>
        <w:tc>
          <w:tcPr>
            <w:tcW w:w="5325" w:type="dxa"/>
            <w:shd w:val="clear" w:color="auto" w:fill="auto"/>
            <w:tcMar>
              <w:top w:w="100" w:type="dxa"/>
              <w:left w:w="100" w:type="dxa"/>
              <w:bottom w:w="100" w:type="dxa"/>
              <w:right w:w="100" w:type="dxa"/>
            </w:tcMar>
          </w:tcPr>
          <w:p w14:paraId="1F8AC5DB" w14:textId="02D24FC7" w:rsidR="00A47300" w:rsidRPr="00A628D7" w:rsidRDefault="00A47300" w:rsidP="00A47300">
            <w:pPr>
              <w:widowControl w:val="0"/>
              <w:pBdr>
                <w:top w:val="nil"/>
                <w:left w:val="nil"/>
                <w:bottom w:val="nil"/>
                <w:right w:val="nil"/>
                <w:between w:val="nil"/>
              </w:pBdr>
              <w:spacing w:line="240" w:lineRule="auto"/>
              <w:rPr>
                <w:rFonts w:eastAsia="Calibri"/>
                <w:sz w:val="24"/>
                <w:szCs w:val="24"/>
              </w:rPr>
            </w:pPr>
            <w:r w:rsidRPr="00A628D7">
              <w:rPr>
                <w:rFonts w:eastAsia="Calibri"/>
                <w:sz w:val="24"/>
                <w:szCs w:val="24"/>
              </w:rPr>
              <w:t>The notice period needed for Ending the Call-Off Contract is at least [90] Working Days from the date of written notice for undisputed sums or at least [30] days from the date of written notice for Ending without cause.</w:t>
            </w:r>
          </w:p>
        </w:tc>
        <w:tc>
          <w:tcPr>
            <w:tcW w:w="5520" w:type="dxa"/>
            <w:shd w:val="clear" w:color="auto" w:fill="auto"/>
            <w:tcMar>
              <w:top w:w="100" w:type="dxa"/>
              <w:left w:w="100" w:type="dxa"/>
              <w:bottom w:w="100" w:type="dxa"/>
              <w:right w:w="100" w:type="dxa"/>
            </w:tcMar>
            <w:vAlign w:val="center"/>
          </w:tcPr>
          <w:p w14:paraId="29D51FDA" w14:textId="16D4C237" w:rsidR="00A47300" w:rsidRDefault="00A47300" w:rsidP="00A47300">
            <w:pPr>
              <w:spacing w:line="240" w:lineRule="auto"/>
              <w:rPr>
                <w:sz w:val="24"/>
                <w:szCs w:val="24"/>
              </w:rPr>
            </w:pPr>
            <w:r w:rsidRPr="00A628D7">
              <w:rPr>
                <w:sz w:val="24"/>
                <w:szCs w:val="24"/>
              </w:rPr>
              <w:t>The notice period for the Supplier needed for Ending the Call-Off Contract is at least [90] Working Days from the date of written notice for undisputed sums (as per clause 18.6).</w:t>
            </w:r>
          </w:p>
          <w:p w14:paraId="7B2B7EDC" w14:textId="77777777" w:rsidR="00A47300" w:rsidRPr="00A628D7" w:rsidRDefault="00A47300" w:rsidP="00A47300">
            <w:pPr>
              <w:spacing w:line="240" w:lineRule="auto"/>
              <w:rPr>
                <w:sz w:val="24"/>
                <w:szCs w:val="24"/>
              </w:rPr>
            </w:pPr>
          </w:p>
          <w:p w14:paraId="7033B7FF" w14:textId="77777777" w:rsidR="00A47300" w:rsidRPr="00A628D7" w:rsidRDefault="00A47300" w:rsidP="00A47300">
            <w:pPr>
              <w:spacing w:line="240" w:lineRule="auto"/>
              <w:rPr>
                <w:rFonts w:eastAsia="Calibri"/>
                <w:sz w:val="24"/>
                <w:szCs w:val="24"/>
              </w:rPr>
            </w:pPr>
            <w:r w:rsidRPr="00A628D7">
              <w:rPr>
                <w:sz w:val="24"/>
                <w:szCs w:val="24"/>
              </w:rPr>
              <w:t>The notice period for the Buyer is a maximum of [30] days from the date of written notice for Ending without cause (as per clause 18.1).</w:t>
            </w:r>
          </w:p>
        </w:tc>
      </w:tr>
      <w:tr w:rsidR="00A47300" w:rsidRPr="00A628D7" w14:paraId="4AD8D539" w14:textId="77777777">
        <w:trPr>
          <w:trHeight w:val="1373"/>
        </w:trPr>
        <w:tc>
          <w:tcPr>
            <w:tcW w:w="3105" w:type="dxa"/>
            <w:shd w:val="clear" w:color="auto" w:fill="auto"/>
            <w:tcMar>
              <w:top w:w="100" w:type="dxa"/>
              <w:left w:w="100" w:type="dxa"/>
              <w:bottom w:w="100" w:type="dxa"/>
              <w:right w:w="100" w:type="dxa"/>
            </w:tcMar>
          </w:tcPr>
          <w:p w14:paraId="6605BC56" w14:textId="77777777" w:rsidR="00A47300" w:rsidRPr="00A628D7" w:rsidRDefault="00A47300" w:rsidP="00A47300">
            <w:pPr>
              <w:widowControl w:val="0"/>
              <w:spacing w:line="240" w:lineRule="auto"/>
              <w:rPr>
                <w:rFonts w:eastAsia="Calibri"/>
                <w:sz w:val="24"/>
                <w:szCs w:val="24"/>
              </w:rPr>
            </w:pPr>
            <w:r w:rsidRPr="005060A8">
              <w:rPr>
                <w:rFonts w:eastAsia="Calibri"/>
                <w:sz w:val="24"/>
                <w:szCs w:val="24"/>
              </w:rPr>
              <w:t>Limit on Parties’ liability (Order Form)</w:t>
            </w:r>
          </w:p>
        </w:tc>
        <w:tc>
          <w:tcPr>
            <w:tcW w:w="5325" w:type="dxa"/>
            <w:shd w:val="clear" w:color="auto" w:fill="auto"/>
            <w:tcMar>
              <w:top w:w="100" w:type="dxa"/>
              <w:left w:w="100" w:type="dxa"/>
              <w:bottom w:w="100" w:type="dxa"/>
              <w:right w:w="100" w:type="dxa"/>
            </w:tcMar>
          </w:tcPr>
          <w:p w14:paraId="7DD4D35B" w14:textId="1D890BE5" w:rsidR="00A47300" w:rsidRPr="00A628D7" w:rsidRDefault="00A47300" w:rsidP="00A47300">
            <w:pPr>
              <w:widowControl w:val="0"/>
              <w:pBdr>
                <w:top w:val="nil"/>
                <w:left w:val="nil"/>
                <w:bottom w:val="nil"/>
                <w:right w:val="nil"/>
                <w:between w:val="nil"/>
              </w:pBdr>
              <w:spacing w:line="240" w:lineRule="auto"/>
              <w:rPr>
                <w:rFonts w:eastAsia="Calibri"/>
                <w:sz w:val="24"/>
                <w:szCs w:val="24"/>
              </w:rPr>
            </w:pPr>
            <w:r w:rsidRPr="00A628D7">
              <w:rPr>
                <w:rFonts w:eastAsia="Calibri"/>
                <w:sz w:val="24"/>
                <w:szCs w:val="24"/>
              </w:rPr>
              <w:t>The annual total liability for Buyer Data defaults will not exceed [£ enter</w:t>
            </w:r>
            <w:r>
              <w:rPr>
                <w:rFonts w:eastAsia="Calibri"/>
                <w:sz w:val="24"/>
                <w:szCs w:val="24"/>
              </w:rPr>
              <w:t xml:space="preserve"> </w:t>
            </w:r>
            <w:r w:rsidRPr="00A628D7">
              <w:rPr>
                <w:rFonts w:eastAsia="Calibri"/>
                <w:sz w:val="24"/>
                <w:szCs w:val="24"/>
              </w:rPr>
              <w:t>text] or [% Enter text] of the Charges payable by the Buyer to the</w:t>
            </w:r>
            <w:r>
              <w:rPr>
                <w:rFonts w:eastAsia="Calibri"/>
                <w:sz w:val="24"/>
                <w:szCs w:val="24"/>
              </w:rPr>
              <w:t xml:space="preserve"> </w:t>
            </w:r>
            <w:r w:rsidRPr="00A628D7">
              <w:rPr>
                <w:rFonts w:eastAsia="Calibri"/>
                <w:sz w:val="24"/>
                <w:szCs w:val="24"/>
              </w:rPr>
              <w:t>Supplier during the Call-Off Contract Term (whichever is the greater).</w:t>
            </w:r>
          </w:p>
          <w:p w14:paraId="68BD4012" w14:textId="77777777" w:rsidR="00A47300" w:rsidRPr="00A628D7" w:rsidRDefault="00A47300" w:rsidP="00A47300">
            <w:pPr>
              <w:widowControl w:val="0"/>
              <w:pBdr>
                <w:top w:val="nil"/>
                <w:left w:val="nil"/>
                <w:bottom w:val="nil"/>
                <w:right w:val="nil"/>
                <w:between w:val="nil"/>
              </w:pBdr>
              <w:spacing w:line="240" w:lineRule="auto"/>
              <w:rPr>
                <w:rFonts w:eastAsia="Calibri"/>
                <w:sz w:val="24"/>
                <w:szCs w:val="24"/>
              </w:rPr>
            </w:pPr>
          </w:p>
        </w:tc>
        <w:tc>
          <w:tcPr>
            <w:tcW w:w="5520" w:type="dxa"/>
            <w:shd w:val="clear" w:color="auto" w:fill="auto"/>
            <w:tcMar>
              <w:top w:w="100" w:type="dxa"/>
              <w:left w:w="100" w:type="dxa"/>
              <w:bottom w:w="100" w:type="dxa"/>
              <w:right w:w="100" w:type="dxa"/>
            </w:tcMar>
          </w:tcPr>
          <w:p w14:paraId="3F4FCFAD" w14:textId="26911C79" w:rsidR="00A47300" w:rsidRPr="00A628D7" w:rsidRDefault="00A47300" w:rsidP="00A47300">
            <w:pPr>
              <w:spacing w:before="240" w:line="240" w:lineRule="auto"/>
              <w:rPr>
                <w:sz w:val="24"/>
                <w:szCs w:val="24"/>
              </w:rPr>
            </w:pPr>
            <w:r w:rsidRPr="00A628D7">
              <w:rPr>
                <w:sz w:val="24"/>
                <w:szCs w:val="24"/>
              </w:rPr>
              <w:t>The annual total liability for Buyer Data defaults of the Supplier will not exceed [£ enter</w:t>
            </w:r>
            <w:r>
              <w:rPr>
                <w:sz w:val="24"/>
                <w:szCs w:val="24"/>
              </w:rPr>
              <w:t xml:space="preserve"> amount</w:t>
            </w:r>
            <w:r w:rsidRPr="00A628D7">
              <w:rPr>
                <w:sz w:val="24"/>
                <w:szCs w:val="24"/>
              </w:rPr>
              <w:t xml:space="preserve">] or [% </w:t>
            </w:r>
            <w:r>
              <w:rPr>
                <w:sz w:val="24"/>
                <w:szCs w:val="24"/>
              </w:rPr>
              <w:t>e</w:t>
            </w:r>
            <w:r w:rsidRPr="00A628D7">
              <w:rPr>
                <w:sz w:val="24"/>
                <w:szCs w:val="24"/>
              </w:rPr>
              <w:t xml:space="preserve">nter </w:t>
            </w:r>
            <w:r>
              <w:rPr>
                <w:sz w:val="24"/>
                <w:szCs w:val="24"/>
              </w:rPr>
              <w:t>percentage</w:t>
            </w:r>
            <w:r w:rsidRPr="00A628D7">
              <w:rPr>
                <w:sz w:val="24"/>
                <w:szCs w:val="24"/>
              </w:rPr>
              <w:t>] of the Charges payable by the Buyer to the Supplier during the Call-Off Contract Term (whichever is the greater).</w:t>
            </w:r>
          </w:p>
          <w:p w14:paraId="73DEF138" w14:textId="68E476E5" w:rsidR="00A47300" w:rsidRPr="00A628D7" w:rsidRDefault="00A47300" w:rsidP="00A47300">
            <w:pPr>
              <w:spacing w:before="240" w:line="240" w:lineRule="auto"/>
              <w:rPr>
                <w:rFonts w:eastAsia="Calibri"/>
                <w:sz w:val="24"/>
                <w:szCs w:val="24"/>
              </w:rPr>
            </w:pPr>
            <w:r w:rsidRPr="00A628D7">
              <w:rPr>
                <w:sz w:val="24"/>
                <w:szCs w:val="24"/>
              </w:rPr>
              <w:t xml:space="preserve">Clause 24.1 in Part B below applies for a more in-depth definition of Buyer Data defaults, while still maintaining the definitions and meanings of Buyer Data and Default in </w:t>
            </w:r>
            <w:r w:rsidRPr="00A628D7">
              <w:rPr>
                <w:b/>
                <w:sz w:val="24"/>
                <w:szCs w:val="24"/>
              </w:rPr>
              <w:t>Schedule 6</w:t>
            </w:r>
            <w:r>
              <w:rPr>
                <w:b/>
                <w:sz w:val="24"/>
                <w:szCs w:val="24"/>
              </w:rPr>
              <w:t>:</w:t>
            </w:r>
            <w:r w:rsidRPr="00A628D7">
              <w:rPr>
                <w:b/>
                <w:sz w:val="24"/>
                <w:szCs w:val="24"/>
              </w:rPr>
              <w:t xml:space="preserve"> Glossary and Interpretations</w:t>
            </w:r>
            <w:r w:rsidRPr="00A628D7">
              <w:rPr>
                <w:sz w:val="24"/>
                <w:szCs w:val="24"/>
              </w:rPr>
              <w:t xml:space="preserve"> below.</w:t>
            </w:r>
          </w:p>
        </w:tc>
      </w:tr>
      <w:tr w:rsidR="00A47300" w:rsidRPr="00A628D7" w14:paraId="55EF24B7" w14:textId="77777777">
        <w:trPr>
          <w:trHeight w:val="1860"/>
        </w:trPr>
        <w:tc>
          <w:tcPr>
            <w:tcW w:w="3105" w:type="dxa"/>
            <w:shd w:val="clear" w:color="auto" w:fill="auto"/>
            <w:tcMar>
              <w:top w:w="100" w:type="dxa"/>
              <w:left w:w="100" w:type="dxa"/>
              <w:bottom w:w="100" w:type="dxa"/>
              <w:right w:w="100" w:type="dxa"/>
            </w:tcMar>
          </w:tcPr>
          <w:p w14:paraId="7B78CA7D" w14:textId="77777777" w:rsidR="00A47300" w:rsidRPr="005060A8" w:rsidRDefault="00A47300" w:rsidP="00A47300">
            <w:pPr>
              <w:widowControl w:val="0"/>
              <w:spacing w:line="240" w:lineRule="auto"/>
              <w:rPr>
                <w:rFonts w:eastAsia="Calibri"/>
                <w:sz w:val="24"/>
                <w:szCs w:val="24"/>
              </w:rPr>
            </w:pPr>
            <w:r w:rsidRPr="005060A8">
              <w:rPr>
                <w:rFonts w:eastAsia="Calibri"/>
                <w:sz w:val="24"/>
                <w:szCs w:val="24"/>
              </w:rPr>
              <w:lastRenderedPageBreak/>
              <w:t>Limit on Parties’ liability (Order Form)</w:t>
            </w:r>
          </w:p>
        </w:tc>
        <w:tc>
          <w:tcPr>
            <w:tcW w:w="5325" w:type="dxa"/>
            <w:shd w:val="clear" w:color="auto" w:fill="auto"/>
            <w:tcMar>
              <w:top w:w="100" w:type="dxa"/>
              <w:left w:w="100" w:type="dxa"/>
              <w:bottom w:w="100" w:type="dxa"/>
              <w:right w:w="100" w:type="dxa"/>
            </w:tcMar>
          </w:tcPr>
          <w:p w14:paraId="63FD14FE" w14:textId="77777777" w:rsidR="00A47300" w:rsidRPr="00A628D7" w:rsidRDefault="00A47300" w:rsidP="00A47300">
            <w:pPr>
              <w:spacing w:before="240" w:line="240" w:lineRule="auto"/>
              <w:rPr>
                <w:rFonts w:eastAsia="Calibri"/>
                <w:sz w:val="24"/>
                <w:szCs w:val="24"/>
              </w:rPr>
            </w:pPr>
            <w:r w:rsidRPr="00A628D7">
              <w:rPr>
                <w:sz w:val="24"/>
                <w:szCs w:val="24"/>
              </w:rPr>
              <w:t xml:space="preserve">The annual total liability for all other defaults will not exceed the greater of [£ enter text] or [% enter text] of the Charges payable by the Buyer to the Supplier during the Call-Off Contract Term (whichever is the greater). </w:t>
            </w:r>
          </w:p>
        </w:tc>
        <w:tc>
          <w:tcPr>
            <w:tcW w:w="5520" w:type="dxa"/>
            <w:shd w:val="clear" w:color="auto" w:fill="auto"/>
            <w:tcMar>
              <w:top w:w="100" w:type="dxa"/>
              <w:left w:w="100" w:type="dxa"/>
              <w:bottom w:w="100" w:type="dxa"/>
              <w:right w:w="100" w:type="dxa"/>
            </w:tcMar>
          </w:tcPr>
          <w:p w14:paraId="7F1B5093" w14:textId="77777777" w:rsidR="00A47300" w:rsidRPr="00A628D7" w:rsidRDefault="00A47300" w:rsidP="00A47300">
            <w:pPr>
              <w:spacing w:before="240" w:line="240" w:lineRule="auto"/>
              <w:rPr>
                <w:rFonts w:eastAsia="Calibri"/>
                <w:sz w:val="24"/>
                <w:szCs w:val="24"/>
              </w:rPr>
            </w:pPr>
            <w:r w:rsidRPr="00A628D7">
              <w:rPr>
                <w:sz w:val="24"/>
                <w:szCs w:val="24"/>
              </w:rPr>
              <w:t>The annual total liability for all other defaults will not exceed the greater of [£ enter text] or [% enter text] of the Charges payable by the Buyer to the Supplier during the Call-Off Contract Term (whichever is the greater). Clause 24.1 in Part B below provides a definition of Other defaults.</w:t>
            </w:r>
          </w:p>
        </w:tc>
      </w:tr>
      <w:tr w:rsidR="00A47300" w:rsidRPr="00A628D7" w14:paraId="5271CB38" w14:textId="77777777">
        <w:tc>
          <w:tcPr>
            <w:tcW w:w="3105" w:type="dxa"/>
            <w:shd w:val="clear" w:color="auto" w:fill="auto"/>
            <w:tcMar>
              <w:top w:w="100" w:type="dxa"/>
              <w:left w:w="100" w:type="dxa"/>
              <w:bottom w:w="100" w:type="dxa"/>
              <w:right w:w="100" w:type="dxa"/>
            </w:tcMar>
          </w:tcPr>
          <w:p w14:paraId="5260707F" w14:textId="77777777" w:rsidR="00A47300" w:rsidRPr="005060A8" w:rsidRDefault="00A47300" w:rsidP="00A47300">
            <w:pPr>
              <w:widowControl w:val="0"/>
              <w:pBdr>
                <w:top w:val="nil"/>
                <w:left w:val="nil"/>
                <w:bottom w:val="nil"/>
                <w:right w:val="nil"/>
                <w:between w:val="nil"/>
              </w:pBdr>
              <w:spacing w:line="240" w:lineRule="auto"/>
              <w:rPr>
                <w:rFonts w:eastAsia="Calibri"/>
                <w:sz w:val="24"/>
                <w:szCs w:val="24"/>
              </w:rPr>
            </w:pPr>
            <w:r w:rsidRPr="005060A8">
              <w:rPr>
                <w:rFonts w:eastAsia="Calibri"/>
                <w:sz w:val="24"/>
                <w:szCs w:val="24"/>
              </w:rPr>
              <w:t>4.5</w:t>
            </w:r>
          </w:p>
        </w:tc>
        <w:tc>
          <w:tcPr>
            <w:tcW w:w="5325" w:type="dxa"/>
            <w:shd w:val="clear" w:color="auto" w:fill="auto"/>
            <w:tcMar>
              <w:top w:w="100" w:type="dxa"/>
              <w:left w:w="100" w:type="dxa"/>
              <w:bottom w:w="100" w:type="dxa"/>
              <w:right w:w="100" w:type="dxa"/>
            </w:tcMar>
          </w:tcPr>
          <w:p w14:paraId="58C8A72E" w14:textId="77777777" w:rsidR="00A47300" w:rsidRPr="00A628D7" w:rsidRDefault="00A47300" w:rsidP="00A47300">
            <w:pPr>
              <w:spacing w:line="240" w:lineRule="auto"/>
              <w:rPr>
                <w:rFonts w:eastAsia="Calibri"/>
                <w:sz w:val="24"/>
                <w:szCs w:val="24"/>
              </w:rPr>
            </w:pPr>
            <w:r w:rsidRPr="00A628D7">
              <w:rPr>
                <w:sz w:val="24"/>
                <w:szCs w:val="24"/>
              </w:rPr>
              <w:t>The Buyer may End this Call-Off Contract for Material Breach as if the Supplier is delivering the Services Inside IR35.</w:t>
            </w:r>
          </w:p>
        </w:tc>
        <w:tc>
          <w:tcPr>
            <w:tcW w:w="5520" w:type="dxa"/>
            <w:shd w:val="clear" w:color="auto" w:fill="auto"/>
            <w:tcMar>
              <w:top w:w="100" w:type="dxa"/>
              <w:left w:w="100" w:type="dxa"/>
              <w:bottom w:w="100" w:type="dxa"/>
              <w:right w:w="100" w:type="dxa"/>
            </w:tcMar>
          </w:tcPr>
          <w:p w14:paraId="24C270E5" w14:textId="77777777" w:rsidR="00A47300" w:rsidRPr="00A628D7" w:rsidRDefault="00A47300" w:rsidP="00A47300">
            <w:pPr>
              <w:spacing w:line="240" w:lineRule="auto"/>
              <w:rPr>
                <w:rFonts w:eastAsia="Calibri"/>
                <w:sz w:val="24"/>
                <w:szCs w:val="24"/>
              </w:rPr>
            </w:pPr>
            <w:r w:rsidRPr="00A628D7">
              <w:rPr>
                <w:sz w:val="24"/>
                <w:szCs w:val="24"/>
              </w:rPr>
              <w:t>The Buyer may End this Call-Off Contract for Material Breach as per clause 18.5 hereunder if the Supplier is delivering the Services Inside IR35.</w:t>
            </w:r>
          </w:p>
        </w:tc>
      </w:tr>
      <w:tr w:rsidR="00A47300" w:rsidRPr="00A628D7" w14:paraId="6CDC951C" w14:textId="77777777">
        <w:tc>
          <w:tcPr>
            <w:tcW w:w="3105" w:type="dxa"/>
            <w:shd w:val="clear" w:color="auto" w:fill="auto"/>
            <w:tcMar>
              <w:top w:w="100" w:type="dxa"/>
              <w:left w:w="100" w:type="dxa"/>
              <w:bottom w:w="100" w:type="dxa"/>
              <w:right w:w="100" w:type="dxa"/>
            </w:tcMar>
          </w:tcPr>
          <w:p w14:paraId="728E0EDD" w14:textId="77777777" w:rsidR="00A47300" w:rsidRPr="005060A8" w:rsidRDefault="00A47300" w:rsidP="00A47300">
            <w:pPr>
              <w:widowControl w:val="0"/>
              <w:pBdr>
                <w:top w:val="nil"/>
                <w:left w:val="nil"/>
                <w:bottom w:val="nil"/>
                <w:right w:val="nil"/>
                <w:between w:val="nil"/>
              </w:pBdr>
              <w:spacing w:line="240" w:lineRule="auto"/>
              <w:rPr>
                <w:rFonts w:eastAsia="Calibri"/>
                <w:sz w:val="24"/>
                <w:szCs w:val="24"/>
              </w:rPr>
            </w:pPr>
            <w:r w:rsidRPr="005060A8">
              <w:rPr>
                <w:rFonts w:eastAsia="Calibri"/>
                <w:sz w:val="24"/>
                <w:szCs w:val="24"/>
              </w:rPr>
              <w:t>Added: 13.6.6</w:t>
            </w:r>
          </w:p>
        </w:tc>
        <w:tc>
          <w:tcPr>
            <w:tcW w:w="5325" w:type="dxa"/>
            <w:shd w:val="clear" w:color="auto" w:fill="auto"/>
            <w:tcMar>
              <w:top w:w="100" w:type="dxa"/>
              <w:left w:w="100" w:type="dxa"/>
              <w:bottom w:w="100" w:type="dxa"/>
              <w:right w:w="100" w:type="dxa"/>
            </w:tcMar>
          </w:tcPr>
          <w:p w14:paraId="4EDD2739" w14:textId="77777777" w:rsidR="00A47300" w:rsidRPr="00A628D7" w:rsidRDefault="00A47300" w:rsidP="00A47300">
            <w:pPr>
              <w:rPr>
                <w:sz w:val="24"/>
                <w:szCs w:val="24"/>
              </w:rPr>
            </w:pPr>
          </w:p>
        </w:tc>
        <w:tc>
          <w:tcPr>
            <w:tcW w:w="5520" w:type="dxa"/>
            <w:shd w:val="clear" w:color="auto" w:fill="auto"/>
            <w:tcMar>
              <w:top w:w="100" w:type="dxa"/>
              <w:left w:w="100" w:type="dxa"/>
              <w:bottom w:w="100" w:type="dxa"/>
              <w:right w:w="100" w:type="dxa"/>
            </w:tcMar>
          </w:tcPr>
          <w:p w14:paraId="1536A820" w14:textId="74802175" w:rsidR="00A47300" w:rsidRPr="00A628D7" w:rsidRDefault="00A47300" w:rsidP="00A47300">
            <w:pPr>
              <w:spacing w:line="240" w:lineRule="auto"/>
              <w:rPr>
                <w:sz w:val="24"/>
                <w:szCs w:val="24"/>
              </w:rPr>
            </w:pPr>
            <w:r w:rsidRPr="00A628D7">
              <w:rPr>
                <w:sz w:val="24"/>
                <w:szCs w:val="24"/>
              </w:rPr>
              <w:t>13.6.6</w:t>
            </w:r>
            <w:r>
              <w:rPr>
                <w:sz w:val="24"/>
                <w:szCs w:val="24"/>
              </w:rPr>
              <w:t xml:space="preserve"> </w:t>
            </w:r>
            <w:r w:rsidRPr="0047316D">
              <w:rPr>
                <w:rFonts w:eastAsia="Times New Roman"/>
                <w:sz w:val="24"/>
                <w:szCs w:val="24"/>
                <w:shd w:val="clear" w:color="auto" w:fill="FFFFFF"/>
                <w:lang w:eastAsia="en-US"/>
              </w:rPr>
              <w:t>buyer requirements in respect of AI ethical standards</w:t>
            </w:r>
          </w:p>
        </w:tc>
      </w:tr>
      <w:tr w:rsidR="00A47300" w:rsidRPr="00A628D7" w14:paraId="3A19A4F1" w14:textId="77777777">
        <w:tc>
          <w:tcPr>
            <w:tcW w:w="3105" w:type="dxa"/>
            <w:shd w:val="clear" w:color="auto" w:fill="auto"/>
            <w:tcMar>
              <w:top w:w="100" w:type="dxa"/>
              <w:left w:w="100" w:type="dxa"/>
              <w:bottom w:w="100" w:type="dxa"/>
              <w:right w:w="100" w:type="dxa"/>
            </w:tcMar>
          </w:tcPr>
          <w:p w14:paraId="655149EE" w14:textId="77777777" w:rsidR="00A47300" w:rsidRPr="00A628D7" w:rsidRDefault="00A47300" w:rsidP="00A47300">
            <w:pPr>
              <w:widowControl w:val="0"/>
              <w:pBdr>
                <w:top w:val="nil"/>
                <w:left w:val="nil"/>
                <w:bottom w:val="nil"/>
                <w:right w:val="nil"/>
                <w:between w:val="nil"/>
              </w:pBdr>
              <w:spacing w:line="240" w:lineRule="auto"/>
              <w:rPr>
                <w:rFonts w:eastAsia="Calibri"/>
                <w:sz w:val="24"/>
                <w:szCs w:val="24"/>
              </w:rPr>
            </w:pPr>
            <w:r w:rsidRPr="00A628D7">
              <w:rPr>
                <w:rFonts w:eastAsia="Calibri"/>
                <w:sz w:val="24"/>
                <w:szCs w:val="24"/>
              </w:rPr>
              <w:t>24.1</w:t>
            </w:r>
          </w:p>
        </w:tc>
        <w:tc>
          <w:tcPr>
            <w:tcW w:w="5325" w:type="dxa"/>
            <w:shd w:val="clear" w:color="auto" w:fill="auto"/>
            <w:tcMar>
              <w:top w:w="100" w:type="dxa"/>
              <w:left w:w="100" w:type="dxa"/>
              <w:bottom w:w="100" w:type="dxa"/>
              <w:right w:w="100" w:type="dxa"/>
            </w:tcMar>
          </w:tcPr>
          <w:p w14:paraId="7A8E2BEA" w14:textId="77777777" w:rsidR="00A47300" w:rsidRPr="00A628D7" w:rsidRDefault="00A47300" w:rsidP="00A47300">
            <w:pPr>
              <w:widowControl w:val="0"/>
              <w:pBdr>
                <w:top w:val="nil"/>
                <w:left w:val="nil"/>
                <w:bottom w:val="nil"/>
                <w:right w:val="nil"/>
                <w:between w:val="nil"/>
              </w:pBdr>
              <w:spacing w:line="240" w:lineRule="auto"/>
              <w:rPr>
                <w:rFonts w:eastAsia="Calibri"/>
                <w:sz w:val="24"/>
                <w:szCs w:val="24"/>
              </w:rPr>
            </w:pPr>
            <w:r w:rsidRPr="00A628D7">
              <w:rPr>
                <w:rFonts w:eastAsia="Calibri"/>
                <w:sz w:val="24"/>
                <w:szCs w:val="24"/>
              </w:rPr>
              <w:t xml:space="preserve">24.1 Subject to incorporated Framework Agreement clauses 4.2 to 4.7, each Party's Yearly total liability for defaults under or in connection with this Call-Off Contract (whether expressed as an indemnity or otherwise) will be set as follows: </w:t>
            </w:r>
          </w:p>
          <w:p w14:paraId="3B37A4E6" w14:textId="77777777" w:rsidR="00A47300" w:rsidRPr="00A628D7" w:rsidRDefault="00A47300" w:rsidP="00A47300">
            <w:pPr>
              <w:widowControl w:val="0"/>
              <w:pBdr>
                <w:top w:val="nil"/>
                <w:left w:val="nil"/>
                <w:bottom w:val="nil"/>
                <w:right w:val="nil"/>
                <w:between w:val="nil"/>
              </w:pBdr>
              <w:spacing w:line="240" w:lineRule="auto"/>
              <w:rPr>
                <w:rFonts w:eastAsia="Calibri"/>
                <w:sz w:val="24"/>
                <w:szCs w:val="24"/>
              </w:rPr>
            </w:pPr>
          </w:p>
          <w:p w14:paraId="60BDCCD1" w14:textId="0B01D9C5" w:rsidR="00A47300" w:rsidRPr="005060A8" w:rsidRDefault="00A47300" w:rsidP="00A47300">
            <w:pPr>
              <w:pStyle w:val="ListParagraph"/>
              <w:widowControl w:val="0"/>
              <w:numPr>
                <w:ilvl w:val="0"/>
                <w:numId w:val="4"/>
              </w:numPr>
              <w:pBdr>
                <w:top w:val="nil"/>
                <w:left w:val="nil"/>
                <w:bottom w:val="nil"/>
                <w:right w:val="nil"/>
                <w:between w:val="nil"/>
              </w:pBdr>
              <w:spacing w:line="240" w:lineRule="auto"/>
              <w:rPr>
                <w:rFonts w:eastAsia="Calibri"/>
                <w:sz w:val="24"/>
                <w:szCs w:val="24"/>
              </w:rPr>
            </w:pPr>
            <w:r w:rsidRPr="005060A8">
              <w:rPr>
                <w:rFonts w:eastAsia="Calibri"/>
                <w:sz w:val="24"/>
                <w:szCs w:val="24"/>
              </w:rPr>
              <w:t xml:space="preserve">Property: for all defaults resulting in direct loss to the property (including technical infrastructure, assets, IPR or equipment but excluding any loss or damage to Buyer Data) of the other Party, will not exceed the amount in the Order Form </w:t>
            </w:r>
          </w:p>
          <w:p w14:paraId="6C674FC8" w14:textId="77777777" w:rsidR="00A47300" w:rsidRPr="00A628D7" w:rsidRDefault="00A47300" w:rsidP="00A47300">
            <w:pPr>
              <w:widowControl w:val="0"/>
              <w:pBdr>
                <w:top w:val="nil"/>
                <w:left w:val="nil"/>
                <w:bottom w:val="nil"/>
                <w:right w:val="nil"/>
                <w:between w:val="nil"/>
              </w:pBdr>
              <w:spacing w:line="240" w:lineRule="auto"/>
              <w:rPr>
                <w:rFonts w:eastAsia="Calibri"/>
                <w:sz w:val="24"/>
                <w:szCs w:val="24"/>
              </w:rPr>
            </w:pPr>
          </w:p>
          <w:p w14:paraId="526C8E09" w14:textId="1340637C" w:rsidR="00A47300" w:rsidRPr="005060A8" w:rsidRDefault="00A47300" w:rsidP="00A47300">
            <w:pPr>
              <w:pStyle w:val="ListParagraph"/>
              <w:widowControl w:val="0"/>
              <w:numPr>
                <w:ilvl w:val="0"/>
                <w:numId w:val="3"/>
              </w:numPr>
              <w:pBdr>
                <w:top w:val="nil"/>
                <w:left w:val="nil"/>
                <w:bottom w:val="nil"/>
                <w:right w:val="nil"/>
                <w:between w:val="nil"/>
              </w:pBdr>
              <w:spacing w:line="240" w:lineRule="auto"/>
              <w:rPr>
                <w:rFonts w:eastAsia="Calibri"/>
                <w:sz w:val="24"/>
                <w:szCs w:val="24"/>
              </w:rPr>
            </w:pPr>
            <w:r w:rsidRPr="005060A8">
              <w:rPr>
                <w:rFonts w:eastAsia="Calibri"/>
                <w:sz w:val="24"/>
                <w:szCs w:val="24"/>
              </w:rPr>
              <w:t xml:space="preserve">Buyer Data: for all defaults resulting in direct loss, destruction, corruption, degradation or damage to any Buyer Data caused by the Supplier's default will not exceed the amount </w:t>
            </w:r>
            <w:r w:rsidRPr="005060A8">
              <w:rPr>
                <w:rFonts w:eastAsia="Calibri"/>
                <w:sz w:val="24"/>
                <w:szCs w:val="24"/>
              </w:rPr>
              <w:lastRenderedPageBreak/>
              <w:t xml:space="preserve">in the Order Form </w:t>
            </w:r>
          </w:p>
          <w:p w14:paraId="2991DC24" w14:textId="77777777" w:rsidR="00A47300" w:rsidRPr="00A628D7" w:rsidRDefault="00A47300" w:rsidP="00A47300">
            <w:pPr>
              <w:widowControl w:val="0"/>
              <w:pBdr>
                <w:top w:val="nil"/>
                <w:left w:val="nil"/>
                <w:bottom w:val="nil"/>
                <w:right w:val="nil"/>
                <w:between w:val="nil"/>
              </w:pBdr>
              <w:spacing w:line="240" w:lineRule="auto"/>
              <w:rPr>
                <w:rFonts w:eastAsia="Calibri"/>
                <w:sz w:val="24"/>
                <w:szCs w:val="24"/>
              </w:rPr>
            </w:pPr>
          </w:p>
          <w:p w14:paraId="5BB727FE" w14:textId="0DE2D15B" w:rsidR="00A47300" w:rsidRPr="005060A8" w:rsidRDefault="00A47300" w:rsidP="00A47300">
            <w:pPr>
              <w:pStyle w:val="ListParagraph"/>
              <w:widowControl w:val="0"/>
              <w:numPr>
                <w:ilvl w:val="0"/>
                <w:numId w:val="2"/>
              </w:numPr>
              <w:pBdr>
                <w:top w:val="nil"/>
                <w:left w:val="nil"/>
                <w:bottom w:val="nil"/>
                <w:right w:val="nil"/>
                <w:between w:val="nil"/>
              </w:pBdr>
              <w:spacing w:line="240" w:lineRule="auto"/>
              <w:rPr>
                <w:rFonts w:eastAsia="Calibri"/>
                <w:sz w:val="24"/>
                <w:szCs w:val="24"/>
              </w:rPr>
            </w:pPr>
            <w:r w:rsidRPr="005060A8">
              <w:rPr>
                <w:rFonts w:eastAsia="Calibri"/>
                <w:sz w:val="24"/>
                <w:szCs w:val="24"/>
              </w:rPr>
              <w:t xml:space="preserve">Other defaults: for all other defaults, claims, Losses or damages, whether arising from breach of contract, misrepresentation (whether under common law or statute), tort (including negligence), breach of statutory duty or otherwise will not exceed the amount in the Order Form </w:t>
            </w:r>
          </w:p>
        </w:tc>
        <w:tc>
          <w:tcPr>
            <w:tcW w:w="5520" w:type="dxa"/>
            <w:shd w:val="clear" w:color="auto" w:fill="auto"/>
            <w:tcMar>
              <w:top w:w="100" w:type="dxa"/>
              <w:left w:w="100" w:type="dxa"/>
              <w:bottom w:w="100" w:type="dxa"/>
              <w:right w:w="100" w:type="dxa"/>
            </w:tcMar>
          </w:tcPr>
          <w:p w14:paraId="1C863017" w14:textId="1FB21818" w:rsidR="00A47300" w:rsidRPr="00A628D7" w:rsidRDefault="00A47300" w:rsidP="00A47300">
            <w:pPr>
              <w:spacing w:line="240" w:lineRule="auto"/>
              <w:rPr>
                <w:sz w:val="24"/>
                <w:szCs w:val="24"/>
              </w:rPr>
            </w:pPr>
            <w:r w:rsidRPr="00A628D7">
              <w:rPr>
                <w:sz w:val="24"/>
                <w:szCs w:val="24"/>
              </w:rPr>
              <w:lastRenderedPageBreak/>
              <w:t>24.1</w:t>
            </w:r>
            <w:r>
              <w:rPr>
                <w:sz w:val="24"/>
                <w:szCs w:val="24"/>
              </w:rPr>
              <w:t xml:space="preserve"> </w:t>
            </w:r>
            <w:r w:rsidRPr="00A628D7">
              <w:rPr>
                <w:sz w:val="24"/>
                <w:szCs w:val="24"/>
              </w:rPr>
              <w:t xml:space="preserve">Subject to incorporated Framework Agreement clauses 4.2 to 4.7, each Party's </w:t>
            </w:r>
          </w:p>
          <w:p w14:paraId="62EF9CA6" w14:textId="77777777" w:rsidR="00A47300" w:rsidRPr="00A628D7" w:rsidRDefault="00A47300" w:rsidP="00A47300">
            <w:pPr>
              <w:spacing w:line="240" w:lineRule="auto"/>
              <w:rPr>
                <w:sz w:val="24"/>
                <w:szCs w:val="24"/>
              </w:rPr>
            </w:pPr>
            <w:r w:rsidRPr="00A628D7">
              <w:rPr>
                <w:sz w:val="24"/>
                <w:szCs w:val="24"/>
              </w:rPr>
              <w:t>Yearly total liability for defaults under or in connection with this Call-Off Contract (whether expressed as an indemnity or otherwise) will be set as follows:</w:t>
            </w:r>
          </w:p>
          <w:p w14:paraId="1D597249" w14:textId="77777777" w:rsidR="00A47300" w:rsidRPr="00A628D7" w:rsidRDefault="00A47300" w:rsidP="00A47300">
            <w:pPr>
              <w:ind w:left="720"/>
              <w:rPr>
                <w:sz w:val="24"/>
                <w:szCs w:val="24"/>
              </w:rPr>
            </w:pPr>
          </w:p>
          <w:p w14:paraId="0B82162A" w14:textId="77777777" w:rsidR="00A47300" w:rsidRPr="00A628D7" w:rsidRDefault="00A47300" w:rsidP="00A47300">
            <w:pPr>
              <w:spacing w:line="240" w:lineRule="auto"/>
              <w:rPr>
                <w:sz w:val="24"/>
                <w:szCs w:val="24"/>
              </w:rPr>
            </w:pPr>
            <w:r w:rsidRPr="00A628D7">
              <w:rPr>
                <w:sz w:val="24"/>
                <w:szCs w:val="24"/>
              </w:rPr>
              <w:t>24.1.1</w:t>
            </w:r>
            <w:r w:rsidRPr="00A628D7">
              <w:rPr>
                <w:sz w:val="24"/>
                <w:szCs w:val="24"/>
              </w:rP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18991337" w14:textId="77777777" w:rsidR="00A47300" w:rsidRPr="00A628D7" w:rsidRDefault="00A47300" w:rsidP="00A47300">
            <w:pPr>
              <w:ind w:left="1440"/>
              <w:rPr>
                <w:sz w:val="24"/>
                <w:szCs w:val="24"/>
              </w:rPr>
            </w:pPr>
          </w:p>
          <w:p w14:paraId="4382E32C" w14:textId="77777777" w:rsidR="00A47300" w:rsidRPr="00A628D7" w:rsidRDefault="00A47300" w:rsidP="00A47300">
            <w:pPr>
              <w:spacing w:line="240" w:lineRule="auto"/>
              <w:rPr>
                <w:sz w:val="24"/>
                <w:szCs w:val="24"/>
              </w:rPr>
            </w:pPr>
            <w:r w:rsidRPr="00A628D7">
              <w:rPr>
                <w:sz w:val="24"/>
                <w:szCs w:val="24"/>
              </w:rPr>
              <w:t>24.1.2</w:t>
            </w:r>
            <w:r w:rsidRPr="00A628D7">
              <w:rPr>
                <w:sz w:val="24"/>
                <w:szCs w:val="24"/>
              </w:rPr>
              <w:tab/>
              <w:t xml:space="preserve">Buyer Data: for all defaults by the Supplier resulting in direct loss, destruction, corruption, degradation or damage to any Buyer Data, </w:t>
            </w:r>
            <w:r w:rsidRPr="00A628D7">
              <w:rPr>
                <w:sz w:val="24"/>
                <w:szCs w:val="24"/>
              </w:rPr>
              <w:lastRenderedPageBreak/>
              <w:t>caused by the Supplier's default will not exceed the amount in the Order Form</w:t>
            </w:r>
          </w:p>
          <w:p w14:paraId="0F51DFAF" w14:textId="77777777" w:rsidR="00A47300" w:rsidRPr="00A628D7" w:rsidRDefault="00A47300" w:rsidP="00A47300">
            <w:pPr>
              <w:ind w:left="1440"/>
              <w:rPr>
                <w:sz w:val="24"/>
                <w:szCs w:val="24"/>
              </w:rPr>
            </w:pPr>
          </w:p>
          <w:p w14:paraId="52FF081A" w14:textId="77777777" w:rsidR="00A47300" w:rsidRPr="00A628D7" w:rsidRDefault="00A47300" w:rsidP="00A47300">
            <w:pPr>
              <w:spacing w:line="240" w:lineRule="auto"/>
              <w:rPr>
                <w:sz w:val="24"/>
                <w:szCs w:val="24"/>
              </w:rPr>
            </w:pPr>
            <w:r w:rsidRPr="00A628D7">
              <w:rPr>
                <w:sz w:val="24"/>
                <w:szCs w:val="24"/>
              </w:rPr>
              <w:t>24.1.3</w:t>
            </w:r>
            <w:r w:rsidRPr="00A628D7">
              <w:rPr>
                <w:sz w:val="24"/>
                <w:szCs w:val="24"/>
              </w:rPr>
              <w:tab/>
              <w:t xml:space="preserve">Other defaults: for all other defaults by either party, claims, Losses or damages, whether arising from breach of contract, misrepresentation </w:t>
            </w:r>
          </w:p>
          <w:p w14:paraId="583666FC" w14:textId="0E530F96" w:rsidR="00A47300" w:rsidRPr="00A628D7" w:rsidRDefault="00A47300" w:rsidP="00A47300">
            <w:pPr>
              <w:spacing w:line="240" w:lineRule="auto"/>
              <w:rPr>
                <w:rFonts w:eastAsia="Calibri"/>
                <w:sz w:val="24"/>
                <w:szCs w:val="24"/>
              </w:rPr>
            </w:pPr>
            <w:r w:rsidRPr="00A628D7">
              <w:rPr>
                <w:sz w:val="24"/>
                <w:szCs w:val="24"/>
              </w:rPr>
              <w:t>(whether under common law or statute), tort (including negligence), breach of statutory duty or otherwise will not exceed the amount in the Order Form.</w:t>
            </w:r>
          </w:p>
        </w:tc>
      </w:tr>
      <w:tr w:rsidR="00A47300" w:rsidRPr="00A628D7" w14:paraId="0F15B5CB" w14:textId="77777777">
        <w:tc>
          <w:tcPr>
            <w:tcW w:w="3105" w:type="dxa"/>
            <w:shd w:val="clear" w:color="auto" w:fill="auto"/>
            <w:tcMar>
              <w:top w:w="100" w:type="dxa"/>
              <w:left w:w="100" w:type="dxa"/>
              <w:bottom w:w="100" w:type="dxa"/>
              <w:right w:w="100" w:type="dxa"/>
            </w:tcMar>
          </w:tcPr>
          <w:p w14:paraId="04D991C3" w14:textId="7438A182" w:rsidR="00A47300" w:rsidRPr="00A628D7" w:rsidRDefault="00A47300" w:rsidP="00A47300">
            <w:pPr>
              <w:widowControl w:val="0"/>
              <w:pBdr>
                <w:top w:val="nil"/>
                <w:left w:val="nil"/>
                <w:bottom w:val="nil"/>
                <w:right w:val="nil"/>
                <w:between w:val="nil"/>
              </w:pBdr>
              <w:spacing w:line="240" w:lineRule="auto"/>
              <w:rPr>
                <w:rFonts w:eastAsia="Calibri"/>
                <w:sz w:val="24"/>
                <w:szCs w:val="24"/>
              </w:rPr>
            </w:pPr>
            <w:r w:rsidRPr="00A628D7">
              <w:rPr>
                <w:rFonts w:eastAsia="Calibri"/>
                <w:sz w:val="24"/>
                <w:szCs w:val="24"/>
              </w:rPr>
              <w:lastRenderedPageBreak/>
              <w:t>Annex 2: Joint Controller Agreement</w:t>
            </w:r>
            <w:r>
              <w:rPr>
                <w:rFonts w:eastAsia="Calibri"/>
                <w:sz w:val="24"/>
                <w:szCs w:val="24"/>
              </w:rPr>
              <w:t>,</w:t>
            </w:r>
            <w:r w:rsidRPr="00A628D7">
              <w:rPr>
                <w:rFonts w:eastAsia="Calibri"/>
                <w:sz w:val="24"/>
                <w:szCs w:val="24"/>
              </w:rPr>
              <w:t xml:space="preserve"> 7.1(c)</w:t>
            </w:r>
          </w:p>
        </w:tc>
        <w:tc>
          <w:tcPr>
            <w:tcW w:w="5325" w:type="dxa"/>
            <w:shd w:val="clear" w:color="auto" w:fill="auto"/>
            <w:tcMar>
              <w:top w:w="100" w:type="dxa"/>
              <w:left w:w="100" w:type="dxa"/>
              <w:bottom w:w="100" w:type="dxa"/>
              <w:right w:w="100" w:type="dxa"/>
            </w:tcMar>
          </w:tcPr>
          <w:p w14:paraId="29B9A202" w14:textId="53BEBC67" w:rsidR="00A47300" w:rsidRPr="00A628D7" w:rsidRDefault="00A47300" w:rsidP="00A47300">
            <w:pPr>
              <w:widowControl w:val="0"/>
              <w:pBdr>
                <w:top w:val="nil"/>
                <w:left w:val="nil"/>
                <w:bottom w:val="nil"/>
                <w:right w:val="nil"/>
                <w:between w:val="nil"/>
              </w:pBdr>
              <w:spacing w:line="240" w:lineRule="auto"/>
              <w:rPr>
                <w:rFonts w:eastAsia="Calibri"/>
                <w:sz w:val="24"/>
                <w:szCs w:val="24"/>
              </w:rPr>
            </w:pPr>
            <w:r w:rsidRPr="00A628D7">
              <w:rPr>
                <w:rFonts w:eastAsia="Calibri"/>
                <w:sz w:val="24"/>
                <w:szCs w:val="24"/>
              </w:rPr>
              <w:t>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w:t>
            </w:r>
            <w:r>
              <w:rPr>
                <w:rFonts w:eastAsia="Calibri"/>
                <w:sz w:val="24"/>
                <w:szCs w:val="24"/>
              </w:rPr>
              <w:t>.</w:t>
            </w:r>
          </w:p>
        </w:tc>
        <w:tc>
          <w:tcPr>
            <w:tcW w:w="5520" w:type="dxa"/>
            <w:shd w:val="clear" w:color="auto" w:fill="auto"/>
            <w:tcMar>
              <w:top w:w="100" w:type="dxa"/>
              <w:left w:w="100" w:type="dxa"/>
              <w:bottom w:w="100" w:type="dxa"/>
              <w:right w:w="100" w:type="dxa"/>
            </w:tcMar>
          </w:tcPr>
          <w:p w14:paraId="5188FB18" w14:textId="77777777" w:rsidR="00A47300" w:rsidRPr="00A628D7" w:rsidRDefault="00A47300" w:rsidP="00A47300">
            <w:pPr>
              <w:spacing w:line="240" w:lineRule="auto"/>
              <w:rPr>
                <w:sz w:val="24"/>
                <w:szCs w:val="24"/>
              </w:rPr>
            </w:pPr>
            <w:r w:rsidRPr="00A628D7">
              <w:rPr>
                <w:sz w:val="24"/>
                <w:szCs w:val="24"/>
              </w:rPr>
              <w:t>if no view as to responsibility is expressed by the Information Commissioner, then CCS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to 8.79 of the Framework terms (Managing disputes).</w:t>
            </w:r>
          </w:p>
        </w:tc>
      </w:tr>
    </w:tbl>
    <w:p w14:paraId="4EEBD9B4" w14:textId="77777777" w:rsidR="00404DB5" w:rsidRPr="00A628D7" w:rsidRDefault="00404DB5" w:rsidP="00CB7C91">
      <w:pPr>
        <w:rPr>
          <w:rFonts w:ascii="Calibri" w:eastAsia="Calibri" w:hAnsi="Calibri" w:cs="Calibri"/>
          <w:sz w:val="20"/>
          <w:szCs w:val="20"/>
        </w:rPr>
      </w:pPr>
    </w:p>
    <w:sectPr w:rsidR="00404DB5" w:rsidRPr="00A628D7" w:rsidSect="00CB7C91">
      <w:footerReference w:type="even" r:id="rId8"/>
      <w:footerReference w:type="default" r:id="rId9"/>
      <w:pgSz w:w="16840" w:h="11900" w:orient="landscape"/>
      <w:pgMar w:top="1134" w:right="1134" w:bottom="1134" w:left="1134"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F45A8" w14:textId="77777777" w:rsidR="00E0779C" w:rsidRDefault="00E0779C" w:rsidP="00A628D7">
      <w:pPr>
        <w:spacing w:line="240" w:lineRule="auto"/>
      </w:pPr>
      <w:r>
        <w:separator/>
      </w:r>
    </w:p>
  </w:endnote>
  <w:endnote w:type="continuationSeparator" w:id="0">
    <w:p w14:paraId="322263D7" w14:textId="77777777" w:rsidR="00E0779C" w:rsidRDefault="00E0779C" w:rsidP="00A628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altName w:val="Corbe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95981706"/>
      <w:docPartObj>
        <w:docPartGallery w:val="Page Numbers (Bottom of Page)"/>
        <w:docPartUnique/>
      </w:docPartObj>
    </w:sdtPr>
    <w:sdtEndPr>
      <w:rPr>
        <w:rStyle w:val="PageNumber"/>
      </w:rPr>
    </w:sdtEndPr>
    <w:sdtContent>
      <w:p w14:paraId="0D2ECD4D" w14:textId="68C9CC26" w:rsidR="00A628D7" w:rsidRDefault="00A628D7" w:rsidP="005060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0057A3" w14:textId="77777777" w:rsidR="00A628D7" w:rsidRDefault="00A628D7">
    <w:pPr>
      <w:pStyle w:val="Footer"/>
      <w:ind w:right="360"/>
      <w:pPrChange w:id="2" w:author="Microsoft Office User" w:date="2020-02-21T14:09: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6807407"/>
      <w:docPartObj>
        <w:docPartGallery w:val="Page Numbers (Bottom of Page)"/>
        <w:docPartUnique/>
      </w:docPartObj>
    </w:sdtPr>
    <w:sdtEndPr>
      <w:rPr>
        <w:rStyle w:val="PageNumber"/>
      </w:rPr>
    </w:sdtEndPr>
    <w:sdtContent>
      <w:p w14:paraId="7394EEDA" w14:textId="398148FF" w:rsidR="00A628D7" w:rsidRDefault="00A628D7" w:rsidP="005060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47300">
          <w:rPr>
            <w:rStyle w:val="PageNumber"/>
            <w:noProof/>
          </w:rPr>
          <w:t>1</w:t>
        </w:r>
        <w:r>
          <w:rPr>
            <w:rStyle w:val="PageNumber"/>
          </w:rPr>
          <w:fldChar w:fldCharType="end"/>
        </w:r>
      </w:p>
    </w:sdtContent>
  </w:sdt>
  <w:p w14:paraId="78E490D3" w14:textId="77777777" w:rsidR="00A628D7" w:rsidRDefault="00A628D7" w:rsidP="00FB34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C626D" w14:textId="77777777" w:rsidR="00E0779C" w:rsidRDefault="00E0779C" w:rsidP="00A628D7">
      <w:pPr>
        <w:spacing w:line="240" w:lineRule="auto"/>
      </w:pPr>
      <w:r>
        <w:separator/>
      </w:r>
    </w:p>
  </w:footnote>
  <w:footnote w:type="continuationSeparator" w:id="0">
    <w:p w14:paraId="0F826BB5" w14:textId="77777777" w:rsidR="00E0779C" w:rsidRDefault="00E0779C" w:rsidP="00A628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3556B"/>
    <w:multiLevelType w:val="multilevel"/>
    <w:tmpl w:val="43B02B6A"/>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4EFE312B"/>
    <w:multiLevelType w:val="hybridMultilevel"/>
    <w:tmpl w:val="E24E65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06E4D06"/>
    <w:multiLevelType w:val="multilevel"/>
    <w:tmpl w:val="676289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3F93601"/>
    <w:multiLevelType w:val="hybridMultilevel"/>
    <w:tmpl w:val="F6E67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EC71D73"/>
    <w:multiLevelType w:val="hybridMultilevel"/>
    <w:tmpl w:val="F3F0D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DB5"/>
    <w:rsid w:val="00040E5F"/>
    <w:rsid w:val="001B5DA7"/>
    <w:rsid w:val="0023444C"/>
    <w:rsid w:val="00244F7C"/>
    <w:rsid w:val="00404DB5"/>
    <w:rsid w:val="00425E55"/>
    <w:rsid w:val="0047316D"/>
    <w:rsid w:val="005060A8"/>
    <w:rsid w:val="00603FB8"/>
    <w:rsid w:val="006400DF"/>
    <w:rsid w:val="006E275D"/>
    <w:rsid w:val="006F0ECF"/>
    <w:rsid w:val="00712568"/>
    <w:rsid w:val="00742E56"/>
    <w:rsid w:val="00910266"/>
    <w:rsid w:val="009721C6"/>
    <w:rsid w:val="00986278"/>
    <w:rsid w:val="00987DCE"/>
    <w:rsid w:val="00A21372"/>
    <w:rsid w:val="00A47300"/>
    <w:rsid w:val="00A628D7"/>
    <w:rsid w:val="00A636E1"/>
    <w:rsid w:val="00A93DF5"/>
    <w:rsid w:val="00C46435"/>
    <w:rsid w:val="00C94C00"/>
    <w:rsid w:val="00CB7C91"/>
    <w:rsid w:val="00CE07FF"/>
    <w:rsid w:val="00D67D39"/>
    <w:rsid w:val="00DC1B81"/>
    <w:rsid w:val="00DF6FAD"/>
    <w:rsid w:val="00E07765"/>
    <w:rsid w:val="00E0779C"/>
    <w:rsid w:val="00E3556E"/>
    <w:rsid w:val="00E35E6D"/>
    <w:rsid w:val="00E81A71"/>
    <w:rsid w:val="00EA7911"/>
    <w:rsid w:val="00EC7037"/>
    <w:rsid w:val="00F32234"/>
    <w:rsid w:val="00F80925"/>
    <w:rsid w:val="00F83C7B"/>
    <w:rsid w:val="00FA2464"/>
    <w:rsid w:val="00FB34E7"/>
    <w:rsid w:val="00FD51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AB223"/>
  <w15:docId w15:val="{B16B9936-69A7-4A1D-BC75-6C2EE109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1023A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Footer">
    <w:name w:val="footer"/>
    <w:basedOn w:val="Normal"/>
    <w:link w:val="FooterChar"/>
    <w:uiPriority w:val="99"/>
    <w:unhideWhenUsed/>
    <w:rsid w:val="00A628D7"/>
    <w:pPr>
      <w:tabs>
        <w:tab w:val="center" w:pos="4680"/>
        <w:tab w:val="right" w:pos="9360"/>
      </w:tabs>
      <w:spacing w:line="240" w:lineRule="auto"/>
    </w:pPr>
  </w:style>
  <w:style w:type="character" w:customStyle="1" w:styleId="FooterChar">
    <w:name w:val="Footer Char"/>
    <w:basedOn w:val="DefaultParagraphFont"/>
    <w:link w:val="Footer"/>
    <w:uiPriority w:val="99"/>
    <w:rsid w:val="00A628D7"/>
  </w:style>
  <w:style w:type="character" w:styleId="PageNumber">
    <w:name w:val="page number"/>
    <w:basedOn w:val="DefaultParagraphFont"/>
    <w:uiPriority w:val="99"/>
    <w:semiHidden/>
    <w:unhideWhenUsed/>
    <w:rsid w:val="00A628D7"/>
  </w:style>
  <w:style w:type="paragraph" w:styleId="Revision">
    <w:name w:val="Revision"/>
    <w:hidden/>
    <w:uiPriority w:val="99"/>
    <w:semiHidden/>
    <w:rsid w:val="005060A8"/>
    <w:pPr>
      <w:spacing w:line="240" w:lineRule="auto"/>
    </w:pPr>
  </w:style>
  <w:style w:type="paragraph" w:styleId="BalloonText">
    <w:name w:val="Balloon Text"/>
    <w:basedOn w:val="Normal"/>
    <w:link w:val="BalloonTextChar"/>
    <w:uiPriority w:val="99"/>
    <w:semiHidden/>
    <w:unhideWhenUsed/>
    <w:rsid w:val="005060A8"/>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060A8"/>
    <w:rPr>
      <w:rFonts w:ascii="Times New Roman" w:hAnsi="Times New Roman" w:cs="Times New Roman"/>
      <w:sz w:val="18"/>
      <w:szCs w:val="18"/>
    </w:rPr>
  </w:style>
  <w:style w:type="paragraph" w:styleId="Header">
    <w:name w:val="header"/>
    <w:basedOn w:val="Normal"/>
    <w:link w:val="HeaderChar"/>
    <w:uiPriority w:val="99"/>
    <w:unhideWhenUsed/>
    <w:rsid w:val="005060A8"/>
    <w:pPr>
      <w:tabs>
        <w:tab w:val="center" w:pos="4680"/>
        <w:tab w:val="right" w:pos="9360"/>
      </w:tabs>
      <w:spacing w:line="240" w:lineRule="auto"/>
    </w:pPr>
  </w:style>
  <w:style w:type="character" w:customStyle="1" w:styleId="HeaderChar">
    <w:name w:val="Header Char"/>
    <w:basedOn w:val="DefaultParagraphFont"/>
    <w:link w:val="Header"/>
    <w:uiPriority w:val="99"/>
    <w:rsid w:val="005060A8"/>
  </w:style>
  <w:style w:type="paragraph" w:styleId="ListParagraph">
    <w:name w:val="List Paragraph"/>
    <w:basedOn w:val="Normal"/>
    <w:uiPriority w:val="34"/>
    <w:qFormat/>
    <w:rsid w:val="005060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83022">
      <w:bodyDiv w:val="1"/>
      <w:marLeft w:val="0"/>
      <w:marRight w:val="0"/>
      <w:marTop w:val="0"/>
      <w:marBottom w:val="0"/>
      <w:divBdr>
        <w:top w:val="none" w:sz="0" w:space="0" w:color="auto"/>
        <w:left w:val="none" w:sz="0" w:space="0" w:color="auto"/>
        <w:bottom w:val="none" w:sz="0" w:space="0" w:color="auto"/>
        <w:right w:val="none" w:sz="0" w:space="0" w:color="auto"/>
      </w:divBdr>
    </w:div>
    <w:div w:id="1718158615">
      <w:bodyDiv w:val="1"/>
      <w:marLeft w:val="0"/>
      <w:marRight w:val="0"/>
      <w:marTop w:val="0"/>
      <w:marBottom w:val="0"/>
      <w:divBdr>
        <w:top w:val="none" w:sz="0" w:space="0" w:color="auto"/>
        <w:left w:val="none" w:sz="0" w:space="0" w:color="auto"/>
        <w:bottom w:val="none" w:sz="0" w:space="0" w:color="auto"/>
        <w:right w:val="none" w:sz="0" w:space="0" w:color="auto"/>
      </w:divBdr>
    </w:div>
    <w:div w:id="1756627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aXfUrCj6Yue7vqAk/dSYoXWAQ==">AMUW2mUNNnp4gwbsG5w7bxGUXh07dBWOZpj2Hx1vlgRPTFOjHTRV0KRjgfFE/jQzAX3SMlIy9lEFWUUNk6q3t/hAmLLuP1iyrdXSwMCfuDyC8/lkny88XJ1YK9F5CUltDNxbfYh6K3YU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1107</Words>
  <Characters>6311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Key changes between G-Cloud 11 and G-Cloud 12 call-off contract</vt:lpstr>
    </vt:vector>
  </TitlesOfParts>
  <Manager/>
  <Company>Cabinet Office</Company>
  <LinksUpToDate>false</LinksUpToDate>
  <CharactersWithSpaces>7404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changes between G-Cloud 11 and G-Cloud 12 call-off contract</dc:title>
  <dc:subject>G-Cloud 12</dc:subject>
  <dc:creator>Crown Commercial Service</dc:creator>
  <cp:keywords/>
  <dc:description/>
  <cp:lastModifiedBy>Paul Sergison</cp:lastModifiedBy>
  <cp:revision>3</cp:revision>
  <dcterms:created xsi:type="dcterms:W3CDTF">2020-06-16T05:50:00Z</dcterms:created>
  <dcterms:modified xsi:type="dcterms:W3CDTF">2020-06-16T05:53:00Z</dcterms:modified>
  <cp:category/>
</cp:coreProperties>
</file>