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784D12">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784D12">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784D12">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784D12">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784D12">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784D12">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784D12">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784D12">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512734493279616</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SR226196146</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Building SAS in the Cloud</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rsidP="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Documentation of the migration of the SAS models from the currently installed versions on HMRC’s estate to the new cloud installation.</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64D87" w:rsidRDefault="00064D87">
            <w:pPr>
              <w:spacing w:after="0"/>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04/06/2019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9000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w:t>
            </w:r>
            <w:r w:rsidR="008E0B6F">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64D87" w:rsidRDefault="006E0C0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03/12</w:t>
            </w:r>
            <w:r w:rsidR="00064D87" w:rsidRPr="00064D87">
              <w:rPr>
                <w:rFonts w:ascii="Helvetica Neue" w:eastAsia="Helvetica Neue" w:hAnsi="Helvetica Neue" w:cs="Helvetica Neue"/>
                <w:sz w:val="24"/>
                <w:szCs w:val="24"/>
              </w:rPr>
              <w:t>/2019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394B44">
            <w:pPr>
              <w:spacing w:after="0"/>
              <w:rPr>
                <w:rFonts w:ascii="Helvetica Neue" w:eastAsia="Helvetica Neue" w:hAnsi="Helvetica Neue" w:cs="Helvetica Neue"/>
                <w:sz w:val="24"/>
                <w:szCs w:val="24"/>
                <w:highlight w:val="yellow"/>
              </w:rPr>
            </w:pPr>
            <w:r w:rsidRPr="00394B44">
              <w:rPr>
                <w:rFonts w:ascii="Helvetica Neue" w:eastAsia="Helvetica Neue" w:hAnsi="Helvetica Neue" w:cs="Helvetica Neue"/>
                <w:sz w:val="24"/>
                <w:szCs w:val="24"/>
              </w:rPr>
              <w:t>£228,000 ex VAT (+ £5,000 for expenses payable in line with HMRC T&amp;S  policy</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BACS in arrears. Fixed price based on agreed deliverables and milestones.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64D87">
            <w:pPr>
              <w:spacing w:after="0"/>
              <w:rPr>
                <w:rFonts w:ascii="Helvetica Neue" w:eastAsia="Helvetica Neue" w:hAnsi="Helvetica Neue" w:cs="Helvetica Neue"/>
                <w:sz w:val="24"/>
                <w:szCs w:val="24"/>
                <w:highlight w:val="yellow"/>
              </w:rPr>
            </w:pPr>
            <w:r w:rsidRPr="00064D87">
              <w:rPr>
                <w:rFonts w:ascii="Helvetica Neue" w:eastAsia="Helvetica Neue" w:hAnsi="Helvetica Neue" w:cs="Helvetica Neue"/>
                <w:sz w:val="24"/>
                <w:szCs w:val="24"/>
              </w:rPr>
              <w:t>TBC by HMRC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12436C" w:rsidRDefault="0012436C">
            <w:pPr>
              <w:spacing w:after="0"/>
              <w:rPr>
                <w:rFonts w:ascii="Helvetica Neue" w:eastAsia="Helvetica Neue" w:hAnsi="Helvetica Neue" w:cs="Helvetica Neue"/>
                <w:sz w:val="24"/>
                <w:szCs w:val="24"/>
              </w:rPr>
            </w:pPr>
            <w:r w:rsidRPr="0012436C">
              <w:rPr>
                <w:rFonts w:ascii="Helvetica Neue" w:eastAsia="Helvetica Neue" w:hAnsi="Helvetica Neue" w:cs="Helvetica Neue"/>
                <w:sz w:val="24"/>
                <w:szCs w:val="24"/>
              </w:rPr>
              <w:t>HM Revenue and Customs</w:t>
            </w:r>
          </w:p>
          <w:p w:rsidR="005540D7" w:rsidRPr="0012436C" w:rsidRDefault="00784D1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5540D7" w:rsidRPr="0012436C" w:rsidRDefault="0012436C">
            <w:pPr>
              <w:spacing w:after="0"/>
              <w:rPr>
                <w:rFonts w:ascii="Helvetica Neue" w:eastAsia="Helvetica Neue" w:hAnsi="Helvetica Neue" w:cs="Helvetica Neue"/>
                <w:sz w:val="24"/>
                <w:szCs w:val="24"/>
              </w:rPr>
            </w:pPr>
            <w:r w:rsidRPr="0012436C">
              <w:rPr>
                <w:rFonts w:ascii="Helvetica Neue" w:eastAsia="Helvetica Neue" w:hAnsi="Helvetica Neue" w:cs="Helvetica Neue"/>
                <w:sz w:val="24"/>
                <w:szCs w:val="24"/>
              </w:rPr>
              <w:t>Ralli Quays</w:t>
            </w:r>
          </w:p>
          <w:p w:rsidR="0012436C" w:rsidRPr="0012436C" w:rsidRDefault="0012436C">
            <w:pPr>
              <w:spacing w:after="0"/>
              <w:rPr>
                <w:rFonts w:ascii="Helvetica Neue" w:eastAsia="Helvetica Neue" w:hAnsi="Helvetica Neue" w:cs="Helvetica Neue"/>
                <w:sz w:val="24"/>
                <w:szCs w:val="24"/>
              </w:rPr>
            </w:pPr>
            <w:r w:rsidRPr="0012436C">
              <w:rPr>
                <w:rFonts w:ascii="Helvetica Neue" w:eastAsia="Helvetica Neue" w:hAnsi="Helvetica Neue" w:cs="Helvetica Neue"/>
                <w:sz w:val="24"/>
                <w:szCs w:val="24"/>
              </w:rPr>
              <w:t>3 Stanley Street,</w:t>
            </w:r>
          </w:p>
          <w:p w:rsidR="0012436C" w:rsidRPr="0012436C" w:rsidRDefault="0012436C">
            <w:pPr>
              <w:spacing w:after="0"/>
              <w:rPr>
                <w:rFonts w:ascii="Helvetica Neue" w:eastAsia="Helvetica Neue" w:hAnsi="Helvetica Neue" w:cs="Helvetica Neue"/>
                <w:sz w:val="24"/>
                <w:szCs w:val="24"/>
              </w:rPr>
            </w:pPr>
            <w:r w:rsidRPr="0012436C">
              <w:rPr>
                <w:rFonts w:ascii="Helvetica Neue" w:eastAsia="Helvetica Neue" w:hAnsi="Helvetica Neue" w:cs="Helvetica Neue"/>
                <w:sz w:val="24"/>
                <w:szCs w:val="24"/>
              </w:rPr>
              <w:t>Salford</w:t>
            </w:r>
          </w:p>
          <w:p w:rsidR="0012436C" w:rsidRDefault="0012436C">
            <w:pPr>
              <w:spacing w:after="0"/>
              <w:rPr>
                <w:rFonts w:ascii="Helvetica Neue" w:eastAsia="Helvetica Neue" w:hAnsi="Helvetica Neue" w:cs="Helvetica Neue"/>
                <w:sz w:val="24"/>
                <w:szCs w:val="24"/>
                <w:highlight w:val="yellow"/>
              </w:rPr>
            </w:pPr>
            <w:r w:rsidRPr="0012436C">
              <w:rPr>
                <w:rFonts w:ascii="Helvetica Neue" w:eastAsia="Helvetica Neue" w:hAnsi="Helvetica Neue" w:cs="Helvetica Neue"/>
                <w:sz w:val="24"/>
                <w:szCs w:val="24"/>
              </w:rPr>
              <w:t>M60 9LA</w:t>
            </w: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004A6E" w:rsidRDefault="00004A6E">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Butterfly Projects Ltd</w:t>
            </w:r>
          </w:p>
          <w:p w:rsidR="00784D12" w:rsidRPr="0012436C" w:rsidRDefault="00784D12" w:rsidP="00784D1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Pr="00004A6E" w:rsidRDefault="008E0B6F">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Supplier’s address:</w:t>
            </w:r>
          </w:p>
          <w:p w:rsidR="005540D7" w:rsidRPr="00004A6E" w:rsidRDefault="00004A6E">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ICE</w:t>
            </w:r>
          </w:p>
          <w:p w:rsidR="00004A6E" w:rsidRPr="00004A6E" w:rsidRDefault="00004A6E">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Britannia House</w:t>
            </w:r>
          </w:p>
          <w:p w:rsidR="00004A6E" w:rsidRPr="00004A6E" w:rsidRDefault="00004A6E">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Caerphilly</w:t>
            </w:r>
          </w:p>
          <w:p w:rsidR="00004A6E" w:rsidRPr="00004A6E" w:rsidRDefault="00004A6E">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CF83 3GG</w:t>
            </w:r>
          </w:p>
          <w:p w:rsidR="005540D7" w:rsidRPr="00004A6E" w:rsidRDefault="008E0B6F">
            <w:pPr>
              <w:spacing w:after="0"/>
              <w:rPr>
                <w:rFonts w:ascii="Helvetica Neue" w:eastAsia="Helvetica Neue" w:hAnsi="Helvetica Neue" w:cs="Helvetica Neue"/>
                <w:sz w:val="24"/>
                <w:szCs w:val="24"/>
              </w:rPr>
            </w:pPr>
            <w:r w:rsidRPr="00004A6E">
              <w:rPr>
                <w:rFonts w:ascii="Helvetica Neue" w:eastAsia="Helvetica Neue" w:hAnsi="Helvetica Neue" w:cs="Helvetica Neue"/>
                <w:sz w:val="24"/>
                <w:szCs w:val="24"/>
              </w:rPr>
              <w:t xml:space="preserve">Company number: </w:t>
            </w:r>
          </w:p>
          <w:p w:rsidR="005540D7" w:rsidRDefault="00004A6E">
            <w:pPr>
              <w:spacing w:after="0"/>
              <w:rPr>
                <w:rFonts w:ascii="Helvetica Neue" w:eastAsia="Helvetica Neue" w:hAnsi="Helvetica Neue" w:cs="Helvetica Neue"/>
                <w:sz w:val="24"/>
                <w:szCs w:val="24"/>
                <w:highlight w:val="yellow"/>
              </w:rPr>
            </w:pPr>
            <w:r w:rsidRPr="00004A6E">
              <w:rPr>
                <w:rFonts w:ascii="Helvetica Neue" w:eastAsia="Helvetica Neue" w:hAnsi="Helvetica Neue" w:cs="Helvetica Neue"/>
                <w:sz w:val="24"/>
                <w:szCs w:val="24"/>
              </w:rPr>
              <w:t>4952566</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2436C">
            <w:pPr>
              <w:spacing w:after="0"/>
            </w:pPr>
            <w:r>
              <w:rPr>
                <w:rFonts w:ascii="Helvetica Neue" w:eastAsia="Helvetica Neue" w:hAnsi="Helvetica Neue" w:cs="Helvetica Neue"/>
                <w:sz w:val="24"/>
                <w:szCs w:val="24"/>
              </w:rPr>
              <w:t xml:space="preserve">Title: </w:t>
            </w:r>
            <w:r w:rsidR="00825380">
              <w:rPr>
                <w:rFonts w:ascii="Helvetica Neue" w:eastAsia="Helvetica Neue" w:hAnsi="Helvetica Neue" w:cs="Helvetica Neue"/>
                <w:sz w:val="24"/>
                <w:szCs w:val="24"/>
              </w:rPr>
              <w:t xml:space="preserve"> Recruitment and Business Manager</w:t>
            </w:r>
          </w:p>
          <w:p w:rsidR="005540D7" w:rsidRDefault="008E0B6F">
            <w:pPr>
              <w:spacing w:after="0"/>
            </w:pPr>
            <w:r>
              <w:rPr>
                <w:rFonts w:ascii="Helvetica Neue" w:eastAsia="Helvetica Neue" w:hAnsi="Helvetica Neue" w:cs="Helvetica Neue"/>
                <w:sz w:val="24"/>
                <w:szCs w:val="24"/>
              </w:rPr>
              <w:t xml:space="preserve">Name: </w:t>
            </w:r>
            <w:r w:rsidR="00825380">
              <w:rPr>
                <w:rFonts w:ascii="Helvetica Neue" w:eastAsia="Helvetica Neue" w:hAnsi="Helvetica Neue" w:cs="Helvetica Neue"/>
                <w:sz w:val="24"/>
                <w:szCs w:val="24"/>
              </w:rPr>
              <w:t xml:space="preserve"> </w:t>
            </w:r>
            <w:r w:rsidR="00784D12">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Email: </w:t>
            </w:r>
            <w:r w:rsidR="00784D12">
              <w:rPr>
                <w:rFonts w:ascii="Helvetica Neue" w:eastAsia="Helvetica Neue" w:hAnsi="Helvetica Neue" w:cs="Helvetica Neue"/>
                <w:sz w:val="24"/>
                <w:szCs w:val="24"/>
              </w:rPr>
              <w:t>Redacted</w:t>
            </w:r>
          </w:p>
          <w:p w:rsidR="005540D7" w:rsidRDefault="008E0B6F" w:rsidP="00784D12">
            <w:pPr>
              <w:spacing w:after="0"/>
            </w:pPr>
            <w:r>
              <w:rPr>
                <w:rFonts w:ascii="Helvetica Neue" w:eastAsia="Helvetica Neue" w:hAnsi="Helvetica Neue" w:cs="Helvetica Neue"/>
                <w:sz w:val="24"/>
                <w:szCs w:val="24"/>
              </w:rPr>
              <w:t xml:space="preserve">Phone: </w:t>
            </w:r>
            <w:r w:rsidR="00784D12">
              <w:rPr>
                <w:rFonts w:ascii="Helvetica Neue" w:eastAsia="Helvetica Neue" w:hAnsi="Helvetica Neue" w:cs="Helvetica Neue"/>
                <w:sz w:val="24"/>
                <w:szCs w:val="24"/>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591603">
              <w:rPr>
                <w:rFonts w:ascii="Helvetica Neue" w:eastAsia="Helvetica Neue" w:hAnsi="Helvetica Neue" w:cs="Helvetica Neue"/>
                <w:sz w:val="24"/>
                <w:szCs w:val="24"/>
              </w:rPr>
              <w:t xml:space="preserve"> </w:t>
            </w:r>
            <w:r w:rsidR="00004A6E">
              <w:rPr>
                <w:rFonts w:ascii="Helvetica Neue" w:eastAsia="Helvetica Neue" w:hAnsi="Helvetica Neue" w:cs="Helvetica Neue"/>
                <w:sz w:val="24"/>
                <w:szCs w:val="24"/>
              </w:rPr>
              <w:t>Director</w:t>
            </w:r>
          </w:p>
          <w:p w:rsidR="005540D7" w:rsidRDefault="008E0B6F">
            <w:pPr>
              <w:spacing w:after="0"/>
            </w:pPr>
            <w:r>
              <w:rPr>
                <w:rFonts w:ascii="Helvetica Neue" w:eastAsia="Helvetica Neue" w:hAnsi="Helvetica Neue" w:cs="Helvetica Neue"/>
                <w:sz w:val="24"/>
                <w:szCs w:val="24"/>
              </w:rPr>
              <w:t xml:space="preserve">Name: </w:t>
            </w:r>
            <w:r w:rsidR="00784D12">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Email: </w:t>
            </w:r>
            <w:r w:rsidR="00784D12">
              <w:rPr>
                <w:rFonts w:ascii="Helvetica Neue" w:eastAsia="Helvetica Neue" w:hAnsi="Helvetica Neue" w:cs="Helvetica Neue"/>
                <w:sz w:val="24"/>
                <w:szCs w:val="24"/>
              </w:rPr>
              <w:t>Redacted</w:t>
            </w:r>
          </w:p>
          <w:p w:rsidR="005540D7" w:rsidRDefault="008E0B6F" w:rsidP="00784D12">
            <w:pPr>
              <w:spacing w:after="0"/>
            </w:pPr>
            <w:r>
              <w:rPr>
                <w:rFonts w:ascii="Helvetica Neue" w:eastAsia="Helvetica Neue" w:hAnsi="Helvetica Neue" w:cs="Helvetica Neue"/>
                <w:sz w:val="24"/>
                <w:szCs w:val="24"/>
              </w:rPr>
              <w:t xml:space="preserve">Phone: </w:t>
            </w:r>
            <w:r w:rsidR="00784D12">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This Call-Off Contract Starts on </w:t>
            </w:r>
            <w:r w:rsidR="00064D87">
              <w:rPr>
                <w:rFonts w:ascii="Helvetica Neue" w:eastAsia="Helvetica Neue" w:hAnsi="Helvetica Neue" w:cs="Helvetica Neue"/>
                <w:sz w:val="24"/>
                <w:szCs w:val="24"/>
              </w:rPr>
              <w:t>4</w:t>
            </w:r>
            <w:r w:rsidR="00064D87" w:rsidRPr="00064D87">
              <w:rPr>
                <w:rFonts w:ascii="Helvetica Neue" w:eastAsia="Helvetica Neue" w:hAnsi="Helvetica Neue" w:cs="Helvetica Neue"/>
                <w:sz w:val="24"/>
                <w:szCs w:val="24"/>
                <w:vertAlign w:val="superscript"/>
              </w:rPr>
              <w:t>th</w:t>
            </w:r>
            <w:r w:rsidR="00064D87">
              <w:rPr>
                <w:rFonts w:ascii="Helvetica Neue" w:eastAsia="Helvetica Neue" w:hAnsi="Helvetica Neue" w:cs="Helvetica Neue"/>
                <w:sz w:val="24"/>
                <w:szCs w:val="24"/>
              </w:rPr>
              <w:t xml:space="preserve"> June 2019</w:t>
            </w:r>
            <w:r w:rsidR="00825380">
              <w:rPr>
                <w:rFonts w:ascii="Helvetica Neue" w:eastAsia="Helvetica Neue" w:hAnsi="Helvetica Neue" w:cs="Helvetica Neue"/>
                <w:sz w:val="24"/>
                <w:szCs w:val="24"/>
              </w:rPr>
              <w:t xml:space="preserve"> and is valid for 6 months</w:t>
            </w:r>
            <w:r w:rsidR="00004A6E">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The notice period needed for Ending the Call-Off Contract is </w:t>
            </w:r>
            <w:r w:rsidRPr="00825380">
              <w:rPr>
                <w:rFonts w:ascii="Helvetica Neue" w:eastAsia="Helvetica Neue" w:hAnsi="Helvetica Neue" w:cs="Helvetica Neue"/>
                <w:sz w:val="24"/>
                <w:szCs w:val="24"/>
              </w:rPr>
              <w:t xml:space="preserve">at least [90] Working Days from the date of written notice for disputed sums or at least [30] 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This Call-Off Contract can be extended by the Buyer for </w:t>
            </w:r>
            <w:r w:rsidR="00825380">
              <w:rPr>
                <w:rFonts w:ascii="Helvetica Neue" w:eastAsia="Helvetica Neue" w:hAnsi="Helvetica Neue" w:cs="Helvetica Neue"/>
                <w:sz w:val="24"/>
                <w:szCs w:val="24"/>
              </w:rPr>
              <w:t xml:space="preserve">1 </w:t>
            </w:r>
            <w:r>
              <w:rPr>
                <w:rFonts w:ascii="Helvetica Neue" w:eastAsia="Helvetica Neue" w:hAnsi="Helvetica Neue" w:cs="Helvetica Neue"/>
                <w:sz w:val="24"/>
                <w:szCs w:val="24"/>
              </w:rPr>
              <w:t>period(s) of</w:t>
            </w:r>
            <w:r w:rsidR="00825380">
              <w:rPr>
                <w:rFonts w:ascii="Helvetica Neue" w:eastAsia="Helvetica Neue" w:hAnsi="Helvetica Neue" w:cs="Helvetica Neue"/>
                <w:sz w:val="24"/>
                <w:szCs w:val="24"/>
              </w:rPr>
              <w:t xml:space="preserve"> </w:t>
            </w:r>
            <w:r w:rsidR="00004A6E">
              <w:rPr>
                <w:rFonts w:ascii="Helvetica Neue" w:eastAsia="Helvetica Neue" w:hAnsi="Helvetica Neue" w:cs="Helvetica Neue"/>
                <w:sz w:val="24"/>
                <w:szCs w:val="24"/>
              </w:rPr>
              <w:t xml:space="preserve">up to </w:t>
            </w:r>
            <w:r w:rsidR="00825380">
              <w:rPr>
                <w:rFonts w:ascii="Helvetica Neue" w:eastAsia="Helvetica Neue" w:hAnsi="Helvetica Neue" w:cs="Helvetica Neue"/>
                <w:sz w:val="24"/>
                <w:szCs w:val="24"/>
              </w:rPr>
              <w:t>3</w:t>
            </w:r>
            <w:r>
              <w:rPr>
                <w:rFonts w:ascii="Helvetica Neue" w:eastAsia="Helvetica Neue" w:hAnsi="Helvetica Neue" w:cs="Helvetica Neue"/>
                <w:sz w:val="24"/>
                <w:szCs w:val="24"/>
              </w:rPr>
              <w:t xml:space="preserve"> </w:t>
            </w:r>
            <w:r w:rsidR="00825380">
              <w:rPr>
                <w:rFonts w:ascii="Helvetica Neue" w:eastAsia="Helvetica Neue" w:hAnsi="Helvetica Neue" w:cs="Helvetica Neue"/>
                <w:sz w:val="24"/>
                <w:szCs w:val="24"/>
              </w:rPr>
              <w:t>mon</w:t>
            </w:r>
            <w:r>
              <w:rPr>
                <w:rFonts w:ascii="Helvetica Neue" w:eastAsia="Helvetica Neue" w:hAnsi="Helvetica Neue" w:cs="Helvetica Neue"/>
                <w:sz w:val="24"/>
                <w:szCs w:val="24"/>
              </w:rPr>
              <w:t>t</w:t>
            </w:r>
            <w:r w:rsidR="00825380">
              <w:rPr>
                <w:rFonts w:ascii="Helvetica Neue" w:eastAsia="Helvetica Neue" w:hAnsi="Helvetica Neue" w:cs="Helvetica Neue"/>
                <w:sz w:val="24"/>
                <w:szCs w:val="24"/>
              </w:rPr>
              <w:t xml:space="preserve">hs, by giving the Supplier 1 month </w:t>
            </w:r>
            <w:r>
              <w:rPr>
                <w:rFonts w:ascii="Helvetica Neue" w:eastAsia="Helvetica Neue" w:hAnsi="Helvetica Neue" w:cs="Helvetica Neue"/>
                <w:sz w:val="24"/>
                <w:szCs w:val="24"/>
              </w:rPr>
              <w:t>written notice before its expiry.</w:t>
            </w:r>
          </w:p>
          <w:p w:rsidR="005540D7" w:rsidRDefault="005540D7" w:rsidP="00825380">
            <w:pPr>
              <w:spacing w:after="0"/>
              <w:ind w:left="720"/>
              <w:contextualSpacing/>
              <w:rPr>
                <w:rFonts w:ascii="Helvetica Neue" w:eastAsia="Helvetica Neue" w:hAnsi="Helvetica Neue" w:cs="Helvetica Neue"/>
                <w:sz w:val="24"/>
                <w:szCs w:val="24"/>
                <w:highlight w:val="green"/>
              </w:rPr>
            </w:pPr>
            <w:bookmarkStart w:id="12" w:name="_sbn2nptjxz3z"/>
            <w:bookmarkEnd w:id="12"/>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pPr>
              <w:spacing w:after="0"/>
              <w:rPr>
                <w:rFonts w:ascii="Helvetica Neue" w:eastAsia="Helvetica Neue" w:hAnsi="Helvetica Neue" w:cs="Helvetica Neue"/>
                <w:sz w:val="24"/>
                <w:szCs w:val="24"/>
                <w:highlight w:val="yellow"/>
              </w:rPr>
            </w:pPr>
            <w:r w:rsidRPr="00825380">
              <w:rPr>
                <w:rFonts w:ascii="Helvetica Neue" w:eastAsia="Helvetica Neue" w:hAnsi="Helvetica Neue" w:cs="Helvetica Neue"/>
                <w:sz w:val="24"/>
                <w:szCs w:val="24"/>
              </w:rPr>
              <w:t>Lot 3 - Cloud s</w:t>
            </w:r>
            <w:r w:rsidR="00825380" w:rsidRPr="00825380">
              <w:rPr>
                <w:rFonts w:ascii="Helvetica Neue" w:eastAsia="Helvetica Neue" w:hAnsi="Helvetica Neue" w:cs="Helvetica Neue"/>
                <w:sz w:val="24"/>
                <w:szCs w:val="24"/>
              </w:rPr>
              <w:t xml:space="preserve">upport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004A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bookmarkStart w:id="13" w:name="_2et92p0"/>
            <w:bookmarkEnd w:id="13"/>
          </w:p>
          <w:p w:rsidR="00004A6E" w:rsidRDefault="00004A6E" w:rsidP="00004A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Data migration</w:t>
            </w:r>
          </w:p>
          <w:p w:rsidR="00004A6E" w:rsidRDefault="00004A6E" w:rsidP="00004A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Design and documentation of low level designs</w:t>
            </w:r>
          </w:p>
          <w:p w:rsidR="00004A6E" w:rsidRDefault="00004A6E" w:rsidP="00004A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Implementation</w:t>
            </w:r>
          </w:p>
          <w:p w:rsidR="00004A6E" w:rsidRPr="00004A6E" w:rsidRDefault="00004A6E" w:rsidP="00004A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SAS </w:t>
            </w:r>
            <w:r w:rsidRPr="00004A6E">
              <w:rPr>
                <w:rFonts w:ascii="Helvetica Neue" w:eastAsia="Helvetica Neue" w:hAnsi="Helvetica Neue" w:cs="Helvetica Neue"/>
                <w:sz w:val="24"/>
                <w:szCs w:val="24"/>
              </w:rPr>
              <w:t>Subject</w:t>
            </w:r>
            <w:r>
              <w:rPr>
                <w:rFonts w:ascii="Helvetica Neue" w:eastAsia="Helvetica Neue" w:hAnsi="Helvetica Neue" w:cs="Helvetica Neue"/>
                <w:sz w:val="24"/>
                <w:szCs w:val="24"/>
              </w:rPr>
              <w:t xml:space="preserve"> matter expertise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04A6E">
            <w:pPr>
              <w:spacing w:after="0"/>
              <w:rPr>
                <w:rFonts w:ascii="Helvetica Neue" w:eastAsia="Helvetica Neue" w:hAnsi="Helvetica Neue" w:cs="Helvetica Neue"/>
                <w:sz w:val="24"/>
                <w:szCs w:val="24"/>
                <w:highlight w:val="green"/>
              </w:rPr>
            </w:pPr>
            <w:r w:rsidRPr="00004A6E">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004A6E" w:rsidRDefault="008E0B6F" w:rsidP="00004A6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004A6E">
              <w:rPr>
                <w:rFonts w:ascii="Helvetica Neue" w:eastAsia="Helvetica Neue" w:hAnsi="Helvetica Neue" w:cs="Helvetica Neue"/>
                <w:sz w:val="24"/>
                <w:szCs w:val="24"/>
              </w:rPr>
              <w:t>e Services will be delivered to:</w:t>
            </w:r>
          </w:p>
          <w:p w:rsidR="00004A6E" w:rsidRDefault="00004A6E" w:rsidP="00004A6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Base location will be Cardiff with some travel to Manchester and Leeds</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w:t>
            </w:r>
            <w:r w:rsidR="00591603">
              <w:rPr>
                <w:rFonts w:ascii="Helvetica Neue" w:eastAsia="Helvetica Neue" w:hAnsi="Helvetica Neue" w:cs="Helvetica Neue"/>
                <w:sz w:val="24"/>
                <w:szCs w:val="24"/>
              </w:rPr>
              <w:t xml:space="preserve"> for this Call-Off Contract are:</w:t>
            </w:r>
          </w:p>
          <w:p w:rsidR="00591603" w:rsidRPr="00591603" w:rsidRDefault="00591603" w:rsidP="00591603">
            <w:pPr>
              <w:rPr>
                <w:rFonts w:ascii="Helvetica Neue" w:eastAsia="Helvetica Neue" w:hAnsi="Helvetica Neue" w:cs="Helvetica Neue"/>
                <w:sz w:val="24"/>
                <w:szCs w:val="24"/>
              </w:rPr>
            </w:pPr>
            <w:r w:rsidRPr="00591603">
              <w:rPr>
                <w:rFonts w:ascii="Helvetica Neue" w:eastAsia="Helvetica Neue" w:hAnsi="Helvetica Neue" w:cs="Helvetica Neue"/>
                <w:sz w:val="24"/>
                <w:szCs w:val="24"/>
              </w:rPr>
              <w:t xml:space="preserve">Deliverables from the supplier will be assessed on a monthly basis in a review session and approved by Data Analytics Business Management team. </w:t>
            </w:r>
          </w:p>
          <w:p w:rsidR="00591603" w:rsidRDefault="00591603">
            <w:pPr>
              <w:spacing w:after="0" w:line="240" w:lineRule="auto"/>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91603" w:rsidRDefault="008E0B6F" w:rsidP="0059160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technical standards required for this Call-Off Contract are </w:t>
            </w:r>
            <w:r w:rsidR="00591603">
              <w:rPr>
                <w:rFonts w:ascii="Helvetica Neue" w:eastAsia="Helvetica Neue" w:hAnsi="Helvetica Neue" w:cs="Helvetica Neue"/>
                <w:sz w:val="24"/>
                <w:szCs w:val="24"/>
              </w:rPr>
              <w:t>:</w:t>
            </w:r>
          </w:p>
          <w:p w:rsidR="00591603" w:rsidRDefault="00591603" w:rsidP="00591603">
            <w:pPr>
              <w:spacing w:after="0" w:line="240" w:lineRule="auto"/>
              <w:rPr>
                <w:rFonts w:ascii="Helvetica Neue" w:eastAsia="Helvetica Neue" w:hAnsi="Helvetica Neue" w:cs="Helvetica Neue"/>
                <w:sz w:val="24"/>
                <w:szCs w:val="24"/>
              </w:rPr>
            </w:pPr>
          </w:p>
          <w:p w:rsidR="00591603" w:rsidRDefault="00591603" w:rsidP="0059160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w:t>
            </w:r>
            <w:r w:rsidRPr="00591603">
              <w:rPr>
                <w:rFonts w:ascii="Helvetica Neue" w:eastAsia="Helvetica Neue" w:hAnsi="Helvetica Neue" w:cs="Helvetica Neue"/>
                <w:sz w:val="24"/>
                <w:szCs w:val="24"/>
              </w:rPr>
              <w:t>migrat</w:t>
            </w:r>
            <w:r>
              <w:rPr>
                <w:rFonts w:ascii="Helvetica Neue" w:eastAsia="Helvetica Neue" w:hAnsi="Helvetica Neue" w:cs="Helvetica Neue"/>
                <w:sz w:val="24"/>
                <w:szCs w:val="24"/>
              </w:rPr>
              <w:t>ing data utilised on</w:t>
            </w:r>
            <w:r w:rsidRPr="00591603">
              <w:rPr>
                <w:rFonts w:ascii="Helvetica Neue" w:eastAsia="Helvetica Neue" w:hAnsi="Helvetica Neue" w:cs="Helvetica Neue"/>
                <w:sz w:val="24"/>
                <w:szCs w:val="24"/>
              </w:rPr>
              <w:t xml:space="preserve"> current on prem</w:t>
            </w:r>
            <w:r>
              <w:rPr>
                <w:rFonts w:ascii="Helvetica Neue" w:eastAsia="Helvetica Neue" w:hAnsi="Helvetica Neue" w:cs="Helvetica Neue"/>
                <w:sz w:val="24"/>
                <w:szCs w:val="24"/>
              </w:rPr>
              <w:t>ises</w:t>
            </w:r>
            <w:r w:rsidRPr="00591603">
              <w:rPr>
                <w:rFonts w:ascii="Helvetica Neue" w:eastAsia="Helvetica Neue" w:hAnsi="Helvetica Neue" w:cs="Helvetica Neue"/>
                <w:sz w:val="24"/>
                <w:szCs w:val="24"/>
              </w:rPr>
              <w:t xml:space="preserve"> SAS installs to new SAS in the Cloud installs</w:t>
            </w:r>
          </w:p>
          <w:p w:rsidR="00591603" w:rsidRDefault="00591603" w:rsidP="0059160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w:t>
            </w:r>
            <w:r w:rsidRPr="00591603">
              <w:rPr>
                <w:rFonts w:ascii="Helvetica Neue" w:eastAsia="Helvetica Neue" w:hAnsi="Helvetica Neue" w:cs="Helvetica Neue"/>
                <w:sz w:val="24"/>
                <w:szCs w:val="24"/>
              </w:rPr>
              <w:t>design</w:t>
            </w:r>
            <w:r>
              <w:rPr>
                <w:rFonts w:ascii="Helvetica Neue" w:eastAsia="Helvetica Neue" w:hAnsi="Helvetica Neue" w:cs="Helvetica Neue"/>
                <w:sz w:val="24"/>
                <w:szCs w:val="24"/>
              </w:rPr>
              <w:t xml:space="preserve">ing </w:t>
            </w:r>
            <w:r w:rsidRPr="00591603">
              <w:rPr>
                <w:rFonts w:ascii="Helvetica Neue" w:eastAsia="Helvetica Neue" w:hAnsi="Helvetica Neue" w:cs="Helvetica Neue"/>
                <w:sz w:val="24"/>
                <w:szCs w:val="24"/>
              </w:rPr>
              <w:t>and implement</w:t>
            </w:r>
            <w:r>
              <w:rPr>
                <w:rFonts w:ascii="Helvetica Neue" w:eastAsia="Helvetica Neue" w:hAnsi="Helvetica Neue" w:cs="Helvetica Neue"/>
                <w:sz w:val="24"/>
                <w:szCs w:val="24"/>
              </w:rPr>
              <w:t>ing</w:t>
            </w:r>
            <w:r w:rsidRPr="00591603">
              <w:rPr>
                <w:rFonts w:ascii="Helvetica Neue" w:eastAsia="Helvetica Neue" w:hAnsi="Helvetica Neue" w:cs="Helvetica Neue"/>
                <w:sz w:val="24"/>
                <w:szCs w:val="24"/>
              </w:rPr>
              <w:t xml:space="preserve"> tenancies for business users </w:t>
            </w:r>
          </w:p>
          <w:p w:rsidR="00591603" w:rsidRPr="00591603" w:rsidRDefault="00591603" w:rsidP="00591603">
            <w:pPr>
              <w:spacing w:after="0" w:line="240" w:lineRule="auto"/>
              <w:rPr>
                <w:rFonts w:ascii="Helvetica Neue" w:eastAsia="Helvetica Neue" w:hAnsi="Helvetica Neue" w:cs="Helvetica Neue"/>
                <w:sz w:val="24"/>
                <w:szCs w:val="24"/>
              </w:rPr>
            </w:pPr>
            <w:r w:rsidRPr="00591603">
              <w:rPr>
                <w:rFonts w:ascii="Helvetica Neue" w:eastAsia="Helvetica Neue" w:hAnsi="Helvetica Neue" w:cs="Helvetica Neue"/>
                <w:sz w:val="24"/>
                <w:szCs w:val="24"/>
              </w:rPr>
              <w:t>SAS expert</w:t>
            </w:r>
            <w:r>
              <w:rPr>
                <w:rFonts w:ascii="Helvetica Neue" w:eastAsia="Helvetica Neue" w:hAnsi="Helvetica Neue" w:cs="Helvetica Neue"/>
                <w:sz w:val="24"/>
                <w:szCs w:val="24"/>
              </w:rPr>
              <w:t>ise</w:t>
            </w:r>
            <w:r w:rsidRPr="00591603">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to</w:t>
            </w:r>
            <w:r w:rsidRPr="00591603">
              <w:rPr>
                <w:rFonts w:ascii="Helvetica Neue" w:eastAsia="Helvetica Neue" w:hAnsi="Helvetica Neue" w:cs="Helvetica Neue"/>
                <w:sz w:val="24"/>
                <w:szCs w:val="24"/>
              </w:rPr>
              <w:t xml:space="preserve"> the business move from their current versions of SAS to </w:t>
            </w:r>
            <w:proofErr w:type="spellStart"/>
            <w:r w:rsidRPr="00591603">
              <w:rPr>
                <w:rFonts w:ascii="Helvetica Neue" w:eastAsia="Helvetica Neue" w:hAnsi="Helvetica Neue" w:cs="Helvetica Neue"/>
                <w:sz w:val="24"/>
                <w:szCs w:val="24"/>
              </w:rPr>
              <w:t>Viya</w:t>
            </w:r>
            <w:proofErr w:type="spellEnd"/>
            <w:r w:rsidRPr="00591603">
              <w:rPr>
                <w:rFonts w:ascii="Helvetica Neue" w:eastAsia="Helvetica Neue" w:hAnsi="Helvetica Neue" w:cs="Helvetica Neue"/>
                <w:sz w:val="24"/>
                <w:szCs w:val="24"/>
              </w:rPr>
              <w:t xml:space="preserve"> and Enterprise Guide 9.4</w:t>
            </w:r>
          </w:p>
          <w:p w:rsidR="00591603" w:rsidRDefault="00591603" w:rsidP="00591603">
            <w:pPr>
              <w:spacing w:after="0" w:line="240" w:lineRule="auto"/>
              <w:rPr>
                <w:rFonts w:ascii="Helvetica Neue" w:eastAsia="Helvetica Neue" w:hAnsi="Helvetica Neue" w:cs="Helvetica Neue"/>
                <w:sz w:val="24"/>
                <w:szCs w:val="24"/>
              </w:rPr>
            </w:pP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004A6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 level and availability criteria required for this Call-Off Contract are </w:t>
            </w:r>
            <w:r w:rsidR="00004A6E" w:rsidRPr="00591603">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004A6E" w:rsidRPr="00DE22CB" w:rsidRDefault="00004A6E" w:rsidP="00004A6E">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on-boarding plan for this Call-Off Contract to include the following:</w:t>
            </w:r>
          </w:p>
          <w:p w:rsidR="00004A6E" w:rsidRPr="00DE22CB" w:rsidRDefault="00004A6E" w:rsidP="00004A6E">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w:t>
            </w:r>
            <w:r>
              <w:rPr>
                <w:rFonts w:ascii="Helvetica Neue" w:eastAsia="Helvetica Neue" w:hAnsi="Helvetica Neue" w:cs="Helvetica Neue"/>
                <w:sz w:val="24"/>
                <w:szCs w:val="24"/>
              </w:rPr>
              <w:t xml:space="preserve">r and Buyer will meet to agree delivery plan for </w:t>
            </w:r>
            <w:r w:rsidRPr="00DE22CB">
              <w:rPr>
                <w:rFonts w:ascii="Helvetica Neue" w:eastAsia="Helvetica Neue" w:hAnsi="Helvetica Neue" w:cs="Helvetica Neue"/>
                <w:sz w:val="24"/>
                <w:szCs w:val="24"/>
              </w:rPr>
              <w:t>services required, expected deliverables and ways of working.</w:t>
            </w:r>
          </w:p>
          <w:p w:rsidR="00004A6E" w:rsidRPr="00DE22CB" w:rsidRDefault="00004A6E" w:rsidP="00004A6E">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rsidR="00004A6E" w:rsidRPr="00DE22CB" w:rsidRDefault="00004A6E" w:rsidP="00004A6E">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rsidR="005540D7" w:rsidRDefault="00004A6E" w:rsidP="00004A6E">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The supplier has the right to substitute staff at any point providing the replacement staff equally qualified/experienced/security cleared</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8E0B6F" w:rsidP="00E56B6E">
            <w:pPr>
              <w:spacing w:after="11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 for this Call-Off Contract is</w:t>
            </w:r>
            <w:r w:rsidR="00E56B6E">
              <w:rPr>
                <w:rFonts w:ascii="Helvetica Neue" w:eastAsia="Helvetica Neue" w:hAnsi="Helvetica Neue" w:cs="Helvetica Neue"/>
                <w:sz w:val="24"/>
                <w:szCs w:val="24"/>
              </w:rPr>
              <w:t>:</w:t>
            </w:r>
          </w:p>
          <w:p w:rsidR="005540D7" w:rsidRDefault="00E56B6E" w:rsidP="00E56B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Supplier to </w:t>
            </w:r>
            <w:r w:rsidRPr="006401B0">
              <w:rPr>
                <w:rFonts w:ascii="Helvetica Neue" w:eastAsia="Helvetica Neue" w:hAnsi="Helvetica Neue" w:cs="Helvetica Neue"/>
                <w:sz w:val="24"/>
                <w:szCs w:val="24"/>
              </w:rPr>
              <w:t>provide appropriate documentation for all deliverables.</w:t>
            </w:r>
          </w:p>
          <w:p w:rsidR="00E56B6E" w:rsidRDefault="00E56B6E" w:rsidP="00E56B6E">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Supplier will provide the buyer with full documented handover, including relevant knowledge transfer ensuring internal capability can be maintained following expiry of this agreement.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rsidR="00E56B6E" w:rsidRDefault="00E56B6E" w:rsidP="00E56B6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rsidR="005540D7" w:rsidRDefault="00E56B6E" w:rsidP="00E56B6E">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The annual total liability for all other defaults will not exceed 125% of the Charges payable by the Buyer to the Supplier during the Call-Off Contract Term.</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E56B6E"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r w:rsidRPr="00E56B6E">
              <w:rPr>
                <w:rFonts w:ascii="Helvetica Neue" w:eastAsia="Helvetica Neue" w:hAnsi="Helvetica Neue" w:cs="Helvetica Neue"/>
                <w:sz w:val="24"/>
                <w:szCs w:val="24"/>
              </w:rPr>
              <w:t xml:space="preserve">insurance(s) required will be: </w:t>
            </w:r>
          </w:p>
          <w:p w:rsidR="005540D7" w:rsidRPr="00E56B6E"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E56B6E">
              <w:rPr>
                <w:rFonts w:ascii="Helvetica Neue" w:eastAsia="Helvetica Neue" w:hAnsi="Helvetica Neue" w:cs="Helvetica Neue"/>
                <w:sz w:val="24"/>
                <w:szCs w:val="24"/>
              </w:rPr>
              <w:t>[a minimum insurance period of [6 years] following the expiration or Ending of this Call-Off Contract]</w:t>
            </w:r>
          </w:p>
          <w:p w:rsidR="005540D7" w:rsidRPr="00E56B6E"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E56B6E">
              <w:rPr>
                <w:rFonts w:ascii="Helvetica Neue" w:eastAsia="Helvetica Neue" w:hAnsi="Helvetica Neue" w:cs="Helvetica Neue"/>
                <w:sz w:val="24"/>
                <w:szCs w:val="24"/>
              </w:rPr>
              <w:t>[</w:t>
            </w:r>
            <w:proofErr w:type="gramStart"/>
            <w:r w:rsidRPr="00E56B6E">
              <w:rPr>
                <w:rFonts w:ascii="Helvetica Neue" w:eastAsia="Helvetica Neue" w:hAnsi="Helvetica Neue" w:cs="Helvetica Neue"/>
                <w:sz w:val="24"/>
                <w:szCs w:val="24"/>
              </w:rPr>
              <w:t>professional</w:t>
            </w:r>
            <w:proofErr w:type="gramEnd"/>
            <w:r w:rsidRPr="00E56B6E">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E56B6E"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E56B6E">
              <w:rPr>
                <w:rFonts w:ascii="Helvetica Neue" w:eastAsia="Helvetica Neue" w:hAnsi="Helvetica Neue" w:cs="Helvetica Neue"/>
                <w:sz w:val="24"/>
                <w:szCs w:val="24"/>
              </w:rPr>
              <w:t>[employers' liability insurance with a minimum limit of £5,000,000 or any higher minimum limit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E56B6E">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E56B6E">
            <w:pPr>
              <w:spacing w:after="0" w:line="240" w:lineRule="auto"/>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E56B6E">
            <w:pPr>
              <w:spacing w:after="0" w:line="240" w:lineRule="auto"/>
              <w:rPr>
                <w:rFonts w:ascii="Helvetica Neue" w:eastAsia="Helvetica Neue" w:hAnsi="Helvetica Neue" w:cs="Helvetica Neue"/>
                <w:sz w:val="24"/>
                <w:szCs w:val="24"/>
                <w:highlight w:val="green"/>
              </w:rPr>
            </w:pPr>
            <w:r w:rsidRPr="002437F2">
              <w:rPr>
                <w:rFonts w:ascii="Helvetica Neue" w:eastAsia="Helvetica Neue" w:hAnsi="Helvetica Neue" w:cs="Helvetica Neue"/>
                <w:sz w:val="24"/>
                <w:szCs w:val="24"/>
              </w:rPr>
              <w:t>The Buyer is responsible for providing access to relevant HMRC sites</w:t>
            </w:r>
            <w:r>
              <w:rPr>
                <w:rFonts w:ascii="Helvetica Neue" w:eastAsia="Helvetica Neue" w:hAnsi="Helvetica Neue" w:cs="Helvetica Neue"/>
                <w:sz w:val="24"/>
                <w:szCs w:val="24"/>
              </w:rPr>
              <w:t xml:space="preserve"> as required</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Pr>
                <w:rFonts w:ascii="Helvetica Neue" w:eastAsia="Helvetica Neue" w:hAnsi="Helvetica Neue" w:cs="Helvetica Neue"/>
                <w:sz w:val="24"/>
                <w:szCs w:val="24"/>
              </w:rPr>
              <w:t>:</w:t>
            </w:r>
          </w:p>
          <w:p w:rsidR="005540D7" w:rsidRDefault="00E56B6E" w:rsidP="00E56B6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HMRC Networked machines</w:t>
            </w:r>
            <w:r w:rsidRPr="0072154A">
              <w:rPr>
                <w:rFonts w:ascii="Helvetica Neue" w:eastAsia="Helvetica Neue" w:hAnsi="Helvetica Neue" w:cs="Helvetica Neue"/>
                <w:sz w:val="24"/>
                <w:szCs w:val="24"/>
              </w:rPr>
              <w:t>.</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581456">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following is a list of the Supplier’s Subcontractors or </w:t>
            </w:r>
            <w:r w:rsidRPr="00581456">
              <w:rPr>
                <w:rFonts w:ascii="Helvetica Neue" w:eastAsia="Helvetica Neue" w:hAnsi="Helvetica Neue" w:cs="Helvetica Neue"/>
                <w:sz w:val="24"/>
                <w:szCs w:val="24"/>
              </w:rPr>
              <w:t xml:space="preserve">Partners </w:t>
            </w:r>
            <w:r w:rsidR="00581456" w:rsidRPr="00581456">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sidRPr="002437F2">
              <w:rPr>
                <w:rFonts w:ascii="Helvetica Neue" w:eastAsia="Helvetica Neue" w:hAnsi="Helvetica Neue" w:cs="Helvetica Neue"/>
                <w:sz w:val="24"/>
                <w:szCs w:val="24"/>
              </w:rPr>
              <w:t xml:space="preserve">The payment method for this Call-Off Contract is </w:t>
            </w:r>
            <w:r>
              <w:rPr>
                <w:rFonts w:ascii="Helvetica Neue" w:eastAsia="Helvetica Neue" w:hAnsi="Helvetica Neue" w:cs="Helvetica Neue"/>
                <w:sz w:val="24"/>
                <w:szCs w:val="24"/>
              </w:rPr>
              <w:t>by BACS transfer monthly in arrears based on the costs and expenses (in line with HMRC expenses policy) incurred in the preceding month.</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E56B6E" w:rsidP="00E56B6E">
            <w:pPr>
              <w:spacing w:after="0" w:line="240" w:lineRule="auto"/>
              <w:rPr>
                <w:rFonts w:ascii="Helvetica Neue" w:eastAsia="Helvetica Neue" w:hAnsi="Helvetica Neue" w:cs="Helvetica Neue"/>
                <w:sz w:val="24"/>
                <w:szCs w:val="24"/>
                <w:highlight w:val="green"/>
              </w:rPr>
            </w:pPr>
            <w:r w:rsidRPr="002437F2">
              <w:rPr>
                <w:rFonts w:ascii="Helvetica Neue" w:eastAsia="Helvetica Neue" w:hAnsi="Helvetica Neue" w:cs="Helvetica Neue"/>
                <w:sz w:val="24"/>
                <w:szCs w:val="24"/>
              </w:rPr>
              <w:t>The payment profile for this Call-Off Contract is monthly in arrears.</w:t>
            </w:r>
            <w:r>
              <w:rPr>
                <w:rFonts w:ascii="Helvetica Neue" w:eastAsia="Helvetica Neue" w:hAnsi="Helvetica Neue" w:cs="Helvetica Neue"/>
                <w:sz w:val="24"/>
                <w:szCs w:val="24"/>
                <w:highlight w:val="green"/>
              </w:rPr>
              <w:t xml:space="preserve"> </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Pr="002437F2" w:rsidRDefault="00E56B6E" w:rsidP="00E56B6E">
            <w:pPr>
              <w:spacing w:after="0" w:line="240" w:lineRule="auto"/>
            </w:pPr>
            <w:r w:rsidRPr="002437F2">
              <w:rPr>
                <w:rFonts w:ascii="Helvetica Neue" w:eastAsia="Helvetica Neue" w:hAnsi="Helvetica Neue" w:cs="Helvetica Neue"/>
                <w:sz w:val="24"/>
                <w:szCs w:val="24"/>
              </w:rPr>
              <w:t>The Supplier will issue an electronic invoice</w:t>
            </w:r>
            <w:r>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The Buyer will pay the Supplier within 30 days of receipt of a valid invoice.</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Pr>
                <w:rFonts w:ascii="Helvetica Neue" w:eastAsia="Helvetica Neue" w:hAnsi="Helvetica Neue" w:cs="Helvetica Neue"/>
                <w:sz w:val="24"/>
                <w:szCs w:val="24"/>
              </w:rPr>
              <w:t xml:space="preserve"> </w:t>
            </w:r>
            <w:hyperlink r:id="rId9" w:history="1">
              <w:r w:rsidRPr="007B4953">
                <w:rPr>
                  <w:rStyle w:val="Hyperlink"/>
                  <w:rFonts w:ascii="Helvetica Neue" w:eastAsia="Helvetica Neue" w:hAnsi="Helvetica Neue" w:cs="Helvetica Neue"/>
                  <w:sz w:val="24"/>
                  <w:szCs w:val="24"/>
                </w:rPr>
                <w:t>Payments.team@hmrc.gsi.gov.uk</w:t>
              </w:r>
            </w:hyperlink>
          </w:p>
          <w:p w:rsidR="00E56B6E" w:rsidRPr="002437F2" w:rsidRDefault="00E56B6E" w:rsidP="00E56B6E">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rsidR="00E56B6E" w:rsidRPr="002437F2" w:rsidRDefault="00E56B6E" w:rsidP="00E56B6E">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rsidR="00E56B6E" w:rsidRDefault="00E56B6E" w:rsidP="00E56B6E">
            <w:pPr>
              <w:spacing w:after="0" w:line="240" w:lineRule="auto"/>
            </w:pPr>
            <w:r>
              <w:rPr>
                <w:rFonts w:ascii="Helvetica Neue" w:eastAsia="Helvetica Neue" w:hAnsi="Helvetica Neue" w:cs="Helvetica Neue"/>
                <w:sz w:val="24"/>
                <w:szCs w:val="24"/>
              </w:rPr>
              <w:t>BN12 4XH</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sidRPr="002437F2">
              <w:rPr>
                <w:rFonts w:ascii="Helvetica Neue" w:eastAsia="Helvetica Neue" w:hAnsi="Helvetica Neue" w:cs="Helvetica Neue"/>
                <w:sz w:val="24"/>
                <w:szCs w:val="24"/>
              </w:rPr>
              <w:t>All invoices must include purchase</w:t>
            </w:r>
            <w:r>
              <w:rPr>
                <w:rFonts w:ascii="Helvetica Neue" w:eastAsia="Helvetica Neue" w:hAnsi="Helvetica Neue" w:cs="Helvetica Neue"/>
                <w:sz w:val="24"/>
                <w:szCs w:val="24"/>
              </w:rPr>
              <w:t xml:space="preserve"> order number and detailed breakdown of the G-Cloud services supplied.</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Pr>
                <w:rFonts w:ascii="Helvetica Neue" w:eastAsia="Helvetica Neue" w:hAnsi="Helvetica Neue" w:cs="Helvetica Neue"/>
                <w:sz w:val="24"/>
                <w:szCs w:val="24"/>
              </w:rPr>
              <w:t xml:space="preserve">Invoice will be sent to the Buyer </w:t>
            </w:r>
            <w:r w:rsidR="008409F2">
              <w:rPr>
                <w:rFonts w:ascii="Helvetica Neue" w:eastAsia="Helvetica Neue" w:hAnsi="Helvetica Neue" w:cs="Helvetica Neue"/>
                <w:sz w:val="24"/>
                <w:szCs w:val="24"/>
              </w:rPr>
              <w:t>on a monthly basis</w:t>
            </w:r>
            <w:r>
              <w:rPr>
                <w:rFonts w:ascii="Helvetica Neue" w:eastAsia="Helvetica Neue" w:hAnsi="Helvetica Neue" w:cs="Helvetica Neue"/>
                <w:sz w:val="24"/>
                <w:szCs w:val="24"/>
              </w:rPr>
              <w:t>.</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pPr>
            <w:r>
              <w:rPr>
                <w:rFonts w:ascii="Helvetica Neue" w:eastAsia="Helvetica Neue" w:hAnsi="Helvetica Neue" w:cs="Helvetica Neue"/>
                <w:sz w:val="24"/>
                <w:szCs w:val="24"/>
              </w:rPr>
              <w:t xml:space="preserve">The total value of this Call-Off Contract is </w:t>
            </w:r>
            <w:r w:rsidR="00394B44" w:rsidRPr="00394B44">
              <w:rPr>
                <w:rFonts w:ascii="Helvetica Neue" w:eastAsia="Helvetica Neue" w:hAnsi="Helvetica Neue" w:cs="Helvetica Neue"/>
                <w:sz w:val="24"/>
                <w:szCs w:val="24"/>
              </w:rPr>
              <w:t>£228,000 ex VAT (+ £5,000 for expenses payable in line with HMRC T&amp;S  policy</w:t>
            </w:r>
          </w:p>
        </w:tc>
      </w:tr>
      <w:tr w:rsidR="00E56B6E">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E56B6E" w:rsidRDefault="00E56B6E" w:rsidP="00E56B6E">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409F2" w:rsidRDefault="00E56B6E" w:rsidP="008409F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breakdown of the Charges is </w:t>
            </w:r>
          </w:p>
          <w:p w:rsidR="00784D12" w:rsidRPr="0012436C" w:rsidRDefault="00784D12" w:rsidP="00784D1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8409F2" w:rsidRDefault="008409F2" w:rsidP="008409F2">
            <w:pPr>
              <w:spacing w:after="0" w:line="240" w:lineRule="auto"/>
              <w:rPr>
                <w:rFonts w:ascii="Helvetica Neue" w:eastAsia="Helvetica Neue" w:hAnsi="Helvetica Neue" w:cs="Helvetica Neue"/>
                <w:sz w:val="24"/>
                <w:szCs w:val="24"/>
              </w:rPr>
            </w:pPr>
          </w:p>
          <w:p w:rsidR="00064D87" w:rsidRDefault="00064D87" w:rsidP="008409F2">
            <w:pPr>
              <w:spacing w:after="0" w:line="240" w:lineRule="auto"/>
              <w:rPr>
                <w:rFonts w:ascii="Helvetica Neue" w:eastAsia="Helvetica Neue" w:hAnsi="Helvetica Neue" w:cs="Helvetica Neue"/>
                <w:sz w:val="24"/>
                <w:szCs w:val="24"/>
              </w:rPr>
            </w:pPr>
          </w:p>
          <w:p w:rsidR="00064D87" w:rsidRDefault="00064D87" w:rsidP="008409F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Payment of invoices will be made based on HMRC SAS platform team acceptance of completed deliverables due with that month as detailed at schedule 1 of this call off.</w:t>
            </w:r>
          </w:p>
          <w:p w:rsidR="00E56B6E" w:rsidRDefault="00E56B6E" w:rsidP="00E56B6E">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8409F2" w:rsidRPr="008409F2" w:rsidRDefault="008409F2" w:rsidP="008409F2">
            <w:pPr>
              <w:numPr>
                <w:ilvl w:val="0"/>
                <w:numId w:val="54"/>
              </w:numPr>
              <w:spacing w:before="100" w:beforeAutospacing="1" w:after="100" w:afterAutospacing="1" w:line="360" w:lineRule="auto"/>
              <w:rPr>
                <w:rFonts w:ascii="Helvetica Neue" w:eastAsia="Helvetica Neue" w:hAnsi="Helvetica Neue" w:cs="Helvetica Neue"/>
                <w:sz w:val="24"/>
                <w:szCs w:val="24"/>
              </w:rPr>
            </w:pPr>
            <w:bookmarkStart w:id="19" w:name="_26in1rg"/>
            <w:bookmarkEnd w:id="19"/>
            <w:r w:rsidRPr="008409F2">
              <w:rPr>
                <w:rFonts w:ascii="Helvetica Neue" w:eastAsia="Helvetica Neue" w:hAnsi="Helvetica Neue" w:cs="Helvetica Neue"/>
                <w:sz w:val="24"/>
                <w:szCs w:val="24"/>
              </w:rPr>
              <w:t xml:space="preserve">Documentation of the low level design for the installation of SAS via the Data Engineering DevOps pipeline. The installation will be across the following environments </w:t>
            </w:r>
          </w:p>
          <w:p w:rsidR="008409F2" w:rsidRPr="008409F2" w:rsidRDefault="008409F2" w:rsidP="008409F2">
            <w:pPr>
              <w:numPr>
                <w:ilvl w:val="1"/>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lastRenderedPageBreak/>
              <w:t xml:space="preserve">Dev, Test, Pre-prod and Prod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Reference implementation of an installation of SAS via the Data Engineering DevOps pipeline to facilitate training HMRC resource.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Documentation of the low level design for the installation of required ancillary products. More particularly RDBMS and search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Documentation of the low level design for the integration of SAS into HMRC's RBAC solutions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Documentation of the migration of SAS models from the currently installed versions on HMRC's estate to the new cloud installation.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Reference implementation of a SAS model migration from the currently installed versions on HMRC's estate to the new cloud installation to facilitate training HMRC resource.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Performance tuning and optimisation of this install and other SAS installs at HMRC's direction </w:t>
            </w:r>
          </w:p>
          <w:p w:rsidR="008409F2" w:rsidRP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 xml:space="preserve">Recommendations for scaling of SAS to meet business demand </w:t>
            </w:r>
          </w:p>
          <w:p w:rsidR="008409F2" w:rsidRDefault="008409F2" w:rsidP="008409F2">
            <w:pPr>
              <w:numPr>
                <w:ilvl w:val="0"/>
                <w:numId w:val="55"/>
              </w:numPr>
              <w:spacing w:before="100" w:beforeAutospacing="1" w:after="100" w:afterAutospacing="1" w:line="360" w:lineRule="auto"/>
              <w:rPr>
                <w:rFonts w:ascii="Helvetica Neue" w:eastAsia="Helvetica Neue" w:hAnsi="Helvetica Neue" w:cs="Helvetica Neue"/>
                <w:sz w:val="24"/>
                <w:szCs w:val="24"/>
              </w:rPr>
            </w:pPr>
            <w:r w:rsidRPr="008409F2">
              <w:rPr>
                <w:rFonts w:ascii="Helvetica Neue" w:eastAsia="Helvetica Neue" w:hAnsi="Helvetica Neue" w:cs="Helvetica Neue"/>
                <w:sz w:val="24"/>
                <w:szCs w:val="24"/>
              </w:rPr>
              <w:t>Documented recommendations on library and version maintenance</w:t>
            </w:r>
          </w:p>
          <w:p w:rsidR="00F86BC4" w:rsidRDefault="00F86BC4" w:rsidP="00F86BC4">
            <w:pPr>
              <w:spacing w:before="100" w:beforeAutospacing="1" w:after="100" w:afterAutospacing="1" w:line="360" w:lineRule="auto"/>
              <w:rPr>
                <w:rFonts w:ascii="Helvetica Neue" w:eastAsia="Helvetica Neue" w:hAnsi="Helvetica Neue" w:cs="Helvetica Neue"/>
                <w:sz w:val="24"/>
                <w:szCs w:val="24"/>
              </w:rPr>
            </w:pPr>
            <w:r>
              <w:rPr>
                <w:rFonts w:ascii="Helvetica Neue" w:eastAsia="Helvetica Neue" w:hAnsi="Helvetica Neue" w:cs="Helvetica Neue"/>
                <w:sz w:val="24"/>
                <w:szCs w:val="24"/>
              </w:rPr>
              <w:t>C</w:t>
            </w:r>
            <w:r w:rsidRPr="00F86BC4">
              <w:rPr>
                <w:rFonts w:ascii="Helvetica Neue" w:eastAsia="Helvetica Neue" w:hAnsi="Helvetica Neue" w:cs="Helvetica Neue"/>
                <w:sz w:val="24"/>
                <w:szCs w:val="24"/>
              </w:rPr>
              <w:t>ompletion of the tenancies on Data Analytics VPC for the following HMRC customer groups - KAI, RIS, Trade Stats, Debt Management and CoDE. </w:t>
            </w:r>
          </w:p>
          <w:p w:rsidR="00591603" w:rsidRDefault="00591603" w:rsidP="00F86BC4">
            <w:pPr>
              <w:spacing w:before="100" w:beforeAutospacing="1" w:after="100" w:afterAutospacing="1" w:line="36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Knowledge transfer </w:t>
            </w:r>
            <w:r w:rsidR="00791DDB">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00791DDB">
              <w:rPr>
                <w:rFonts w:ascii="Helvetica Neue" w:eastAsia="Helvetica Neue" w:hAnsi="Helvetica Neue" w:cs="Helvetica Neue"/>
                <w:sz w:val="24"/>
                <w:szCs w:val="24"/>
              </w:rPr>
              <w:t xml:space="preserve">The buyer requires detailed and documented knowledge transfer from the supplier to increase internal capability.  The supplier </w:t>
            </w:r>
            <w:r w:rsidR="000847BF">
              <w:rPr>
                <w:rFonts w:ascii="Helvetica Neue" w:eastAsia="Helvetica Neue" w:hAnsi="Helvetica Neue" w:cs="Helvetica Neue"/>
                <w:sz w:val="24"/>
                <w:szCs w:val="24"/>
              </w:rPr>
              <w:t xml:space="preserve">and buyer will monitor </w:t>
            </w:r>
            <w:r w:rsidR="009D5B6D">
              <w:rPr>
                <w:rFonts w:ascii="Helvetica Neue" w:eastAsia="Helvetica Neue" w:hAnsi="Helvetica Neue" w:cs="Helvetica Neue"/>
                <w:sz w:val="24"/>
                <w:szCs w:val="24"/>
              </w:rPr>
              <w:t>the below matrix</w:t>
            </w:r>
            <w:r w:rsidR="00791DDB">
              <w:rPr>
                <w:rFonts w:ascii="Helvetica Neue" w:eastAsia="Helvetica Neue" w:hAnsi="Helvetica Neue" w:cs="Helvetica Neue"/>
                <w:sz w:val="24"/>
                <w:szCs w:val="24"/>
              </w:rPr>
              <w:t xml:space="preserve"> at each review meeting to enable m</w:t>
            </w:r>
            <w:r w:rsidR="000847BF">
              <w:rPr>
                <w:rFonts w:ascii="Helvetica Neue" w:eastAsia="Helvetica Neue" w:hAnsi="Helvetica Neue" w:cs="Helvetica Neue"/>
                <w:sz w:val="24"/>
                <w:szCs w:val="24"/>
              </w:rPr>
              <w:t>easurement</w:t>
            </w:r>
            <w:r w:rsidR="00791DDB">
              <w:rPr>
                <w:rFonts w:ascii="Helvetica Neue" w:eastAsia="Helvetica Neue" w:hAnsi="Helvetica Neue" w:cs="Helvetica Neue"/>
                <w:sz w:val="24"/>
                <w:szCs w:val="24"/>
              </w:rPr>
              <w:t xml:space="preserve"> of the knowledge transfer progression.</w:t>
            </w:r>
          </w:p>
          <w:tbl>
            <w:tblPr>
              <w:tblW w:w="0" w:type="auto"/>
              <w:tblCellMar>
                <w:left w:w="0" w:type="dxa"/>
                <w:right w:w="0" w:type="dxa"/>
              </w:tblCellMar>
              <w:tblLook w:val="04A0" w:firstRow="1" w:lastRow="0" w:firstColumn="1" w:lastColumn="0" w:noHBand="0" w:noVBand="1"/>
            </w:tblPr>
            <w:tblGrid>
              <w:gridCol w:w="1532"/>
              <w:gridCol w:w="1711"/>
              <w:gridCol w:w="1486"/>
              <w:gridCol w:w="1486"/>
              <w:gridCol w:w="1486"/>
            </w:tblGrid>
            <w:tr w:rsidR="009D5B6D" w:rsidTr="009D5B6D">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5B6D" w:rsidRDefault="009D5B6D" w:rsidP="009D5B6D">
                  <w:pPr>
                    <w:rPr>
                      <w:color w:val="1F497D"/>
                      <w:lang w:eastAsia="en-US"/>
                    </w:rPr>
                  </w:pPr>
                  <w:r>
                    <w:rPr>
                      <w:color w:val="1F497D"/>
                      <w:lang w:eastAsia="en-US"/>
                    </w:rPr>
                    <w:t xml:space="preserve">Deliverable </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B6D" w:rsidRDefault="009D5B6D" w:rsidP="009D5B6D">
                  <w:pPr>
                    <w:rPr>
                      <w:color w:val="1F497D"/>
                      <w:lang w:eastAsia="en-US"/>
                    </w:rPr>
                  </w:pPr>
                  <w:r>
                    <w:rPr>
                      <w:color w:val="1F497D"/>
                      <w:lang w:eastAsia="en-US"/>
                    </w:rPr>
                    <w:t>Documentation accepted as complete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B6D" w:rsidRDefault="009D5B6D" w:rsidP="009D5B6D">
                  <w:pPr>
                    <w:rPr>
                      <w:color w:val="1F497D"/>
                      <w:lang w:eastAsia="en-US"/>
                    </w:rPr>
                  </w:pPr>
                  <w:r>
                    <w:rPr>
                      <w:color w:val="1F497D"/>
                      <w:lang w:eastAsia="en-US"/>
                    </w:rPr>
                    <w:t>Document location (HMRC network)</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B6D" w:rsidRDefault="009D5B6D" w:rsidP="009D5B6D">
                  <w:pPr>
                    <w:rPr>
                      <w:color w:val="1F497D"/>
                      <w:lang w:eastAsia="en-US"/>
                    </w:rPr>
                  </w:pPr>
                  <w:r>
                    <w:rPr>
                      <w:color w:val="1F497D"/>
                      <w:lang w:eastAsia="en-US"/>
                    </w:rPr>
                    <w:t xml:space="preserve">Document reviewed </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B6D" w:rsidRDefault="009D5B6D" w:rsidP="009D5B6D">
                  <w:pPr>
                    <w:rPr>
                      <w:color w:val="1F497D"/>
                      <w:lang w:eastAsia="en-US"/>
                    </w:rPr>
                  </w:pPr>
                  <w:r>
                    <w:rPr>
                      <w:color w:val="1F497D"/>
                      <w:lang w:eastAsia="en-US"/>
                    </w:rPr>
                    <w:t xml:space="preserve">Document </w:t>
                  </w:r>
                </w:p>
                <w:p w:rsidR="009D5B6D" w:rsidRDefault="009D5B6D" w:rsidP="009D5B6D">
                  <w:pPr>
                    <w:rPr>
                      <w:color w:val="1F497D"/>
                      <w:lang w:eastAsia="en-US"/>
                    </w:rPr>
                  </w:pPr>
                  <w:r>
                    <w:rPr>
                      <w:color w:val="1F497D"/>
                      <w:lang w:eastAsia="en-US"/>
                    </w:rPr>
                    <w:t>Handed over to Data &amp; Analytics HMRC team</w:t>
                  </w:r>
                </w:p>
              </w:tc>
            </w:tr>
            <w:tr w:rsidR="009D5B6D" w:rsidTr="009D5B6D">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r>
            <w:tr w:rsidR="009D5B6D" w:rsidTr="009D5B6D">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9D5B6D" w:rsidRDefault="009D5B6D" w:rsidP="009D5B6D">
                  <w:pPr>
                    <w:rPr>
                      <w:color w:val="1F497D"/>
                      <w:lang w:eastAsia="en-US"/>
                    </w:rPr>
                  </w:pPr>
                </w:p>
              </w:tc>
            </w:tr>
          </w:tbl>
          <w:p w:rsidR="009D5B6D" w:rsidRPr="008409F2" w:rsidRDefault="009D5B6D" w:rsidP="00F86BC4">
            <w:pPr>
              <w:spacing w:before="100" w:beforeAutospacing="1" w:after="100" w:afterAutospacing="1" w:line="36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Actual skills deliverables will be agreed between the buyer and the supplier within </w:t>
            </w:r>
            <w:r w:rsidR="00614794">
              <w:rPr>
                <w:rFonts w:ascii="Helvetica Neue" w:eastAsia="Helvetica Neue" w:hAnsi="Helvetica Neue" w:cs="Helvetica Neue"/>
                <w:sz w:val="24"/>
                <w:szCs w:val="24"/>
              </w:rPr>
              <w:t>4</w:t>
            </w:r>
            <w:r>
              <w:rPr>
                <w:rFonts w:ascii="Helvetica Neue" w:eastAsia="Helvetica Neue" w:hAnsi="Helvetica Neue" w:cs="Helvetica Neue"/>
                <w:sz w:val="24"/>
                <w:szCs w:val="24"/>
              </w:rPr>
              <w:t xml:space="preserve"> weeks of the commencement of the call off.</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F86BC4">
            <w:pPr>
              <w:spacing w:after="0" w:line="240" w:lineRule="auto"/>
              <w:rPr>
                <w:rFonts w:ascii="Helvetica Neue" w:eastAsia="Helvetica Neue" w:hAnsi="Helvetica Neue" w:cs="Helvetica Neue"/>
                <w:sz w:val="24"/>
                <w:szCs w:val="24"/>
                <w:highlight w:val="green"/>
              </w:rPr>
            </w:pPr>
            <w:r w:rsidRPr="00F86BC4">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847B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0847BF" w:rsidRPr="002437F2" w:rsidRDefault="000847BF" w:rsidP="000847B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Call-Off Contract, the Supplier will ensure that:</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rsidR="000847BF" w:rsidRPr="002437F2" w:rsidRDefault="000847BF" w:rsidP="000847B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p>
          <w:p w:rsidR="000847BF" w:rsidRPr="002437F2" w:rsidRDefault="000847BF" w:rsidP="000847BF">
            <w:pPr>
              <w:spacing w:after="0" w:line="240" w:lineRule="auto"/>
              <w:rPr>
                <w:rFonts w:ascii="Helvetica Neue" w:eastAsia="Helvetica Neue" w:hAnsi="Helvetica Neue" w:cs="Helvetica Neue"/>
                <w:sz w:val="24"/>
                <w:szCs w:val="24"/>
              </w:rPr>
            </w:pP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2437F2">
              <w:rPr>
                <w:rFonts w:ascii="Helvetica Neue" w:eastAsia="Helvetica Neue" w:hAnsi="Helvetica Neue" w:cs="Helvetica Neue"/>
                <w:sz w:val="24"/>
                <w:szCs w:val="24"/>
              </w:rPr>
              <w:t>lP</w:t>
            </w:r>
            <w:proofErr w:type="spellEnd"/>
            <w:r w:rsidRPr="002437F2">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w:t>
            </w:r>
            <w:r w:rsidRPr="002437F2">
              <w:rPr>
                <w:rFonts w:ascii="Helvetica Neue" w:eastAsia="Helvetica Neue" w:hAnsi="Helvetica Neue" w:cs="Helvetica Neue"/>
                <w:sz w:val="24"/>
                <w:szCs w:val="24"/>
              </w:rPr>
              <w:lastRenderedPageBreak/>
              <w:t>intellectual Property Rights produced by the Supplier. The Supplier shall execute all documentation necessary to execute this assignment.</w:t>
            </w:r>
          </w:p>
          <w:p w:rsidR="000847BF" w:rsidRPr="002437F2" w:rsidRDefault="000847BF" w:rsidP="000847BF">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rsidR="000847BF" w:rsidRPr="002437F2" w:rsidRDefault="000847BF" w:rsidP="000847BF">
            <w:pPr>
              <w:numPr>
                <w:ilvl w:val="0"/>
                <w:numId w:val="57"/>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rsidR="000847BF" w:rsidRPr="00732949" w:rsidRDefault="000847BF" w:rsidP="000847BF">
            <w:pPr>
              <w:numPr>
                <w:ilvl w:val="0"/>
                <w:numId w:val="57"/>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732949">
              <w:rPr>
                <w:rFonts w:ascii="Helvetica Neue" w:eastAsia="Helvetica Neue" w:hAnsi="Helvetica Neue" w:cs="Helvetica Neue"/>
                <w:sz w:val="24"/>
                <w:szCs w:val="24"/>
              </w:rPr>
              <w:br/>
              <w:t> </w:t>
            </w:r>
          </w:p>
          <w:p w:rsidR="000847BF" w:rsidRPr="002437F2" w:rsidRDefault="000847BF" w:rsidP="000847BF">
            <w:pPr>
              <w:numPr>
                <w:ilvl w:val="0"/>
                <w:numId w:val="57"/>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0847BF" w:rsidRPr="00EB2264" w:rsidRDefault="000847BF" w:rsidP="000847BF">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0847BF" w:rsidRPr="00EB2264" w:rsidTr="000847BF">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0847BF" w:rsidRPr="00EB2264" w:rsidRDefault="000847BF" w:rsidP="000847BF">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Pr>
                      <w:rFonts w:ascii="Helvetica Neue" w:eastAsia="Helvetica Neue" w:hAnsi="Helvetica Neue" w:cs="Helvetica Neue"/>
                      <w:sz w:val="24"/>
                      <w:szCs w:val="24"/>
                    </w:rPr>
                    <w:t>ped Rates</w:t>
                  </w:r>
                  <w:r>
                    <w:rPr>
                      <w:rFonts w:ascii="Helvetica Neue" w:eastAsia="Helvetica Neue" w:hAnsi="Helvetica Neue" w:cs="Helvetica Neue"/>
                      <w:sz w:val="24"/>
                      <w:szCs w:val="24"/>
                    </w:rPr>
                    <w:br/>
                    <w:t>Effective from 01/05/0</w:t>
                  </w:r>
                  <w:r w:rsidRPr="00EB2264">
                    <w:rPr>
                      <w:rFonts w:ascii="Helvetica Neue" w:eastAsia="Helvetica Neue" w:hAnsi="Helvetica Neue" w:cs="Helvetica Neue"/>
                      <w:sz w:val="24"/>
                      <w:szCs w:val="24"/>
                    </w:rPr>
                    <w:t>8</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0847BF" w:rsidRPr="00EB2264" w:rsidTr="000847BF">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lastRenderedPageBreak/>
                    <w:t>Travel</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0847BF" w:rsidRPr="00EB2264" w:rsidTr="000847BF">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847BF" w:rsidRPr="00EB2264" w:rsidRDefault="000847BF" w:rsidP="000847BF">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0847B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847BF">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0847BF" w:rsidRDefault="000847BF" w:rsidP="000847B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0847BF" w:rsidRPr="000170CB" w:rsidRDefault="000847BF" w:rsidP="000847BF">
            <w:pPr>
              <w:rPr>
                <w:sz w:val="24"/>
                <w:szCs w:val="24"/>
              </w:rPr>
            </w:pPr>
            <w:r w:rsidRPr="000170CB">
              <w:rPr>
                <w:sz w:val="24"/>
                <w:szCs w:val="24"/>
              </w:rPr>
              <w:t>Charges, Payment and Recovery of Sums Due</w:t>
            </w:r>
          </w:p>
          <w:p w:rsidR="000847BF" w:rsidRPr="000170CB" w:rsidRDefault="000847BF" w:rsidP="000847BF">
            <w:pPr>
              <w:rPr>
                <w:sz w:val="24"/>
                <w:szCs w:val="24"/>
              </w:rPr>
            </w:pPr>
            <w:r w:rsidRPr="000170CB">
              <w:rPr>
                <w:sz w:val="24"/>
                <w:szCs w:val="24"/>
              </w:rPr>
              <w:t>1.1</w:t>
            </w:r>
            <w:r w:rsidRPr="000170CB">
              <w:rPr>
                <w:sz w:val="24"/>
                <w:szCs w:val="24"/>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rsidR="000847BF" w:rsidRPr="000170CB" w:rsidRDefault="000847BF" w:rsidP="000847BF">
            <w:pPr>
              <w:rPr>
                <w:sz w:val="24"/>
                <w:szCs w:val="24"/>
              </w:rPr>
            </w:pPr>
            <w:r w:rsidRPr="000170CB">
              <w:rPr>
                <w:sz w:val="24"/>
                <w:szCs w:val="24"/>
              </w:rPr>
              <w:t>1.2</w:t>
            </w:r>
            <w:r w:rsidRPr="000170CB">
              <w:rPr>
                <w:sz w:val="24"/>
                <w:szCs w:val="24"/>
              </w:rPr>
              <w:tab/>
              <w:t>To facilitate payment, the Supplier shall use an electronic transaction system chosen by the Authority and shall:</w:t>
            </w:r>
          </w:p>
          <w:p w:rsidR="000847BF" w:rsidRPr="000170CB" w:rsidRDefault="000847BF" w:rsidP="000847BF">
            <w:pPr>
              <w:rPr>
                <w:sz w:val="24"/>
                <w:szCs w:val="24"/>
              </w:rPr>
            </w:pPr>
            <w:r w:rsidRPr="000170CB">
              <w:rPr>
                <w:sz w:val="24"/>
                <w:szCs w:val="24"/>
              </w:rPr>
              <w:t>1.2.1</w:t>
            </w:r>
            <w:r w:rsidRPr="000170CB">
              <w:rPr>
                <w:sz w:val="24"/>
                <w:szCs w:val="24"/>
              </w:rPr>
              <w:tab/>
              <w:t>register for the electronic transaction system in accordance with the instructions of the Authority;</w:t>
            </w:r>
          </w:p>
          <w:p w:rsidR="000847BF" w:rsidRPr="000170CB" w:rsidRDefault="000847BF" w:rsidP="000847BF">
            <w:pPr>
              <w:rPr>
                <w:sz w:val="24"/>
                <w:szCs w:val="24"/>
              </w:rPr>
            </w:pPr>
            <w:r w:rsidRPr="000170CB">
              <w:rPr>
                <w:sz w:val="24"/>
                <w:szCs w:val="24"/>
              </w:rPr>
              <w:t>1.2.2</w:t>
            </w:r>
            <w:r w:rsidRPr="000170CB">
              <w:rPr>
                <w:sz w:val="24"/>
                <w:szCs w:val="24"/>
              </w:rPr>
              <w:tab/>
              <w:t xml:space="preserve">allow the electronic transmission of purchase orders and submitting of electronic invoices via the electronic transaction system; </w:t>
            </w:r>
          </w:p>
          <w:p w:rsidR="000847BF" w:rsidRPr="000170CB" w:rsidRDefault="000847BF" w:rsidP="000847BF">
            <w:pPr>
              <w:rPr>
                <w:sz w:val="24"/>
                <w:szCs w:val="24"/>
              </w:rPr>
            </w:pPr>
            <w:r w:rsidRPr="000170CB">
              <w:rPr>
                <w:sz w:val="24"/>
                <w:szCs w:val="24"/>
              </w:rPr>
              <w:t>1.2.3</w:t>
            </w:r>
            <w:r w:rsidRPr="000170CB">
              <w:rPr>
                <w:sz w:val="24"/>
                <w:szCs w:val="24"/>
              </w:rPr>
              <w:tab/>
              <w:t>designate a Supplier representative as the first point of contact with the Authority for system issues; and</w:t>
            </w:r>
          </w:p>
          <w:p w:rsidR="000847BF" w:rsidRPr="000170CB" w:rsidRDefault="000847BF" w:rsidP="000847BF">
            <w:pPr>
              <w:rPr>
                <w:sz w:val="24"/>
                <w:szCs w:val="24"/>
              </w:rPr>
            </w:pPr>
            <w:r w:rsidRPr="000170CB">
              <w:rPr>
                <w:sz w:val="24"/>
                <w:szCs w:val="24"/>
              </w:rPr>
              <w:t>1.2.4</w:t>
            </w:r>
            <w:r w:rsidRPr="000170CB">
              <w:rPr>
                <w:sz w:val="24"/>
                <w:szCs w:val="24"/>
              </w:rPr>
              <w:tab/>
            </w:r>
            <w:proofErr w:type="gramStart"/>
            <w:r w:rsidRPr="000170CB">
              <w:rPr>
                <w:sz w:val="24"/>
                <w:szCs w:val="24"/>
              </w:rPr>
              <w:t>provide</w:t>
            </w:r>
            <w:proofErr w:type="gramEnd"/>
            <w:r w:rsidRPr="000170CB">
              <w:rPr>
                <w:sz w:val="24"/>
                <w:szCs w:val="24"/>
              </w:rPr>
              <w:t xml:space="preserve"> such data to the Authority as the Authority reasonably deems necessary for the operation of the system including, but not limited to, electronic catalogue information.</w:t>
            </w:r>
          </w:p>
          <w:p w:rsidR="000847BF" w:rsidRPr="000170CB" w:rsidRDefault="000847BF" w:rsidP="000847BF">
            <w:pPr>
              <w:rPr>
                <w:sz w:val="24"/>
                <w:szCs w:val="24"/>
              </w:rPr>
            </w:pPr>
            <w:r w:rsidRPr="000170CB">
              <w:rPr>
                <w:sz w:val="24"/>
                <w:szCs w:val="24"/>
              </w:rPr>
              <w:t>1.3</w:t>
            </w:r>
            <w:r w:rsidRPr="000170CB">
              <w:rPr>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rsidR="000847BF" w:rsidRPr="000170CB" w:rsidRDefault="000847BF" w:rsidP="000847BF">
            <w:pPr>
              <w:rPr>
                <w:sz w:val="24"/>
                <w:szCs w:val="24"/>
              </w:rPr>
            </w:pPr>
            <w:r w:rsidRPr="000170CB">
              <w:rPr>
                <w:sz w:val="24"/>
                <w:szCs w:val="24"/>
              </w:rPr>
              <w:t>1.3.1</w:t>
            </w:r>
            <w:r w:rsidRPr="000170CB">
              <w:rPr>
                <w:sz w:val="24"/>
                <w:szCs w:val="24"/>
              </w:rPr>
              <w:tab/>
              <w:t>via the Authority’s electronic transaction system; or</w:t>
            </w:r>
          </w:p>
          <w:p w:rsidR="000847BF" w:rsidRPr="000170CB" w:rsidRDefault="000847BF" w:rsidP="000847BF">
            <w:pPr>
              <w:rPr>
                <w:sz w:val="24"/>
                <w:szCs w:val="24"/>
              </w:rPr>
            </w:pPr>
            <w:r>
              <w:rPr>
                <w:sz w:val="24"/>
                <w:szCs w:val="24"/>
              </w:rPr>
              <w:lastRenderedPageBreak/>
              <w:t>1.3.2</w:t>
            </w:r>
            <w:r>
              <w:rPr>
                <w:sz w:val="24"/>
                <w:szCs w:val="24"/>
              </w:rPr>
              <w:tab/>
            </w:r>
            <w:proofErr w:type="gramStart"/>
            <w:r w:rsidRPr="000170CB">
              <w:rPr>
                <w:sz w:val="24"/>
                <w:szCs w:val="24"/>
              </w:rPr>
              <w:t>as</w:t>
            </w:r>
            <w:proofErr w:type="gramEnd"/>
            <w:r w:rsidRPr="000170CB">
              <w:rPr>
                <w:sz w:val="24"/>
                <w:szCs w:val="24"/>
              </w:rPr>
              <w:t xml:space="preserve"> per the order form (or such other person notified to the Supplier in writing by the Authority) by email in pdf format or, if agreed with the Authority, in hard copy by post. </w:t>
            </w:r>
          </w:p>
          <w:p w:rsidR="000847BF" w:rsidRPr="000170CB" w:rsidRDefault="000847BF" w:rsidP="000847BF">
            <w:pPr>
              <w:rPr>
                <w:sz w:val="24"/>
                <w:szCs w:val="24"/>
              </w:rPr>
            </w:pPr>
            <w:r w:rsidRPr="000170CB">
              <w:rPr>
                <w:sz w:val="24"/>
                <w:szCs w:val="24"/>
              </w:rPr>
              <w:t>1.4</w:t>
            </w:r>
            <w:r w:rsidRPr="000170CB">
              <w:rPr>
                <w:sz w:val="24"/>
                <w:szCs w:val="24"/>
              </w:rPr>
              <w:tab/>
              <w:t xml:space="preserve">The Supplier acknowledges and agrees that should it commence Services without a Purchase Order Number: </w:t>
            </w:r>
          </w:p>
          <w:p w:rsidR="000847BF" w:rsidRPr="000170CB" w:rsidRDefault="000847BF" w:rsidP="000847BF">
            <w:pPr>
              <w:rPr>
                <w:sz w:val="24"/>
                <w:szCs w:val="24"/>
              </w:rPr>
            </w:pPr>
            <w:r w:rsidRPr="000170CB">
              <w:rPr>
                <w:sz w:val="24"/>
                <w:szCs w:val="24"/>
              </w:rPr>
              <w:t>1.4.1</w:t>
            </w:r>
            <w:r w:rsidRPr="000170CB">
              <w:rPr>
                <w:sz w:val="24"/>
                <w:szCs w:val="24"/>
              </w:rPr>
              <w:tab/>
              <w:t>the Supplier does so at its own risk; and</w:t>
            </w:r>
          </w:p>
          <w:p w:rsidR="000847BF" w:rsidRPr="000170CB" w:rsidRDefault="000847BF" w:rsidP="000847BF">
            <w:pPr>
              <w:rPr>
                <w:sz w:val="24"/>
                <w:szCs w:val="24"/>
              </w:rPr>
            </w:pPr>
            <w:r w:rsidRPr="000170CB">
              <w:rPr>
                <w:sz w:val="24"/>
                <w:szCs w:val="24"/>
              </w:rPr>
              <w:t>1.4.2</w:t>
            </w:r>
            <w:r w:rsidRPr="000170CB">
              <w:rPr>
                <w:sz w:val="24"/>
                <w:szCs w:val="24"/>
              </w:rPr>
              <w:tab/>
            </w:r>
            <w:proofErr w:type="gramStart"/>
            <w:r w:rsidRPr="000170CB">
              <w:rPr>
                <w:sz w:val="24"/>
                <w:szCs w:val="24"/>
              </w:rPr>
              <w:t>the</w:t>
            </w:r>
            <w:proofErr w:type="gramEnd"/>
            <w:r w:rsidRPr="000170CB">
              <w:rPr>
                <w:sz w:val="24"/>
                <w:szCs w:val="24"/>
              </w:rPr>
              <w:t xml:space="preserve"> Authority shall not be obliged to pay the Charges without a valid Purchase Order Number having been provided to the Supplier.</w:t>
            </w:r>
          </w:p>
          <w:p w:rsidR="000847BF" w:rsidRPr="000170CB" w:rsidRDefault="000847BF" w:rsidP="000847BF">
            <w:pPr>
              <w:rPr>
                <w:sz w:val="24"/>
                <w:szCs w:val="24"/>
              </w:rPr>
            </w:pPr>
            <w:r w:rsidRPr="000170CB">
              <w:rPr>
                <w:sz w:val="24"/>
                <w:szCs w:val="24"/>
              </w:rPr>
              <w:t>1.5</w:t>
            </w:r>
            <w:r w:rsidRPr="000170CB">
              <w:rPr>
                <w:sz w:val="24"/>
                <w:szCs w:val="24"/>
              </w:rPr>
              <w:tab/>
              <w:t>The Authority shall regard an invoice as valid only if it complies with the provisions of this Clause 1. The Authority shall promptly return any non-compliant invoice to the Supplier and the Supplier shall promptly issue a replacement, compliant invoice.</w:t>
            </w:r>
          </w:p>
          <w:p w:rsidR="000847BF" w:rsidRPr="000170CB" w:rsidRDefault="000847BF" w:rsidP="000847BF">
            <w:pPr>
              <w:rPr>
                <w:sz w:val="24"/>
                <w:szCs w:val="24"/>
              </w:rPr>
            </w:pPr>
            <w:r w:rsidRPr="000170CB">
              <w:rPr>
                <w:sz w:val="24"/>
                <w:szCs w:val="24"/>
              </w:rPr>
              <w:t>1.6</w:t>
            </w:r>
            <w:r w:rsidRPr="000170CB">
              <w:rPr>
                <w:sz w:val="24"/>
                <w:szCs w:val="24"/>
              </w:rPr>
              <w:tab/>
              <w:t>In consideration of the supply of the Services by the Supplier, the Authority shall pay the Supplier the invoiced amounts no later than 30 days after receipt of a valid invoice which includes a valid Purchase Order Number.</w:t>
            </w:r>
          </w:p>
          <w:p w:rsidR="000847BF" w:rsidRPr="000170CB" w:rsidRDefault="000847BF" w:rsidP="000847BF">
            <w:pPr>
              <w:rPr>
                <w:sz w:val="24"/>
                <w:szCs w:val="24"/>
              </w:rPr>
            </w:pPr>
            <w:r w:rsidRPr="000170CB">
              <w:rPr>
                <w:sz w:val="24"/>
                <w:szCs w:val="24"/>
              </w:rPr>
              <w:t>1.7</w:t>
            </w:r>
            <w:r w:rsidRPr="000170CB">
              <w:rPr>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rsidR="000847BF" w:rsidRPr="000170CB" w:rsidRDefault="000847BF" w:rsidP="000847BF">
            <w:pPr>
              <w:rPr>
                <w:sz w:val="24"/>
                <w:szCs w:val="24"/>
              </w:rPr>
            </w:pPr>
            <w:r w:rsidRPr="000170CB">
              <w:rPr>
                <w:sz w:val="24"/>
                <w:szCs w:val="24"/>
              </w:rPr>
              <w:t>1.8</w:t>
            </w:r>
            <w:r w:rsidRPr="000170CB">
              <w:rPr>
                <w:sz w:val="24"/>
                <w:szCs w:val="24"/>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tbl>
            <w:tblPr>
              <w:tblW w:w="5000" w:type="pct"/>
              <w:tblLook w:val="01E0" w:firstRow="1" w:lastRow="1" w:firstColumn="1" w:lastColumn="1" w:noHBand="0" w:noVBand="0"/>
            </w:tblPr>
            <w:tblGrid>
              <w:gridCol w:w="1550"/>
              <w:gridCol w:w="6171"/>
            </w:tblGrid>
            <w:tr w:rsidR="000847BF" w:rsidRPr="000170CB" w:rsidTr="000847BF">
              <w:tc>
                <w:tcPr>
                  <w:tcW w:w="976" w:type="pct"/>
                </w:tcPr>
                <w:p w:rsidR="000847BF" w:rsidRPr="000170CB" w:rsidRDefault="000847BF" w:rsidP="000847BF">
                  <w:pPr>
                    <w:rPr>
                      <w:sz w:val="24"/>
                      <w:szCs w:val="24"/>
                    </w:rPr>
                  </w:pPr>
                  <w:r w:rsidRPr="000170CB">
                    <w:rPr>
                      <w:sz w:val="24"/>
                      <w:szCs w:val="24"/>
                    </w:rPr>
                    <w:t xml:space="preserve">“Agreement” </w:t>
                  </w:r>
                </w:p>
              </w:tc>
              <w:tc>
                <w:tcPr>
                  <w:tcW w:w="4024" w:type="pct"/>
                </w:tcPr>
                <w:p w:rsidR="000847BF" w:rsidRPr="000170CB" w:rsidRDefault="000847BF" w:rsidP="000847BF">
                  <w:pPr>
                    <w:rPr>
                      <w:sz w:val="24"/>
                      <w:szCs w:val="24"/>
                    </w:rPr>
                  </w:pPr>
                  <w:r w:rsidRPr="000170CB">
                    <w:rPr>
                      <w:sz w:val="24"/>
                      <w:szCs w:val="24"/>
                    </w:rPr>
                    <w:t>the contract between (</w:t>
                  </w:r>
                  <w:proofErr w:type="spellStart"/>
                  <w:r w:rsidRPr="000170CB">
                    <w:rPr>
                      <w:sz w:val="24"/>
                      <w:szCs w:val="24"/>
                    </w:rPr>
                    <w:t>i</w:t>
                  </w:r>
                  <w:proofErr w:type="spellEnd"/>
                  <w:r w:rsidRPr="000170CB">
                    <w:rPr>
                      <w:sz w:val="24"/>
                      <w:szCs w:val="24"/>
                    </w:rPr>
                    <w:t>) the Authority acting as part of the Crown and (ii) the Supplier;</w:t>
                  </w:r>
                </w:p>
              </w:tc>
            </w:tr>
            <w:tr w:rsidR="000847BF" w:rsidRPr="000170CB" w:rsidTr="000847BF">
              <w:tc>
                <w:tcPr>
                  <w:tcW w:w="976" w:type="pct"/>
                </w:tcPr>
                <w:p w:rsidR="000847BF" w:rsidRPr="000170CB" w:rsidRDefault="000847BF" w:rsidP="000847BF">
                  <w:pPr>
                    <w:rPr>
                      <w:sz w:val="24"/>
                      <w:szCs w:val="24"/>
                    </w:rPr>
                  </w:pPr>
                  <w:r w:rsidRPr="000170CB">
                    <w:rPr>
                      <w:sz w:val="24"/>
                      <w:szCs w:val="24"/>
                    </w:rPr>
                    <w:t>“Purchase Order Number”</w:t>
                  </w:r>
                </w:p>
              </w:tc>
              <w:tc>
                <w:tcPr>
                  <w:tcW w:w="4024" w:type="pct"/>
                </w:tcPr>
                <w:p w:rsidR="000847BF" w:rsidRPr="000170CB" w:rsidRDefault="000847BF" w:rsidP="000847BF">
                  <w:pPr>
                    <w:rPr>
                      <w:sz w:val="24"/>
                      <w:szCs w:val="24"/>
                    </w:rPr>
                  </w:pPr>
                  <w:r w:rsidRPr="000170CB">
                    <w:rPr>
                      <w:sz w:val="24"/>
                      <w:szCs w:val="24"/>
                    </w:rPr>
                    <w:t xml:space="preserve">the Authority’s unique number relating to the supply of the Services; </w:t>
                  </w:r>
                </w:p>
              </w:tc>
            </w:tr>
            <w:tr w:rsidR="000847BF" w:rsidRPr="000170CB" w:rsidTr="000847BF">
              <w:tc>
                <w:tcPr>
                  <w:tcW w:w="976" w:type="pct"/>
                </w:tcPr>
                <w:p w:rsidR="000847BF" w:rsidRPr="000170CB" w:rsidRDefault="000847BF" w:rsidP="000847BF">
                  <w:pPr>
                    <w:rPr>
                      <w:sz w:val="24"/>
                      <w:szCs w:val="24"/>
                    </w:rPr>
                  </w:pPr>
                  <w:r w:rsidRPr="000170CB">
                    <w:rPr>
                      <w:sz w:val="24"/>
                      <w:szCs w:val="24"/>
                    </w:rPr>
                    <w:lastRenderedPageBreak/>
                    <w:t>“Services”</w:t>
                  </w:r>
                </w:p>
              </w:tc>
              <w:tc>
                <w:tcPr>
                  <w:tcW w:w="4024" w:type="pct"/>
                </w:tcPr>
                <w:p w:rsidR="000847BF" w:rsidRPr="000170CB" w:rsidRDefault="000847BF" w:rsidP="000847BF">
                  <w:pPr>
                    <w:rPr>
                      <w:sz w:val="24"/>
                      <w:szCs w:val="24"/>
                    </w:rPr>
                  </w:pPr>
                  <w:r w:rsidRPr="000170CB">
                    <w:rPr>
                      <w:sz w:val="24"/>
                      <w:szCs w:val="24"/>
                    </w:rPr>
                    <w:t xml:space="preserve">the services to be supplied by the Supplier to the Authority under the Agreement, including the provision of any Goods;  </w:t>
                  </w:r>
                </w:p>
              </w:tc>
            </w:tr>
            <w:tr w:rsidR="000847BF" w:rsidRPr="000170CB" w:rsidTr="000847BF">
              <w:tc>
                <w:tcPr>
                  <w:tcW w:w="976" w:type="pct"/>
                </w:tcPr>
                <w:p w:rsidR="000847BF" w:rsidRPr="000170CB" w:rsidRDefault="000847BF" w:rsidP="000847BF">
                  <w:pPr>
                    <w:rPr>
                      <w:sz w:val="24"/>
                      <w:szCs w:val="24"/>
                    </w:rPr>
                  </w:pPr>
                  <w:r w:rsidRPr="000170CB">
                    <w:rPr>
                      <w:sz w:val="24"/>
                      <w:szCs w:val="24"/>
                    </w:rPr>
                    <w:t>“Charges”</w:t>
                  </w:r>
                </w:p>
              </w:tc>
              <w:tc>
                <w:tcPr>
                  <w:tcW w:w="4024" w:type="pct"/>
                </w:tcPr>
                <w:p w:rsidR="000847BF" w:rsidRPr="000170CB" w:rsidRDefault="000847BF" w:rsidP="000847BF">
                  <w:pPr>
                    <w:rPr>
                      <w:sz w:val="24"/>
                      <w:szCs w:val="24"/>
                    </w:rPr>
                  </w:pPr>
                  <w:proofErr w:type="gramStart"/>
                  <w:r w:rsidRPr="000170CB">
                    <w:rPr>
                      <w:sz w:val="24"/>
                      <w:szCs w:val="24"/>
                    </w:rPr>
                    <w:t>the</w:t>
                  </w:r>
                  <w:proofErr w:type="gramEnd"/>
                  <w:r w:rsidRPr="000170CB">
                    <w:rPr>
                      <w:sz w:val="24"/>
                      <w:szCs w:val="24"/>
                    </w:rPr>
                    <w:t xml:space="preserve"> charges for the Services as specified in order form. </w:t>
                  </w:r>
                </w:p>
              </w:tc>
            </w:tr>
          </w:tbl>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Expenses</w:t>
            </w:r>
          </w:p>
          <w:p w:rsidR="000847BF" w:rsidRPr="000170CB" w:rsidRDefault="000847BF" w:rsidP="000847BF">
            <w:pPr>
              <w:rPr>
                <w:sz w:val="24"/>
                <w:szCs w:val="24"/>
              </w:rPr>
            </w:pPr>
            <w:r w:rsidRPr="000170CB">
              <w:rPr>
                <w:sz w:val="24"/>
                <w:szCs w:val="24"/>
              </w:rPr>
              <w:t>2.1</w:t>
            </w:r>
            <w:r w:rsidRPr="000170CB">
              <w:rPr>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rsidR="000847BF" w:rsidRPr="000170CB" w:rsidRDefault="000847BF" w:rsidP="000847BF">
            <w:pPr>
              <w:rPr>
                <w:sz w:val="24"/>
                <w:szCs w:val="24"/>
              </w:rPr>
            </w:pPr>
            <w:r w:rsidRPr="000170CB">
              <w:rPr>
                <w:sz w:val="24"/>
                <w:szCs w:val="24"/>
              </w:rPr>
              <w:t>2.2</w:t>
            </w:r>
            <w:r w:rsidRPr="000170CB">
              <w:rPr>
                <w:sz w:val="24"/>
                <w:szCs w:val="24"/>
              </w:rPr>
              <w:tab/>
              <w:t>The Authority shall provide a copy of its current expenses policy to the Supplier upon request.</w:t>
            </w:r>
          </w:p>
          <w:p w:rsidR="000847BF" w:rsidRPr="000170CB" w:rsidRDefault="000847BF" w:rsidP="000847BF">
            <w:pPr>
              <w:rPr>
                <w:sz w:val="24"/>
                <w:szCs w:val="24"/>
              </w:rPr>
            </w:pPr>
          </w:p>
          <w:tbl>
            <w:tblPr>
              <w:tblW w:w="0" w:type="auto"/>
              <w:tblInd w:w="108" w:type="dxa"/>
              <w:tblLook w:val="01E0" w:firstRow="1" w:lastRow="1" w:firstColumn="1" w:lastColumn="1" w:noHBand="0" w:noVBand="0"/>
            </w:tblPr>
            <w:tblGrid>
              <w:gridCol w:w="1787"/>
              <w:gridCol w:w="5826"/>
            </w:tblGrid>
            <w:tr w:rsidR="000847BF" w:rsidRPr="000170CB" w:rsidTr="000847BF">
              <w:tc>
                <w:tcPr>
                  <w:tcW w:w="1790" w:type="dxa"/>
                </w:tcPr>
                <w:p w:rsidR="000847BF" w:rsidRPr="000170CB" w:rsidRDefault="000847BF" w:rsidP="000847BF">
                  <w:pPr>
                    <w:rPr>
                      <w:sz w:val="24"/>
                      <w:szCs w:val="24"/>
                    </w:rPr>
                  </w:pPr>
                  <w:r w:rsidRPr="000170CB">
                    <w:rPr>
                      <w:sz w:val="24"/>
                      <w:szCs w:val="24"/>
                    </w:rPr>
                    <w:t>“Reimbursable Expenses”</w:t>
                  </w:r>
                  <w:r w:rsidRPr="000170CB">
                    <w:rPr>
                      <w:sz w:val="24"/>
                      <w:szCs w:val="24"/>
                    </w:rPr>
                    <w:tab/>
                  </w:r>
                </w:p>
              </w:tc>
              <w:tc>
                <w:tcPr>
                  <w:tcW w:w="7128" w:type="dxa"/>
                </w:tcPr>
                <w:p w:rsidR="000847BF" w:rsidRPr="000170CB" w:rsidRDefault="000847BF" w:rsidP="000847BF">
                  <w:pPr>
                    <w:rPr>
                      <w:sz w:val="24"/>
                      <w:szCs w:val="24"/>
                    </w:rPr>
                  </w:pPr>
                  <w:r w:rsidRPr="000170CB">
                    <w:rPr>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rsidR="000847BF" w:rsidRPr="000170CB" w:rsidRDefault="000847BF" w:rsidP="000847BF">
                  <w:pPr>
                    <w:numPr>
                      <w:ilvl w:val="0"/>
                      <w:numId w:val="58"/>
                    </w:numPr>
                    <w:spacing w:after="160" w:line="259" w:lineRule="auto"/>
                    <w:rPr>
                      <w:sz w:val="24"/>
                      <w:szCs w:val="24"/>
                    </w:rPr>
                  </w:pPr>
                  <w:r w:rsidRPr="000170CB">
                    <w:rPr>
                      <w:sz w:val="24"/>
                      <w:szCs w:val="24"/>
                    </w:rPr>
                    <w:t>travel expenses incurred as a result of Supplier Personnel travelling to and from their usual place of work, or to and from the premises at which the Services are principally to be performed, unless the Authority otherwise agrees in advance in writing; and</w:t>
                  </w:r>
                </w:p>
                <w:p w:rsidR="000847BF" w:rsidRPr="000170CB" w:rsidRDefault="000847BF" w:rsidP="000847BF">
                  <w:pPr>
                    <w:numPr>
                      <w:ilvl w:val="0"/>
                      <w:numId w:val="58"/>
                    </w:numPr>
                    <w:spacing w:after="160" w:line="259" w:lineRule="auto"/>
                    <w:rPr>
                      <w:sz w:val="24"/>
                      <w:szCs w:val="24"/>
                    </w:rPr>
                  </w:pPr>
                  <w:r w:rsidRPr="000170CB">
                    <w:rPr>
                      <w:sz w:val="24"/>
                      <w:szCs w:val="24"/>
                    </w:rPr>
                    <w:t>subsistence expenses incurred by Supplier Personnel whilst performing the Services at their usual place of work, or to and from the premises at which the Services are principally to be performed;</w:t>
                  </w:r>
                </w:p>
              </w:tc>
            </w:tr>
          </w:tbl>
          <w:p w:rsidR="000847BF" w:rsidRPr="000170CB" w:rsidRDefault="000847BF" w:rsidP="000847BF">
            <w:pPr>
              <w:rPr>
                <w:sz w:val="24"/>
                <w:szCs w:val="24"/>
              </w:rPr>
            </w:pPr>
            <w:r w:rsidRPr="000170CB">
              <w:rPr>
                <w:sz w:val="24"/>
                <w:szCs w:val="24"/>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Warranties</w:t>
            </w:r>
          </w:p>
          <w:p w:rsidR="000847BF" w:rsidRPr="000170CB" w:rsidRDefault="000847BF" w:rsidP="000847BF">
            <w:pPr>
              <w:rPr>
                <w:sz w:val="24"/>
                <w:szCs w:val="24"/>
              </w:rPr>
            </w:pPr>
            <w:r w:rsidRPr="000170CB">
              <w:rPr>
                <w:sz w:val="24"/>
                <w:szCs w:val="24"/>
              </w:rPr>
              <w:t>3.1</w:t>
            </w:r>
            <w:r w:rsidRPr="000170CB">
              <w:rPr>
                <w:sz w:val="24"/>
                <w:szCs w:val="24"/>
              </w:rPr>
              <w:tab/>
              <w:t>The Supplier represents and warrants that:</w:t>
            </w:r>
          </w:p>
          <w:p w:rsidR="000847BF" w:rsidRPr="000170CB" w:rsidRDefault="000847BF" w:rsidP="000847BF">
            <w:pPr>
              <w:rPr>
                <w:sz w:val="24"/>
                <w:szCs w:val="24"/>
              </w:rPr>
            </w:pPr>
            <w:r w:rsidRPr="000170CB">
              <w:rPr>
                <w:sz w:val="24"/>
                <w:szCs w:val="24"/>
              </w:rPr>
              <w:t>3.1.1</w:t>
            </w:r>
            <w:r w:rsidRPr="000170CB">
              <w:rPr>
                <w:sz w:val="24"/>
                <w:szCs w:val="24"/>
              </w:rPr>
              <w:tab/>
              <w:t>in the three years prior to the Effective Date, it has been in full compliance with all applicable securities and Tax Laws and regulations in the United Kingdom and in the jurisdiction in which it is established;</w:t>
            </w:r>
          </w:p>
          <w:p w:rsidR="000847BF" w:rsidRPr="000170CB" w:rsidRDefault="000847BF" w:rsidP="000847BF">
            <w:pPr>
              <w:rPr>
                <w:sz w:val="24"/>
                <w:szCs w:val="24"/>
              </w:rPr>
            </w:pPr>
            <w:r w:rsidRPr="000170CB">
              <w:rPr>
                <w:sz w:val="24"/>
                <w:szCs w:val="24"/>
              </w:rPr>
              <w:t>3.1.2</w:t>
            </w:r>
            <w:r w:rsidRPr="000170CB">
              <w:rPr>
                <w:sz w:val="24"/>
                <w:szCs w:val="24"/>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rsidR="000847BF" w:rsidRPr="000170CB" w:rsidRDefault="000847BF" w:rsidP="000847BF">
            <w:pPr>
              <w:rPr>
                <w:sz w:val="24"/>
                <w:szCs w:val="24"/>
              </w:rPr>
            </w:pPr>
            <w:r w:rsidRPr="000170CB">
              <w:rPr>
                <w:sz w:val="24"/>
                <w:szCs w:val="24"/>
              </w:rPr>
              <w:t>3.1.3</w:t>
            </w:r>
            <w:r w:rsidRPr="000170CB">
              <w:rPr>
                <w:sz w:val="24"/>
                <w:szCs w:val="24"/>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0847BF" w:rsidRPr="000170CB" w:rsidRDefault="000847BF" w:rsidP="000847BF">
            <w:pPr>
              <w:rPr>
                <w:sz w:val="24"/>
                <w:szCs w:val="24"/>
              </w:rPr>
            </w:pPr>
            <w:r w:rsidRPr="000170CB">
              <w:rPr>
                <w:sz w:val="24"/>
                <w:szCs w:val="24"/>
              </w:rPr>
              <w:t>3.1.4</w:t>
            </w:r>
            <w:r w:rsidRPr="000170CB">
              <w:rPr>
                <w:sz w:val="24"/>
                <w:szCs w:val="24"/>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Promoting Tax Compliance</w:t>
            </w:r>
          </w:p>
          <w:p w:rsidR="000847BF" w:rsidRPr="000170CB" w:rsidRDefault="000847BF" w:rsidP="000847BF">
            <w:pPr>
              <w:rPr>
                <w:sz w:val="24"/>
                <w:szCs w:val="24"/>
              </w:rPr>
            </w:pPr>
            <w:r w:rsidRPr="000170CB">
              <w:rPr>
                <w:sz w:val="24"/>
                <w:szCs w:val="24"/>
              </w:rPr>
              <w:t xml:space="preserve">4.1 All amounts stated are exclusive of VAT which shall be charged at the prevailing rate.  The Customer shall, following the receipt of a valid VAT invoice, pay to the Supplier a sum equal to the VAT chargeable in respect of the Services. </w:t>
            </w:r>
          </w:p>
          <w:p w:rsidR="000847BF" w:rsidRPr="000170CB" w:rsidRDefault="000847BF" w:rsidP="000847BF">
            <w:pPr>
              <w:rPr>
                <w:sz w:val="24"/>
                <w:szCs w:val="24"/>
              </w:rPr>
            </w:pPr>
            <w:r w:rsidRPr="000170CB">
              <w:rPr>
                <w:sz w:val="24"/>
                <w:szCs w:val="24"/>
              </w:rPr>
              <w:t>4.2 The Supplier shall at all times comply with all other Laws and regulations relating to Tax.</w:t>
            </w:r>
          </w:p>
          <w:p w:rsidR="000847BF" w:rsidRPr="000170CB" w:rsidRDefault="000847BF" w:rsidP="000847BF">
            <w:pPr>
              <w:rPr>
                <w:sz w:val="24"/>
                <w:szCs w:val="24"/>
              </w:rPr>
            </w:pPr>
            <w:r w:rsidRPr="000170CB">
              <w:rPr>
                <w:sz w:val="24"/>
                <w:szCs w:val="24"/>
              </w:rPr>
              <w:t xml:space="preserve">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w:t>
            </w:r>
            <w:r w:rsidRPr="000170CB">
              <w:rPr>
                <w:sz w:val="24"/>
                <w:szCs w:val="24"/>
              </w:rPr>
              <w:lastRenderedPageBreak/>
              <w:t>shall not employ or will cease to employ any agent, supplier or Subcontractor or Subcontractor.</w:t>
            </w:r>
          </w:p>
          <w:p w:rsidR="000847BF" w:rsidRPr="000170CB" w:rsidRDefault="000847BF" w:rsidP="000847BF">
            <w:pPr>
              <w:rPr>
                <w:sz w:val="24"/>
                <w:szCs w:val="24"/>
              </w:rPr>
            </w:pPr>
            <w:r w:rsidRPr="000170CB">
              <w:rPr>
                <w:sz w:val="24"/>
                <w:szCs w:val="24"/>
              </w:rPr>
              <w:t>4.4 Where an amount of Tax, including any assessed amount, is due from the Supplier an equivalent amount may be deducted by the Authority from the amount of any sum due to the Supplier under this Agreement.</w:t>
            </w:r>
          </w:p>
          <w:p w:rsidR="000847BF" w:rsidRPr="000170CB" w:rsidRDefault="000847BF" w:rsidP="000847BF">
            <w:pPr>
              <w:rPr>
                <w:sz w:val="24"/>
                <w:szCs w:val="24"/>
              </w:rPr>
            </w:pPr>
            <w:r w:rsidRPr="000170CB">
              <w:rPr>
                <w:sz w:val="24"/>
                <w:szCs w:val="24"/>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rsidR="000847BF" w:rsidRPr="000170CB" w:rsidRDefault="000847BF" w:rsidP="000847BF">
            <w:pPr>
              <w:rPr>
                <w:sz w:val="24"/>
                <w:szCs w:val="24"/>
              </w:rPr>
            </w:pPr>
            <w:r w:rsidRPr="000170CB">
              <w:rPr>
                <w:sz w:val="24"/>
                <w:szCs w:val="24"/>
              </w:rPr>
              <w:t>4.5.1</w:t>
            </w:r>
            <w:r w:rsidRPr="000170CB">
              <w:rPr>
                <w:sz w:val="24"/>
                <w:szCs w:val="24"/>
              </w:rPr>
              <w:tab/>
              <w:t>notify the Authority in writing of such fact within five (5) Working Days of its occurrence; and</w:t>
            </w:r>
          </w:p>
          <w:p w:rsidR="000847BF" w:rsidRPr="000170CB" w:rsidRDefault="000847BF" w:rsidP="000847BF">
            <w:pPr>
              <w:rPr>
                <w:sz w:val="24"/>
                <w:szCs w:val="24"/>
              </w:rPr>
            </w:pPr>
            <w:r w:rsidRPr="000170CB">
              <w:rPr>
                <w:sz w:val="24"/>
                <w:szCs w:val="24"/>
              </w:rPr>
              <w:t>4.5.2</w:t>
            </w:r>
            <w:r w:rsidRPr="000170CB">
              <w:rPr>
                <w:sz w:val="24"/>
                <w:szCs w:val="24"/>
              </w:rPr>
              <w:tab/>
              <w:t>promptly provide to the Authority:</w:t>
            </w:r>
          </w:p>
          <w:p w:rsidR="000847BF" w:rsidRPr="000170CB" w:rsidRDefault="000847BF" w:rsidP="000847BF">
            <w:pPr>
              <w:rPr>
                <w:sz w:val="24"/>
                <w:szCs w:val="24"/>
              </w:rPr>
            </w:pPr>
            <w:r w:rsidRPr="000170CB">
              <w:rPr>
                <w:sz w:val="24"/>
                <w:szCs w:val="24"/>
              </w:rPr>
              <w:t>(a)</w:t>
            </w:r>
            <w:r w:rsidRPr="000170CB">
              <w:rPr>
                <w:sz w:val="24"/>
                <w:szCs w:val="24"/>
              </w:rPr>
              <w:tab/>
              <w:t xml:space="preserve">details of the steps which the Supplier is taking to address the Occasion of Tax Non Compliance and to prevent the same from recurring, together with any mitigating factors that it considers relevant; and </w:t>
            </w:r>
          </w:p>
          <w:p w:rsidR="000847BF" w:rsidRPr="000170CB" w:rsidRDefault="000847BF" w:rsidP="000847BF">
            <w:pPr>
              <w:rPr>
                <w:sz w:val="24"/>
                <w:szCs w:val="24"/>
              </w:rPr>
            </w:pPr>
            <w:r w:rsidRPr="000170CB">
              <w:rPr>
                <w:sz w:val="24"/>
                <w:szCs w:val="24"/>
              </w:rPr>
              <w:t>(b)</w:t>
            </w:r>
            <w:r w:rsidRPr="000170CB">
              <w:rPr>
                <w:sz w:val="24"/>
                <w:szCs w:val="24"/>
              </w:rPr>
              <w:tab/>
            </w:r>
            <w:proofErr w:type="gramStart"/>
            <w:r w:rsidRPr="000170CB">
              <w:rPr>
                <w:sz w:val="24"/>
                <w:szCs w:val="24"/>
              </w:rPr>
              <w:t>such</w:t>
            </w:r>
            <w:proofErr w:type="gramEnd"/>
            <w:r w:rsidRPr="000170CB">
              <w:rPr>
                <w:sz w:val="24"/>
                <w:szCs w:val="24"/>
              </w:rPr>
              <w:t xml:space="preserve"> other information in relation to the Occasion of Tax Non Compliance as the Authority may reasonably require.</w:t>
            </w:r>
          </w:p>
          <w:p w:rsidR="000847BF" w:rsidRPr="000170CB" w:rsidRDefault="000847BF" w:rsidP="000847BF">
            <w:pPr>
              <w:rPr>
                <w:sz w:val="24"/>
                <w:szCs w:val="24"/>
              </w:rPr>
            </w:pPr>
            <w:r w:rsidRPr="000170CB">
              <w:rPr>
                <w:sz w:val="24"/>
                <w:szCs w:val="24"/>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rsidR="000847BF" w:rsidRPr="000170CB" w:rsidRDefault="000847BF" w:rsidP="000847BF">
            <w:pPr>
              <w:rPr>
                <w:sz w:val="24"/>
                <w:szCs w:val="24"/>
              </w:rPr>
            </w:pPr>
            <w:r w:rsidRPr="000170CB">
              <w:rPr>
                <w:sz w:val="24"/>
                <w:szCs w:val="24"/>
              </w:rPr>
              <w:t>4.7 The Supplier shall provide (promptly or within such other period notified by the Authority) information which demonstrates how the Supplier complies with its Tax obligations.</w:t>
            </w:r>
          </w:p>
          <w:p w:rsidR="000847BF" w:rsidRPr="000170CB" w:rsidRDefault="000847BF" w:rsidP="000847BF">
            <w:pPr>
              <w:rPr>
                <w:sz w:val="24"/>
                <w:szCs w:val="24"/>
              </w:rPr>
            </w:pPr>
            <w:r w:rsidRPr="000170CB">
              <w:rPr>
                <w:sz w:val="24"/>
                <w:szCs w:val="24"/>
              </w:rPr>
              <w:t>4.8 If the Supplier fails to:</w:t>
            </w:r>
          </w:p>
          <w:p w:rsidR="000847BF" w:rsidRPr="000170CB" w:rsidRDefault="000847BF" w:rsidP="000847BF">
            <w:pPr>
              <w:rPr>
                <w:sz w:val="24"/>
                <w:szCs w:val="24"/>
              </w:rPr>
            </w:pPr>
            <w:r w:rsidRPr="000170CB">
              <w:rPr>
                <w:sz w:val="24"/>
                <w:szCs w:val="24"/>
              </w:rPr>
              <w:t>4.8.1 comply (or if the Authority receives information which demonstrates that the Supplier has failed to comply) with any of the provisions in Clauses 4.2 to 4.7 (inclusive); and/or</w:t>
            </w:r>
          </w:p>
          <w:p w:rsidR="000847BF" w:rsidRPr="000170CB" w:rsidRDefault="000847BF" w:rsidP="000847BF">
            <w:pPr>
              <w:rPr>
                <w:sz w:val="24"/>
                <w:szCs w:val="24"/>
              </w:rPr>
            </w:pPr>
            <w:r w:rsidRPr="000170CB">
              <w:rPr>
                <w:sz w:val="24"/>
                <w:szCs w:val="24"/>
              </w:rPr>
              <w:lastRenderedPageBreak/>
              <w:t>4.8.2  fails to provide details of steps being taken and mitigating factors pursuant to Clause 4.5 which in the reasonable opinion of the Authority are acceptable,</w:t>
            </w:r>
          </w:p>
          <w:p w:rsidR="000847BF" w:rsidRPr="000170CB" w:rsidRDefault="000847BF" w:rsidP="000847BF">
            <w:pPr>
              <w:rPr>
                <w:sz w:val="24"/>
                <w:szCs w:val="24"/>
              </w:rPr>
            </w:pPr>
            <w:proofErr w:type="gramStart"/>
            <w:r w:rsidRPr="000170CB">
              <w:rPr>
                <w:sz w:val="24"/>
                <w:szCs w:val="24"/>
              </w:rPr>
              <w:t>this</w:t>
            </w:r>
            <w:proofErr w:type="gramEnd"/>
            <w:r w:rsidRPr="000170CB">
              <w:rPr>
                <w:sz w:val="24"/>
                <w:szCs w:val="24"/>
              </w:rPr>
              <w:t xml:space="preserve"> shall allow the Authority to terminate the Agreement pursuant to Clause 23.</w:t>
            </w:r>
          </w:p>
          <w:p w:rsidR="000847BF" w:rsidRPr="000170CB" w:rsidRDefault="000847BF" w:rsidP="000847BF">
            <w:pPr>
              <w:rPr>
                <w:sz w:val="24"/>
                <w:szCs w:val="24"/>
              </w:rPr>
            </w:pPr>
            <w:r w:rsidRPr="000170CB">
              <w:rPr>
                <w:sz w:val="24"/>
                <w:szCs w:val="24"/>
              </w:rPr>
              <w:t xml:space="preserve">4.9 The Authority may internally share any information which it receives under Clauses 4.3 to 4.5 (inclusive) and 4.7.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4600"/>
            </w:tblGrid>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“DOTAS”</w:t>
                  </w:r>
                </w:p>
              </w:tc>
              <w:tc>
                <w:tcPr>
                  <w:tcW w:w="460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rsidR="000847BF" w:rsidRPr="000170CB" w:rsidRDefault="000847BF" w:rsidP="000847BF">
                  <w:pPr>
                    <w:rPr>
                      <w:rFonts w:ascii="Arial" w:eastAsia="Arial" w:hAnsi="Arial" w:cs="Arial"/>
                      <w:sz w:val="24"/>
                      <w:szCs w:val="24"/>
                    </w:rPr>
                  </w:pPr>
                </w:p>
              </w:tc>
            </w:tr>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“General Anti Abuse Rule”</w:t>
                  </w:r>
                </w:p>
              </w:tc>
              <w:tc>
                <w:tcPr>
                  <w:tcW w:w="460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means</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 xml:space="preserve">the legislation in Part 5 of the Finance Act 2013; </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the legislation in sections 10 and 11 of the National Insurance Contributions Act 2014; and</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(c)</w:t>
                  </w:r>
                  <w:r w:rsidRPr="000170CB">
                    <w:rPr>
                      <w:rFonts w:ascii="Arial" w:eastAsia="Arial" w:hAnsi="Arial" w:cs="Arial"/>
                      <w:sz w:val="24"/>
                      <w:szCs w:val="24"/>
                    </w:rPr>
                    <w:tab/>
                    <w:t xml:space="preserve">any future legislation introduced into Parliament to counteract tax </w:t>
                  </w:r>
                  <w:r w:rsidRPr="000170CB">
                    <w:rPr>
                      <w:rFonts w:ascii="Arial" w:eastAsia="Arial" w:hAnsi="Arial" w:cs="Arial"/>
                      <w:sz w:val="24"/>
                      <w:szCs w:val="24"/>
                    </w:rPr>
                    <w:lastRenderedPageBreak/>
                    <w:t>advantages arising from abusive arrangements to avoid any Tax;</w:t>
                  </w:r>
                </w:p>
                <w:p w:rsidR="000847BF" w:rsidRPr="000170CB" w:rsidRDefault="000847BF" w:rsidP="000847BF">
                  <w:pPr>
                    <w:rPr>
                      <w:rFonts w:ascii="Arial" w:eastAsia="Arial" w:hAnsi="Arial" w:cs="Arial"/>
                      <w:sz w:val="24"/>
                      <w:szCs w:val="24"/>
                    </w:rPr>
                  </w:pPr>
                </w:p>
              </w:tc>
            </w:tr>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lastRenderedPageBreak/>
                    <w:t>“Halifax Abuse Principle”</w:t>
                  </w:r>
                </w:p>
              </w:tc>
              <w:tc>
                <w:tcPr>
                  <w:tcW w:w="460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the principle explained in the CJEU Case C 255/02 Halifax and others;</w:t>
                  </w:r>
                </w:p>
                <w:p w:rsidR="000847BF" w:rsidRPr="000170CB" w:rsidRDefault="000847BF" w:rsidP="000847BF">
                  <w:pPr>
                    <w:rPr>
                      <w:rFonts w:ascii="Arial" w:eastAsia="Arial" w:hAnsi="Arial" w:cs="Arial"/>
                      <w:sz w:val="24"/>
                      <w:szCs w:val="24"/>
                    </w:rPr>
                  </w:pPr>
                </w:p>
              </w:tc>
            </w:tr>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“Occasion of Tax Non-Compliance”</w:t>
                  </w:r>
                </w:p>
              </w:tc>
              <w:tc>
                <w:tcPr>
                  <w:tcW w:w="460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w:t>
                  </w:r>
                  <w:proofErr w:type="spellStart"/>
                  <w:r w:rsidRPr="000170CB">
                    <w:rPr>
                      <w:rFonts w:ascii="Arial" w:eastAsia="Arial" w:hAnsi="Arial" w:cs="Arial"/>
                      <w:sz w:val="24"/>
                      <w:szCs w:val="24"/>
                    </w:rPr>
                    <w:t>i</w:t>
                  </w:r>
                  <w:proofErr w:type="spellEnd"/>
                  <w:r w:rsidRPr="000170CB">
                    <w:rPr>
                      <w:rFonts w:ascii="Arial" w:eastAsia="Arial" w:hAnsi="Arial" w:cs="Arial"/>
                      <w:sz w:val="24"/>
                      <w:szCs w:val="24"/>
                    </w:rPr>
                    <w:t>)</w:t>
                  </w:r>
                  <w:r w:rsidRPr="000170CB">
                    <w:rPr>
                      <w:rFonts w:ascii="Arial" w:eastAsia="Arial" w:hAnsi="Arial" w:cs="Arial"/>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(ii)</w:t>
                  </w:r>
                  <w:r w:rsidRPr="000170CB">
                    <w:rPr>
                      <w:rFonts w:ascii="Arial" w:eastAsia="Arial" w:hAnsi="Arial" w:cs="Arial"/>
                      <w:sz w:val="24"/>
                      <w:szCs w:val="24"/>
                    </w:rPr>
                    <w:tab/>
                    <w:t>the failure of an avoidance scheme which the Supplier or relevant Subcontractor was involved in, and which was, or should have been, notified to a Relevant Tax Authority under the DOTAS or any equivalent or similar regime in any jurisdiction; and/or</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lastRenderedPageBreak/>
                    <w:t>(c)</w:t>
                  </w:r>
                  <w:r w:rsidRPr="000170CB">
                    <w:rPr>
                      <w:rFonts w:ascii="Arial" w:eastAsia="Arial" w:hAnsi="Arial" w:cs="Arial"/>
                      <w:sz w:val="24"/>
                      <w:szCs w:val="24"/>
                    </w:rPr>
                    <w:tab/>
                    <w:t>For these purposes :</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w:t>
                  </w:r>
                  <w:proofErr w:type="spellStart"/>
                  <w:r w:rsidRPr="000170CB">
                    <w:rPr>
                      <w:rFonts w:ascii="Arial" w:eastAsia="Arial" w:hAnsi="Arial" w:cs="Arial"/>
                      <w:sz w:val="24"/>
                      <w:szCs w:val="24"/>
                    </w:rPr>
                    <w:t>i</w:t>
                  </w:r>
                  <w:proofErr w:type="spellEnd"/>
                  <w:r w:rsidRPr="000170CB">
                    <w:rPr>
                      <w:rFonts w:ascii="Arial" w:eastAsia="Arial" w:hAnsi="Arial" w:cs="Arial"/>
                      <w:sz w:val="24"/>
                      <w:szCs w:val="24"/>
                    </w:rPr>
                    <w:t>)</w:t>
                  </w:r>
                  <w:r w:rsidRPr="000170CB">
                    <w:rPr>
                      <w:rFonts w:ascii="Arial" w:eastAsia="Arial" w:hAnsi="Arial" w:cs="Arial"/>
                      <w:sz w:val="24"/>
                      <w:szCs w:val="24"/>
                    </w:rPr>
                    <w:tab/>
                    <w:t>a return is "submitted" when it is first submitted to the Relevant Tax Authority and any subsequent amendments or re-submissions are to be ignored; and</w:t>
                  </w:r>
                </w:p>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(ii)</w:t>
                  </w:r>
                  <w:r w:rsidRPr="000170CB">
                    <w:rPr>
                      <w:rFonts w:ascii="Arial" w:eastAsia="Arial" w:hAnsi="Arial" w:cs="Arial"/>
                      <w:sz w:val="24"/>
                      <w:szCs w:val="24"/>
                    </w:rPr>
                    <w:tab/>
                  </w:r>
                  <w:proofErr w:type="gramStart"/>
                  <w:r w:rsidRPr="000170CB">
                    <w:rPr>
                      <w:rFonts w:ascii="Arial" w:eastAsia="Arial" w:hAnsi="Arial" w:cs="Arial"/>
                      <w:sz w:val="24"/>
                      <w:szCs w:val="24"/>
                    </w:rPr>
                    <w:t>a</w:t>
                  </w:r>
                  <w:proofErr w:type="gramEnd"/>
                  <w:r w:rsidRPr="000170CB">
                    <w:rPr>
                      <w:rFonts w:ascii="Arial" w:eastAsia="Arial" w:hAnsi="Arial" w:cs="Arial"/>
                      <w:sz w:val="24"/>
                      <w:szCs w:val="24"/>
                    </w:rPr>
                    <w:t xml:space="preserve"> Relevant Tax Authority will not be deemed to have "successfully challenged" the Supplier or a Subcontractor until an appeal against such challenge is no longer possible.</w:t>
                  </w:r>
                </w:p>
                <w:p w:rsidR="000847BF" w:rsidRPr="000170CB" w:rsidRDefault="000847BF" w:rsidP="000847BF">
                  <w:pPr>
                    <w:rPr>
                      <w:rFonts w:ascii="Arial" w:eastAsia="Arial" w:hAnsi="Arial" w:cs="Arial"/>
                      <w:sz w:val="24"/>
                      <w:szCs w:val="24"/>
                    </w:rPr>
                  </w:pPr>
                </w:p>
              </w:tc>
            </w:tr>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lastRenderedPageBreak/>
                    <w:t>“Relevant Tax Authority”</w:t>
                  </w:r>
                </w:p>
              </w:tc>
              <w:tc>
                <w:tcPr>
                  <w:tcW w:w="460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HMRC, or, if applicable, a tax authority in the jurisdiction in which the Supplier is established, resident or liable to any Tax;</w:t>
                  </w:r>
                </w:p>
                <w:p w:rsidR="000847BF" w:rsidRPr="000170CB" w:rsidRDefault="000847BF" w:rsidP="000847BF">
                  <w:pPr>
                    <w:rPr>
                      <w:rFonts w:ascii="Arial" w:eastAsia="Arial" w:hAnsi="Arial" w:cs="Arial"/>
                      <w:sz w:val="24"/>
                      <w:szCs w:val="24"/>
                    </w:rPr>
                  </w:pPr>
                </w:p>
              </w:tc>
            </w:tr>
            <w:tr w:rsidR="000847BF" w:rsidRPr="000170CB" w:rsidTr="000847BF">
              <w:tc>
                <w:tcPr>
                  <w:tcW w:w="2310" w:type="dxa"/>
                </w:tcPr>
                <w:p w:rsidR="000847BF" w:rsidRPr="000170CB" w:rsidRDefault="000847BF" w:rsidP="000847BF">
                  <w:pPr>
                    <w:spacing w:before="120" w:after="120"/>
                    <w:ind w:left="-142"/>
                    <w:rPr>
                      <w:rFonts w:ascii="Arial" w:eastAsia="Arial" w:hAnsi="Arial" w:cs="Arial"/>
                      <w:sz w:val="24"/>
                      <w:szCs w:val="24"/>
                    </w:rPr>
                  </w:pPr>
                  <w:r w:rsidRPr="000170CB">
                    <w:rPr>
                      <w:rFonts w:ascii="Arial" w:eastAsia="Arial" w:hAnsi="Arial" w:cs="Arial"/>
                      <w:sz w:val="24"/>
                      <w:szCs w:val="24"/>
                    </w:rPr>
                    <w:t>“Subcontract”</w:t>
                  </w:r>
                </w:p>
              </w:tc>
              <w:tc>
                <w:tcPr>
                  <w:tcW w:w="4600" w:type="dxa"/>
                </w:tcPr>
                <w:p w:rsidR="000847BF" w:rsidRPr="000170CB" w:rsidRDefault="000847BF" w:rsidP="000847BF">
                  <w:pPr>
                    <w:spacing w:before="120" w:after="120"/>
                    <w:ind w:left="-101"/>
                    <w:rPr>
                      <w:rFonts w:ascii="Arial" w:eastAsia="Arial" w:hAnsi="Arial" w:cs="Arial"/>
                      <w:sz w:val="24"/>
                      <w:szCs w:val="24"/>
                    </w:rPr>
                  </w:pPr>
                  <w:r w:rsidRPr="000170CB">
                    <w:rPr>
                      <w:rFonts w:ascii="Arial" w:eastAsia="Arial" w:hAnsi="Arial" w:cs="Arial"/>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847BF" w:rsidRPr="000170CB" w:rsidTr="000847BF">
              <w:tc>
                <w:tcPr>
                  <w:tcW w:w="2310" w:type="dxa"/>
                </w:tcPr>
                <w:p w:rsidR="000847BF" w:rsidRPr="000170CB" w:rsidRDefault="000847BF" w:rsidP="000847BF">
                  <w:pPr>
                    <w:spacing w:before="120" w:after="120"/>
                    <w:ind w:left="-34"/>
                    <w:rPr>
                      <w:rFonts w:ascii="Arial" w:eastAsia="Arial" w:hAnsi="Arial" w:cs="Arial"/>
                      <w:sz w:val="24"/>
                      <w:szCs w:val="24"/>
                    </w:rPr>
                  </w:pPr>
                  <w:r w:rsidRPr="000170CB">
                    <w:rPr>
                      <w:rFonts w:ascii="Arial" w:eastAsia="Arial" w:hAnsi="Arial" w:cs="Arial"/>
                      <w:sz w:val="24"/>
                      <w:szCs w:val="24"/>
                    </w:rPr>
                    <w:t>“Subcontractor”</w:t>
                  </w:r>
                </w:p>
              </w:tc>
              <w:tc>
                <w:tcPr>
                  <w:tcW w:w="4600" w:type="dxa"/>
                </w:tcPr>
                <w:p w:rsidR="000847BF" w:rsidRPr="000170CB" w:rsidRDefault="000847BF" w:rsidP="000847BF">
                  <w:pPr>
                    <w:widowControl w:val="0"/>
                    <w:spacing w:before="120" w:after="120"/>
                    <w:rPr>
                      <w:rFonts w:ascii="Arial" w:eastAsia="Arial" w:hAnsi="Arial" w:cs="Arial"/>
                      <w:sz w:val="24"/>
                      <w:szCs w:val="24"/>
                    </w:rPr>
                  </w:pPr>
                  <w:r w:rsidRPr="000170CB">
                    <w:rPr>
                      <w:rFonts w:ascii="Arial" w:eastAsia="Arial" w:hAnsi="Arial" w:cs="Arial"/>
                      <w:sz w:val="24"/>
                      <w:szCs w:val="24"/>
                    </w:rPr>
                    <w:t>any third party with whom:</w:t>
                  </w:r>
                </w:p>
                <w:p w:rsidR="000847BF" w:rsidRPr="000170CB" w:rsidRDefault="000847BF" w:rsidP="000847BF">
                  <w:pPr>
                    <w:numPr>
                      <w:ilvl w:val="0"/>
                      <w:numId w:val="59"/>
                    </w:numPr>
                    <w:tabs>
                      <w:tab w:val="left" w:pos="-75"/>
                    </w:tabs>
                    <w:spacing w:before="120" w:after="120" w:line="240" w:lineRule="auto"/>
                    <w:ind w:left="507" w:hanging="507"/>
                    <w:rPr>
                      <w:rFonts w:ascii="Arial" w:eastAsia="Arial" w:hAnsi="Arial" w:cs="Arial"/>
                      <w:sz w:val="24"/>
                      <w:szCs w:val="24"/>
                    </w:rPr>
                  </w:pPr>
                  <w:r w:rsidRPr="000170CB">
                    <w:rPr>
                      <w:rFonts w:ascii="Arial" w:eastAsia="Arial" w:hAnsi="Arial" w:cs="Arial"/>
                      <w:sz w:val="24"/>
                      <w:szCs w:val="24"/>
                    </w:rPr>
                    <w:t xml:space="preserve">the Supplier enters into a Subcontract; or </w:t>
                  </w:r>
                </w:p>
                <w:p w:rsidR="000847BF" w:rsidRPr="000170CB" w:rsidRDefault="000847BF" w:rsidP="000847BF">
                  <w:pPr>
                    <w:numPr>
                      <w:ilvl w:val="0"/>
                      <w:numId w:val="59"/>
                    </w:numPr>
                    <w:tabs>
                      <w:tab w:val="left" w:pos="-75"/>
                    </w:tabs>
                    <w:spacing w:before="120" w:after="120" w:line="240" w:lineRule="auto"/>
                    <w:ind w:left="507" w:hanging="507"/>
                    <w:rPr>
                      <w:rFonts w:ascii="Arial" w:eastAsia="Arial" w:hAnsi="Arial" w:cs="Arial"/>
                      <w:sz w:val="24"/>
                      <w:szCs w:val="24"/>
                    </w:rPr>
                  </w:pPr>
                  <w:r w:rsidRPr="000170CB">
                    <w:rPr>
                      <w:rFonts w:ascii="Arial" w:eastAsia="Arial" w:hAnsi="Arial" w:cs="Arial"/>
                      <w:sz w:val="24"/>
                      <w:szCs w:val="24"/>
                    </w:rPr>
                    <w:t>a third party under (a) above enters into a Subcontract,</w:t>
                  </w:r>
                </w:p>
                <w:p w:rsidR="000847BF" w:rsidRPr="000170CB" w:rsidRDefault="000847BF" w:rsidP="000847BF">
                  <w:pPr>
                    <w:widowControl w:val="0"/>
                    <w:spacing w:before="120" w:after="120"/>
                    <w:ind w:left="-15"/>
                    <w:outlineLvl w:val="2"/>
                    <w:rPr>
                      <w:rFonts w:ascii="Arial" w:eastAsia="Arial" w:hAnsi="Arial" w:cs="Arial"/>
                      <w:sz w:val="24"/>
                      <w:szCs w:val="24"/>
                    </w:rPr>
                  </w:pPr>
                  <w:r w:rsidRPr="000170CB">
                    <w:rPr>
                      <w:rFonts w:ascii="Arial" w:eastAsia="Arial" w:hAnsi="Arial" w:cs="Arial"/>
                      <w:sz w:val="24"/>
                      <w:szCs w:val="24"/>
                    </w:rPr>
                    <w:t>or the servants or agents of that third party;</w:t>
                  </w:r>
                </w:p>
                <w:p w:rsidR="000847BF" w:rsidRPr="000170CB" w:rsidRDefault="000847BF" w:rsidP="000847BF">
                  <w:pPr>
                    <w:widowControl w:val="0"/>
                    <w:spacing w:before="120" w:after="120"/>
                    <w:ind w:left="-15"/>
                    <w:outlineLvl w:val="2"/>
                    <w:rPr>
                      <w:rFonts w:ascii="Arial" w:eastAsia="Arial" w:hAnsi="Arial" w:cs="Arial"/>
                      <w:sz w:val="24"/>
                      <w:szCs w:val="24"/>
                    </w:rPr>
                  </w:pPr>
                </w:p>
              </w:tc>
            </w:tr>
            <w:tr w:rsidR="000847BF" w:rsidRPr="000170CB" w:rsidTr="000847BF">
              <w:tc>
                <w:tcPr>
                  <w:tcW w:w="2310"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lastRenderedPageBreak/>
                    <w:t>“VAT”</w:t>
                  </w:r>
                </w:p>
              </w:tc>
              <w:tc>
                <w:tcPr>
                  <w:tcW w:w="4600" w:type="dxa"/>
                </w:tcPr>
                <w:p w:rsidR="000847BF" w:rsidRPr="000170CB" w:rsidRDefault="000847BF" w:rsidP="000847BF">
                  <w:pPr>
                    <w:rPr>
                      <w:rFonts w:ascii="Arial" w:eastAsia="Arial" w:hAnsi="Arial" w:cs="Arial"/>
                      <w:sz w:val="24"/>
                      <w:szCs w:val="24"/>
                    </w:rPr>
                  </w:pPr>
                  <w:proofErr w:type="gramStart"/>
                  <w:r w:rsidRPr="000170CB">
                    <w:rPr>
                      <w:rFonts w:ascii="Arial" w:eastAsia="Arial" w:hAnsi="Arial" w:cs="Arial"/>
                      <w:sz w:val="24"/>
                      <w:szCs w:val="24"/>
                    </w:rPr>
                    <w:t>value</w:t>
                  </w:r>
                  <w:proofErr w:type="gramEnd"/>
                  <w:r w:rsidRPr="000170CB">
                    <w:rPr>
                      <w:rFonts w:ascii="Arial" w:eastAsia="Arial" w:hAnsi="Arial" w:cs="Arial"/>
                      <w:sz w:val="24"/>
                      <w:szCs w:val="24"/>
                    </w:rPr>
                    <w:t xml:space="preserve"> added tax as provided for in the Value Added Tax Act 1994.</w:t>
                  </w:r>
                </w:p>
              </w:tc>
            </w:tr>
          </w:tbl>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Use of Off-shore Tax Structures</w:t>
            </w:r>
          </w:p>
          <w:p w:rsidR="000847BF" w:rsidRPr="000170CB" w:rsidRDefault="000847BF" w:rsidP="000847BF">
            <w:pPr>
              <w:spacing w:after="160" w:line="259" w:lineRule="auto"/>
              <w:rPr>
                <w:sz w:val="24"/>
                <w:szCs w:val="24"/>
              </w:rPr>
            </w:pPr>
            <w:bookmarkStart w:id="21" w:name="_Ref456277829"/>
            <w:r w:rsidRPr="000170CB">
              <w:rPr>
                <w:sz w:val="24"/>
                <w:szCs w:val="24"/>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1"/>
          </w:p>
          <w:p w:rsidR="000847BF" w:rsidRPr="000170CB" w:rsidRDefault="000847BF" w:rsidP="000847BF">
            <w:pPr>
              <w:pStyle w:val="ListParagraph"/>
              <w:ind w:left="360"/>
              <w:rPr>
                <w:sz w:val="24"/>
                <w:szCs w:val="24"/>
              </w:rPr>
            </w:pPr>
          </w:p>
          <w:p w:rsidR="000847BF" w:rsidRPr="000170CB" w:rsidRDefault="000847BF" w:rsidP="000847BF">
            <w:pPr>
              <w:spacing w:after="160" w:line="259" w:lineRule="auto"/>
              <w:rPr>
                <w:sz w:val="24"/>
                <w:szCs w:val="24"/>
              </w:rPr>
            </w:pPr>
            <w:bookmarkStart w:id="22" w:name="_Ref454350421"/>
            <w:r w:rsidRPr="000170CB">
              <w:rPr>
                <w:sz w:val="24"/>
                <w:szCs w:val="24"/>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2"/>
          </w:p>
          <w:p w:rsidR="000847BF" w:rsidRPr="000170CB" w:rsidRDefault="000847BF" w:rsidP="000847BF">
            <w:pPr>
              <w:spacing w:after="160" w:line="259" w:lineRule="auto"/>
              <w:rPr>
                <w:sz w:val="24"/>
                <w:szCs w:val="24"/>
              </w:rPr>
            </w:pPr>
          </w:p>
          <w:p w:rsidR="000847BF" w:rsidRPr="000170CB" w:rsidRDefault="000847BF" w:rsidP="000847BF">
            <w:pPr>
              <w:spacing w:after="160" w:line="259" w:lineRule="auto"/>
              <w:rPr>
                <w:sz w:val="24"/>
                <w:szCs w:val="24"/>
              </w:rPr>
            </w:pPr>
            <w:bookmarkStart w:id="23" w:name="_Ref454350981"/>
            <w:r w:rsidRPr="000170CB">
              <w:rPr>
                <w:sz w:val="24"/>
                <w:szCs w:val="24"/>
              </w:rPr>
              <w:t xml:space="preserve">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w:t>
            </w:r>
            <w:r w:rsidRPr="000170CB">
              <w:rPr>
                <w:sz w:val="24"/>
                <w:szCs w:val="24"/>
              </w:rPr>
              <w:fldChar w:fldCharType="begin"/>
            </w:r>
            <w:r w:rsidRPr="000170CB">
              <w:rPr>
                <w:sz w:val="24"/>
                <w:szCs w:val="24"/>
              </w:rPr>
              <w:instrText xml:space="preserve"> REF _Ref454350421 \r \h  \* MERGEFORMAT </w:instrText>
            </w:r>
            <w:r w:rsidRPr="000170CB">
              <w:rPr>
                <w:sz w:val="24"/>
                <w:szCs w:val="24"/>
              </w:rPr>
            </w:r>
            <w:r w:rsidRPr="000170CB">
              <w:rPr>
                <w:sz w:val="24"/>
                <w:szCs w:val="24"/>
              </w:rPr>
              <w:fldChar w:fldCharType="separate"/>
            </w:r>
            <w:r w:rsidRPr="000170CB">
              <w:rPr>
                <w:sz w:val="24"/>
                <w:szCs w:val="24"/>
              </w:rPr>
              <w:t>5.2</w:t>
            </w:r>
            <w:r w:rsidRPr="000170CB">
              <w:rPr>
                <w:sz w:val="24"/>
                <w:szCs w:val="24"/>
              </w:rPr>
              <w:fldChar w:fldCharType="end"/>
            </w:r>
            <w:r w:rsidRPr="000170CB">
              <w:rPr>
                <w:sz w:val="24"/>
                <w:szCs w:val="24"/>
              </w:rPr>
              <w:t xml:space="preserve">, the Parties (and the Supplier shall procure that the Key Subcontractor, where applicable) shall agree (at no cost to the Authority) timely and appropriate changes to any such arrangements by the undertakings </w:t>
            </w:r>
            <w:r w:rsidRPr="000170CB">
              <w:rPr>
                <w:sz w:val="24"/>
                <w:szCs w:val="24"/>
              </w:rPr>
              <w:lastRenderedPageBreak/>
              <w:t>concerned, resolving the matter (if required) through the Escalation Process.</w:t>
            </w:r>
            <w:bookmarkStart w:id="24" w:name="_Ref519588655"/>
            <w:bookmarkEnd w:id="23"/>
          </w:p>
          <w:p w:rsidR="000847BF" w:rsidRPr="000170CB" w:rsidRDefault="000847BF" w:rsidP="000847BF">
            <w:pPr>
              <w:spacing w:after="160" w:line="259" w:lineRule="auto"/>
              <w:rPr>
                <w:sz w:val="24"/>
                <w:szCs w:val="24"/>
              </w:rPr>
            </w:pPr>
            <w:r w:rsidRPr="000170CB">
              <w:rPr>
                <w:sz w:val="24"/>
                <w:szCs w:val="24"/>
              </w:rPr>
              <w:t xml:space="preserve">5.4 Failure by the Supplier (or a Key Subcontractor) to comply with the obligations set out in Clauses </w:t>
            </w:r>
            <w:r w:rsidRPr="000170CB">
              <w:rPr>
                <w:sz w:val="24"/>
                <w:szCs w:val="24"/>
              </w:rPr>
              <w:fldChar w:fldCharType="begin"/>
            </w:r>
            <w:r w:rsidRPr="000170CB">
              <w:rPr>
                <w:sz w:val="24"/>
                <w:szCs w:val="24"/>
              </w:rPr>
              <w:instrText xml:space="preserve"> REF _Ref454350421 \r \h  \* MERGEFORMAT </w:instrText>
            </w:r>
            <w:r w:rsidRPr="000170CB">
              <w:rPr>
                <w:sz w:val="24"/>
                <w:szCs w:val="24"/>
              </w:rPr>
            </w:r>
            <w:r w:rsidRPr="000170CB">
              <w:rPr>
                <w:sz w:val="24"/>
                <w:szCs w:val="24"/>
              </w:rPr>
              <w:fldChar w:fldCharType="separate"/>
            </w:r>
            <w:r w:rsidRPr="000170CB">
              <w:rPr>
                <w:sz w:val="24"/>
                <w:szCs w:val="24"/>
              </w:rPr>
              <w:t>5.2</w:t>
            </w:r>
            <w:r w:rsidRPr="000170CB">
              <w:rPr>
                <w:sz w:val="24"/>
                <w:szCs w:val="24"/>
              </w:rPr>
              <w:fldChar w:fldCharType="end"/>
            </w:r>
            <w:r w:rsidRPr="000170CB">
              <w:rPr>
                <w:sz w:val="24"/>
                <w:szCs w:val="24"/>
              </w:rPr>
              <w:t xml:space="preserve"> and </w:t>
            </w:r>
            <w:r w:rsidRPr="000170CB">
              <w:rPr>
                <w:sz w:val="24"/>
                <w:szCs w:val="24"/>
              </w:rPr>
              <w:fldChar w:fldCharType="begin"/>
            </w:r>
            <w:r w:rsidRPr="000170CB">
              <w:rPr>
                <w:sz w:val="24"/>
                <w:szCs w:val="24"/>
              </w:rPr>
              <w:instrText xml:space="preserve"> REF _Ref454350981 \r \h  \* MERGEFORMAT </w:instrText>
            </w:r>
            <w:r w:rsidRPr="000170CB">
              <w:rPr>
                <w:sz w:val="24"/>
                <w:szCs w:val="24"/>
              </w:rPr>
            </w:r>
            <w:r w:rsidRPr="000170CB">
              <w:rPr>
                <w:sz w:val="24"/>
                <w:szCs w:val="24"/>
              </w:rPr>
              <w:fldChar w:fldCharType="separate"/>
            </w:r>
            <w:r w:rsidRPr="000170CB">
              <w:rPr>
                <w:sz w:val="24"/>
                <w:szCs w:val="24"/>
              </w:rPr>
              <w:t>5.3</w:t>
            </w:r>
            <w:r w:rsidRPr="000170CB">
              <w:rPr>
                <w:sz w:val="24"/>
                <w:szCs w:val="24"/>
              </w:rPr>
              <w:fldChar w:fldCharType="end"/>
            </w:r>
            <w:r w:rsidRPr="000170CB">
              <w:rPr>
                <w:sz w:val="24"/>
                <w:szCs w:val="24"/>
              </w:rPr>
              <w:t xml:space="preserve"> shall allow the Authority to terminate the Agreement pursuant to Clause </w:t>
            </w:r>
            <w:bookmarkEnd w:id="24"/>
            <w:r w:rsidRPr="000170CB">
              <w:rPr>
                <w:sz w:val="24"/>
                <w:szCs w:val="24"/>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645"/>
            </w:tblGrid>
            <w:tr w:rsidR="000847BF" w:rsidRPr="000170CB" w:rsidTr="000847BF">
              <w:tc>
                <w:tcPr>
                  <w:tcW w:w="2265"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“Connected Company”</w:t>
                  </w:r>
                </w:p>
              </w:tc>
              <w:tc>
                <w:tcPr>
                  <w:tcW w:w="4645" w:type="dxa"/>
                </w:tcPr>
                <w:p w:rsidR="000847BF" w:rsidRPr="000170CB" w:rsidRDefault="000847BF" w:rsidP="000847BF">
                  <w:pPr>
                    <w:ind w:left="720"/>
                    <w:contextualSpacing/>
                    <w:rPr>
                      <w:rFonts w:ascii="Arial" w:eastAsia="Arial" w:hAnsi="Arial" w:cs="Arial"/>
                      <w:sz w:val="24"/>
                      <w:szCs w:val="24"/>
                    </w:rPr>
                  </w:pPr>
                  <w:r w:rsidRPr="000170CB">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p w:rsidR="000847BF" w:rsidRPr="000170CB" w:rsidRDefault="000847BF" w:rsidP="000847BF">
                  <w:pPr>
                    <w:ind w:left="720"/>
                    <w:contextualSpacing/>
                    <w:rPr>
                      <w:rFonts w:ascii="Arial" w:eastAsia="Arial" w:hAnsi="Arial" w:cs="Arial"/>
                      <w:sz w:val="24"/>
                      <w:szCs w:val="24"/>
                    </w:rPr>
                  </w:pPr>
                </w:p>
                <w:p w:rsidR="000847BF" w:rsidRPr="000170CB" w:rsidRDefault="000847BF" w:rsidP="000847BF">
                  <w:pPr>
                    <w:ind w:left="720"/>
                    <w:contextualSpacing/>
                    <w:rPr>
                      <w:rFonts w:ascii="Arial" w:eastAsia="Arial" w:hAnsi="Arial" w:cs="Arial"/>
                      <w:sz w:val="24"/>
                      <w:szCs w:val="24"/>
                    </w:rPr>
                  </w:pPr>
                </w:p>
                <w:p w:rsidR="000847BF" w:rsidRPr="000170CB" w:rsidRDefault="000847BF" w:rsidP="000847BF">
                  <w:pPr>
                    <w:ind w:left="720"/>
                    <w:contextualSpacing/>
                    <w:rPr>
                      <w:rFonts w:ascii="Arial" w:eastAsia="Arial" w:hAnsi="Arial" w:cs="Arial"/>
                      <w:sz w:val="24"/>
                      <w:szCs w:val="24"/>
                    </w:rPr>
                  </w:pPr>
                </w:p>
              </w:tc>
            </w:tr>
            <w:tr w:rsidR="000847BF" w:rsidRPr="000170CB" w:rsidTr="000847BF">
              <w:tc>
                <w:tcPr>
                  <w:tcW w:w="2265" w:type="dxa"/>
                </w:tcPr>
                <w:p w:rsidR="000847BF" w:rsidRPr="000170CB" w:rsidRDefault="000847BF" w:rsidP="000847BF">
                  <w:pPr>
                    <w:rPr>
                      <w:rFonts w:ascii="Arial" w:eastAsia="Arial" w:hAnsi="Arial" w:cs="Arial"/>
                      <w:sz w:val="24"/>
                      <w:szCs w:val="24"/>
                    </w:rPr>
                  </w:pPr>
                  <w:r w:rsidRPr="000170CB">
                    <w:rPr>
                      <w:rFonts w:ascii="Arial" w:eastAsia="Arial" w:hAnsi="Arial" w:cs="Arial"/>
                      <w:sz w:val="24"/>
                      <w:szCs w:val="24"/>
                    </w:rPr>
                    <w:t>“Key Subcontractor”</w:t>
                  </w:r>
                </w:p>
              </w:tc>
              <w:tc>
                <w:tcPr>
                  <w:tcW w:w="4645" w:type="dxa"/>
                </w:tcPr>
                <w:p w:rsidR="000847BF" w:rsidRPr="000170CB" w:rsidRDefault="000847BF" w:rsidP="000847BF">
                  <w:pPr>
                    <w:ind w:left="720"/>
                    <w:contextualSpacing/>
                    <w:rPr>
                      <w:rFonts w:ascii="Arial" w:eastAsia="Arial" w:hAnsi="Arial" w:cs="Arial"/>
                      <w:sz w:val="24"/>
                      <w:szCs w:val="24"/>
                    </w:rPr>
                  </w:pPr>
                  <w:r w:rsidRPr="000170CB">
                    <w:rPr>
                      <w:rFonts w:ascii="Arial" w:eastAsia="Arial" w:hAnsi="Arial" w:cs="Arial"/>
                      <w:sz w:val="24"/>
                      <w:szCs w:val="24"/>
                    </w:rPr>
                    <w:t>any Subcontractor:</w:t>
                  </w:r>
                </w:p>
                <w:p w:rsidR="000847BF" w:rsidRPr="000170CB" w:rsidRDefault="000847BF" w:rsidP="000847BF">
                  <w:pPr>
                    <w:ind w:left="720"/>
                    <w:contextualSpacing/>
                    <w:rPr>
                      <w:rFonts w:ascii="Arial" w:eastAsia="Arial" w:hAnsi="Arial" w:cs="Arial"/>
                      <w:sz w:val="24"/>
                      <w:szCs w:val="24"/>
                    </w:rPr>
                  </w:pPr>
                  <w:r w:rsidRPr="000170CB">
                    <w:rPr>
                      <w:rFonts w:ascii="Arial" w:eastAsia="Arial" w:hAnsi="Arial" w:cs="Arial"/>
                      <w:sz w:val="24"/>
                      <w:szCs w:val="24"/>
                    </w:rPr>
                    <w:t>(a)</w:t>
                  </w:r>
                  <w:r w:rsidRPr="000170CB">
                    <w:rPr>
                      <w:rFonts w:ascii="Arial" w:eastAsia="Arial" w:hAnsi="Arial" w:cs="Arial"/>
                      <w:sz w:val="24"/>
                      <w:szCs w:val="24"/>
                    </w:rPr>
                    <w:tab/>
                    <w:t>which, in the opinion of the Buyer, performs (or would perform if appointed) a critical role in the provision of all or any part of the Services; and/or</w:t>
                  </w:r>
                </w:p>
                <w:p w:rsidR="000847BF" w:rsidRPr="000170CB" w:rsidRDefault="000847BF" w:rsidP="000847BF">
                  <w:pPr>
                    <w:ind w:left="720"/>
                    <w:contextualSpacing/>
                    <w:rPr>
                      <w:rFonts w:ascii="Arial" w:eastAsia="Arial" w:hAnsi="Arial" w:cs="Arial"/>
                      <w:sz w:val="24"/>
                      <w:szCs w:val="24"/>
                    </w:rPr>
                  </w:pPr>
                  <w:r w:rsidRPr="000170CB">
                    <w:rPr>
                      <w:rFonts w:ascii="Arial" w:eastAsia="Arial" w:hAnsi="Arial" w:cs="Arial"/>
                      <w:sz w:val="24"/>
                      <w:szCs w:val="24"/>
                    </w:rPr>
                    <w:t>(b)</w:t>
                  </w:r>
                  <w:r w:rsidRPr="000170CB">
                    <w:rPr>
                      <w:rFonts w:ascii="Arial" w:eastAsia="Arial" w:hAnsi="Arial" w:cs="Arial"/>
                      <w:sz w:val="24"/>
                      <w:szCs w:val="24"/>
                    </w:rPr>
                    <w:tab/>
                    <w:t>with a Subcontract with a contract value which at the time of appointment exceeds (or would exceed if appointed) ten per cent (10%) of the aggregate Charges forecast to be payable under this Call-Off Contract;</w:t>
                  </w:r>
                </w:p>
              </w:tc>
            </w:tr>
          </w:tbl>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Income Tax and National Insurance Contributions</w:t>
            </w:r>
          </w:p>
          <w:p w:rsidR="000847BF" w:rsidRPr="000170CB" w:rsidRDefault="000847BF" w:rsidP="000847BF">
            <w:pPr>
              <w:rPr>
                <w:sz w:val="24"/>
                <w:szCs w:val="24"/>
              </w:rPr>
            </w:pPr>
            <w:r w:rsidRPr="000170CB">
              <w:rPr>
                <w:sz w:val="24"/>
                <w:szCs w:val="24"/>
              </w:rPr>
              <w:t>6.1 Where the Su</w:t>
            </w:r>
            <w:r>
              <w:rPr>
                <w:sz w:val="24"/>
                <w:szCs w:val="24"/>
              </w:rPr>
              <w:t>pplier is</w:t>
            </w:r>
            <w:r w:rsidRPr="000170CB">
              <w:rPr>
                <w:sz w:val="24"/>
                <w:szCs w:val="24"/>
              </w:rPr>
              <w:t xml:space="preserve"> liable to Tax in the UK or to pay national insurance contributions in respect of consideration received under this Agreement, the Supplier shall:</w:t>
            </w:r>
          </w:p>
          <w:p w:rsidR="000847BF" w:rsidRPr="000170CB" w:rsidRDefault="000847BF" w:rsidP="000847BF">
            <w:pPr>
              <w:rPr>
                <w:sz w:val="24"/>
                <w:szCs w:val="24"/>
              </w:rPr>
            </w:pPr>
            <w:r w:rsidRPr="000170CB">
              <w:rPr>
                <w:sz w:val="24"/>
                <w:szCs w:val="24"/>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rsidR="000847BF" w:rsidRPr="000170CB" w:rsidRDefault="000847BF" w:rsidP="000847BF">
            <w:pPr>
              <w:rPr>
                <w:sz w:val="24"/>
                <w:szCs w:val="24"/>
              </w:rPr>
            </w:pPr>
            <w:r w:rsidRPr="000170CB">
              <w:rPr>
                <w:sz w:val="24"/>
                <w:szCs w:val="24"/>
              </w:rPr>
              <w:t xml:space="preserve">6.1.2 indemnify the Authority against any income tax, national insurance and social security contributions and any other liability, deduction, </w:t>
            </w:r>
            <w:r w:rsidRPr="000170CB">
              <w:rPr>
                <w:sz w:val="24"/>
                <w:szCs w:val="24"/>
              </w:rPr>
              <w:lastRenderedPageBreak/>
              <w:t>contribution, assessment or claim arising from or made in connection with the provision of the Services by the Supplier for which the Supplier is not primarily liable to account to the Authority under the relevant Laws and regulations; and</w:t>
            </w:r>
          </w:p>
          <w:p w:rsidR="000847BF" w:rsidRPr="000170CB" w:rsidRDefault="000847BF" w:rsidP="000847BF">
            <w:pPr>
              <w:rPr>
                <w:sz w:val="24"/>
                <w:szCs w:val="24"/>
              </w:rPr>
            </w:pPr>
            <w:r w:rsidRPr="000170CB">
              <w:rPr>
                <w:sz w:val="24"/>
                <w:szCs w:val="24"/>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rsidR="000847BF" w:rsidRPr="000170CB" w:rsidRDefault="000847BF" w:rsidP="000847BF">
            <w:pPr>
              <w:rPr>
                <w:sz w:val="24"/>
                <w:szCs w:val="24"/>
              </w:rPr>
            </w:pPr>
            <w:r w:rsidRPr="000170CB">
              <w:rPr>
                <w:sz w:val="24"/>
                <w:szCs w:val="24"/>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rsidR="000847BF" w:rsidRPr="000170CB" w:rsidRDefault="000847BF" w:rsidP="000847BF">
            <w:pPr>
              <w:rPr>
                <w:sz w:val="24"/>
                <w:szCs w:val="24"/>
              </w:rPr>
            </w:pPr>
            <w:r w:rsidRPr="000170CB">
              <w:rPr>
                <w:sz w:val="24"/>
                <w:szCs w:val="24"/>
              </w:rPr>
              <w:t xml:space="preserve">6.2. The Authority may internally share any information </w:t>
            </w:r>
            <w:r>
              <w:rPr>
                <w:sz w:val="24"/>
                <w:szCs w:val="24"/>
              </w:rPr>
              <w:t>which it receives under Clause 6</w:t>
            </w:r>
            <w:r w:rsidRPr="000170CB">
              <w:rPr>
                <w:sz w:val="24"/>
                <w:szCs w:val="24"/>
              </w:rPr>
              <w:t xml:space="preserve">.1.3.  </w:t>
            </w:r>
          </w:p>
          <w:tbl>
            <w:tblPr>
              <w:tblW w:w="0" w:type="auto"/>
              <w:tblInd w:w="108" w:type="dxa"/>
              <w:tblLook w:val="01E0" w:firstRow="1" w:lastRow="1" w:firstColumn="1" w:lastColumn="1" w:noHBand="0" w:noVBand="0"/>
            </w:tblPr>
            <w:tblGrid>
              <w:gridCol w:w="1640"/>
              <w:gridCol w:w="5162"/>
            </w:tblGrid>
            <w:tr w:rsidR="000847BF" w:rsidRPr="000170CB" w:rsidTr="000847BF">
              <w:tc>
                <w:tcPr>
                  <w:tcW w:w="1640" w:type="dxa"/>
                </w:tcPr>
                <w:p w:rsidR="000847BF" w:rsidRPr="000170CB" w:rsidRDefault="000847BF" w:rsidP="000847BF">
                  <w:pPr>
                    <w:rPr>
                      <w:sz w:val="24"/>
                      <w:szCs w:val="24"/>
                    </w:rPr>
                  </w:pPr>
                  <w:r w:rsidRPr="000170CB">
                    <w:rPr>
                      <w:sz w:val="24"/>
                      <w:szCs w:val="24"/>
                    </w:rPr>
                    <w:t>“Supplier Personnel”</w:t>
                  </w:r>
                </w:p>
              </w:tc>
              <w:tc>
                <w:tcPr>
                  <w:tcW w:w="5162" w:type="dxa"/>
                </w:tcPr>
                <w:p w:rsidR="000847BF" w:rsidRPr="000170CB" w:rsidRDefault="000847BF" w:rsidP="000847BF">
                  <w:pPr>
                    <w:rPr>
                      <w:sz w:val="24"/>
                      <w:szCs w:val="24"/>
                    </w:rPr>
                  </w:pPr>
                  <w:r w:rsidRPr="000170CB">
                    <w:rPr>
                      <w:sz w:val="24"/>
                      <w:szCs w:val="24"/>
                    </w:rPr>
                    <w:t xml:space="preserve">all directors, officers, employees, agents, consultants and contractors of the Supplier and/or of any subcontractor of the Supplier engaged in the performance of the Supplier’s obligations under the Agreement; </w:t>
                  </w:r>
                </w:p>
              </w:tc>
            </w:tr>
            <w:tr w:rsidR="000847BF" w:rsidRPr="000170CB" w:rsidTr="000847BF">
              <w:tc>
                <w:tcPr>
                  <w:tcW w:w="1640" w:type="dxa"/>
                </w:tcPr>
                <w:p w:rsidR="000847BF" w:rsidRPr="000170CB" w:rsidRDefault="000847BF" w:rsidP="000847BF">
                  <w:pPr>
                    <w:rPr>
                      <w:sz w:val="24"/>
                      <w:szCs w:val="24"/>
                    </w:rPr>
                  </w:pPr>
                  <w:r w:rsidRPr="000170CB">
                    <w:rPr>
                      <w:sz w:val="24"/>
                      <w:szCs w:val="24"/>
                    </w:rPr>
                    <w:t>“Tax”</w:t>
                  </w:r>
                </w:p>
              </w:tc>
              <w:tc>
                <w:tcPr>
                  <w:tcW w:w="5162" w:type="dxa"/>
                </w:tcPr>
                <w:p w:rsidR="000847BF" w:rsidRPr="000170CB" w:rsidRDefault="000847BF" w:rsidP="000847BF">
                  <w:pPr>
                    <w:rPr>
                      <w:sz w:val="24"/>
                      <w:szCs w:val="24"/>
                    </w:rPr>
                  </w:pPr>
                  <w:r w:rsidRPr="000170CB">
                    <w:rPr>
                      <w:sz w:val="24"/>
                      <w:szCs w:val="24"/>
                    </w:rPr>
                    <w:t>means:</w:t>
                  </w:r>
                </w:p>
                <w:p w:rsidR="000847BF" w:rsidRPr="000170CB" w:rsidRDefault="000847BF" w:rsidP="000847BF">
                  <w:pPr>
                    <w:rPr>
                      <w:sz w:val="24"/>
                      <w:szCs w:val="24"/>
                    </w:rPr>
                  </w:pPr>
                  <w:r w:rsidRPr="000170CB">
                    <w:rPr>
                      <w:sz w:val="24"/>
                      <w:szCs w:val="24"/>
                    </w:rPr>
                    <w:t>(a)</w:t>
                  </w:r>
                  <w:r w:rsidRPr="000170CB">
                    <w:rPr>
                      <w:sz w:val="24"/>
                      <w:szCs w:val="24"/>
                    </w:rPr>
                    <w:tab/>
                    <w:t>all forms of tax whether direct or indirect;</w:t>
                  </w:r>
                </w:p>
                <w:p w:rsidR="000847BF" w:rsidRPr="000170CB" w:rsidRDefault="000847BF" w:rsidP="000847BF">
                  <w:pPr>
                    <w:rPr>
                      <w:sz w:val="24"/>
                      <w:szCs w:val="24"/>
                    </w:rPr>
                  </w:pPr>
                  <w:r w:rsidRPr="000170CB">
                    <w:rPr>
                      <w:sz w:val="24"/>
                      <w:szCs w:val="24"/>
                    </w:rPr>
                    <w:t>(b)</w:t>
                  </w:r>
                  <w:r w:rsidRPr="000170CB">
                    <w:rPr>
                      <w:sz w:val="24"/>
                      <w:szCs w:val="24"/>
                    </w:rPr>
                    <w:tab/>
                    <w:t>national insurance contributions in the United Kingdom and similar contributions or obligations in any other jurisdiction;</w:t>
                  </w:r>
                </w:p>
                <w:p w:rsidR="000847BF" w:rsidRPr="000170CB" w:rsidRDefault="000847BF" w:rsidP="000847BF">
                  <w:pPr>
                    <w:rPr>
                      <w:sz w:val="24"/>
                      <w:szCs w:val="24"/>
                    </w:rPr>
                  </w:pPr>
                  <w:r w:rsidRPr="000170CB">
                    <w:rPr>
                      <w:sz w:val="24"/>
                      <w:szCs w:val="24"/>
                    </w:rPr>
                    <w:t>(c)</w:t>
                  </w:r>
                  <w:r w:rsidRPr="000170CB">
                    <w:rPr>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rsidR="000847BF" w:rsidRPr="000170CB" w:rsidRDefault="000847BF" w:rsidP="000847BF">
                  <w:pPr>
                    <w:rPr>
                      <w:sz w:val="24"/>
                      <w:szCs w:val="24"/>
                    </w:rPr>
                  </w:pPr>
                  <w:r w:rsidRPr="000170CB">
                    <w:rPr>
                      <w:sz w:val="24"/>
                      <w:szCs w:val="24"/>
                    </w:rPr>
                    <w:t>(d)</w:t>
                  </w:r>
                  <w:r w:rsidRPr="000170CB">
                    <w:rPr>
                      <w:sz w:val="24"/>
                      <w:szCs w:val="24"/>
                    </w:rPr>
                    <w:tab/>
                    <w:t>any penalty, fine, surcharge, interest, charges or costs relating to any of the above,</w:t>
                  </w:r>
                </w:p>
                <w:p w:rsidR="000847BF" w:rsidRPr="000170CB" w:rsidRDefault="000847BF" w:rsidP="000847BF">
                  <w:pPr>
                    <w:rPr>
                      <w:sz w:val="24"/>
                      <w:szCs w:val="24"/>
                    </w:rPr>
                  </w:pPr>
                  <w:r w:rsidRPr="000170CB">
                    <w:rPr>
                      <w:sz w:val="24"/>
                      <w:szCs w:val="24"/>
                    </w:rPr>
                    <w:lastRenderedPageBreak/>
                    <w:t>in each case wherever chargeable and whether of the United Kingdom and any other jurisdiction;</w:t>
                  </w:r>
                </w:p>
              </w:tc>
            </w:tr>
            <w:tr w:rsidR="000847BF" w:rsidRPr="000170CB" w:rsidTr="000847BF">
              <w:tc>
                <w:tcPr>
                  <w:tcW w:w="1640" w:type="dxa"/>
                </w:tcPr>
                <w:p w:rsidR="000847BF" w:rsidRPr="000170CB" w:rsidRDefault="000847BF" w:rsidP="000847BF">
                  <w:pPr>
                    <w:rPr>
                      <w:sz w:val="24"/>
                      <w:szCs w:val="24"/>
                    </w:rPr>
                  </w:pPr>
                  <w:r w:rsidRPr="000170CB">
                    <w:rPr>
                      <w:sz w:val="24"/>
                      <w:szCs w:val="24"/>
                    </w:rPr>
                    <w:lastRenderedPageBreak/>
                    <w:t>“Law”</w:t>
                  </w:r>
                </w:p>
              </w:tc>
              <w:tc>
                <w:tcPr>
                  <w:tcW w:w="5162" w:type="dxa"/>
                </w:tcPr>
                <w:p w:rsidR="000847BF" w:rsidRPr="000170CB" w:rsidRDefault="000847BF" w:rsidP="000847BF">
                  <w:pPr>
                    <w:rPr>
                      <w:sz w:val="24"/>
                      <w:szCs w:val="24"/>
                    </w:rPr>
                  </w:pPr>
                  <w:r w:rsidRPr="000170CB">
                    <w:rPr>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rsidR="000847BF" w:rsidRPr="000170CB" w:rsidRDefault="000847BF" w:rsidP="000847BF">
            <w:pPr>
              <w:rPr>
                <w:sz w:val="24"/>
                <w:szCs w:val="24"/>
              </w:rPr>
            </w:pPr>
          </w:p>
          <w:p w:rsidR="000847BF" w:rsidRPr="000170CB" w:rsidRDefault="000847BF" w:rsidP="000847BF">
            <w:pPr>
              <w:pStyle w:val="Body2"/>
              <w:keepLines/>
              <w:spacing w:after="240"/>
              <w:ind w:left="0"/>
              <w:rPr>
                <w:rFonts w:ascii="Arial" w:eastAsia="Arial" w:hAnsi="Arial" w:cs="Arial"/>
                <w:color w:val="000000"/>
                <w:sz w:val="24"/>
                <w:szCs w:val="24"/>
                <w:lang w:eastAsia="en-GB"/>
              </w:rPr>
            </w:pPr>
            <w:r w:rsidRPr="000170CB">
              <w:rPr>
                <w:rFonts w:ascii="Arial" w:eastAsia="Arial" w:hAnsi="Arial" w:cs="Arial"/>
                <w:color w:val="000000"/>
                <w:sz w:val="24"/>
                <w:szCs w:val="24"/>
                <w:lang w:eastAsia="en-GB"/>
              </w:rPr>
              <w:t>Data Protection and off-shoring</w:t>
            </w:r>
          </w:p>
          <w:p w:rsidR="000847BF" w:rsidRPr="000170CB" w:rsidRDefault="000847BF" w:rsidP="000847BF">
            <w:pPr>
              <w:pStyle w:val="Body2"/>
              <w:keepLines/>
              <w:spacing w:after="240"/>
              <w:ind w:left="0"/>
              <w:rPr>
                <w:rFonts w:ascii="Arial" w:eastAsia="Arial" w:hAnsi="Arial" w:cs="Arial"/>
                <w:color w:val="000000"/>
                <w:sz w:val="24"/>
                <w:szCs w:val="24"/>
                <w:lang w:eastAsia="en-GB"/>
              </w:rPr>
            </w:pPr>
            <w:r w:rsidRPr="000170CB">
              <w:rPr>
                <w:rFonts w:ascii="Arial" w:eastAsia="Arial" w:hAnsi="Arial" w:cs="Arial"/>
                <w:color w:val="000000"/>
                <w:sz w:val="24"/>
                <w:szCs w:val="24"/>
                <w:lang w:eastAsia="en-GB"/>
              </w:rPr>
              <w:t>7.1</w:t>
            </w:r>
            <w:r w:rsidRPr="000170CB">
              <w:rPr>
                <w:rFonts w:ascii="Arial" w:eastAsia="Arial" w:hAnsi="Arial" w:cs="Arial"/>
                <w:color w:val="000000"/>
                <w:sz w:val="24"/>
                <w:szCs w:val="24"/>
                <w:lang w:eastAsia="en-GB"/>
              </w:rPr>
              <w:tab/>
              <w:t>The Processor shall, in relation to any Personal Data processed in connection with its obligations under this Agreement:</w:t>
            </w:r>
          </w:p>
          <w:p w:rsidR="000847BF" w:rsidRPr="000170CB" w:rsidRDefault="000847BF" w:rsidP="000847BF">
            <w:pPr>
              <w:rPr>
                <w:sz w:val="24"/>
                <w:szCs w:val="24"/>
              </w:rPr>
            </w:pPr>
            <w:r w:rsidRPr="000170CB">
              <w:rPr>
                <w:sz w:val="24"/>
                <w:szCs w:val="24"/>
              </w:rPr>
              <w:t>7.1.1</w:t>
            </w:r>
            <w:r w:rsidRPr="000170CB">
              <w:rPr>
                <w:sz w:val="24"/>
                <w:szCs w:val="24"/>
              </w:rPr>
              <w:tab/>
              <w:t>not transfer Personal Data outside of the UK unless the prior written consent of the Controller has been obtained and the following conditions are fulfilled:</w:t>
            </w:r>
          </w:p>
          <w:p w:rsidR="000847BF" w:rsidRPr="000170CB" w:rsidRDefault="000847BF" w:rsidP="000847BF">
            <w:pPr>
              <w:rPr>
                <w:sz w:val="24"/>
                <w:szCs w:val="24"/>
              </w:rPr>
            </w:pPr>
            <w:r w:rsidRPr="000170CB">
              <w:rPr>
                <w:sz w:val="24"/>
                <w:szCs w:val="24"/>
              </w:rPr>
              <w:t>(a)</w:t>
            </w:r>
            <w:r w:rsidRPr="000170CB">
              <w:rPr>
                <w:sz w:val="24"/>
                <w:szCs w:val="24"/>
              </w:rPr>
              <w:tab/>
              <w:t>the Controller or the Processor has provided appropriate safeguards in relation to the transfer (whether in accordance with GDPR Article 46 or LED Article 37) as determined by the Controller;</w:t>
            </w:r>
          </w:p>
          <w:p w:rsidR="000847BF" w:rsidRPr="000170CB" w:rsidRDefault="000847BF" w:rsidP="000847BF">
            <w:pPr>
              <w:rPr>
                <w:sz w:val="24"/>
                <w:szCs w:val="24"/>
              </w:rPr>
            </w:pPr>
            <w:r w:rsidRPr="000170CB">
              <w:rPr>
                <w:sz w:val="24"/>
                <w:szCs w:val="24"/>
              </w:rPr>
              <w:t>(b)</w:t>
            </w:r>
            <w:r w:rsidRPr="000170CB">
              <w:rPr>
                <w:sz w:val="24"/>
                <w:szCs w:val="24"/>
              </w:rPr>
              <w:tab/>
              <w:t>the Data Subject has enforceable rights and effective legal remedies;</w:t>
            </w:r>
          </w:p>
          <w:p w:rsidR="000847BF" w:rsidRPr="000170CB" w:rsidRDefault="000847BF" w:rsidP="000847BF">
            <w:pPr>
              <w:rPr>
                <w:sz w:val="24"/>
                <w:szCs w:val="24"/>
              </w:rPr>
            </w:pPr>
            <w:r w:rsidRPr="000170CB">
              <w:rPr>
                <w:sz w:val="24"/>
                <w:szCs w:val="24"/>
              </w:rPr>
              <w:t>(c)</w:t>
            </w:r>
            <w:r w:rsidRPr="000170CB">
              <w:rPr>
                <w:sz w:val="24"/>
                <w:szCs w:val="24"/>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0847BF" w:rsidRPr="000170CB" w:rsidRDefault="000847BF" w:rsidP="000847BF">
            <w:pPr>
              <w:rPr>
                <w:sz w:val="24"/>
                <w:szCs w:val="24"/>
              </w:rPr>
            </w:pPr>
            <w:r w:rsidRPr="000170CB">
              <w:rPr>
                <w:sz w:val="24"/>
                <w:szCs w:val="24"/>
              </w:rPr>
              <w:t>(d)</w:t>
            </w:r>
            <w:r w:rsidRPr="000170CB">
              <w:rPr>
                <w:sz w:val="24"/>
                <w:szCs w:val="24"/>
              </w:rPr>
              <w:tab/>
              <w:t>the Processor complies with any reasonable instructions notified to it in advance by the Controller with respect to the processing of the Personal Data;</w:t>
            </w:r>
          </w:p>
          <w:tbl>
            <w:tblPr>
              <w:tblW w:w="0" w:type="auto"/>
              <w:tblInd w:w="675" w:type="dxa"/>
              <w:tblLook w:val="01E0" w:firstRow="1" w:lastRow="1" w:firstColumn="1" w:lastColumn="1" w:noHBand="0" w:noVBand="0"/>
            </w:tblPr>
            <w:tblGrid>
              <w:gridCol w:w="1645"/>
              <w:gridCol w:w="4590"/>
            </w:tblGrid>
            <w:tr w:rsidR="000847BF" w:rsidRPr="000170CB" w:rsidTr="000847BF">
              <w:tc>
                <w:tcPr>
                  <w:tcW w:w="1645" w:type="dxa"/>
                </w:tcPr>
                <w:p w:rsidR="000847BF" w:rsidRPr="000170CB" w:rsidRDefault="000847BF" w:rsidP="000847BF">
                  <w:pPr>
                    <w:rPr>
                      <w:sz w:val="24"/>
                      <w:szCs w:val="24"/>
                    </w:rPr>
                  </w:pPr>
                  <w:r w:rsidRPr="000170CB">
                    <w:rPr>
                      <w:sz w:val="24"/>
                      <w:szCs w:val="24"/>
                    </w:rPr>
                    <w:t>“Data Protection Legislation”</w:t>
                  </w:r>
                </w:p>
              </w:tc>
              <w:tc>
                <w:tcPr>
                  <w:tcW w:w="4590" w:type="dxa"/>
                </w:tcPr>
                <w:p w:rsidR="000847BF" w:rsidRPr="000170CB" w:rsidRDefault="000847BF" w:rsidP="000847BF">
                  <w:pPr>
                    <w:rPr>
                      <w:sz w:val="24"/>
                      <w:szCs w:val="24"/>
                    </w:rPr>
                  </w:pPr>
                  <w:r w:rsidRPr="000170CB">
                    <w:rPr>
                      <w:sz w:val="24"/>
                      <w:szCs w:val="24"/>
                    </w:rPr>
                    <w:t>(</w:t>
                  </w:r>
                  <w:proofErr w:type="spellStart"/>
                  <w:r w:rsidRPr="000170CB">
                    <w:rPr>
                      <w:sz w:val="24"/>
                      <w:szCs w:val="24"/>
                    </w:rPr>
                    <w:t>i</w:t>
                  </w:r>
                  <w:proofErr w:type="spellEnd"/>
                  <w:r w:rsidRPr="000170CB">
                    <w:rPr>
                      <w:sz w:val="24"/>
                      <w:szCs w:val="24"/>
                    </w:rPr>
                    <w:t xml:space="preserve">) the GDPR, the LED and any applicable national implementing Laws as amended from time to time (ii) the DPA 2018 to the extent that it relates to </w:t>
                  </w:r>
                  <w:r w:rsidRPr="000170CB">
                    <w:rPr>
                      <w:sz w:val="24"/>
                      <w:szCs w:val="24"/>
                    </w:rPr>
                    <w:lastRenderedPageBreak/>
                    <w:t>processing of personal data and privacy; (</w:t>
                  </w:r>
                  <w:proofErr w:type="spellStart"/>
                  <w:r w:rsidRPr="000170CB">
                    <w:rPr>
                      <w:sz w:val="24"/>
                      <w:szCs w:val="24"/>
                    </w:rPr>
                    <w:t>iiii</w:t>
                  </w:r>
                  <w:proofErr w:type="spellEnd"/>
                  <w:r w:rsidRPr="000170CB">
                    <w:rPr>
                      <w:sz w:val="24"/>
                      <w:szCs w:val="24"/>
                    </w:rPr>
                    <w:t>) all applicable Law about the processing of personal data and privacy;</w:t>
                  </w:r>
                </w:p>
              </w:tc>
            </w:tr>
            <w:tr w:rsidR="000847BF" w:rsidRPr="000170CB" w:rsidTr="000847BF">
              <w:tc>
                <w:tcPr>
                  <w:tcW w:w="1645" w:type="dxa"/>
                </w:tcPr>
                <w:p w:rsidR="000847BF" w:rsidRPr="000170CB" w:rsidRDefault="000847BF" w:rsidP="000847BF">
                  <w:pPr>
                    <w:rPr>
                      <w:sz w:val="24"/>
                      <w:szCs w:val="24"/>
                    </w:rPr>
                  </w:pPr>
                  <w:r w:rsidRPr="000170CB">
                    <w:rPr>
                      <w:sz w:val="24"/>
                      <w:szCs w:val="24"/>
                    </w:rPr>
                    <w:lastRenderedPageBreak/>
                    <w:t xml:space="preserve">“Controller”, “Processor”, “Data Subject”, </w:t>
                  </w:r>
                </w:p>
              </w:tc>
              <w:tc>
                <w:tcPr>
                  <w:tcW w:w="4590" w:type="dxa"/>
                </w:tcPr>
                <w:p w:rsidR="000847BF" w:rsidRPr="000170CB" w:rsidRDefault="000847BF" w:rsidP="000847BF">
                  <w:pPr>
                    <w:rPr>
                      <w:sz w:val="24"/>
                      <w:szCs w:val="24"/>
                    </w:rPr>
                  </w:pPr>
                  <w:r w:rsidRPr="000170CB">
                    <w:rPr>
                      <w:sz w:val="24"/>
                      <w:szCs w:val="24"/>
                    </w:rPr>
                    <w:t xml:space="preserve">take the meaning given in the GDPR;  </w:t>
                  </w:r>
                </w:p>
              </w:tc>
            </w:tr>
          </w:tbl>
          <w:p w:rsidR="000847BF" w:rsidRPr="000170CB" w:rsidRDefault="000847BF" w:rsidP="000847BF">
            <w:pPr>
              <w:ind w:firstLine="720"/>
              <w:rPr>
                <w:sz w:val="24"/>
                <w:szCs w:val="24"/>
              </w:rPr>
            </w:pPr>
            <w:r w:rsidRPr="000170CB">
              <w:rPr>
                <w:sz w:val="24"/>
                <w:szCs w:val="24"/>
              </w:rPr>
              <w:t>“GDPR”</w:t>
            </w:r>
            <w:r w:rsidRPr="000170CB">
              <w:rPr>
                <w:sz w:val="24"/>
                <w:szCs w:val="24"/>
              </w:rPr>
              <w:tab/>
            </w:r>
            <w:r w:rsidRPr="000170CB">
              <w:rPr>
                <w:sz w:val="24"/>
                <w:szCs w:val="24"/>
              </w:rPr>
              <w:tab/>
            </w:r>
            <w:r w:rsidRPr="000170CB">
              <w:rPr>
                <w:sz w:val="24"/>
                <w:szCs w:val="24"/>
              </w:rPr>
              <w:tab/>
              <w:t>the General Data Protection Regulation (Regulation (EU) 2016/679);</w:t>
            </w:r>
          </w:p>
          <w:p w:rsidR="000847BF" w:rsidRPr="000170CB" w:rsidRDefault="000847BF" w:rsidP="000847BF">
            <w:pPr>
              <w:ind w:firstLine="720"/>
              <w:rPr>
                <w:sz w:val="24"/>
                <w:szCs w:val="24"/>
              </w:rPr>
            </w:pPr>
            <w:r w:rsidRPr="000170CB">
              <w:rPr>
                <w:sz w:val="24"/>
                <w:szCs w:val="24"/>
              </w:rPr>
              <w:t xml:space="preserve"> “Personal Data”</w:t>
            </w:r>
            <w:r w:rsidRPr="000170CB">
              <w:rPr>
                <w:sz w:val="24"/>
                <w:szCs w:val="24"/>
              </w:rPr>
              <w:tab/>
              <w:t xml:space="preserve">has the meaning given in the GDPR; </w:t>
            </w:r>
          </w:p>
          <w:p w:rsidR="000847BF" w:rsidRPr="000170CB" w:rsidRDefault="000847BF" w:rsidP="000847BF">
            <w:pPr>
              <w:rPr>
                <w:sz w:val="24"/>
                <w:szCs w:val="24"/>
              </w:rPr>
            </w:pPr>
            <w:r w:rsidRPr="000170CB">
              <w:rPr>
                <w:sz w:val="24"/>
                <w:szCs w:val="24"/>
              </w:rPr>
              <w:t xml:space="preserve">Security Requirements </w:t>
            </w:r>
          </w:p>
          <w:p w:rsidR="000847BF" w:rsidRPr="000170CB" w:rsidRDefault="000847BF" w:rsidP="000847BF">
            <w:pPr>
              <w:rPr>
                <w:sz w:val="24"/>
                <w:szCs w:val="24"/>
              </w:rPr>
            </w:pPr>
            <w:r w:rsidRPr="000170CB">
              <w:rPr>
                <w:sz w:val="24"/>
                <w:szCs w:val="24"/>
              </w:rPr>
              <w:t>8.1</w:t>
            </w:r>
            <w:r w:rsidRPr="000170CB">
              <w:rPr>
                <w:sz w:val="24"/>
                <w:szCs w:val="24"/>
              </w:rPr>
              <w:tab/>
              <w:t>The Supplier shall comply with the security policy identified as such within the buyer specific call off terms (“Security Policy”).</w:t>
            </w:r>
          </w:p>
          <w:p w:rsidR="000847BF" w:rsidRPr="000170CB" w:rsidRDefault="000847BF" w:rsidP="000847BF">
            <w:pPr>
              <w:rPr>
                <w:sz w:val="24"/>
                <w:szCs w:val="24"/>
              </w:rPr>
            </w:pPr>
            <w:r w:rsidRPr="000170CB">
              <w:rPr>
                <w:sz w:val="24"/>
                <w:szCs w:val="24"/>
              </w:rPr>
              <w:t>8.2</w:t>
            </w:r>
            <w:r w:rsidRPr="000170CB">
              <w:rPr>
                <w:sz w:val="24"/>
                <w:szCs w:val="24"/>
              </w:rPr>
              <w:tab/>
              <w:t>The Authority shall notify the Supplier of any changes or proposed changes to the Security Policy.</w:t>
            </w:r>
          </w:p>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Official Secrets Acts, Commissioners for Revenue and Customs Act 2005 and related Legislation</w:t>
            </w:r>
          </w:p>
          <w:p w:rsidR="000847BF" w:rsidRPr="000170CB" w:rsidRDefault="000847BF" w:rsidP="000847BF">
            <w:pPr>
              <w:rPr>
                <w:sz w:val="24"/>
                <w:szCs w:val="24"/>
              </w:rPr>
            </w:pPr>
            <w:r w:rsidRPr="000170CB">
              <w:rPr>
                <w:sz w:val="24"/>
                <w:szCs w:val="24"/>
              </w:rPr>
              <w:t>9.1</w:t>
            </w:r>
            <w:r w:rsidRPr="000170CB">
              <w:rPr>
                <w:sz w:val="24"/>
                <w:szCs w:val="24"/>
              </w:rPr>
              <w:tab/>
              <w:t xml:space="preserve">The Supplier shall comply with, and shall ensure that it’s Supplier Personnel comply with: </w:t>
            </w:r>
          </w:p>
          <w:p w:rsidR="000847BF" w:rsidRPr="000170CB" w:rsidRDefault="000847BF" w:rsidP="000847BF">
            <w:pPr>
              <w:rPr>
                <w:sz w:val="24"/>
                <w:szCs w:val="24"/>
              </w:rPr>
            </w:pPr>
            <w:r w:rsidRPr="000170CB">
              <w:rPr>
                <w:sz w:val="24"/>
                <w:szCs w:val="24"/>
              </w:rPr>
              <w:t>9.1.1</w:t>
            </w:r>
            <w:r w:rsidRPr="000170CB">
              <w:rPr>
                <w:sz w:val="24"/>
                <w:szCs w:val="24"/>
              </w:rPr>
              <w:tab/>
              <w:t xml:space="preserve">the provisions of the Official Secrets Acts 1911 to 1989; </w:t>
            </w:r>
          </w:p>
          <w:p w:rsidR="000847BF" w:rsidRPr="000170CB" w:rsidRDefault="000847BF" w:rsidP="000847BF">
            <w:pPr>
              <w:rPr>
                <w:sz w:val="24"/>
                <w:szCs w:val="24"/>
              </w:rPr>
            </w:pPr>
            <w:r w:rsidRPr="000170CB">
              <w:rPr>
                <w:sz w:val="24"/>
                <w:szCs w:val="24"/>
              </w:rPr>
              <w:t>9.1.2</w:t>
            </w:r>
            <w:r w:rsidRPr="000170CB">
              <w:rPr>
                <w:sz w:val="24"/>
                <w:szCs w:val="24"/>
              </w:rPr>
              <w:tab/>
            </w:r>
            <w:proofErr w:type="gramStart"/>
            <w:r w:rsidRPr="000170CB">
              <w:rPr>
                <w:sz w:val="24"/>
                <w:szCs w:val="24"/>
              </w:rPr>
              <w:t>the</w:t>
            </w:r>
            <w:proofErr w:type="gramEnd"/>
            <w:r w:rsidRPr="000170CB">
              <w:rPr>
                <w:sz w:val="24"/>
                <w:szCs w:val="24"/>
              </w:rPr>
              <w:t xml:space="preserv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rsidR="000847BF" w:rsidRPr="000170CB" w:rsidRDefault="000847BF" w:rsidP="000847BF">
            <w:pPr>
              <w:rPr>
                <w:sz w:val="24"/>
                <w:szCs w:val="24"/>
              </w:rPr>
            </w:pPr>
            <w:r w:rsidRPr="000170CB">
              <w:rPr>
                <w:sz w:val="24"/>
                <w:szCs w:val="24"/>
              </w:rPr>
              <w:t>9.1.3</w:t>
            </w:r>
            <w:r w:rsidRPr="000170CB">
              <w:rPr>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0847BF" w:rsidRPr="000170CB" w:rsidRDefault="000847BF" w:rsidP="000847BF">
            <w:pPr>
              <w:rPr>
                <w:sz w:val="24"/>
                <w:szCs w:val="24"/>
              </w:rPr>
            </w:pPr>
            <w:r w:rsidRPr="000170CB">
              <w:rPr>
                <w:sz w:val="24"/>
                <w:szCs w:val="24"/>
              </w:rPr>
              <w:lastRenderedPageBreak/>
              <w:t>9.2</w:t>
            </w:r>
            <w:r w:rsidRPr="000170CB">
              <w:rPr>
                <w:sz w:val="24"/>
                <w:szCs w:val="24"/>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rsidR="000847BF" w:rsidRPr="000170CB" w:rsidRDefault="000847BF" w:rsidP="000847BF">
            <w:pPr>
              <w:rPr>
                <w:sz w:val="24"/>
                <w:szCs w:val="24"/>
              </w:rPr>
            </w:pPr>
            <w:r w:rsidRPr="000170CB">
              <w:rPr>
                <w:sz w:val="24"/>
                <w:szCs w:val="24"/>
              </w:rPr>
              <w:t>9.3</w:t>
            </w:r>
            <w:r w:rsidRPr="000170CB">
              <w:rPr>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rsidR="000847BF" w:rsidRPr="000170CB" w:rsidRDefault="000847BF" w:rsidP="000847BF">
            <w:pPr>
              <w:rPr>
                <w:sz w:val="24"/>
                <w:szCs w:val="24"/>
              </w:rPr>
            </w:pPr>
            <w:r w:rsidRPr="000170CB">
              <w:rPr>
                <w:sz w:val="24"/>
                <w:szCs w:val="24"/>
              </w:rPr>
              <w:t>9.4</w:t>
            </w:r>
            <w:r w:rsidRPr="000170CB">
              <w:rPr>
                <w:sz w:val="24"/>
                <w:szCs w:val="24"/>
              </w:rPr>
              <w:tab/>
              <w:t>In the event that the Supplier or the Supplier Personnel fail to comply with this clause, the Authority reserves the right to terminate the Agreement under Clause 23 with immediate effect.</w:t>
            </w:r>
          </w:p>
          <w:tbl>
            <w:tblPr>
              <w:tblW w:w="0" w:type="auto"/>
              <w:tblInd w:w="108" w:type="dxa"/>
              <w:tblLook w:val="01E0" w:firstRow="1" w:lastRow="1" w:firstColumn="1" w:lastColumn="1" w:noHBand="0" w:noVBand="0"/>
            </w:tblPr>
            <w:tblGrid>
              <w:gridCol w:w="1322"/>
              <w:gridCol w:w="6291"/>
            </w:tblGrid>
            <w:tr w:rsidR="000847BF" w:rsidRPr="000170CB" w:rsidTr="000847BF">
              <w:tc>
                <w:tcPr>
                  <w:tcW w:w="0" w:type="auto"/>
                </w:tcPr>
                <w:p w:rsidR="000847BF" w:rsidRPr="000170CB" w:rsidRDefault="000847BF" w:rsidP="000847BF">
                  <w:pPr>
                    <w:rPr>
                      <w:sz w:val="24"/>
                      <w:szCs w:val="24"/>
                    </w:rPr>
                  </w:pPr>
                  <w:r w:rsidRPr="000170CB">
                    <w:rPr>
                      <w:sz w:val="24"/>
                      <w:szCs w:val="24"/>
                    </w:rPr>
                    <w:t>“Authority Data”</w:t>
                  </w:r>
                </w:p>
              </w:tc>
              <w:tc>
                <w:tcPr>
                  <w:tcW w:w="0" w:type="auto"/>
                </w:tcPr>
                <w:p w:rsidR="000847BF" w:rsidRPr="000170CB" w:rsidRDefault="000847BF" w:rsidP="000847BF">
                  <w:pPr>
                    <w:numPr>
                      <w:ilvl w:val="0"/>
                      <w:numId w:val="60"/>
                    </w:numPr>
                    <w:spacing w:after="160" w:line="259" w:lineRule="auto"/>
                    <w:rPr>
                      <w:sz w:val="24"/>
                      <w:szCs w:val="24"/>
                    </w:rPr>
                  </w:pPr>
                  <w:r w:rsidRPr="000170CB">
                    <w:rPr>
                      <w:sz w:val="24"/>
                      <w:szCs w:val="24"/>
                    </w:rPr>
                    <w:tab/>
                    <w:t>the data, text, drawings, diagrams, images or sounds (together with any database made up of any of these) which are embodied in any electronic, magnetic, optical or tangible media, and which are:</w:t>
                  </w:r>
                </w:p>
                <w:p w:rsidR="000847BF" w:rsidRPr="000170CB" w:rsidRDefault="000847BF" w:rsidP="000847BF">
                  <w:pPr>
                    <w:numPr>
                      <w:ilvl w:val="3"/>
                      <w:numId w:val="61"/>
                    </w:numPr>
                    <w:tabs>
                      <w:tab w:val="clear" w:pos="2695"/>
                      <w:tab w:val="num" w:pos="759"/>
                    </w:tabs>
                    <w:spacing w:after="160" w:line="259" w:lineRule="auto"/>
                    <w:rPr>
                      <w:sz w:val="24"/>
                      <w:szCs w:val="24"/>
                    </w:rPr>
                  </w:pPr>
                  <w:r w:rsidRPr="000170CB">
                    <w:rPr>
                      <w:sz w:val="24"/>
                      <w:szCs w:val="24"/>
                    </w:rPr>
                    <w:t xml:space="preserve">supplied to the Supplier by or on behalf of the Authority; and/or </w:t>
                  </w:r>
                </w:p>
                <w:p w:rsidR="000847BF" w:rsidRPr="000170CB" w:rsidRDefault="000847BF" w:rsidP="000847BF">
                  <w:pPr>
                    <w:numPr>
                      <w:ilvl w:val="3"/>
                      <w:numId w:val="61"/>
                    </w:numPr>
                    <w:tabs>
                      <w:tab w:val="clear" w:pos="2695"/>
                      <w:tab w:val="num" w:pos="759"/>
                    </w:tabs>
                    <w:spacing w:after="160" w:line="259" w:lineRule="auto"/>
                    <w:rPr>
                      <w:sz w:val="24"/>
                      <w:szCs w:val="24"/>
                    </w:rPr>
                  </w:pPr>
                  <w:r w:rsidRPr="000170CB">
                    <w:rPr>
                      <w:sz w:val="24"/>
                      <w:szCs w:val="24"/>
                    </w:rPr>
                    <w:t>which the Supplier is required to generate, process, store or transmit pursuant to this Agreement; or</w:t>
                  </w:r>
                </w:p>
                <w:p w:rsidR="000847BF" w:rsidRPr="000170CB" w:rsidRDefault="000847BF" w:rsidP="000847BF">
                  <w:pPr>
                    <w:numPr>
                      <w:ilvl w:val="0"/>
                      <w:numId w:val="60"/>
                    </w:numPr>
                    <w:spacing w:after="160" w:line="259" w:lineRule="auto"/>
                    <w:rPr>
                      <w:sz w:val="24"/>
                      <w:szCs w:val="24"/>
                    </w:rPr>
                  </w:pPr>
                  <w:proofErr w:type="gramStart"/>
                  <w:r w:rsidRPr="000170CB">
                    <w:rPr>
                      <w:sz w:val="24"/>
                      <w:szCs w:val="24"/>
                    </w:rPr>
                    <w:t>any</w:t>
                  </w:r>
                  <w:proofErr w:type="gramEnd"/>
                  <w:r w:rsidRPr="000170CB">
                    <w:rPr>
                      <w:sz w:val="24"/>
                      <w:szCs w:val="24"/>
                    </w:rPr>
                    <w:t xml:space="preserve"> Personal Data for which the Authority is the Controller, or any data derived from such Personal Data which has had any </w:t>
                  </w:r>
                  <w:proofErr w:type="spellStart"/>
                  <w:r w:rsidRPr="000170CB">
                    <w:rPr>
                      <w:sz w:val="24"/>
                      <w:szCs w:val="24"/>
                    </w:rPr>
                    <w:t>designatory</w:t>
                  </w:r>
                  <w:proofErr w:type="spellEnd"/>
                  <w:r w:rsidRPr="000170CB">
                    <w:rPr>
                      <w:sz w:val="24"/>
                      <w:szCs w:val="24"/>
                    </w:rPr>
                    <w:t xml:space="preserve"> data identifiers removed so that an individual cannot be identified.</w:t>
                  </w:r>
                </w:p>
              </w:tc>
            </w:tr>
          </w:tbl>
          <w:p w:rsidR="000847BF" w:rsidRPr="000170CB" w:rsidRDefault="000847BF" w:rsidP="000847BF">
            <w:pPr>
              <w:ind w:left="2160" w:hanging="2160"/>
              <w:rPr>
                <w:sz w:val="24"/>
                <w:szCs w:val="24"/>
              </w:rPr>
            </w:pPr>
            <w:r w:rsidRPr="000170CB">
              <w:rPr>
                <w:sz w:val="24"/>
                <w:szCs w:val="24"/>
              </w:rPr>
              <w:t>“Personal Data”</w:t>
            </w:r>
            <w:r w:rsidRPr="000170CB">
              <w:rPr>
                <w:sz w:val="24"/>
                <w:szCs w:val="24"/>
              </w:rPr>
              <w:tab/>
              <w:t xml:space="preserve">has the meaning given in the General Data Protection Regulation (Regulation (EU) 2016/679). </w:t>
            </w:r>
          </w:p>
          <w:p w:rsidR="000847BF" w:rsidRPr="000170CB" w:rsidRDefault="000847BF" w:rsidP="000847BF">
            <w:pPr>
              <w:rPr>
                <w:sz w:val="24"/>
                <w:szCs w:val="24"/>
              </w:rPr>
            </w:pPr>
          </w:p>
          <w:p w:rsidR="000847BF" w:rsidRPr="000170CB" w:rsidRDefault="000847BF" w:rsidP="000847BF">
            <w:pPr>
              <w:rPr>
                <w:sz w:val="24"/>
                <w:szCs w:val="24"/>
              </w:rPr>
            </w:pPr>
            <w:r w:rsidRPr="000170CB">
              <w:rPr>
                <w:sz w:val="24"/>
                <w:szCs w:val="24"/>
              </w:rPr>
              <w:t>Confidentiality, Transparency and Publicity</w:t>
            </w:r>
          </w:p>
          <w:p w:rsidR="000847BF" w:rsidRPr="000170CB" w:rsidRDefault="000847BF" w:rsidP="000847BF">
            <w:pPr>
              <w:rPr>
                <w:sz w:val="24"/>
                <w:szCs w:val="24"/>
              </w:rPr>
            </w:pPr>
            <w:r w:rsidRPr="000170CB">
              <w:rPr>
                <w:sz w:val="24"/>
                <w:szCs w:val="24"/>
              </w:rPr>
              <w:t>10.1</w:t>
            </w:r>
            <w:r w:rsidRPr="000170CB">
              <w:rPr>
                <w:sz w:val="24"/>
                <w:szCs w:val="24"/>
              </w:rPr>
              <w:tab/>
              <w:t>The Supplier shall not, and shall take reasonable steps to ensure that the Supplier Personnel shall not:</w:t>
            </w:r>
          </w:p>
          <w:p w:rsidR="000847BF" w:rsidRPr="000170CB" w:rsidRDefault="000847BF" w:rsidP="000847BF">
            <w:pPr>
              <w:rPr>
                <w:sz w:val="24"/>
                <w:szCs w:val="24"/>
              </w:rPr>
            </w:pPr>
            <w:r w:rsidRPr="000170CB">
              <w:rPr>
                <w:sz w:val="24"/>
                <w:szCs w:val="24"/>
              </w:rPr>
              <w:lastRenderedPageBreak/>
              <w:t>10.1.1</w:t>
            </w:r>
            <w:r w:rsidRPr="000170CB">
              <w:rPr>
                <w:sz w:val="24"/>
                <w:szCs w:val="24"/>
              </w:rPr>
              <w:tab/>
              <w:t xml:space="preserve"> make any press announcement or publicise the Agreement or any part of the Agreement in any way; or</w:t>
            </w:r>
          </w:p>
          <w:p w:rsidR="000847BF" w:rsidRPr="000170CB" w:rsidRDefault="000847BF" w:rsidP="000847BF">
            <w:pPr>
              <w:rPr>
                <w:sz w:val="24"/>
                <w:szCs w:val="24"/>
              </w:rPr>
            </w:pPr>
            <w:r w:rsidRPr="000170CB">
              <w:rPr>
                <w:sz w:val="24"/>
                <w:szCs w:val="24"/>
              </w:rPr>
              <w:t>10.1.2</w:t>
            </w:r>
            <w:r w:rsidRPr="000170CB">
              <w:rPr>
                <w:sz w:val="24"/>
                <w:szCs w:val="24"/>
              </w:rPr>
              <w:tab/>
              <w:t>use the Authority’s name or brand in any promotion or marketing or announcement of orders,</w:t>
            </w:r>
          </w:p>
          <w:p w:rsidR="000847BF" w:rsidRPr="000170CB" w:rsidRDefault="000847BF" w:rsidP="000847BF">
            <w:pPr>
              <w:rPr>
                <w:sz w:val="24"/>
                <w:szCs w:val="24"/>
              </w:rPr>
            </w:pPr>
            <w:proofErr w:type="gramStart"/>
            <w:r w:rsidRPr="000170CB">
              <w:rPr>
                <w:sz w:val="24"/>
                <w:szCs w:val="24"/>
              </w:rPr>
              <w:t>except</w:t>
            </w:r>
            <w:proofErr w:type="gramEnd"/>
            <w:r w:rsidRPr="000170CB">
              <w:rPr>
                <w:sz w:val="24"/>
                <w:szCs w:val="24"/>
              </w:rPr>
              <w:t xml:space="preserve"> with the prior written consent of the Authority.  </w:t>
            </w:r>
          </w:p>
          <w:p w:rsidR="000847BF" w:rsidRPr="000170CB" w:rsidRDefault="000847BF" w:rsidP="000847BF">
            <w:pPr>
              <w:rPr>
                <w:sz w:val="24"/>
                <w:szCs w:val="24"/>
              </w:rPr>
            </w:pPr>
            <w:r w:rsidRPr="000170CB">
              <w:rPr>
                <w:sz w:val="24"/>
                <w:szCs w:val="24"/>
              </w:rPr>
              <w:t>10.2</w:t>
            </w:r>
            <w:r w:rsidRPr="000170CB">
              <w:rPr>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rsidR="000847BF" w:rsidRPr="000170CB" w:rsidRDefault="000847BF" w:rsidP="000847BF">
            <w:pPr>
              <w:rPr>
                <w:sz w:val="24"/>
                <w:szCs w:val="24"/>
              </w:rPr>
            </w:pPr>
            <w:r w:rsidRPr="000170CB">
              <w:rPr>
                <w:sz w:val="24"/>
                <w:szCs w:val="24"/>
              </w:rPr>
              <w:t>10.3</w:t>
            </w:r>
            <w:r w:rsidRPr="000170CB">
              <w:rPr>
                <w:sz w:val="24"/>
                <w:szCs w:val="24"/>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rsidR="000847BF" w:rsidRPr="000170CB" w:rsidRDefault="000847BF" w:rsidP="000847BF">
            <w:pPr>
              <w:rPr>
                <w:sz w:val="24"/>
                <w:szCs w:val="24"/>
              </w:rPr>
            </w:pPr>
            <w:r w:rsidRPr="000170CB">
              <w:rPr>
                <w:sz w:val="24"/>
                <w:szCs w:val="24"/>
              </w:rPr>
              <w:t>10.4</w:t>
            </w:r>
            <w:r w:rsidRPr="000170CB">
              <w:rPr>
                <w:sz w:val="24"/>
                <w:szCs w:val="24"/>
              </w:rPr>
              <w:tab/>
              <w:t>The Supplier shall assist and cooperate with the Authority to enable the Authority to publish this Agreement.</w:t>
            </w:r>
          </w:p>
          <w:p w:rsidR="000847BF" w:rsidRPr="000170CB" w:rsidRDefault="000847BF" w:rsidP="000847BF">
            <w:pPr>
              <w:rPr>
                <w:sz w:val="24"/>
                <w:szCs w:val="24"/>
              </w:rPr>
            </w:pPr>
            <w:r w:rsidRPr="000170CB">
              <w:rPr>
                <w:sz w:val="24"/>
                <w:szCs w:val="24"/>
              </w:rPr>
              <w:t>Compliance</w:t>
            </w:r>
          </w:p>
          <w:p w:rsidR="000847BF" w:rsidRPr="000170CB" w:rsidRDefault="000847BF" w:rsidP="000847BF">
            <w:pPr>
              <w:rPr>
                <w:sz w:val="24"/>
                <w:szCs w:val="24"/>
              </w:rPr>
            </w:pPr>
            <w:r w:rsidRPr="000170CB">
              <w:rPr>
                <w:sz w:val="24"/>
                <w:szCs w:val="24"/>
              </w:rPr>
              <w:t>11.1</w:t>
            </w:r>
            <w:r w:rsidRPr="000170CB">
              <w:rPr>
                <w:sz w:val="24"/>
                <w:szCs w:val="24"/>
              </w:rPr>
              <w:tab/>
              <w:t>The Supplier shall:</w:t>
            </w:r>
          </w:p>
          <w:p w:rsidR="000847BF" w:rsidRPr="000170CB" w:rsidRDefault="000847BF" w:rsidP="000847BF">
            <w:pPr>
              <w:rPr>
                <w:sz w:val="24"/>
                <w:szCs w:val="24"/>
              </w:rPr>
            </w:pPr>
            <w:r w:rsidRPr="000170CB">
              <w:rPr>
                <w:sz w:val="24"/>
                <w:szCs w:val="24"/>
              </w:rPr>
              <w:t>11.1.1</w:t>
            </w:r>
            <w:r w:rsidRPr="000170CB">
              <w:rPr>
                <w:sz w:val="24"/>
                <w:szCs w:val="24"/>
              </w:rPr>
              <w:tab/>
              <w:t>perform its obligations under the Agreement in accordance with all applicable equality Law and the Authority’s equality and diversity policy as provided to the Supplier from time to time; and</w:t>
            </w:r>
          </w:p>
          <w:p w:rsidR="000847BF" w:rsidRPr="000170CB" w:rsidRDefault="000847BF" w:rsidP="000847BF">
            <w:pPr>
              <w:rPr>
                <w:sz w:val="24"/>
                <w:szCs w:val="24"/>
              </w:rPr>
            </w:pPr>
            <w:r w:rsidRPr="000170CB">
              <w:rPr>
                <w:sz w:val="24"/>
                <w:szCs w:val="24"/>
              </w:rPr>
              <w:t>11.1.2</w:t>
            </w:r>
            <w:r w:rsidRPr="000170CB">
              <w:rPr>
                <w:sz w:val="24"/>
                <w:szCs w:val="24"/>
              </w:rPr>
              <w:tab/>
            </w:r>
            <w:proofErr w:type="gramStart"/>
            <w:r w:rsidRPr="000170CB">
              <w:rPr>
                <w:sz w:val="24"/>
                <w:szCs w:val="24"/>
              </w:rPr>
              <w:t>take</w:t>
            </w:r>
            <w:proofErr w:type="gramEnd"/>
            <w:r w:rsidRPr="000170CB">
              <w:rPr>
                <w:sz w:val="24"/>
                <w:szCs w:val="24"/>
              </w:rPr>
              <w:t xml:space="preserve"> all reasonable steps to secure the observance of Clause 11.1.1 by all Supplier Personnel.</w:t>
            </w:r>
          </w:p>
          <w:p w:rsidR="000847BF" w:rsidRPr="000170CB" w:rsidRDefault="000847BF" w:rsidP="000847BF">
            <w:pPr>
              <w:rPr>
                <w:sz w:val="24"/>
                <w:szCs w:val="24"/>
              </w:rPr>
            </w:pPr>
            <w:r w:rsidRPr="000170CB">
              <w:rPr>
                <w:sz w:val="24"/>
                <w:szCs w:val="24"/>
              </w:rPr>
              <w:t>11.2</w:t>
            </w:r>
            <w:r w:rsidRPr="000170CB">
              <w:rPr>
                <w:sz w:val="24"/>
                <w:szCs w:val="24"/>
              </w:rPr>
              <w:tab/>
              <w:t xml:space="preserve">The Supplier shall supply the Services in accordance with the Authority’s environmental policy as provided to the Supplier from time to time. </w:t>
            </w:r>
          </w:p>
          <w:p w:rsidR="000847BF" w:rsidRPr="000170CB" w:rsidRDefault="000847BF" w:rsidP="000847BF">
            <w:pPr>
              <w:rPr>
                <w:sz w:val="24"/>
                <w:szCs w:val="24"/>
              </w:rPr>
            </w:pPr>
            <w:r w:rsidRPr="000170CB">
              <w:rPr>
                <w:sz w:val="24"/>
                <w:szCs w:val="24"/>
              </w:rPr>
              <w:lastRenderedPageBreak/>
              <w:t>11.3</w:t>
            </w:r>
            <w:r w:rsidRPr="000170CB">
              <w:rPr>
                <w:sz w:val="24"/>
                <w:szCs w:val="24"/>
              </w:rPr>
              <w:tab/>
              <w:t>In performing its obligations under the Agreement, the Supplier shall;</w:t>
            </w:r>
          </w:p>
          <w:p w:rsidR="000847BF" w:rsidRPr="000170CB" w:rsidRDefault="000847BF" w:rsidP="000847BF">
            <w:pPr>
              <w:rPr>
                <w:sz w:val="24"/>
                <w:szCs w:val="24"/>
              </w:rPr>
            </w:pPr>
            <w:r w:rsidRPr="000170CB">
              <w:rPr>
                <w:sz w:val="24"/>
                <w:szCs w:val="24"/>
              </w:rPr>
              <w:t>(a)</w:t>
            </w:r>
            <w:r w:rsidRPr="000170CB">
              <w:rPr>
                <w:sz w:val="24"/>
                <w:szCs w:val="24"/>
              </w:rPr>
              <w:tab/>
              <w:t>comply with all applicable anti-slavery and human trafficking laws, statutes, regulations from time to time in force including the Modern Slavery Act 2015;</w:t>
            </w:r>
          </w:p>
          <w:p w:rsidR="000847BF" w:rsidRPr="000170CB" w:rsidRDefault="000847BF" w:rsidP="000847BF">
            <w:pPr>
              <w:rPr>
                <w:sz w:val="24"/>
                <w:szCs w:val="24"/>
              </w:rPr>
            </w:pPr>
            <w:r w:rsidRPr="000170CB">
              <w:rPr>
                <w:sz w:val="24"/>
                <w:szCs w:val="24"/>
              </w:rPr>
              <w:t>(b)</w:t>
            </w:r>
            <w:r w:rsidRPr="000170CB">
              <w:rPr>
                <w:sz w:val="24"/>
                <w:szCs w:val="24"/>
              </w:rPr>
              <w:tab/>
              <w:t>not engage in any activity, practice or conduct that would constitute an offence under sections 1, 2 or 4, of the Modern Slavery Act 2015; and</w:t>
            </w:r>
          </w:p>
          <w:p w:rsidR="000847BF" w:rsidRPr="000170CB" w:rsidRDefault="000847BF" w:rsidP="000847BF">
            <w:pPr>
              <w:rPr>
                <w:sz w:val="24"/>
                <w:szCs w:val="24"/>
              </w:rPr>
            </w:pPr>
            <w:r w:rsidRPr="000170CB">
              <w:rPr>
                <w:sz w:val="24"/>
                <w:szCs w:val="24"/>
              </w:rPr>
              <w:t>(c)</w:t>
            </w:r>
            <w:r w:rsidRPr="000170CB">
              <w:rPr>
                <w:sz w:val="24"/>
                <w:szCs w:val="24"/>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rsidR="000847BF" w:rsidRPr="000170CB" w:rsidRDefault="000847BF" w:rsidP="000847BF">
            <w:pPr>
              <w:rPr>
                <w:sz w:val="24"/>
                <w:szCs w:val="24"/>
              </w:rPr>
            </w:pPr>
            <w:r w:rsidRPr="000170CB">
              <w:rPr>
                <w:sz w:val="24"/>
                <w:szCs w:val="24"/>
              </w:rPr>
              <w:t>(</w:t>
            </w:r>
            <w:proofErr w:type="spellStart"/>
            <w:r w:rsidRPr="000170CB">
              <w:rPr>
                <w:sz w:val="24"/>
                <w:szCs w:val="24"/>
              </w:rPr>
              <w:t>i</w:t>
            </w:r>
            <w:proofErr w:type="spellEnd"/>
            <w:r w:rsidRPr="000170CB">
              <w:rPr>
                <w:sz w:val="24"/>
                <w:szCs w:val="24"/>
              </w:rPr>
              <w:t>)</w:t>
            </w:r>
            <w:r w:rsidRPr="000170CB">
              <w:rPr>
                <w:sz w:val="24"/>
                <w:szCs w:val="24"/>
              </w:rPr>
              <w:tab/>
              <w:t xml:space="preserve">remedy the breach; and </w:t>
            </w:r>
          </w:p>
          <w:p w:rsidR="009536DF" w:rsidRDefault="000847BF" w:rsidP="000847BF">
            <w:pPr>
              <w:rPr>
                <w:sz w:val="24"/>
                <w:szCs w:val="24"/>
              </w:rPr>
            </w:pPr>
            <w:r w:rsidRPr="000170CB">
              <w:rPr>
                <w:sz w:val="24"/>
                <w:szCs w:val="24"/>
              </w:rPr>
              <w:t>(ii)</w:t>
            </w:r>
            <w:r w:rsidRPr="000170CB">
              <w:rPr>
                <w:sz w:val="24"/>
                <w:szCs w:val="24"/>
              </w:rPr>
              <w:tab/>
            </w:r>
            <w:proofErr w:type="gramStart"/>
            <w:r w:rsidRPr="000170CB">
              <w:rPr>
                <w:sz w:val="24"/>
                <w:szCs w:val="24"/>
              </w:rPr>
              <w:t>ensure</w:t>
            </w:r>
            <w:proofErr w:type="gramEnd"/>
            <w:r w:rsidRPr="000170CB">
              <w:rPr>
                <w:sz w:val="24"/>
                <w:szCs w:val="24"/>
              </w:rPr>
              <w:t xml:space="preserve"> future compliance with Clause 11.3(a) and (b).</w:t>
            </w:r>
          </w:p>
          <w:p w:rsidR="000847BF" w:rsidRDefault="009536DF" w:rsidP="000847BF">
            <w:pPr>
              <w:rPr>
                <w:sz w:val="24"/>
                <w:szCs w:val="24"/>
              </w:rPr>
            </w:pPr>
            <w:r>
              <w:rPr>
                <w:sz w:val="24"/>
                <w:szCs w:val="24"/>
              </w:rPr>
              <w:t>11.4</w:t>
            </w:r>
            <w:r w:rsidR="000847BF" w:rsidRPr="000170CB">
              <w:rPr>
                <w:sz w:val="24"/>
                <w:szCs w:val="24"/>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rsidR="00BC631A" w:rsidRPr="000170CB" w:rsidRDefault="00BC631A" w:rsidP="00BC631A">
            <w:pPr>
              <w:spacing w:before="120" w:after="120"/>
              <w:rPr>
                <w:sz w:val="24"/>
                <w:szCs w:val="24"/>
              </w:rPr>
            </w:pPr>
            <w:r w:rsidRPr="000170CB">
              <w:rPr>
                <w:sz w:val="24"/>
                <w:szCs w:val="24"/>
              </w:rPr>
              <w:t>Security Policy</w:t>
            </w:r>
          </w:p>
          <w:bookmarkStart w:id="25" w:name="_MON_1488776037"/>
          <w:bookmarkEnd w:id="25"/>
          <w:p w:rsidR="00BC631A" w:rsidRPr="000170CB" w:rsidRDefault="00BC631A" w:rsidP="00BC631A">
            <w:pPr>
              <w:spacing w:before="120" w:after="120"/>
              <w:ind w:left="360"/>
              <w:rPr>
                <w:b/>
                <w:bCs/>
                <w:sz w:val="24"/>
                <w:szCs w:val="24"/>
              </w:rPr>
            </w:pPr>
            <w:r w:rsidRPr="000170CB">
              <w:rPr>
                <w:bCs/>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9pt;height:49.15pt" o:ole="">
                  <v:imagedata r:id="rId10" o:title=""/>
                </v:shape>
                <o:OLEObject Type="Embed" ProgID="Word.Document.8" ShapeID="_x0000_i1026" DrawAspect="Icon" ObjectID="_1621249513" r:id="rId11">
                  <o:FieldCodes>\s</o:FieldCodes>
                </o:OLEObject>
              </w:object>
            </w:r>
          </w:p>
          <w:p w:rsidR="00BC631A" w:rsidRPr="000170CB" w:rsidRDefault="00BC631A" w:rsidP="00BC631A">
            <w:pPr>
              <w:spacing w:before="120" w:after="120"/>
              <w:rPr>
                <w:sz w:val="24"/>
                <w:szCs w:val="24"/>
              </w:rPr>
            </w:pPr>
            <w:r w:rsidRPr="000170CB">
              <w:rPr>
                <w:sz w:val="24"/>
                <w:szCs w:val="24"/>
              </w:rPr>
              <w:t>Health and Safety Requirements</w:t>
            </w:r>
          </w:p>
          <w:bookmarkStart w:id="26" w:name="_MON_1488776068"/>
          <w:bookmarkEnd w:id="26"/>
          <w:p w:rsidR="00BC631A" w:rsidRPr="000170CB" w:rsidRDefault="00BC631A" w:rsidP="00BC631A">
            <w:pPr>
              <w:spacing w:before="120" w:after="120"/>
              <w:ind w:left="360"/>
              <w:rPr>
                <w:sz w:val="24"/>
                <w:szCs w:val="24"/>
              </w:rPr>
            </w:pPr>
            <w:r w:rsidRPr="000170CB">
              <w:rPr>
                <w:sz w:val="24"/>
                <w:szCs w:val="24"/>
              </w:rPr>
              <w:object w:dxaOrig="1550" w:dyaOrig="991">
                <v:shape id="_x0000_i1027" type="#_x0000_t75" style="width:76.9pt;height:49.15pt" o:ole="">
                  <v:imagedata r:id="rId12" o:title=""/>
                </v:shape>
                <o:OLEObject Type="Embed" ProgID="Word.Document.8" ShapeID="_x0000_i1027" DrawAspect="Icon" ObjectID="_1621249514" r:id="rId13">
                  <o:FieldCodes>\s</o:FieldCodes>
                </o:OLEObject>
              </w:object>
            </w:r>
          </w:p>
          <w:p w:rsidR="00BC631A" w:rsidRPr="000170CB" w:rsidRDefault="00BC631A" w:rsidP="00BC631A">
            <w:pPr>
              <w:spacing w:before="120" w:after="120"/>
              <w:rPr>
                <w:sz w:val="24"/>
                <w:szCs w:val="24"/>
              </w:rPr>
            </w:pPr>
            <w:r w:rsidRPr="000170CB">
              <w:rPr>
                <w:sz w:val="24"/>
                <w:szCs w:val="24"/>
              </w:rPr>
              <w:t xml:space="preserve">HMRC Behaviours </w:t>
            </w:r>
          </w:p>
          <w:p w:rsidR="00BC631A" w:rsidRPr="000170CB" w:rsidRDefault="00BC631A" w:rsidP="00BC631A">
            <w:pPr>
              <w:rPr>
                <w:sz w:val="24"/>
                <w:szCs w:val="24"/>
              </w:rPr>
            </w:pPr>
            <w:r w:rsidRPr="000170CB">
              <w:rPr>
                <w:sz w:val="24"/>
                <w:szCs w:val="24"/>
              </w:rPr>
              <w:t xml:space="preserve">      </w:t>
            </w:r>
            <w:r w:rsidRPr="000170CB">
              <w:rPr>
                <w:sz w:val="24"/>
                <w:szCs w:val="24"/>
              </w:rPr>
              <w:object w:dxaOrig="1550" w:dyaOrig="991">
                <v:shape id="_x0000_i1028" type="#_x0000_t75" style="width:76.9pt;height:49.15pt" o:ole="">
                  <v:imagedata r:id="rId14" o:title=""/>
                </v:shape>
                <o:OLEObject Type="Embed" ProgID="AcroExch.Document.7" ShapeID="_x0000_i1028" DrawAspect="Icon" ObjectID="_1621249515" r:id="rId15"/>
              </w:object>
            </w:r>
          </w:p>
          <w:p w:rsidR="00BC631A" w:rsidRPr="000170CB" w:rsidRDefault="00BC631A" w:rsidP="00BC631A">
            <w:pPr>
              <w:rPr>
                <w:sz w:val="24"/>
                <w:szCs w:val="24"/>
              </w:rPr>
            </w:pPr>
            <w:r w:rsidRPr="000170CB">
              <w:rPr>
                <w:sz w:val="24"/>
                <w:szCs w:val="24"/>
              </w:rPr>
              <w:t xml:space="preserve">HMRC Equality and Diversity Policy </w:t>
            </w:r>
          </w:p>
          <w:p w:rsidR="00BC631A" w:rsidRPr="000170CB" w:rsidRDefault="00BC631A" w:rsidP="00BC631A">
            <w:pPr>
              <w:spacing w:after="120"/>
              <w:rPr>
                <w:sz w:val="24"/>
                <w:szCs w:val="24"/>
              </w:rPr>
            </w:pPr>
            <w:r w:rsidRPr="000170CB">
              <w:rPr>
                <w:sz w:val="24"/>
                <w:szCs w:val="24"/>
              </w:rPr>
              <w:lastRenderedPageBreak/>
              <w:t xml:space="preserve">       </w:t>
            </w:r>
            <w:bookmarkStart w:id="27" w:name="_MON_1488776203"/>
            <w:bookmarkEnd w:id="27"/>
            <w:r w:rsidRPr="000170CB">
              <w:rPr>
                <w:sz w:val="24"/>
                <w:szCs w:val="24"/>
              </w:rPr>
              <w:object w:dxaOrig="1550" w:dyaOrig="991">
                <v:shape id="_x0000_i1029" type="#_x0000_t75" style="width:76.9pt;height:49.15pt" o:ole="">
                  <v:imagedata r:id="rId16" o:title=""/>
                </v:shape>
                <o:OLEObject Type="Embed" ProgID="Word.Document.8" ShapeID="_x0000_i1029" DrawAspect="Icon" ObjectID="_1621249516" r:id="rId17">
                  <o:FieldCodes>\s</o:FieldCodes>
                </o:OLEObject>
              </w:object>
            </w:r>
          </w:p>
          <w:p w:rsidR="000847BF" w:rsidRPr="000170CB" w:rsidRDefault="000847BF" w:rsidP="000847BF">
            <w:pPr>
              <w:rPr>
                <w:sz w:val="24"/>
                <w:szCs w:val="24"/>
              </w:rPr>
            </w:pPr>
          </w:p>
        </w:tc>
        <w:bookmarkStart w:id="28" w:name="_GoBack"/>
        <w:bookmarkEnd w:id="28"/>
      </w:tr>
      <w:tr w:rsidR="000847BF">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0847BF" w:rsidRDefault="000847BF" w:rsidP="000847B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0847BF" w:rsidRPr="000170CB" w:rsidRDefault="00BC631A" w:rsidP="00BC631A">
            <w:pPr>
              <w:spacing w:after="120"/>
              <w:rPr>
                <w:sz w:val="24"/>
                <w:szCs w:val="24"/>
              </w:rPr>
            </w:pPr>
            <w:r>
              <w:rPr>
                <w:sz w:val="24"/>
                <w:szCs w:val="24"/>
              </w:rPr>
              <w:t>N/a</w:t>
            </w:r>
          </w:p>
        </w:tc>
      </w:tr>
      <w:tr w:rsidR="000847BF">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0847BF" w:rsidRDefault="000847BF" w:rsidP="000847B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0847BF" w:rsidRDefault="000847BF" w:rsidP="000847BF">
            <w:pPr>
              <w:spacing w:after="0" w:line="240" w:lineRule="auto"/>
            </w:pPr>
            <w:r>
              <w:rPr>
                <w:rFonts w:ascii="Helvetica Neue" w:hAnsi="Helvetica Neue" w:cs="Helvetica"/>
                <w:color w:val="353535"/>
                <w:sz w:val="24"/>
                <w:szCs w:val="24"/>
              </w:rPr>
              <w:t>Will Schedule 7 – Processing, Personal Data and Data Subjects be used No</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r w:rsidR="00194DB5">
        <w:rPr>
          <w:rFonts w:ascii="Helvetica Neue" w:eastAsia="Helvetica Neue" w:hAnsi="Helvetica Neue" w:cs="Helvetica Neue"/>
          <w:b/>
          <w:sz w:val="24"/>
          <w:szCs w:val="24"/>
        </w:rPr>
        <w:t xml:space="preserve">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784D12">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r>
      <w:tr w:rsidR="00784D12">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r>
      <w:tr w:rsidR="00784D12">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r>
      <w:tr w:rsidR="00784D12">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784D12" w:rsidRDefault="00784D12" w:rsidP="00784D12">
            <w:r w:rsidRPr="00B245D7">
              <w:rPr>
                <w:rFonts w:ascii="Helvetica Neue" w:eastAsia="Helvetica Neue" w:hAnsi="Helvetica Neue" w:cs="Helvetica Neue"/>
                <w:sz w:val="24"/>
                <w:szCs w:val="24"/>
              </w:rPr>
              <w:t>Redacted</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9" w:name="_Toc509486707"/>
      <w:r>
        <w:rPr>
          <w:rFonts w:ascii="Helvetica Neue" w:eastAsia="Helvetica Neue" w:hAnsi="Helvetica Neue" w:cs="Helvetica Neue"/>
          <w:sz w:val="24"/>
          <w:szCs w:val="24"/>
        </w:rPr>
        <w:lastRenderedPageBreak/>
        <w:t>Schedule 1 - Services</w:t>
      </w:r>
      <w:bookmarkEnd w:id="29"/>
    </w:p>
    <w:p w:rsidR="005540D7" w:rsidRPr="00064D87" w:rsidRDefault="00064D87">
      <w:pPr>
        <w:spacing w:after="0"/>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The expected milestones are set out below, in that all the specific activities for each of the tenants is completed and the relevant artefacts are handed over to HMRC's SAS platform team. </w:t>
      </w:r>
    </w:p>
    <w:p w:rsidR="00064D87" w:rsidRPr="00064D87" w:rsidRDefault="00064D87">
      <w:pPr>
        <w:spacing w:after="0"/>
        <w:rPr>
          <w:rFonts w:ascii="Helvetica Neue" w:eastAsia="Helvetica Neue" w:hAnsi="Helvetica Neue" w:cs="Helvetica Neue"/>
          <w:sz w:val="24"/>
          <w:szCs w:val="24"/>
        </w:rPr>
      </w:pPr>
    </w:p>
    <w:tbl>
      <w:tblPr>
        <w:tblW w:w="11700" w:type="dxa"/>
        <w:tblCellSpacing w:w="15" w:type="dxa"/>
        <w:tblCellMar>
          <w:left w:w="0" w:type="dxa"/>
          <w:right w:w="0" w:type="dxa"/>
        </w:tblCellMar>
        <w:tblLook w:val="04A0" w:firstRow="1" w:lastRow="0" w:firstColumn="1" w:lastColumn="0" w:noHBand="0" w:noVBand="1"/>
      </w:tblPr>
      <w:tblGrid>
        <w:gridCol w:w="3432"/>
        <w:gridCol w:w="1634"/>
        <w:gridCol w:w="1515"/>
        <w:gridCol w:w="1250"/>
        <w:gridCol w:w="1705"/>
        <w:gridCol w:w="2164"/>
      </w:tblGrid>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jc w:val="center"/>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Customer Group </w:t>
            </w: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Month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KAI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RIS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TS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DM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CDO </w:t>
            </w: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1 (June)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2 (July)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3 (Aug)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4 (Sept)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5 (Oct)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r>
      <w:tr w:rsidR="00064D87" w:rsidRPr="00064D87" w:rsidTr="00064D8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6 (Nov)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064D87" w:rsidRPr="00064D87" w:rsidRDefault="00064D87" w:rsidP="00064D87">
            <w:pPr>
              <w:spacing w:after="0" w:line="240" w:lineRule="auto"/>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y </w:t>
            </w:r>
          </w:p>
        </w:tc>
      </w:tr>
    </w:tbl>
    <w:p w:rsidR="00064D87" w:rsidRPr="00064D87" w:rsidRDefault="00064D87">
      <w:pPr>
        <w:spacing w:after="0"/>
        <w:rPr>
          <w:rFonts w:ascii="Helvetica Neue" w:eastAsia="Helvetica Neue" w:hAnsi="Helvetica Neue" w:cs="Helvetica Neue"/>
          <w:sz w:val="24"/>
          <w:szCs w:val="24"/>
        </w:rPr>
      </w:pPr>
    </w:p>
    <w:p w:rsidR="00064D87" w:rsidRDefault="00064D87" w:rsidP="00064D87">
      <w:pPr>
        <w:rPr>
          <w:rFonts w:ascii="Helvetica Neue" w:eastAsia="Helvetica Neue" w:hAnsi="Helvetica Neue" w:cs="Helvetica Neue"/>
          <w:sz w:val="24"/>
          <w:szCs w:val="24"/>
        </w:rPr>
      </w:pPr>
      <w:r w:rsidRPr="00064D87">
        <w:rPr>
          <w:rFonts w:ascii="Helvetica Neue" w:eastAsia="Helvetica Neue" w:hAnsi="Helvetica Neue" w:cs="Helvetica Neue"/>
          <w:sz w:val="24"/>
          <w:szCs w:val="24"/>
        </w:rPr>
        <w:t xml:space="preserve">All milestone deliverables to be reviewed and accepted by the HMRC SAS platform team. </w:t>
      </w:r>
    </w:p>
    <w:p w:rsidR="00516F29" w:rsidRPr="00516F29" w:rsidRDefault="00516F29" w:rsidP="00516F29">
      <w:pPr>
        <w:rPr>
          <w:rFonts w:ascii="Helvetica Neue" w:eastAsia="Helvetica Neue" w:hAnsi="Helvetica Neue" w:cs="Helvetica Neue"/>
          <w:sz w:val="24"/>
          <w:szCs w:val="24"/>
        </w:rPr>
      </w:pPr>
      <w:r w:rsidRPr="00516F29">
        <w:rPr>
          <w:rFonts w:ascii="Helvetica Neue" w:eastAsia="Helvetica Neue" w:hAnsi="Helvetica Neue" w:cs="Helvetica Neue"/>
          <w:sz w:val="24"/>
          <w:szCs w:val="24"/>
        </w:rPr>
        <w:t>When deemed necessary, and subject to agreement with the supplier, HMRC Data &amp; Analytics may at any time request revision of the definition of activities and priorities. In the event of such revision, the changes will where reasonably practicable be achieved by the Supplier within 1 month of the request being made. Any impact to the timescales of the deliverables will be communicated by the supplier to HMRC Data &amp; Analytics and agreed at the time of the changes. </w:t>
      </w:r>
    </w:p>
    <w:p w:rsidR="00516F29" w:rsidRDefault="00516F29" w:rsidP="00064D87">
      <w:pPr>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30" w:name="_Toc509486708"/>
      <w:r>
        <w:rPr>
          <w:rFonts w:ascii="Helvetica Neue" w:eastAsia="Helvetica Neue" w:hAnsi="Helvetica Neue" w:cs="Helvetica Neue"/>
          <w:sz w:val="24"/>
          <w:szCs w:val="24"/>
        </w:rPr>
        <w:t>Schedule 2 - Call-Off Contract charges</w:t>
      </w:r>
      <w:bookmarkEnd w:id="30"/>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540D7" w:rsidRDefault="005540D7">
      <w:pPr>
        <w:spacing w:after="0"/>
        <w:rPr>
          <w:rFonts w:ascii="Helvetica Neue" w:eastAsia="Helvetica Neue" w:hAnsi="Helvetica Neue" w:cs="Helvetica Neue"/>
          <w:b/>
          <w:sz w:val="24"/>
          <w:szCs w:val="24"/>
        </w:rPr>
      </w:pPr>
    </w:p>
    <w:p w:rsidR="00784D12" w:rsidRPr="0012436C" w:rsidRDefault="00784D12" w:rsidP="00784D1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5540D7">
      <w:pPr>
        <w:spacing w:after="0"/>
        <w:rPr>
          <w:rFonts w:ascii="Helvetica Neue" w:eastAsia="Helvetica Neue" w:hAnsi="Helvetica Neue" w:cs="Helvetica Neue"/>
          <w:sz w:val="24"/>
          <w:szCs w:val="24"/>
        </w:rPr>
      </w:pPr>
    </w:p>
    <w:p w:rsidR="00064D87" w:rsidRDefault="00064D87" w:rsidP="00064D8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Payment of invoices will be made based on HMRC SAS platform team acceptance of completed deliverables due with that month as detailed at schedule 1 of this call off.</w:t>
      </w:r>
    </w:p>
    <w:p w:rsidR="00064D87" w:rsidRDefault="00064D8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31" w:name="_Toc509486709"/>
      <w:r>
        <w:rPr>
          <w:rFonts w:ascii="Helvetica Neue" w:eastAsia="Helvetica Neue" w:hAnsi="Helvetica Neue" w:cs="Helvetica Neue"/>
          <w:sz w:val="24"/>
          <w:szCs w:val="24"/>
        </w:rPr>
        <w:t>Part B - Terms and conditions</w:t>
      </w:r>
      <w:bookmarkEnd w:id="31"/>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32" w:name="_7ufvlylc57w"/>
      <w:bookmarkEnd w:id="32"/>
      <w:r>
        <w:rPr>
          <w:rFonts w:ascii="Helvetica Neue" w:eastAsia="Helvetica Neue" w:hAnsi="Helvetica Neue" w:cs="Helvetica Neue"/>
          <w:sz w:val="24"/>
          <w:szCs w:val="24"/>
        </w:rPr>
        <w:t>4.1 (Warranties and representations)</w:t>
      </w:r>
      <w:bookmarkStart w:id="33" w:name="_4qgmyaobct7l"/>
      <w:bookmarkEnd w:id="33"/>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zggo63kp7s7a"/>
      <w:bookmarkEnd w:id="34"/>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l0wad9mkk14m"/>
      <w:bookmarkEnd w:id="35"/>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6" w:name="_t2msquoose3b"/>
      <w:bookmarkEnd w:id="36"/>
      <w:r>
        <w:rPr>
          <w:rFonts w:ascii="Helvetica Neue" w:eastAsia="Helvetica Neue" w:hAnsi="Helvetica Neue" w:cs="Helvetica Neue"/>
          <w:sz w:val="24"/>
          <w:szCs w:val="24"/>
        </w:rPr>
        <w:t>5.6 (Continuing rights)</w:t>
      </w:r>
      <w:bookmarkStart w:id="37" w:name="_z5chnjhzaet0"/>
      <w:bookmarkEnd w:id="37"/>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xi3yu141afy3"/>
      <w:bookmarkEnd w:id="38"/>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ata7ymz16ovs"/>
      <w:bookmarkEnd w:id="39"/>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fkyoint63nz9"/>
      <w:bookmarkEnd w:id="40"/>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9iemmotrtveu"/>
      <w:bookmarkEnd w:id="41"/>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tf0ykdt5ev"/>
      <w:bookmarkEnd w:id="42"/>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naatyuhqkhsy"/>
      <w:bookmarkEnd w:id="43"/>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xnkwn0kmcpb3"/>
      <w:bookmarkEnd w:id="44"/>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cpz8pmimqxjf"/>
      <w:bookmarkEnd w:id="45"/>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vxjr3igvbeu1"/>
      <w:bookmarkEnd w:id="46"/>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kszap48p7wt0"/>
      <w:bookmarkEnd w:id="47"/>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m9g4hob710e0"/>
      <w:bookmarkEnd w:id="48"/>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nep14ssihkdx"/>
      <w:bookmarkEnd w:id="49"/>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pfv9e4x6613e"/>
      <w:bookmarkEnd w:id="50"/>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6sdo70ih1iyh"/>
      <w:bookmarkEnd w:id="51"/>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y7s12y9u6ri2"/>
      <w:bookmarkEnd w:id="52"/>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jcyecnr8hxv0"/>
      <w:bookmarkEnd w:id="53"/>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4" w:name="_7xyhk85tkatg"/>
      <w:bookmarkEnd w:id="54"/>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5" w:name="_ssevvrz51zz4"/>
      <w:bookmarkEnd w:id="55"/>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6" w:name="_wo0xnjlyfmiu"/>
      <w:bookmarkEnd w:id="56"/>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7" w:name="_jl72q32rn20u"/>
      <w:bookmarkEnd w:id="57"/>
      <w:r>
        <w:rPr>
          <w:rFonts w:ascii="Helvetica Neue" w:eastAsia="Helvetica Neue" w:hAnsi="Helvetica Neue" w:cs="Helvetica Neue"/>
          <w:sz w:val="24"/>
          <w:szCs w:val="24"/>
        </w:rPr>
        <w:t>8.83 to 8.91 (Confidentiality)</w:t>
      </w:r>
      <w:bookmarkStart w:id="58" w:name="_h1o9qz8mt2t2"/>
      <w:bookmarkEnd w:id="58"/>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9" w:name="_3aps8o6kcxyn"/>
      <w:bookmarkEnd w:id="59"/>
      <w:r>
        <w:rPr>
          <w:rFonts w:ascii="Helvetica Neue" w:eastAsia="Helvetica Neue" w:hAnsi="Helvetica Neue" w:cs="Helvetica Neue"/>
          <w:sz w:val="24"/>
          <w:szCs w:val="24"/>
        </w:rPr>
        <w:t>paragraphs 1 to 10 of the Framework Agreement glossary and interpretations</w:t>
      </w:r>
      <w:bookmarkStart w:id="60" w:name="_c6k4662biabv"/>
      <w:bookmarkEnd w:id="60"/>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1" w:name="_itt780udfb5v"/>
      <w:bookmarkEnd w:id="61"/>
      <w:r>
        <w:rPr>
          <w:rFonts w:ascii="Helvetica Neue" w:eastAsia="Helvetica Neue" w:hAnsi="Helvetica Neue" w:cs="Helvetica Neue"/>
          <w:sz w:val="24"/>
          <w:szCs w:val="24"/>
        </w:rPr>
        <w:lastRenderedPageBreak/>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62" w:name="_kt588v8j7m1"/>
      <w:bookmarkEnd w:id="62"/>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63" w:name="_qrz2iq8tz5in"/>
      <w:bookmarkEnd w:id="63"/>
      <w:r>
        <w:rPr>
          <w:rFonts w:ascii="Helvetica Neue" w:eastAsia="Helvetica Neue" w:hAnsi="Helvetica Neue" w:cs="Helvetica Neue"/>
          <w:sz w:val="24"/>
          <w:szCs w:val="24"/>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4" w:name="_70gqqitra65j"/>
      <w:bookmarkEnd w:id="64"/>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5" w:name="_1p9gmbf49p16"/>
      <w:bookmarkEnd w:id="65"/>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6" w:name="_r6hnjzux63jf"/>
      <w:bookmarkEnd w:id="66"/>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7" w:name="_23ckvvd"/>
      <w:bookmarkEnd w:id="67"/>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8">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9">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0">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1">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2">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3">
        <w:r>
          <w:rPr>
            <w:rStyle w:val="ListLabel471"/>
          </w:rPr>
          <w:t xml:space="preserve"> </w:t>
        </w:r>
      </w:hyperlink>
      <w:r>
        <w:rPr>
          <w:rFonts w:ascii="Helvetica Neue" w:eastAsia="Helvetica Neue" w:hAnsi="Helvetica Neue" w:cs="Helvetica Neue"/>
          <w:sz w:val="24"/>
          <w:szCs w:val="24"/>
        </w:rPr>
        <w:t>i</w:t>
      </w:r>
      <w:hyperlink r:id="rId24">
        <w:r>
          <w:rPr>
            <w:rStyle w:val="ListLabel471"/>
          </w:rPr>
          <w:t>n</w:t>
        </w:r>
      </w:hyperlink>
      <w:r>
        <w:rPr>
          <w:rFonts w:ascii="Helvetica Neue" w:eastAsia="Helvetica Neue" w:hAnsi="Helvetica Neue" w:cs="Helvetica Neue"/>
          <w:sz w:val="24"/>
          <w:szCs w:val="24"/>
        </w:rPr>
        <w:t xml:space="preserve"> </w:t>
      </w:r>
      <w:hyperlink r:id="rId25">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6">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7">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784D12" w:rsidP="008E0B6F">
      <w:pPr>
        <w:numPr>
          <w:ilvl w:val="0"/>
          <w:numId w:val="37"/>
        </w:numPr>
        <w:ind w:hanging="724"/>
      </w:pPr>
      <w:hyperlink r:id="rId28">
        <w:r w:rsidR="008E0B6F">
          <w:rPr>
            <w:rStyle w:val="ListLabel471"/>
          </w:rPr>
          <w:t>T</w:t>
        </w:r>
      </w:hyperlink>
      <w:hyperlink r:id="rId29">
        <w:r w:rsidR="008E0B6F">
          <w:rPr>
            <w:rStyle w:val="ListLabel471"/>
          </w:rPr>
          <w:t>he Supplier will deliver the Services in a way that enables the Buyer to comply with its obligations under the T</w:t>
        </w:r>
      </w:hyperlink>
      <w:hyperlink r:id="rId30">
        <w:r w:rsidR="008E0B6F">
          <w:rPr>
            <w:rStyle w:val="ListLabel471"/>
          </w:rPr>
          <w:t>echnology Code of Practice</w:t>
        </w:r>
      </w:hyperlink>
      <w:hyperlink r:id="rId31">
        <w:r w:rsidR="008E0B6F">
          <w:rPr>
            <w:rStyle w:val="ListLabel471"/>
          </w:rPr>
          <w:t>,</w:t>
        </w:r>
      </w:hyperlink>
      <w:hyperlink r:id="rId32">
        <w:r w:rsidR="008E0B6F">
          <w:rPr>
            <w:rStyle w:val="ListLabel471"/>
          </w:rPr>
          <w:t xml:space="preserve"> which is available at </w:t>
        </w:r>
      </w:hyperlink>
      <w:hyperlink r:id="rId33">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4">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5">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0"/>
      <w:r>
        <w:rPr>
          <w:rFonts w:ascii="Helvetica Neue" w:eastAsia="Helvetica Neue" w:hAnsi="Helvetica Neue" w:cs="Helvetica Neue"/>
          <w:sz w:val="24"/>
          <w:szCs w:val="24"/>
        </w:rPr>
        <w:t>Schedule 3 - Collaboration agreement</w:t>
      </w:r>
      <w:bookmarkEnd w:id="68"/>
    </w:p>
    <w:p w:rsidR="005540D7" w:rsidRDefault="008E0B6F">
      <w:r>
        <w:rPr>
          <w:rFonts w:ascii="Helvetica Neue" w:eastAsia="Helvetica Neue" w:hAnsi="Helvetica Neue" w:cs="Helvetica Neue"/>
          <w:sz w:val="24"/>
          <w:szCs w:val="24"/>
        </w:rPr>
        <w:t xml:space="preserve">The Collaboration agreement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9" w:name="_Toc509486711"/>
      <w:r>
        <w:rPr>
          <w:rFonts w:ascii="Helvetica Neue" w:eastAsia="Helvetica Neue" w:hAnsi="Helvetica Neue" w:cs="Helvetica Neue"/>
          <w:sz w:val="24"/>
          <w:szCs w:val="24"/>
        </w:rPr>
        <w:t>Schedule 4 - Alternative clauses</w:t>
      </w:r>
      <w:bookmarkEnd w:id="69"/>
    </w:p>
    <w:p w:rsidR="005540D7" w:rsidRDefault="008E0B6F">
      <w:r>
        <w:rPr>
          <w:rFonts w:ascii="Helvetica Neue" w:eastAsia="Helvetica Neue" w:hAnsi="Helvetica Neue" w:cs="Helvetica Neue"/>
          <w:sz w:val="24"/>
          <w:szCs w:val="24"/>
        </w:rPr>
        <w:t xml:space="preserve">The Alternative clauses are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70" w:name="_Toc509486712"/>
      <w:r>
        <w:rPr>
          <w:rFonts w:ascii="Helvetica Neue" w:eastAsia="Helvetica Neue" w:hAnsi="Helvetica Neue" w:cs="Helvetica Neue"/>
          <w:sz w:val="24"/>
          <w:szCs w:val="24"/>
        </w:rPr>
        <w:t>Schedule 5 - Guarantee</w:t>
      </w:r>
      <w:bookmarkEnd w:id="70"/>
    </w:p>
    <w:p w:rsidR="005540D7" w:rsidRDefault="008E0B6F">
      <w:r>
        <w:rPr>
          <w:rFonts w:ascii="Helvetica Neue" w:eastAsia="Helvetica Neue" w:hAnsi="Helvetica Neue" w:cs="Helvetica Neue"/>
          <w:sz w:val="24"/>
          <w:szCs w:val="24"/>
        </w:rPr>
        <w:t xml:space="preserve">The Guarantee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71" w:name="_Toc509486713"/>
      <w:r>
        <w:rPr>
          <w:rFonts w:ascii="Helvetica Neue" w:eastAsia="Helvetica Neue" w:hAnsi="Helvetica Neue" w:cs="Helvetica Neue"/>
          <w:sz w:val="24"/>
          <w:szCs w:val="24"/>
        </w:rPr>
        <w:t>Schedule 6 - Glossary and interpretations</w:t>
      </w:r>
      <w:bookmarkEnd w:id="71"/>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agreement, substantially in the form set out at Schedule 3, between the Buyer and any combination of the Supplier and contractors, to ensure collaborative working in their delivery of the </w:t>
            </w:r>
            <w:r>
              <w:rPr>
                <w:rFonts w:ascii="Helvetica Neue" w:eastAsia="Helvetica Neue" w:hAnsi="Helvetica Neue" w:cs="Helvetica Neue"/>
                <w:sz w:val="24"/>
                <w:szCs w:val="24"/>
              </w:rPr>
              <w:lastRenderedPageBreak/>
              <w:t>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9">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784D12">
            <w:pPr>
              <w:spacing w:after="0" w:line="240" w:lineRule="auto"/>
            </w:pPr>
            <w:hyperlink r:id="rId40">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cloud services described in Framework Agreement Section 2 (Services Offered) as defined by the Service Definition, the Supplier </w:t>
            </w:r>
            <w:r>
              <w:rPr>
                <w:rFonts w:ascii="Helvetica Neue" w:eastAsia="Helvetica Neue" w:hAnsi="Helvetica Neue" w:cs="Helvetica Neue"/>
                <w:sz w:val="24"/>
                <w:szCs w:val="24"/>
              </w:rPr>
              <w:lastRenderedPageBreak/>
              <w:t>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t>
            </w:r>
            <w:r>
              <w:rPr>
                <w:rFonts w:ascii="Helvetica Neue" w:eastAsia="Helvetica Neue" w:hAnsi="Helvetica Neue" w:cs="Helvetica Neue"/>
                <w:sz w:val="24"/>
                <w:szCs w:val="24"/>
              </w:rPr>
              <w:lastRenderedPageBreak/>
              <w:t>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1">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72"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2"/>
    </w:p>
    <w:p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p>
    <w:p w:rsidR="00581456" w:rsidRDefault="008E0B6F">
      <w:pPr>
        <w:rPr>
          <w:rFonts w:ascii="Helvetica Neue" w:hAnsi="Helvetica Neue" w:cs="Helvetica"/>
          <w:b/>
          <w:bCs/>
          <w:sz w:val="24"/>
          <w:szCs w:val="24"/>
        </w:rPr>
      </w:pPr>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r w:rsidR="00581456">
        <w:rPr>
          <w:rFonts w:ascii="Helvetica Neue" w:hAnsi="Helvetica Neue" w:cs="Helvetica"/>
          <w:b/>
          <w:bCs/>
          <w:sz w:val="24"/>
          <w:szCs w:val="24"/>
        </w:rPr>
        <w:t xml:space="preserve"> </w:t>
      </w:r>
    </w:p>
    <w:p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581456">
        <w:rPr>
          <w:rFonts w:ascii="Helvetica Neue" w:hAnsi="Helvetica Neue" w:cs="Helvetica"/>
          <w:color w:val="353535"/>
          <w:sz w:val="24"/>
          <w:szCs w:val="24"/>
        </w:rPr>
        <w:t>N/a</w:t>
      </w:r>
      <w:proofErr w:type="gramEnd"/>
    </w:p>
    <w:p w:rsidR="005540D7" w:rsidRDefault="005540D7"/>
    <w:sectPr w:rsidR="005540D7">
      <w:headerReference w:type="even" r:id="rId42"/>
      <w:headerReference w:type="default" r:id="rId43"/>
      <w:footerReference w:type="even" r:id="rId44"/>
      <w:footerReference w:type="default" r:id="rId45"/>
      <w:headerReference w:type="first" r:id="rId46"/>
      <w:footerReference w:type="first" r:id="rId47"/>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7BF" w:rsidRDefault="000847BF">
      <w:pPr>
        <w:spacing w:after="0" w:line="240" w:lineRule="auto"/>
      </w:pPr>
      <w:r>
        <w:separator/>
      </w:r>
    </w:p>
  </w:endnote>
  <w:endnote w:type="continuationSeparator" w:id="0">
    <w:p w:rsidR="000847BF" w:rsidRDefault="0008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79DB" w:usb2="00000012"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rPr>
        <w:sz w:val="16"/>
        <w:szCs w:val="16"/>
      </w:rPr>
    </w:pPr>
  </w:p>
  <w:p w:rsidR="000847BF" w:rsidRDefault="000847B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0847BF" w:rsidRDefault="000847B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784D12">
      <w:rPr>
        <w:noProof/>
        <w:sz w:val="16"/>
        <w:szCs w:val="16"/>
      </w:rPr>
      <w:t>21</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7BF" w:rsidRDefault="000847BF">
      <w:pPr>
        <w:spacing w:after="0" w:line="240" w:lineRule="auto"/>
      </w:pPr>
      <w:r>
        <w:separator/>
      </w:r>
    </w:p>
  </w:footnote>
  <w:footnote w:type="continuationSeparator" w:id="0">
    <w:p w:rsidR="000847BF" w:rsidRDefault="00084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F" w:rsidRDefault="00084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9D356AE"/>
    <w:multiLevelType w:val="multilevel"/>
    <w:tmpl w:val="28546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2FA91C6D"/>
    <w:multiLevelType w:val="hybridMultilevel"/>
    <w:tmpl w:val="8230D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9"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3"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6C9440E6"/>
    <w:multiLevelType w:val="multilevel"/>
    <w:tmpl w:val="0CA42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7"/>
  </w:num>
  <w:num w:numId="4">
    <w:abstractNumId w:val="9"/>
  </w:num>
  <w:num w:numId="5">
    <w:abstractNumId w:val="20"/>
  </w:num>
  <w:num w:numId="6">
    <w:abstractNumId w:val="39"/>
  </w:num>
  <w:num w:numId="7">
    <w:abstractNumId w:val="38"/>
  </w:num>
  <w:num w:numId="8">
    <w:abstractNumId w:val="21"/>
  </w:num>
  <w:num w:numId="9">
    <w:abstractNumId w:val="13"/>
  </w:num>
  <w:num w:numId="10">
    <w:abstractNumId w:val="3"/>
  </w:num>
  <w:num w:numId="11">
    <w:abstractNumId w:val="34"/>
  </w:num>
  <w:num w:numId="12">
    <w:abstractNumId w:val="47"/>
  </w:num>
  <w:num w:numId="13">
    <w:abstractNumId w:val="1"/>
  </w:num>
  <w:num w:numId="14">
    <w:abstractNumId w:val="45"/>
  </w:num>
  <w:num w:numId="15">
    <w:abstractNumId w:val="53"/>
  </w:num>
  <w:num w:numId="16">
    <w:abstractNumId w:val="41"/>
  </w:num>
  <w:num w:numId="17">
    <w:abstractNumId w:val="36"/>
  </w:num>
  <w:num w:numId="18">
    <w:abstractNumId w:val="0"/>
  </w:num>
  <w:num w:numId="19">
    <w:abstractNumId w:val="49"/>
  </w:num>
  <w:num w:numId="20">
    <w:abstractNumId w:val="10"/>
  </w:num>
  <w:num w:numId="21">
    <w:abstractNumId w:val="12"/>
  </w:num>
  <w:num w:numId="22">
    <w:abstractNumId w:val="56"/>
  </w:num>
  <w:num w:numId="23">
    <w:abstractNumId w:val="15"/>
  </w:num>
  <w:num w:numId="24">
    <w:abstractNumId w:val="7"/>
  </w:num>
  <w:num w:numId="25">
    <w:abstractNumId w:val="35"/>
  </w:num>
  <w:num w:numId="26">
    <w:abstractNumId w:val="23"/>
  </w:num>
  <w:num w:numId="27">
    <w:abstractNumId w:val="19"/>
  </w:num>
  <w:num w:numId="28">
    <w:abstractNumId w:val="52"/>
  </w:num>
  <w:num w:numId="29">
    <w:abstractNumId w:val="46"/>
  </w:num>
  <w:num w:numId="30">
    <w:abstractNumId w:val="37"/>
  </w:num>
  <w:num w:numId="31">
    <w:abstractNumId w:val="24"/>
  </w:num>
  <w:num w:numId="32">
    <w:abstractNumId w:val="55"/>
  </w:num>
  <w:num w:numId="33">
    <w:abstractNumId w:val="33"/>
  </w:num>
  <w:num w:numId="34">
    <w:abstractNumId w:val="30"/>
  </w:num>
  <w:num w:numId="35">
    <w:abstractNumId w:val="57"/>
  </w:num>
  <w:num w:numId="36">
    <w:abstractNumId w:val="31"/>
  </w:num>
  <w:num w:numId="37">
    <w:abstractNumId w:val="6"/>
  </w:num>
  <w:num w:numId="38">
    <w:abstractNumId w:val="11"/>
  </w:num>
  <w:num w:numId="39">
    <w:abstractNumId w:val="4"/>
  </w:num>
  <w:num w:numId="40">
    <w:abstractNumId w:val="59"/>
  </w:num>
  <w:num w:numId="41">
    <w:abstractNumId w:val="54"/>
  </w:num>
  <w:num w:numId="42">
    <w:abstractNumId w:val="44"/>
  </w:num>
  <w:num w:numId="43">
    <w:abstractNumId w:val="17"/>
  </w:num>
  <w:num w:numId="44">
    <w:abstractNumId w:val="43"/>
  </w:num>
  <w:num w:numId="45">
    <w:abstractNumId w:val="32"/>
  </w:num>
  <w:num w:numId="46">
    <w:abstractNumId w:val="16"/>
  </w:num>
  <w:num w:numId="47">
    <w:abstractNumId w:val="28"/>
  </w:num>
  <w:num w:numId="48">
    <w:abstractNumId w:val="48"/>
  </w:num>
  <w:num w:numId="49">
    <w:abstractNumId w:val="42"/>
  </w:num>
  <w:num w:numId="50">
    <w:abstractNumId w:val="58"/>
  </w:num>
  <w:num w:numId="51">
    <w:abstractNumId w:val="22"/>
  </w:num>
  <w:num w:numId="52">
    <w:abstractNumId w:val="29"/>
  </w:num>
  <w:num w:numId="53">
    <w:abstractNumId w:val="60"/>
  </w:num>
  <w:num w:numId="54">
    <w:abstractNumId w:val="51"/>
  </w:num>
  <w:num w:numId="55">
    <w:abstractNumId w:val="8"/>
  </w:num>
  <w:num w:numId="56">
    <w:abstractNumId w:val="18"/>
  </w:num>
  <w:num w:numId="57">
    <w:abstractNumId w:val="50"/>
  </w:num>
  <w:num w:numId="58">
    <w:abstractNumId w:val="2"/>
  </w:num>
  <w:num w:numId="59">
    <w:abstractNumId w:val="26"/>
  </w:num>
  <w:num w:numId="60">
    <w:abstractNumId w:val="25"/>
  </w:num>
  <w:num w:numId="6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4A6E"/>
    <w:rsid w:val="000338A7"/>
    <w:rsid w:val="00063607"/>
    <w:rsid w:val="00064D87"/>
    <w:rsid w:val="000847BF"/>
    <w:rsid w:val="0012436C"/>
    <w:rsid w:val="00194DB5"/>
    <w:rsid w:val="002C48AB"/>
    <w:rsid w:val="00394B44"/>
    <w:rsid w:val="00516F29"/>
    <w:rsid w:val="005540D7"/>
    <w:rsid w:val="00557672"/>
    <w:rsid w:val="00581456"/>
    <w:rsid w:val="00591603"/>
    <w:rsid w:val="00614794"/>
    <w:rsid w:val="006E0C07"/>
    <w:rsid w:val="00784D12"/>
    <w:rsid w:val="00791DDB"/>
    <w:rsid w:val="00825380"/>
    <w:rsid w:val="008409F2"/>
    <w:rsid w:val="008E0B6F"/>
    <w:rsid w:val="00900086"/>
    <w:rsid w:val="009536DF"/>
    <w:rsid w:val="009D5B6D"/>
    <w:rsid w:val="00BC631A"/>
    <w:rsid w:val="00E56B6E"/>
    <w:rsid w:val="00ED0D6A"/>
    <w:rsid w:val="00F26594"/>
    <w:rsid w:val="00F8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E56B6E"/>
    <w:rPr>
      <w:color w:val="0563C1" w:themeColor="hyperlink"/>
      <w:u w:val="single"/>
    </w:rPr>
  </w:style>
  <w:style w:type="table" w:styleId="TableGrid">
    <w:name w:val="Table Grid"/>
    <w:basedOn w:val="TableNormal"/>
    <w:uiPriority w:val="39"/>
    <w:rsid w:val="000847BF"/>
    <w:pPr>
      <w:jc w:val="both"/>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uiPriority w:val="99"/>
    <w:rsid w:val="000847BF"/>
    <w:pPr>
      <w:spacing w:after="220" w:line="240" w:lineRule="auto"/>
      <w:ind w:left="709"/>
      <w:jc w:val="both"/>
    </w:pPr>
    <w:rPr>
      <w:rFonts w:ascii="Trebuchet MS" w:eastAsia="Times New Roman" w:hAnsi="Trebuchet M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75460">
      <w:bodyDiv w:val="1"/>
      <w:marLeft w:val="0"/>
      <w:marRight w:val="0"/>
      <w:marTop w:val="0"/>
      <w:marBottom w:val="0"/>
      <w:divBdr>
        <w:top w:val="none" w:sz="0" w:space="0" w:color="auto"/>
        <w:left w:val="none" w:sz="0" w:space="0" w:color="auto"/>
        <w:bottom w:val="none" w:sz="0" w:space="0" w:color="auto"/>
        <w:right w:val="none" w:sz="0" w:space="0" w:color="auto"/>
      </w:divBdr>
    </w:div>
    <w:div w:id="877930484">
      <w:bodyDiv w:val="1"/>
      <w:marLeft w:val="0"/>
      <w:marRight w:val="0"/>
      <w:marTop w:val="0"/>
      <w:marBottom w:val="0"/>
      <w:divBdr>
        <w:top w:val="none" w:sz="0" w:space="0" w:color="auto"/>
        <w:left w:val="none" w:sz="0" w:space="0" w:color="auto"/>
        <w:bottom w:val="none" w:sz="0" w:space="0" w:color="auto"/>
        <w:right w:val="none" w:sz="0" w:space="0" w:color="auto"/>
      </w:divBdr>
    </w:div>
    <w:div w:id="1143545574">
      <w:bodyDiv w:val="1"/>
      <w:marLeft w:val="0"/>
      <w:marRight w:val="0"/>
      <w:marTop w:val="0"/>
      <w:marBottom w:val="0"/>
      <w:divBdr>
        <w:top w:val="none" w:sz="0" w:space="0" w:color="auto"/>
        <w:left w:val="none" w:sz="0" w:space="0" w:color="auto"/>
        <w:bottom w:val="none" w:sz="0" w:space="0" w:color="auto"/>
        <w:right w:val="none" w:sz="0" w:space="0" w:color="auto"/>
      </w:divBdr>
    </w:div>
    <w:div w:id="1410226954">
      <w:bodyDiv w:val="1"/>
      <w:marLeft w:val="0"/>
      <w:marRight w:val="0"/>
      <w:marTop w:val="0"/>
      <w:marBottom w:val="0"/>
      <w:divBdr>
        <w:top w:val="none" w:sz="0" w:space="0" w:color="auto"/>
        <w:left w:val="none" w:sz="0" w:space="0" w:color="auto"/>
        <w:bottom w:val="none" w:sz="0" w:space="0" w:color="auto"/>
        <w:right w:val="none" w:sz="0" w:space="0" w:color="auto"/>
      </w:divBdr>
    </w:div>
    <w:div w:id="1588419935">
      <w:bodyDiv w:val="1"/>
      <w:marLeft w:val="0"/>
      <w:marRight w:val="0"/>
      <w:marTop w:val="0"/>
      <w:marBottom w:val="0"/>
      <w:divBdr>
        <w:top w:val="none" w:sz="0" w:space="0" w:color="auto"/>
        <w:left w:val="none" w:sz="0" w:space="0" w:color="auto"/>
        <w:bottom w:val="none" w:sz="0" w:space="0" w:color="auto"/>
        <w:right w:val="none" w:sz="0" w:space="0" w:color="auto"/>
      </w:divBdr>
    </w:div>
    <w:div w:id="1603227265">
      <w:bodyDiv w:val="1"/>
      <w:marLeft w:val="0"/>
      <w:marRight w:val="0"/>
      <w:marTop w:val="0"/>
      <w:marBottom w:val="0"/>
      <w:divBdr>
        <w:top w:val="none" w:sz="0" w:space="0" w:color="auto"/>
        <w:left w:val="none" w:sz="0" w:space="0" w:color="auto"/>
        <w:bottom w:val="none" w:sz="0" w:space="0" w:color="auto"/>
        <w:right w:val="none" w:sz="0" w:space="0" w:color="auto"/>
      </w:divBdr>
    </w:div>
    <w:div w:id="1865363909">
      <w:bodyDiv w:val="1"/>
      <w:marLeft w:val="0"/>
      <w:marRight w:val="0"/>
      <w:marTop w:val="0"/>
      <w:marBottom w:val="0"/>
      <w:divBdr>
        <w:top w:val="none" w:sz="0" w:space="0" w:color="auto"/>
        <w:left w:val="none" w:sz="0" w:space="0" w:color="auto"/>
        <w:bottom w:val="none" w:sz="0" w:space="0" w:color="auto"/>
        <w:right w:val="none" w:sz="0" w:space="0" w:color="auto"/>
      </w:divBdr>
    </w:div>
    <w:div w:id="193635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2.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3.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FA80-00BC-43C3-859A-694C2C43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16589</Words>
  <Characters>94560</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cp:lastModifiedBy>
  <cp:revision>3</cp:revision>
  <cp:lastPrinted>2018-03-08T12:11:00Z</cp:lastPrinted>
  <dcterms:created xsi:type="dcterms:W3CDTF">2019-06-05T13:16:00Z</dcterms:created>
  <dcterms:modified xsi:type="dcterms:W3CDTF">2019-06-05T13:19:00Z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