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bookmarkStart w:id="0" w:name="_GoBack"/>
      <w:bookmarkEnd w:id="0"/>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3F1457" w:rsidTr="00971BA8">
        <w:trPr>
          <w:jc w:val="center"/>
        </w:trPr>
        <w:tc>
          <w:tcPr>
            <w:tcW w:w="9709" w:type="dxa"/>
            <w:shd w:val="clear" w:color="auto" w:fill="006D68"/>
          </w:tcPr>
          <w:p w:rsidR="00AF4C0F" w:rsidRPr="002C62C2" w:rsidRDefault="00AF4C0F" w:rsidP="00D23B77">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Provision of </w:t>
            </w:r>
            <w:r w:rsidR="007D626A">
              <w:rPr>
                <w:rFonts w:asciiTheme="minorHAnsi" w:hAnsiTheme="minorHAnsi" w:cstheme="minorHAnsi"/>
                <w:b/>
                <w:iCs/>
                <w:color w:val="FFFFFF" w:themeColor="background1"/>
                <w:sz w:val="24"/>
              </w:rPr>
              <w:t xml:space="preserve">technical support </w:t>
            </w:r>
            <w:r w:rsidR="00D23B77">
              <w:rPr>
                <w:rFonts w:asciiTheme="minorHAnsi" w:hAnsiTheme="minorHAnsi" w:cstheme="minorHAnsi"/>
                <w:b/>
                <w:iCs/>
                <w:color w:val="FFFFFF" w:themeColor="background1"/>
                <w:sz w:val="24"/>
              </w:rPr>
              <w:t>in the</w:t>
            </w:r>
            <w:r w:rsidR="007D626A">
              <w:rPr>
                <w:rFonts w:asciiTheme="minorHAnsi" w:hAnsiTheme="minorHAnsi" w:cstheme="minorHAnsi"/>
                <w:b/>
                <w:iCs/>
                <w:color w:val="FFFFFF" w:themeColor="background1"/>
                <w:sz w:val="24"/>
              </w:rPr>
              <w:t xml:space="preserve"> closure of </w:t>
            </w:r>
            <w:r w:rsidR="00D23B77">
              <w:rPr>
                <w:rFonts w:asciiTheme="minorHAnsi" w:hAnsiTheme="minorHAnsi" w:cstheme="minorHAnsi"/>
                <w:b/>
                <w:iCs/>
                <w:color w:val="FFFFFF" w:themeColor="background1"/>
                <w:sz w:val="24"/>
              </w:rPr>
              <w:t xml:space="preserve">regulatory issues </w:t>
            </w:r>
            <w:proofErr w:type="gramStart"/>
            <w:r w:rsidR="00D23B77">
              <w:rPr>
                <w:rFonts w:asciiTheme="minorHAnsi" w:hAnsiTheme="minorHAnsi" w:cstheme="minorHAnsi"/>
                <w:b/>
                <w:iCs/>
                <w:color w:val="FFFFFF" w:themeColor="background1"/>
                <w:sz w:val="24"/>
              </w:rPr>
              <w:t>raised</w:t>
            </w:r>
            <w:proofErr w:type="gramEnd"/>
            <w:r w:rsidR="00D23B77">
              <w:rPr>
                <w:rFonts w:asciiTheme="minorHAnsi" w:hAnsiTheme="minorHAnsi" w:cstheme="minorHAnsi"/>
                <w:b/>
                <w:iCs/>
                <w:color w:val="FFFFFF" w:themeColor="background1"/>
                <w:sz w:val="24"/>
              </w:rPr>
              <w:t xml:space="preserve"> during the</w:t>
            </w:r>
            <w:r w:rsidR="007D626A">
              <w:rPr>
                <w:rFonts w:asciiTheme="minorHAnsi" w:hAnsiTheme="minorHAnsi" w:cstheme="minorHAnsi"/>
                <w:b/>
                <w:iCs/>
                <w:color w:val="FFFFFF" w:themeColor="background1"/>
                <w:sz w:val="24"/>
              </w:rPr>
              <w:t xml:space="preserve"> Nuclear Island Concrete </w:t>
            </w:r>
            <w:proofErr w:type="spellStart"/>
            <w:r w:rsidR="007D626A">
              <w:rPr>
                <w:rFonts w:asciiTheme="minorHAnsi" w:hAnsiTheme="minorHAnsi" w:cstheme="minorHAnsi"/>
                <w:b/>
                <w:iCs/>
                <w:color w:val="FFFFFF" w:themeColor="background1"/>
                <w:sz w:val="24"/>
              </w:rPr>
              <w:t>permissioning</w:t>
            </w:r>
            <w:proofErr w:type="spellEnd"/>
            <w:r w:rsidR="007D626A">
              <w:rPr>
                <w:rFonts w:asciiTheme="minorHAnsi" w:hAnsiTheme="minorHAnsi" w:cstheme="minorHAnsi"/>
                <w:b/>
                <w:iCs/>
                <w:color w:val="FFFFFF" w:themeColor="background1"/>
                <w:sz w:val="24"/>
              </w:rPr>
              <w:t xml:space="preserve"> milestone.</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rsidR="002C62C2" w:rsidRPr="00773F3D" w:rsidRDefault="00773F3D" w:rsidP="00F45431">
            <w:pPr>
              <w:pStyle w:val="TSNumberedParagraph11"/>
              <w:tabs>
                <w:tab w:val="clear" w:pos="-31680"/>
                <w:tab w:val="left" w:pos="0"/>
              </w:tabs>
              <w:overflowPunct w:val="0"/>
              <w:autoSpaceDE w:val="0"/>
              <w:autoSpaceDN w:val="0"/>
              <w:adjustRightInd w:val="0"/>
              <w:ind w:left="0" w:firstLine="0"/>
              <w:textAlignment w:val="baseline"/>
              <w:rPr>
                <w:rFonts w:asciiTheme="minorHAnsi" w:hAnsiTheme="minorHAnsi" w:cstheme="minorHAnsi"/>
              </w:rPr>
            </w:pPr>
            <w:r>
              <w:rPr>
                <w:rFonts w:asciiTheme="minorHAnsi" w:hAnsiTheme="minorHAnsi" w:cstheme="minorHAnsi"/>
              </w:rPr>
              <w:t xml:space="preserve">During Nuclear Island Concrete (NIC) </w:t>
            </w:r>
            <w:proofErr w:type="spellStart"/>
            <w:r>
              <w:rPr>
                <w:rFonts w:asciiTheme="minorHAnsi" w:hAnsiTheme="minorHAnsi" w:cstheme="minorHAnsi"/>
              </w:rPr>
              <w:t>permissioning</w:t>
            </w:r>
            <w:proofErr w:type="spellEnd"/>
            <w:r>
              <w:rPr>
                <w:rFonts w:asciiTheme="minorHAnsi" w:hAnsiTheme="minorHAnsi" w:cstheme="minorHAnsi"/>
              </w:rPr>
              <w:t xml:space="preserve"> assessment a Technical Support Contractor (TSC) was employed to undertake technical assessment, on a sampling basis, of evidential documentation supporting the safety case submission. During this technical assessment, a number of queries were raised by the TSC with some outstanding at the end </w:t>
            </w:r>
            <w:r w:rsidR="00F45431">
              <w:rPr>
                <w:rFonts w:asciiTheme="minorHAnsi" w:hAnsiTheme="minorHAnsi" w:cstheme="minorHAnsi"/>
              </w:rPr>
              <w:t>that were not considered significant enough to prevent granting permission for NIC</w:t>
            </w:r>
            <w:r>
              <w:rPr>
                <w:rFonts w:asciiTheme="minorHAnsi" w:hAnsiTheme="minorHAnsi" w:cstheme="minorHAnsi"/>
              </w:rPr>
              <w:t>. These were captured within a Regulatory Issue (RI) format to monitor closure. Submissions are now being prepared by the Licensee in response to these technical queries which require further technical assessment.</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SCOPE OF THE SERVICES REQUIRED</w:t>
            </w:r>
          </w:p>
          <w:p w:rsidR="00773F3D" w:rsidRDefault="00F52201" w:rsidP="00773F3D">
            <w:pPr>
              <w:pStyle w:val="TSNumberedParagraph11"/>
              <w:tabs>
                <w:tab w:val="clear" w:pos="-31680"/>
                <w:tab w:val="left" w:pos="0"/>
              </w:tabs>
              <w:ind w:left="0" w:firstLine="0"/>
              <w:jc w:val="both"/>
              <w:rPr>
                <w:rFonts w:asciiTheme="minorHAnsi" w:hAnsiTheme="minorHAnsi" w:cstheme="minorHAnsi"/>
              </w:rPr>
            </w:pPr>
            <w:r>
              <w:rPr>
                <w:rFonts w:asciiTheme="minorHAnsi" w:hAnsiTheme="minorHAnsi" w:cstheme="minorHAnsi"/>
              </w:rPr>
              <w:t>The scope of services required relate to support in assessing the submissions received in response to regulatory issues used to capture outstanding technical queri</w:t>
            </w:r>
            <w:r w:rsidR="00797B5E">
              <w:rPr>
                <w:rFonts w:asciiTheme="minorHAnsi" w:hAnsiTheme="minorHAnsi" w:cstheme="minorHAnsi"/>
              </w:rPr>
              <w:t xml:space="preserve">es raised by the TSC at the end of the </w:t>
            </w:r>
            <w:proofErr w:type="spellStart"/>
            <w:r w:rsidR="00797B5E">
              <w:rPr>
                <w:rFonts w:asciiTheme="minorHAnsi" w:hAnsiTheme="minorHAnsi" w:cstheme="minorHAnsi"/>
              </w:rPr>
              <w:t>permissioning</w:t>
            </w:r>
            <w:proofErr w:type="spellEnd"/>
            <w:r w:rsidR="00797B5E">
              <w:rPr>
                <w:rFonts w:asciiTheme="minorHAnsi" w:hAnsiTheme="minorHAnsi" w:cstheme="minorHAnsi"/>
              </w:rPr>
              <w:t xml:space="preserve"> milestone. </w:t>
            </w:r>
          </w:p>
          <w:p w:rsidR="001F2711" w:rsidRDefault="00797B5E" w:rsidP="00773F3D">
            <w:pPr>
              <w:pStyle w:val="TSNumberedParagraph11"/>
              <w:tabs>
                <w:tab w:val="clear" w:pos="-31680"/>
                <w:tab w:val="left" w:pos="0"/>
              </w:tabs>
              <w:ind w:left="0" w:firstLine="0"/>
              <w:jc w:val="both"/>
              <w:rPr>
                <w:rFonts w:asciiTheme="minorHAnsi" w:hAnsiTheme="minorHAnsi" w:cstheme="minorHAnsi"/>
              </w:rPr>
            </w:pPr>
            <w:r>
              <w:rPr>
                <w:rFonts w:asciiTheme="minorHAnsi" w:hAnsiTheme="minorHAnsi" w:cstheme="minorHAnsi"/>
              </w:rPr>
              <w:t>The scope of work will require the TSC to evaluate the responses given to the technical queries and to sample supporting documents where required. The expected outcome is a technical note against each RI</w:t>
            </w:r>
            <w:r w:rsidR="00037D2F">
              <w:rPr>
                <w:rFonts w:asciiTheme="minorHAnsi" w:hAnsiTheme="minorHAnsi" w:cstheme="minorHAnsi"/>
              </w:rPr>
              <w:t xml:space="preserve"> and specified observation</w:t>
            </w:r>
            <w:r>
              <w:rPr>
                <w:rFonts w:asciiTheme="minorHAnsi" w:hAnsiTheme="minorHAnsi" w:cstheme="minorHAnsi"/>
              </w:rPr>
              <w:t xml:space="preserve">. </w:t>
            </w:r>
            <w:r w:rsidR="001069A0">
              <w:rPr>
                <w:rFonts w:asciiTheme="minorHAnsi" w:hAnsiTheme="minorHAnsi" w:cstheme="minorHAnsi"/>
              </w:rPr>
              <w:t xml:space="preserve">It is anticipated that </w:t>
            </w:r>
            <w:r w:rsidR="008443C8">
              <w:rPr>
                <w:rFonts w:asciiTheme="minorHAnsi" w:hAnsiTheme="minorHAnsi" w:cstheme="minorHAnsi"/>
              </w:rPr>
              <w:t xml:space="preserve">six </w:t>
            </w:r>
            <w:r w:rsidR="00534136">
              <w:rPr>
                <w:rFonts w:asciiTheme="minorHAnsi" w:hAnsiTheme="minorHAnsi" w:cstheme="minorHAnsi"/>
              </w:rPr>
              <w:t>Regulatory issues will require support (RI’s 6</w:t>
            </w:r>
            <w:r w:rsidR="00BB10D3">
              <w:rPr>
                <w:rFonts w:asciiTheme="minorHAnsi" w:hAnsiTheme="minorHAnsi" w:cstheme="minorHAnsi"/>
              </w:rPr>
              <w:t>695</w:t>
            </w:r>
            <w:r w:rsidR="00D91A62">
              <w:rPr>
                <w:rFonts w:asciiTheme="minorHAnsi" w:hAnsiTheme="minorHAnsi" w:cstheme="minorHAnsi"/>
              </w:rPr>
              <w:t xml:space="preserve">, </w:t>
            </w:r>
            <w:r w:rsidR="00534136">
              <w:rPr>
                <w:rFonts w:asciiTheme="minorHAnsi" w:hAnsiTheme="minorHAnsi" w:cstheme="minorHAnsi"/>
              </w:rPr>
              <w:t>6698</w:t>
            </w:r>
            <w:r w:rsidR="00D91A62">
              <w:rPr>
                <w:rFonts w:asciiTheme="minorHAnsi" w:hAnsiTheme="minorHAnsi" w:cstheme="minorHAnsi"/>
              </w:rPr>
              <w:t>,</w:t>
            </w:r>
            <w:r w:rsidR="001069A0">
              <w:rPr>
                <w:rFonts w:asciiTheme="minorHAnsi" w:hAnsiTheme="minorHAnsi" w:cstheme="minorHAnsi"/>
              </w:rPr>
              <w:t xml:space="preserve"> </w:t>
            </w:r>
            <w:r w:rsidR="00D91A62">
              <w:rPr>
                <w:rFonts w:asciiTheme="minorHAnsi" w:hAnsiTheme="minorHAnsi" w:cstheme="minorHAnsi"/>
              </w:rPr>
              <w:t>6694 (tied to Arup finding HD-</w:t>
            </w:r>
            <w:r w:rsidR="00901BE2">
              <w:rPr>
                <w:rFonts w:asciiTheme="minorHAnsi" w:hAnsiTheme="minorHAnsi" w:cstheme="minorHAnsi"/>
              </w:rPr>
              <w:t xml:space="preserve">11), 6693 (tied to Arup finding </w:t>
            </w:r>
            <w:r w:rsidR="00D91A62">
              <w:rPr>
                <w:rFonts w:asciiTheme="minorHAnsi" w:hAnsiTheme="minorHAnsi" w:cstheme="minorHAnsi"/>
              </w:rPr>
              <w:t xml:space="preserve">IC-16), </w:t>
            </w:r>
            <w:r w:rsidR="007658B6">
              <w:rPr>
                <w:rFonts w:asciiTheme="minorHAnsi" w:hAnsiTheme="minorHAnsi" w:cstheme="minorHAnsi"/>
              </w:rPr>
              <w:t>6691 (tied to Arup finding HRIS-15), 6688 (tied to Arup finding HN-3)</w:t>
            </w:r>
            <w:r w:rsidR="00D91A62">
              <w:rPr>
                <w:rFonts w:asciiTheme="minorHAnsi" w:hAnsiTheme="minorHAnsi" w:cstheme="minorHAnsi"/>
              </w:rPr>
              <w:t xml:space="preserve"> </w:t>
            </w:r>
            <w:r w:rsidR="001069A0">
              <w:rPr>
                <w:rFonts w:asciiTheme="minorHAnsi" w:hAnsiTheme="minorHAnsi" w:cstheme="minorHAnsi"/>
              </w:rPr>
              <w:t xml:space="preserve">– copies of the regulatory issues </w:t>
            </w:r>
            <w:r w:rsidR="004A5C44">
              <w:rPr>
                <w:rFonts w:asciiTheme="minorHAnsi" w:hAnsiTheme="minorHAnsi" w:cstheme="minorHAnsi"/>
              </w:rPr>
              <w:t xml:space="preserve">are included </w:t>
            </w:r>
            <w:r w:rsidR="00BB6EB0">
              <w:rPr>
                <w:rFonts w:asciiTheme="minorHAnsi" w:hAnsiTheme="minorHAnsi" w:cstheme="minorHAnsi"/>
              </w:rPr>
              <w:t>in</w:t>
            </w:r>
            <w:r w:rsidR="007658B6">
              <w:rPr>
                <w:rFonts w:asciiTheme="minorHAnsi" w:hAnsiTheme="minorHAnsi" w:cstheme="minorHAnsi"/>
              </w:rPr>
              <w:t xml:space="preserve"> appendix</w:t>
            </w:r>
            <w:r w:rsidR="00BB6EB0">
              <w:rPr>
                <w:rFonts w:asciiTheme="minorHAnsi" w:hAnsiTheme="minorHAnsi" w:cstheme="minorHAnsi"/>
              </w:rPr>
              <w:t xml:space="preserve"> A</w:t>
            </w:r>
            <w:r w:rsidR="00240391">
              <w:rPr>
                <w:rFonts w:asciiTheme="minorHAnsi" w:hAnsiTheme="minorHAnsi" w:cstheme="minorHAnsi"/>
              </w:rPr>
              <w:t>)</w:t>
            </w:r>
            <w:r w:rsidR="00534136">
              <w:rPr>
                <w:rFonts w:asciiTheme="minorHAnsi" w:hAnsiTheme="minorHAnsi" w:cstheme="minorHAnsi"/>
              </w:rPr>
              <w:t xml:space="preserve">. </w:t>
            </w:r>
            <w:r w:rsidR="004A5C44">
              <w:rPr>
                <w:rFonts w:asciiTheme="minorHAnsi" w:hAnsiTheme="minorHAnsi" w:cstheme="minorHAnsi"/>
              </w:rPr>
              <w:t>Responses to</w:t>
            </w:r>
            <w:r w:rsidR="00D35663">
              <w:rPr>
                <w:rFonts w:asciiTheme="minorHAnsi" w:hAnsiTheme="minorHAnsi" w:cstheme="minorHAnsi"/>
              </w:rPr>
              <w:t xml:space="preserve"> regulatory issues 6695 and 6698 </w:t>
            </w:r>
            <w:r w:rsidR="00534136">
              <w:rPr>
                <w:rFonts w:asciiTheme="minorHAnsi" w:hAnsiTheme="minorHAnsi" w:cstheme="minorHAnsi"/>
              </w:rPr>
              <w:t xml:space="preserve">are expected to be </w:t>
            </w:r>
            <w:r w:rsidR="00037D2F">
              <w:rPr>
                <w:rFonts w:asciiTheme="minorHAnsi" w:hAnsiTheme="minorHAnsi" w:cstheme="minorHAnsi"/>
              </w:rPr>
              <w:t>short summaries</w:t>
            </w:r>
            <w:r w:rsidR="004D1B2A">
              <w:rPr>
                <w:rFonts w:asciiTheme="minorHAnsi" w:hAnsiTheme="minorHAnsi" w:cstheme="minorHAnsi"/>
              </w:rPr>
              <w:t xml:space="preserve"> (roughly half a page per observation)</w:t>
            </w:r>
            <w:r w:rsidR="00037D2F">
              <w:rPr>
                <w:rFonts w:asciiTheme="minorHAnsi" w:hAnsiTheme="minorHAnsi" w:cstheme="minorHAnsi"/>
              </w:rPr>
              <w:t xml:space="preserve"> against each observation</w:t>
            </w:r>
            <w:r w:rsidR="008F0C78">
              <w:rPr>
                <w:rFonts w:asciiTheme="minorHAnsi" w:hAnsiTheme="minorHAnsi" w:cstheme="minorHAnsi"/>
              </w:rPr>
              <w:t xml:space="preserve"> (96 observations in total</w:t>
            </w:r>
            <w:r w:rsidR="00947ADC">
              <w:rPr>
                <w:rFonts w:asciiTheme="minorHAnsi" w:hAnsiTheme="minorHAnsi" w:cstheme="minorHAnsi"/>
              </w:rPr>
              <w:t xml:space="preserve">, </w:t>
            </w:r>
            <w:r w:rsidR="00E01464">
              <w:rPr>
                <w:rFonts w:asciiTheme="minorHAnsi" w:hAnsiTheme="minorHAnsi" w:cstheme="minorHAnsi"/>
              </w:rPr>
              <w:t>6</w:t>
            </w:r>
            <w:r w:rsidR="00947ADC">
              <w:rPr>
                <w:rFonts w:asciiTheme="minorHAnsi" w:hAnsiTheme="minorHAnsi" w:cstheme="minorHAnsi"/>
              </w:rPr>
              <w:t xml:space="preserve"> have been identified as not requiring TSC assessment</w:t>
            </w:r>
            <w:r w:rsidR="00485EDF">
              <w:rPr>
                <w:rFonts w:asciiTheme="minorHAnsi" w:hAnsiTheme="minorHAnsi" w:cstheme="minorHAnsi"/>
              </w:rPr>
              <w:t xml:space="preserve"> as they are general observations</w:t>
            </w:r>
            <w:r w:rsidR="00947ADC">
              <w:rPr>
                <w:rFonts w:asciiTheme="minorHAnsi" w:hAnsiTheme="minorHAnsi" w:cstheme="minorHAnsi"/>
              </w:rPr>
              <w:t xml:space="preserve"> – See appendix B</w:t>
            </w:r>
            <w:r w:rsidR="008F0C78">
              <w:rPr>
                <w:rFonts w:asciiTheme="minorHAnsi" w:hAnsiTheme="minorHAnsi" w:cstheme="minorHAnsi"/>
              </w:rPr>
              <w:t>)</w:t>
            </w:r>
            <w:r w:rsidR="001069A0">
              <w:rPr>
                <w:rFonts w:asciiTheme="minorHAnsi" w:hAnsiTheme="minorHAnsi" w:cstheme="minorHAnsi"/>
              </w:rPr>
              <w:t>;</w:t>
            </w:r>
            <w:r w:rsidR="00534136">
              <w:rPr>
                <w:rFonts w:asciiTheme="minorHAnsi" w:hAnsiTheme="minorHAnsi" w:cstheme="minorHAnsi"/>
              </w:rPr>
              <w:t xml:space="preserve"> </w:t>
            </w:r>
            <w:r w:rsidR="00BA3C09">
              <w:rPr>
                <w:rFonts w:asciiTheme="minorHAnsi" w:hAnsiTheme="minorHAnsi" w:cstheme="minorHAnsi"/>
              </w:rPr>
              <w:t>on</w:t>
            </w:r>
            <w:r w:rsidR="00D35663">
              <w:rPr>
                <w:rFonts w:asciiTheme="minorHAnsi" w:hAnsiTheme="minorHAnsi" w:cstheme="minorHAnsi"/>
              </w:rPr>
              <w:t xml:space="preserve"> consideration of the observations, ONR considers that around 10 of these will likely require further sampling. The contractor may indicate further observations that they believe need further investigation for ONR’s consideration. </w:t>
            </w:r>
            <w:r w:rsidR="008443C8">
              <w:rPr>
                <w:rFonts w:asciiTheme="minorHAnsi" w:hAnsiTheme="minorHAnsi" w:cstheme="minorHAnsi"/>
              </w:rPr>
              <w:t>Responses to other regulatory issues are likely to be under 10 pages in length but may require sampling of supporting documentation for understanding.</w:t>
            </w:r>
          </w:p>
          <w:p w:rsidR="001069A0" w:rsidRDefault="001069A0" w:rsidP="00773F3D">
            <w:pPr>
              <w:pStyle w:val="TSNumberedParagraph11"/>
              <w:tabs>
                <w:tab w:val="clear" w:pos="-31680"/>
                <w:tab w:val="left" w:pos="0"/>
              </w:tabs>
              <w:ind w:left="0" w:firstLine="0"/>
              <w:jc w:val="both"/>
              <w:rPr>
                <w:rFonts w:asciiTheme="minorHAnsi" w:hAnsiTheme="minorHAnsi" w:cstheme="minorHAnsi"/>
              </w:rPr>
            </w:pPr>
            <w:r>
              <w:rPr>
                <w:rFonts w:asciiTheme="minorHAnsi" w:hAnsiTheme="minorHAnsi" w:cstheme="minorHAnsi"/>
              </w:rPr>
              <w:t>Timescales for completion of a ‘technical closure note’ vary depending on the regulatory issue and the foreclosure risk associated. The expected timescales are as follows:</w:t>
            </w:r>
          </w:p>
          <w:p w:rsidR="001069A0" w:rsidRDefault="00C6395B" w:rsidP="00947ADC">
            <w:pPr>
              <w:pStyle w:val="TSNumberedParagraph11"/>
              <w:numPr>
                <w:ilvl w:val="0"/>
                <w:numId w:val="4"/>
              </w:numPr>
              <w:tabs>
                <w:tab w:val="left" w:pos="0"/>
              </w:tabs>
              <w:spacing w:after="0"/>
              <w:jc w:val="both"/>
              <w:rPr>
                <w:rFonts w:asciiTheme="minorHAnsi" w:hAnsiTheme="minorHAnsi" w:cstheme="minorHAnsi"/>
              </w:rPr>
            </w:pPr>
            <w:r>
              <w:rPr>
                <w:rFonts w:asciiTheme="minorHAnsi" w:hAnsiTheme="minorHAnsi" w:cstheme="minorHAnsi"/>
              </w:rPr>
              <w:t xml:space="preserve">6695: </w:t>
            </w:r>
            <w:r w:rsidRPr="00C6395B">
              <w:rPr>
                <w:rFonts w:asciiTheme="minorHAnsi" w:hAnsiTheme="minorHAnsi" w:cstheme="minorHAnsi"/>
              </w:rPr>
              <w:t>NIC assessment – Closure of structural analysis modelling calibration and verification activities</w:t>
            </w:r>
            <w:r w:rsidR="00CD0D7E">
              <w:rPr>
                <w:rFonts w:asciiTheme="minorHAnsi" w:hAnsiTheme="minorHAnsi" w:cstheme="minorHAnsi"/>
              </w:rPr>
              <w:t xml:space="preserve"> </w:t>
            </w:r>
            <w:r w:rsidR="00BA3C09">
              <w:rPr>
                <w:rFonts w:asciiTheme="minorHAnsi" w:hAnsiTheme="minorHAnsi" w:cstheme="minorHAnsi"/>
              </w:rPr>
              <w:t xml:space="preserve">(15 of the 96 observations) </w:t>
            </w:r>
            <w:r>
              <w:rPr>
                <w:rFonts w:asciiTheme="minorHAnsi" w:hAnsiTheme="minorHAnsi" w:cstheme="minorHAnsi"/>
              </w:rPr>
              <w:t xml:space="preserve">(Closure aim </w:t>
            </w:r>
            <w:r w:rsidR="008F0C78">
              <w:rPr>
                <w:rFonts w:asciiTheme="minorHAnsi" w:hAnsiTheme="minorHAnsi" w:cstheme="minorHAnsi"/>
              </w:rPr>
              <w:t>October 2019</w:t>
            </w:r>
            <w:r>
              <w:rPr>
                <w:rFonts w:asciiTheme="minorHAnsi" w:hAnsiTheme="minorHAnsi" w:cstheme="minorHAnsi"/>
              </w:rPr>
              <w:t>)</w:t>
            </w:r>
            <w:r w:rsidRPr="00C6395B">
              <w:rPr>
                <w:rFonts w:asciiTheme="minorHAnsi" w:hAnsiTheme="minorHAnsi" w:cstheme="minorHAnsi"/>
              </w:rPr>
              <w:t>.</w:t>
            </w:r>
          </w:p>
          <w:p w:rsidR="008F0C78" w:rsidRDefault="00C6395B" w:rsidP="00947ADC">
            <w:pPr>
              <w:pStyle w:val="TSNumberedParagraph11"/>
              <w:numPr>
                <w:ilvl w:val="0"/>
                <w:numId w:val="4"/>
              </w:numPr>
              <w:tabs>
                <w:tab w:val="left" w:pos="0"/>
              </w:tabs>
              <w:spacing w:after="0"/>
              <w:ind w:left="714" w:hanging="357"/>
              <w:jc w:val="both"/>
              <w:rPr>
                <w:rFonts w:asciiTheme="minorHAnsi" w:hAnsiTheme="minorHAnsi" w:cstheme="minorHAnsi"/>
              </w:rPr>
            </w:pPr>
            <w:r>
              <w:rPr>
                <w:rFonts w:asciiTheme="minorHAnsi" w:hAnsiTheme="minorHAnsi" w:cstheme="minorHAnsi"/>
              </w:rPr>
              <w:t>6698:</w:t>
            </w:r>
            <w:r w:rsidR="001069A0">
              <w:rPr>
                <w:rFonts w:asciiTheme="minorHAnsi" w:hAnsiTheme="minorHAnsi" w:cstheme="minorHAnsi"/>
              </w:rPr>
              <w:t xml:space="preserve"> </w:t>
            </w:r>
            <w:r w:rsidRPr="00C6395B">
              <w:rPr>
                <w:rFonts w:asciiTheme="minorHAnsi" w:hAnsiTheme="minorHAnsi" w:cstheme="minorHAnsi"/>
              </w:rPr>
              <w:t>NIC assessment – Review and sentencing of the observations of Arup from its assessme</w:t>
            </w:r>
            <w:r>
              <w:rPr>
                <w:rFonts w:asciiTheme="minorHAnsi" w:hAnsiTheme="minorHAnsi" w:cstheme="minorHAnsi"/>
              </w:rPr>
              <w:t xml:space="preserve">nt of the sampled NI Structures </w:t>
            </w:r>
            <w:r w:rsidR="00BA3C09">
              <w:rPr>
                <w:rFonts w:asciiTheme="minorHAnsi" w:hAnsiTheme="minorHAnsi" w:cstheme="minorHAnsi"/>
              </w:rPr>
              <w:t xml:space="preserve">(81 of the 96 observations) </w:t>
            </w:r>
            <w:r>
              <w:rPr>
                <w:rFonts w:asciiTheme="minorHAnsi" w:hAnsiTheme="minorHAnsi" w:cstheme="minorHAnsi"/>
              </w:rPr>
              <w:t xml:space="preserve">(Closure Aim </w:t>
            </w:r>
            <w:r w:rsidR="00D23B77">
              <w:rPr>
                <w:rFonts w:asciiTheme="minorHAnsi" w:hAnsiTheme="minorHAnsi" w:cstheme="minorHAnsi"/>
              </w:rPr>
              <w:t>December</w:t>
            </w:r>
            <w:r w:rsidR="00BB10D3">
              <w:rPr>
                <w:rFonts w:asciiTheme="minorHAnsi" w:hAnsiTheme="minorHAnsi" w:cstheme="minorHAnsi"/>
              </w:rPr>
              <w:t xml:space="preserve"> 2019</w:t>
            </w:r>
            <w:r>
              <w:rPr>
                <w:rFonts w:asciiTheme="minorHAnsi" w:hAnsiTheme="minorHAnsi" w:cstheme="minorHAnsi"/>
              </w:rPr>
              <w:t xml:space="preserve">, however </w:t>
            </w:r>
            <w:r w:rsidR="00BB10D3">
              <w:rPr>
                <w:rFonts w:asciiTheme="minorHAnsi" w:hAnsiTheme="minorHAnsi" w:cstheme="minorHAnsi"/>
              </w:rPr>
              <w:t>this is to be release</w:t>
            </w:r>
            <w:r w:rsidR="00D23B77">
              <w:rPr>
                <w:rFonts w:asciiTheme="minorHAnsi" w:hAnsiTheme="minorHAnsi" w:cstheme="minorHAnsi"/>
              </w:rPr>
              <w:t>d in stages</w:t>
            </w:r>
            <w:r w:rsidR="00BB10D3">
              <w:rPr>
                <w:rFonts w:asciiTheme="minorHAnsi" w:hAnsiTheme="minorHAnsi" w:cstheme="minorHAnsi"/>
              </w:rPr>
              <w:t xml:space="preserve"> </w:t>
            </w:r>
            <w:r>
              <w:rPr>
                <w:rFonts w:asciiTheme="minorHAnsi" w:hAnsiTheme="minorHAnsi" w:cstheme="minorHAnsi"/>
              </w:rPr>
              <w:t>with draft responses</w:t>
            </w:r>
            <w:r w:rsidR="00BB10D3">
              <w:rPr>
                <w:rFonts w:asciiTheme="minorHAnsi" w:hAnsiTheme="minorHAnsi" w:cstheme="minorHAnsi"/>
              </w:rPr>
              <w:t xml:space="preserve"> t</w:t>
            </w:r>
            <w:r w:rsidR="00D23B77">
              <w:rPr>
                <w:rFonts w:asciiTheme="minorHAnsi" w:hAnsiTheme="minorHAnsi" w:cstheme="minorHAnsi"/>
              </w:rPr>
              <w:t xml:space="preserve">o be </w:t>
            </w:r>
            <w:r w:rsidR="0000329D">
              <w:rPr>
                <w:rFonts w:asciiTheme="minorHAnsi" w:hAnsiTheme="minorHAnsi" w:cstheme="minorHAnsi"/>
              </w:rPr>
              <w:t>provided in relation to</w:t>
            </w:r>
            <w:r w:rsidR="00D23B77">
              <w:rPr>
                <w:rFonts w:asciiTheme="minorHAnsi" w:hAnsiTheme="minorHAnsi" w:cstheme="minorHAnsi"/>
              </w:rPr>
              <w:t xml:space="preserve"> each stage)</w:t>
            </w:r>
            <w:r w:rsidR="008F0C78">
              <w:rPr>
                <w:rFonts w:asciiTheme="minorHAnsi" w:hAnsiTheme="minorHAnsi" w:cstheme="minorHAnsi"/>
              </w:rPr>
              <w:t xml:space="preserve">. </w:t>
            </w:r>
            <w:r w:rsidR="00BA3C09">
              <w:rPr>
                <w:rFonts w:asciiTheme="minorHAnsi" w:hAnsiTheme="minorHAnsi" w:cstheme="minorHAnsi"/>
              </w:rPr>
              <w:t>Stages</w:t>
            </w:r>
            <w:r w:rsidR="008F0C78">
              <w:rPr>
                <w:rFonts w:asciiTheme="minorHAnsi" w:hAnsiTheme="minorHAnsi" w:cstheme="minorHAnsi"/>
              </w:rPr>
              <w:t xml:space="preserve"> are in relation to building, the current expected delivery dates</w:t>
            </w:r>
            <w:r w:rsidR="00E5719C">
              <w:rPr>
                <w:rFonts w:asciiTheme="minorHAnsi" w:hAnsiTheme="minorHAnsi" w:cstheme="minorHAnsi"/>
              </w:rPr>
              <w:t xml:space="preserve"> from the Licensee</w:t>
            </w:r>
            <w:r w:rsidR="008F0C78">
              <w:rPr>
                <w:rFonts w:asciiTheme="minorHAnsi" w:hAnsiTheme="minorHAnsi" w:cstheme="minorHAnsi"/>
              </w:rPr>
              <w:t xml:space="preserve"> are as follows; </w:t>
            </w:r>
          </w:p>
          <w:p w:rsidR="008F0C78" w:rsidRPr="008F0C78" w:rsidRDefault="008F0C78" w:rsidP="00947ADC">
            <w:pPr>
              <w:pStyle w:val="TSNumberedParagraph11"/>
              <w:numPr>
                <w:ilvl w:val="1"/>
                <w:numId w:val="4"/>
              </w:numPr>
              <w:tabs>
                <w:tab w:val="left" w:pos="0"/>
              </w:tabs>
              <w:spacing w:after="0"/>
              <w:ind w:left="1434" w:hanging="357"/>
              <w:jc w:val="both"/>
              <w:rPr>
                <w:rFonts w:asciiTheme="minorHAnsi" w:hAnsiTheme="minorHAnsi" w:cstheme="minorHAnsi"/>
              </w:rPr>
            </w:pPr>
            <w:r w:rsidRPr="008F0C78">
              <w:rPr>
                <w:rFonts w:asciiTheme="minorHAnsi" w:hAnsiTheme="minorHAnsi" w:cstheme="minorHAnsi"/>
              </w:rPr>
              <w:t xml:space="preserve">CRX - 06 Aug </w:t>
            </w:r>
            <w:r w:rsidR="008443C8">
              <w:rPr>
                <w:rFonts w:asciiTheme="minorHAnsi" w:hAnsiTheme="minorHAnsi" w:cstheme="minorHAnsi"/>
              </w:rPr>
              <w:t>2019</w:t>
            </w:r>
          </w:p>
          <w:p w:rsidR="008F0C78" w:rsidRPr="008F0C78" w:rsidRDefault="008F0C78" w:rsidP="00947ADC">
            <w:pPr>
              <w:pStyle w:val="TSNumberedParagraph11"/>
              <w:numPr>
                <w:ilvl w:val="1"/>
                <w:numId w:val="4"/>
              </w:numPr>
              <w:tabs>
                <w:tab w:val="left" w:pos="0"/>
              </w:tabs>
              <w:spacing w:after="0"/>
              <w:ind w:left="1434" w:hanging="357"/>
              <w:jc w:val="both"/>
              <w:rPr>
                <w:rFonts w:asciiTheme="minorHAnsi" w:hAnsiTheme="minorHAnsi" w:cstheme="minorHAnsi"/>
              </w:rPr>
            </w:pPr>
            <w:r w:rsidRPr="008F0C78">
              <w:rPr>
                <w:rFonts w:asciiTheme="minorHAnsi" w:hAnsiTheme="minorHAnsi" w:cstheme="minorHAnsi"/>
              </w:rPr>
              <w:t xml:space="preserve">IC - 06 Sept </w:t>
            </w:r>
            <w:r w:rsidR="008443C8">
              <w:rPr>
                <w:rFonts w:asciiTheme="minorHAnsi" w:hAnsiTheme="minorHAnsi" w:cstheme="minorHAnsi"/>
              </w:rPr>
              <w:t>2019</w:t>
            </w:r>
          </w:p>
          <w:p w:rsidR="008F0C78" w:rsidRPr="008F0C78" w:rsidRDefault="008F0C78" w:rsidP="00947ADC">
            <w:pPr>
              <w:pStyle w:val="TSNumberedParagraph11"/>
              <w:numPr>
                <w:ilvl w:val="1"/>
                <w:numId w:val="4"/>
              </w:numPr>
              <w:tabs>
                <w:tab w:val="left" w:pos="0"/>
              </w:tabs>
              <w:spacing w:after="0"/>
              <w:ind w:left="1434" w:hanging="357"/>
              <w:jc w:val="both"/>
              <w:rPr>
                <w:rFonts w:asciiTheme="minorHAnsi" w:hAnsiTheme="minorHAnsi" w:cstheme="minorHAnsi"/>
              </w:rPr>
            </w:pPr>
            <w:r w:rsidRPr="008F0C78">
              <w:rPr>
                <w:rFonts w:asciiTheme="minorHAnsi" w:hAnsiTheme="minorHAnsi" w:cstheme="minorHAnsi"/>
              </w:rPr>
              <w:t xml:space="preserve">HR IS - 07 Oct </w:t>
            </w:r>
            <w:r w:rsidR="008443C8">
              <w:rPr>
                <w:rFonts w:asciiTheme="minorHAnsi" w:hAnsiTheme="minorHAnsi" w:cstheme="minorHAnsi"/>
              </w:rPr>
              <w:t>2019</w:t>
            </w:r>
          </w:p>
          <w:p w:rsidR="008F0C78" w:rsidRPr="008F0C78" w:rsidRDefault="008F0C78" w:rsidP="00947ADC">
            <w:pPr>
              <w:pStyle w:val="TSNumberedParagraph11"/>
              <w:numPr>
                <w:ilvl w:val="1"/>
                <w:numId w:val="4"/>
              </w:numPr>
              <w:tabs>
                <w:tab w:val="left" w:pos="0"/>
              </w:tabs>
              <w:spacing w:after="0"/>
              <w:ind w:left="1434" w:hanging="357"/>
              <w:jc w:val="both"/>
              <w:rPr>
                <w:rFonts w:asciiTheme="minorHAnsi" w:hAnsiTheme="minorHAnsi" w:cstheme="minorHAnsi"/>
              </w:rPr>
            </w:pPr>
            <w:r w:rsidRPr="008F0C78">
              <w:rPr>
                <w:rFonts w:asciiTheme="minorHAnsi" w:hAnsiTheme="minorHAnsi" w:cstheme="minorHAnsi"/>
              </w:rPr>
              <w:t xml:space="preserve">HK - 30 Aug </w:t>
            </w:r>
            <w:r w:rsidR="008443C8">
              <w:rPr>
                <w:rFonts w:asciiTheme="minorHAnsi" w:hAnsiTheme="minorHAnsi" w:cstheme="minorHAnsi"/>
              </w:rPr>
              <w:t>2019</w:t>
            </w:r>
          </w:p>
          <w:p w:rsidR="008F0C78" w:rsidRPr="008F0C78" w:rsidRDefault="008F0C78" w:rsidP="00947ADC">
            <w:pPr>
              <w:pStyle w:val="TSNumberedParagraph11"/>
              <w:numPr>
                <w:ilvl w:val="1"/>
                <w:numId w:val="4"/>
              </w:numPr>
              <w:tabs>
                <w:tab w:val="left" w:pos="0"/>
              </w:tabs>
              <w:spacing w:after="0"/>
              <w:ind w:left="1434" w:hanging="357"/>
              <w:jc w:val="both"/>
              <w:rPr>
                <w:rFonts w:asciiTheme="minorHAnsi" w:hAnsiTheme="minorHAnsi" w:cstheme="minorHAnsi"/>
              </w:rPr>
            </w:pPr>
            <w:r w:rsidRPr="008F0C78">
              <w:rPr>
                <w:rFonts w:asciiTheme="minorHAnsi" w:hAnsiTheme="minorHAnsi" w:cstheme="minorHAnsi"/>
              </w:rPr>
              <w:t xml:space="preserve">HD - 30 Sept </w:t>
            </w:r>
            <w:r w:rsidR="008443C8">
              <w:rPr>
                <w:rFonts w:asciiTheme="minorHAnsi" w:hAnsiTheme="minorHAnsi" w:cstheme="minorHAnsi"/>
              </w:rPr>
              <w:t>2019</w:t>
            </w:r>
          </w:p>
          <w:p w:rsidR="001069A0" w:rsidRDefault="008F0C78" w:rsidP="00947ADC">
            <w:pPr>
              <w:pStyle w:val="TSNumberedParagraph11"/>
              <w:numPr>
                <w:ilvl w:val="1"/>
                <w:numId w:val="4"/>
              </w:numPr>
              <w:tabs>
                <w:tab w:val="left" w:pos="0"/>
              </w:tabs>
              <w:spacing w:after="0"/>
              <w:ind w:left="1434" w:hanging="357"/>
              <w:jc w:val="both"/>
              <w:rPr>
                <w:rFonts w:asciiTheme="minorHAnsi" w:hAnsiTheme="minorHAnsi" w:cstheme="minorHAnsi"/>
              </w:rPr>
            </w:pPr>
            <w:r w:rsidRPr="008F0C78">
              <w:rPr>
                <w:rFonts w:asciiTheme="minorHAnsi" w:hAnsiTheme="minorHAnsi" w:cstheme="minorHAnsi"/>
              </w:rPr>
              <w:lastRenderedPageBreak/>
              <w:t xml:space="preserve">HN - 30 Oct </w:t>
            </w:r>
            <w:r w:rsidR="008443C8">
              <w:rPr>
                <w:rFonts w:asciiTheme="minorHAnsi" w:hAnsiTheme="minorHAnsi" w:cstheme="minorHAnsi"/>
              </w:rPr>
              <w:t>2019</w:t>
            </w:r>
          </w:p>
          <w:p w:rsidR="00BA3C09" w:rsidRPr="00BA3C09" w:rsidRDefault="00BA3C09" w:rsidP="00947ADC">
            <w:pPr>
              <w:pStyle w:val="TSNumberedParagraph11"/>
              <w:numPr>
                <w:ilvl w:val="0"/>
                <w:numId w:val="4"/>
              </w:numPr>
              <w:tabs>
                <w:tab w:val="left" w:pos="0"/>
              </w:tabs>
              <w:spacing w:after="0"/>
              <w:jc w:val="both"/>
              <w:rPr>
                <w:rFonts w:asciiTheme="minorHAnsi" w:hAnsiTheme="minorHAnsi" w:cstheme="minorHAnsi"/>
              </w:rPr>
            </w:pPr>
            <w:r w:rsidRPr="00BA3C09">
              <w:rPr>
                <w:rFonts w:asciiTheme="minorHAnsi" w:hAnsiTheme="minorHAnsi" w:cstheme="minorHAnsi"/>
              </w:rPr>
              <w:t xml:space="preserve">6694: </w:t>
            </w:r>
            <w:r w:rsidRPr="00BA3C09">
              <w:rPr>
                <w:rFonts w:asciiTheme="minorHAnsi" w:hAnsiTheme="minorHAnsi"/>
              </w:rPr>
              <w:t>NIC assessment – Demonstration of adequacy of structural fire resistance requirement for HD t</w:t>
            </w:r>
            <w:r>
              <w:rPr>
                <w:rFonts w:asciiTheme="minorHAnsi" w:hAnsiTheme="minorHAnsi"/>
              </w:rPr>
              <w:t>o meet safety case requirements</w:t>
            </w:r>
            <w:r w:rsidRPr="00BA3C09">
              <w:rPr>
                <w:rFonts w:asciiTheme="minorHAnsi" w:hAnsiTheme="minorHAnsi"/>
              </w:rPr>
              <w:t xml:space="preserve"> (Closure aim September 2019)</w:t>
            </w:r>
            <w:r>
              <w:rPr>
                <w:rFonts w:asciiTheme="minorHAnsi" w:hAnsiTheme="minorHAnsi"/>
              </w:rPr>
              <w:t>.</w:t>
            </w:r>
          </w:p>
          <w:p w:rsidR="00BA3C09" w:rsidRDefault="00BA3C09" w:rsidP="00947ADC">
            <w:pPr>
              <w:pStyle w:val="TSNumberedParagraph11"/>
              <w:numPr>
                <w:ilvl w:val="0"/>
                <w:numId w:val="4"/>
              </w:numPr>
              <w:tabs>
                <w:tab w:val="left" w:pos="0"/>
              </w:tabs>
              <w:spacing w:after="0"/>
              <w:jc w:val="both"/>
              <w:rPr>
                <w:rFonts w:asciiTheme="minorHAnsi" w:hAnsiTheme="minorHAnsi" w:cstheme="minorHAnsi"/>
              </w:rPr>
            </w:pPr>
            <w:r>
              <w:rPr>
                <w:rFonts w:asciiTheme="minorHAnsi" w:hAnsiTheme="minorHAnsi" w:cstheme="minorHAnsi"/>
              </w:rPr>
              <w:t xml:space="preserve">6693: </w:t>
            </w:r>
            <w:r w:rsidRPr="00BA3C09">
              <w:rPr>
                <w:rFonts w:asciiTheme="minorHAnsi" w:hAnsiTheme="minorHAnsi" w:cstheme="minorHAnsi"/>
              </w:rPr>
              <w:t>NIC assessment – Substantiation of the IC polar crane brackets.</w:t>
            </w:r>
            <w:r>
              <w:rPr>
                <w:rFonts w:asciiTheme="minorHAnsi" w:hAnsiTheme="minorHAnsi" w:cstheme="minorHAnsi"/>
              </w:rPr>
              <w:t xml:space="preserve"> (Closure aim October 2019).</w:t>
            </w:r>
          </w:p>
          <w:p w:rsidR="00BA3C09" w:rsidRDefault="00BA3C09" w:rsidP="00947ADC">
            <w:pPr>
              <w:pStyle w:val="TSNumberedParagraph11"/>
              <w:numPr>
                <w:ilvl w:val="0"/>
                <w:numId w:val="4"/>
              </w:numPr>
              <w:tabs>
                <w:tab w:val="left" w:pos="0"/>
              </w:tabs>
              <w:spacing w:after="0"/>
              <w:jc w:val="both"/>
              <w:rPr>
                <w:rFonts w:asciiTheme="minorHAnsi" w:hAnsiTheme="minorHAnsi" w:cstheme="minorHAnsi"/>
              </w:rPr>
            </w:pPr>
            <w:r>
              <w:rPr>
                <w:rFonts w:asciiTheme="minorHAnsi" w:hAnsiTheme="minorHAnsi" w:cstheme="minorHAnsi"/>
              </w:rPr>
              <w:t xml:space="preserve">6691: </w:t>
            </w:r>
            <w:r w:rsidRPr="00BA3C09">
              <w:rPr>
                <w:rFonts w:asciiTheme="minorHAnsi" w:hAnsiTheme="minorHAnsi" w:cstheme="minorHAnsi"/>
              </w:rPr>
              <w:t>NIC assessment – Substantiation of RPV support ring and its anchorage to the civil structure.</w:t>
            </w:r>
            <w:r>
              <w:rPr>
                <w:rFonts w:asciiTheme="minorHAnsi" w:hAnsiTheme="minorHAnsi" w:cstheme="minorHAnsi"/>
              </w:rPr>
              <w:t xml:space="preserve"> (Closure aim December 2019).</w:t>
            </w:r>
          </w:p>
          <w:p w:rsidR="00BA3C09" w:rsidRDefault="00BA3C09" w:rsidP="00947ADC">
            <w:pPr>
              <w:pStyle w:val="TSNumberedParagraph11"/>
              <w:numPr>
                <w:ilvl w:val="0"/>
                <w:numId w:val="4"/>
              </w:numPr>
              <w:tabs>
                <w:tab w:val="left" w:pos="0"/>
              </w:tabs>
              <w:spacing w:after="0"/>
              <w:jc w:val="both"/>
              <w:rPr>
                <w:rFonts w:asciiTheme="minorHAnsi" w:hAnsiTheme="minorHAnsi" w:cstheme="minorHAnsi"/>
              </w:rPr>
            </w:pPr>
            <w:r w:rsidRPr="00BA3C09">
              <w:rPr>
                <w:rFonts w:asciiTheme="minorHAnsi" w:hAnsiTheme="minorHAnsi" w:cstheme="minorHAnsi"/>
              </w:rPr>
              <w:t>6688</w:t>
            </w:r>
            <w:r>
              <w:rPr>
                <w:rFonts w:asciiTheme="minorHAnsi" w:hAnsiTheme="minorHAnsi" w:cstheme="minorHAnsi"/>
              </w:rPr>
              <w:t xml:space="preserve">: </w:t>
            </w:r>
            <w:r w:rsidRPr="00BA3C09">
              <w:rPr>
                <w:rFonts w:asciiTheme="minorHAnsi" w:hAnsiTheme="minorHAnsi" w:cstheme="minorHAnsi"/>
              </w:rPr>
              <w:t>NIC assessment – Implementation of alternative method for substantiation for sliding resistance.</w:t>
            </w:r>
            <w:r>
              <w:rPr>
                <w:rFonts w:asciiTheme="minorHAnsi" w:hAnsiTheme="minorHAnsi" w:cstheme="minorHAnsi"/>
              </w:rPr>
              <w:t xml:space="preserve"> (Closure aim September 2019).</w:t>
            </w:r>
          </w:p>
          <w:p w:rsidR="008F0C78" w:rsidRDefault="008F0C78" w:rsidP="008F0C78">
            <w:pPr>
              <w:pStyle w:val="TSNumberedParagraph11"/>
              <w:numPr>
                <w:ilvl w:val="0"/>
                <w:numId w:val="0"/>
              </w:numPr>
              <w:tabs>
                <w:tab w:val="left" w:pos="0"/>
              </w:tabs>
              <w:spacing w:after="0"/>
              <w:jc w:val="both"/>
              <w:rPr>
                <w:rFonts w:asciiTheme="minorHAnsi" w:hAnsiTheme="minorHAnsi" w:cstheme="minorHAnsi"/>
              </w:rPr>
            </w:pPr>
          </w:p>
          <w:p w:rsidR="00C972B7" w:rsidRDefault="008F0760" w:rsidP="008F0760">
            <w:pPr>
              <w:pStyle w:val="TSNumberedParagraph11"/>
              <w:rPr>
                <w:rFonts w:asciiTheme="minorHAnsi" w:hAnsiTheme="minorHAnsi" w:cstheme="minorHAnsi"/>
              </w:rPr>
            </w:pPr>
            <w:r w:rsidRPr="008F0760">
              <w:rPr>
                <w:rFonts w:asciiTheme="minorHAnsi" w:hAnsiTheme="minorHAnsi" w:cstheme="minorHAnsi"/>
              </w:rPr>
              <w:t xml:space="preserve">Interactions between the licensee and TSC are only likely to occur if a shortfall is identified and discussion is required.  It is advised that the TSC budget one working day (total) for these instances, with the understanding that these may not occur or only part of the allowance is used. Any such meetings are expected to be held via teleconference. </w:t>
            </w:r>
          </w:p>
          <w:p w:rsidR="008F0760" w:rsidRPr="00C972B7" w:rsidRDefault="008F0760" w:rsidP="00C972B7">
            <w:pPr>
              <w:pStyle w:val="TSNumberedParagraph11"/>
              <w:rPr>
                <w:rFonts w:asciiTheme="minorHAnsi" w:hAnsiTheme="minorHAnsi" w:cstheme="minorHAnsi"/>
              </w:rPr>
            </w:pPr>
            <w:r w:rsidRPr="00C972B7">
              <w:rPr>
                <w:rFonts w:asciiTheme="minorHAnsi" w:hAnsiTheme="minorHAnsi" w:cstheme="minorHAnsi"/>
              </w:rPr>
              <w:t>Any face to face meetings</w:t>
            </w:r>
            <w:r w:rsidR="00C972B7" w:rsidRPr="00C972B7">
              <w:rPr>
                <w:rFonts w:asciiTheme="minorHAnsi" w:hAnsiTheme="minorHAnsi" w:cstheme="minorHAnsi"/>
              </w:rPr>
              <w:t xml:space="preserve"> required</w:t>
            </w:r>
            <w:r w:rsidRPr="00C972B7">
              <w:rPr>
                <w:rFonts w:asciiTheme="minorHAnsi" w:hAnsiTheme="minorHAnsi" w:cstheme="minorHAnsi"/>
              </w:rPr>
              <w:t xml:space="preserve"> between ONR and the TSC </w:t>
            </w:r>
            <w:r w:rsidR="005C4C52" w:rsidRPr="00C972B7">
              <w:rPr>
                <w:rFonts w:asciiTheme="minorHAnsi" w:hAnsiTheme="minorHAnsi" w:cstheme="minorHAnsi"/>
              </w:rPr>
              <w:t>can</w:t>
            </w:r>
            <w:r w:rsidR="00C972B7" w:rsidRPr="00C972B7">
              <w:rPr>
                <w:rFonts w:asciiTheme="minorHAnsi" w:hAnsiTheme="minorHAnsi" w:cstheme="minorHAnsi"/>
              </w:rPr>
              <w:t xml:space="preserve"> be held at</w:t>
            </w:r>
            <w:r w:rsidRPr="00C972B7">
              <w:rPr>
                <w:rFonts w:asciiTheme="minorHAnsi" w:hAnsiTheme="minorHAnsi" w:cstheme="minorHAnsi"/>
              </w:rPr>
              <w:t xml:space="preserve"> the TSC’</w:t>
            </w:r>
            <w:r w:rsidR="00C972B7" w:rsidRPr="00C972B7">
              <w:rPr>
                <w:rFonts w:asciiTheme="minorHAnsi" w:hAnsiTheme="minorHAnsi" w:cstheme="minorHAnsi"/>
              </w:rPr>
              <w:t>s offices. These are only likely to occur when a technical issue requires further discussion. A contract start-up meeting can be held at ONR’s Bootle office or the contractor’s offices</w:t>
            </w:r>
            <w:r w:rsidR="00D42F91">
              <w:rPr>
                <w:rFonts w:asciiTheme="minorHAnsi" w:hAnsiTheme="minorHAnsi" w:cstheme="minorHAnsi"/>
              </w:rPr>
              <w:t>.</w:t>
            </w:r>
          </w:p>
          <w:p w:rsidR="007D626A" w:rsidRPr="00037D2F" w:rsidRDefault="007D626A" w:rsidP="00D23B77">
            <w:pPr>
              <w:pStyle w:val="TSNumberedParagraph11"/>
              <w:tabs>
                <w:tab w:val="clear" w:pos="-31680"/>
                <w:tab w:val="left" w:pos="0"/>
              </w:tabs>
              <w:ind w:left="0" w:firstLine="0"/>
              <w:jc w:val="both"/>
              <w:rPr>
                <w:rFonts w:asciiTheme="minorHAnsi" w:hAnsiTheme="minorHAnsi" w:cstheme="minorHAnsi"/>
              </w:rPr>
            </w:pPr>
            <w:r>
              <w:rPr>
                <w:rFonts w:asciiTheme="minorHAnsi" w:hAnsiTheme="minorHAnsi" w:cstheme="minorHAnsi"/>
              </w:rPr>
              <w:t>At present, it is not expected that the contractor will support closure of other regulatory issues</w:t>
            </w:r>
            <w:r w:rsidR="00D23B77">
              <w:rPr>
                <w:rFonts w:asciiTheme="minorHAnsi" w:hAnsiTheme="minorHAnsi" w:cstheme="minorHAnsi"/>
              </w:rPr>
              <w:t xml:space="preserve"> related to the NIC </w:t>
            </w:r>
            <w:proofErr w:type="spellStart"/>
            <w:r w:rsidR="00D23B77">
              <w:rPr>
                <w:rFonts w:asciiTheme="minorHAnsi" w:hAnsiTheme="minorHAnsi" w:cstheme="minorHAnsi"/>
              </w:rPr>
              <w:t>permissioning</w:t>
            </w:r>
            <w:proofErr w:type="spellEnd"/>
            <w:r w:rsidR="00D23B77">
              <w:rPr>
                <w:rFonts w:asciiTheme="minorHAnsi" w:hAnsiTheme="minorHAnsi" w:cstheme="minorHAnsi"/>
              </w:rPr>
              <w:t xml:space="preserve"> milestone.</w:t>
            </w:r>
            <w:r>
              <w:rPr>
                <w:rFonts w:asciiTheme="minorHAnsi" w:hAnsiTheme="minorHAnsi" w:cstheme="minorHAnsi"/>
              </w:rPr>
              <w:t xml:space="preserve"> </w:t>
            </w:r>
            <w:r w:rsidR="00D23B77">
              <w:rPr>
                <w:rFonts w:asciiTheme="minorHAnsi" w:hAnsiTheme="minorHAnsi" w:cstheme="minorHAnsi"/>
              </w:rPr>
              <w:t>H</w:t>
            </w:r>
            <w:r>
              <w:rPr>
                <w:rFonts w:asciiTheme="minorHAnsi" w:hAnsiTheme="minorHAnsi" w:cstheme="minorHAnsi"/>
              </w:rPr>
              <w:t>owever</w:t>
            </w:r>
            <w:r w:rsidR="00D23B77">
              <w:rPr>
                <w:rFonts w:asciiTheme="minorHAnsi" w:hAnsiTheme="minorHAnsi" w:cstheme="minorHAnsi"/>
              </w:rPr>
              <w:t>, if this position changes and technical support is required,</w:t>
            </w:r>
            <w:r>
              <w:rPr>
                <w:rFonts w:asciiTheme="minorHAnsi" w:hAnsiTheme="minorHAnsi" w:cstheme="minorHAnsi"/>
              </w:rPr>
              <w:t xml:space="preserve"> ONR may discuss</w:t>
            </w:r>
            <w:r w:rsidR="00D23B77">
              <w:rPr>
                <w:rFonts w:asciiTheme="minorHAnsi" w:hAnsiTheme="minorHAnsi" w:cstheme="minorHAnsi"/>
              </w:rPr>
              <w:t xml:space="preserve"> the possibility of scope extension</w:t>
            </w:r>
            <w:r>
              <w:rPr>
                <w:rFonts w:asciiTheme="minorHAnsi" w:hAnsiTheme="minorHAnsi" w:cstheme="minorHAnsi"/>
              </w:rPr>
              <w:t xml:space="preserve"> with the contractor </w:t>
            </w:r>
            <w:r w:rsidR="00D23B77">
              <w:rPr>
                <w:rFonts w:asciiTheme="minorHAnsi" w:hAnsiTheme="minorHAnsi" w:cstheme="minorHAnsi"/>
              </w:rPr>
              <w:t>to determine if this is possible</w:t>
            </w:r>
            <w:r>
              <w:rPr>
                <w:rFonts w:asciiTheme="minorHAnsi" w:hAnsiTheme="minorHAnsi" w:cstheme="minorHAnsi"/>
              </w:rPr>
              <w:t>.</w:t>
            </w:r>
            <w:r w:rsidR="00F4103A">
              <w:rPr>
                <w:rFonts w:asciiTheme="minorHAnsi" w:hAnsiTheme="minorHAnsi" w:cstheme="minorHAnsi"/>
              </w:rPr>
              <w:t xml:space="preserve"> This is only likely to occur when the response is heavily reliant on technical aspects put forward and closure is not clear cut.</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OBJECTIVES</w:t>
            </w:r>
          </w:p>
          <w:p w:rsidR="00B260FE" w:rsidRPr="00B260FE" w:rsidRDefault="00037D2F" w:rsidP="00B260FE">
            <w:pPr>
              <w:pStyle w:val="TSNumberedParagraph11"/>
              <w:tabs>
                <w:tab w:val="left" w:pos="0"/>
              </w:tabs>
              <w:ind w:left="0" w:firstLine="0"/>
              <w:rPr>
                <w:rFonts w:asciiTheme="minorHAnsi" w:hAnsiTheme="minorHAnsi" w:cstheme="minorHAnsi"/>
              </w:rPr>
            </w:pPr>
            <w:r>
              <w:rPr>
                <w:rFonts w:asciiTheme="minorHAnsi" w:hAnsiTheme="minorHAnsi" w:cstheme="minorHAnsi"/>
              </w:rPr>
              <w:t>The objective of the TSC’s assessment is to supply a technical note on the responses received</w:t>
            </w:r>
            <w:r w:rsidR="004D1B2A">
              <w:rPr>
                <w:rFonts w:asciiTheme="minorHAnsi" w:hAnsiTheme="minorHAnsi" w:cstheme="minorHAnsi"/>
              </w:rPr>
              <w:t xml:space="preserve"> for each regulatory issue. </w:t>
            </w:r>
            <w:r w:rsidR="009022C8">
              <w:rPr>
                <w:rFonts w:asciiTheme="minorHAnsi" w:hAnsiTheme="minorHAnsi" w:cstheme="minorHAnsi"/>
              </w:rPr>
              <w:t>For regulatory issues 6695 and 6698, this is expected to be a short closure note against each observation.  For regulatory issues 6688, 6691, 6693 and 6694 it is expected to be a short note</w:t>
            </w:r>
            <w:r w:rsidR="00542986">
              <w:rPr>
                <w:rFonts w:asciiTheme="minorHAnsi" w:hAnsiTheme="minorHAnsi" w:cstheme="minorHAnsi"/>
              </w:rPr>
              <w:t xml:space="preserve"> (under 10 pages)</w:t>
            </w:r>
            <w:r w:rsidR="009022C8">
              <w:rPr>
                <w:rFonts w:asciiTheme="minorHAnsi" w:hAnsiTheme="minorHAnsi" w:cstheme="minorHAnsi"/>
              </w:rPr>
              <w:t xml:space="preserve"> indicati</w:t>
            </w:r>
            <w:r w:rsidR="00B260FE">
              <w:rPr>
                <w:rFonts w:asciiTheme="minorHAnsi" w:hAnsiTheme="minorHAnsi" w:cstheme="minorHAnsi"/>
              </w:rPr>
              <w:t xml:space="preserve">ng a technical opinion.  Any shortfalls identified during assessment should be notified to ONR as soon as possible to allow the licensee the opportunity to respond, in these cases, ONR will ask the TSC to draft the written comment. </w:t>
            </w:r>
            <w:r w:rsidR="00B260FE" w:rsidRPr="00B260FE">
              <w:rPr>
                <w:rFonts w:asciiTheme="minorHAnsi" w:hAnsiTheme="minorHAnsi" w:cstheme="minorHAnsi"/>
              </w:rPr>
              <w:t>ONR may decide to take no action if these are not considered vital to safety or the licensee has supplied an adequate level of justification from a regulatory perspective.</w:t>
            </w:r>
          </w:p>
          <w:p w:rsidR="003B55D6" w:rsidRPr="00C26884" w:rsidRDefault="00B260FE" w:rsidP="00C26884">
            <w:pPr>
              <w:pStyle w:val="TSNumberedParagraph11"/>
              <w:tabs>
                <w:tab w:val="left" w:pos="0"/>
              </w:tabs>
              <w:ind w:left="0" w:firstLine="0"/>
              <w:rPr>
                <w:rFonts w:asciiTheme="minorHAnsi" w:hAnsiTheme="minorHAnsi" w:cstheme="minorHAnsi"/>
              </w:rPr>
            </w:pPr>
            <w:r>
              <w:rPr>
                <w:rFonts w:asciiTheme="minorHAnsi" w:hAnsiTheme="minorHAnsi" w:cstheme="minorHAnsi"/>
              </w:rPr>
              <w:t>The responses given by the licensee may require sampling of the supporting documentation to aid understanding.</w:t>
            </w:r>
            <w:r w:rsidR="00C26884">
              <w:rPr>
                <w:rFonts w:asciiTheme="minorHAnsi" w:hAnsiTheme="minorHAnsi" w:cstheme="minorHAnsi"/>
              </w:rPr>
              <w:t xml:space="preserve"> </w:t>
            </w:r>
          </w:p>
          <w:p w:rsidR="003B55D6" w:rsidRDefault="00C26884" w:rsidP="00C26884">
            <w:pPr>
              <w:pStyle w:val="TSNumberedParagraph11"/>
              <w:tabs>
                <w:tab w:val="left" w:pos="0"/>
              </w:tabs>
              <w:ind w:left="0" w:firstLine="0"/>
              <w:rPr>
                <w:rFonts w:asciiTheme="minorHAnsi" w:hAnsiTheme="minorHAnsi" w:cstheme="minorHAnsi"/>
              </w:rPr>
            </w:pPr>
            <w:r>
              <w:rPr>
                <w:rFonts w:asciiTheme="minorHAnsi" w:hAnsiTheme="minorHAnsi" w:cstheme="minorHAnsi"/>
              </w:rPr>
              <w:t>ONR expects a</w:t>
            </w:r>
            <w:r w:rsidR="003B55D6">
              <w:rPr>
                <w:rFonts w:asciiTheme="minorHAnsi" w:hAnsiTheme="minorHAnsi" w:cstheme="minorHAnsi"/>
              </w:rPr>
              <w:t xml:space="preserve"> technical and programme update via teleconference to be held on a bi-weekly basis, likely one hour in length, indicating any areas of concern</w:t>
            </w:r>
            <w:r w:rsidR="003B55D6" w:rsidRPr="00C26884">
              <w:rPr>
                <w:rFonts w:asciiTheme="minorHAnsi" w:hAnsiTheme="minorHAnsi" w:cstheme="minorHAnsi"/>
              </w:rPr>
              <w:t xml:space="preserve">. </w:t>
            </w:r>
          </w:p>
          <w:p w:rsidR="00C26884" w:rsidRPr="00C26884" w:rsidRDefault="00C26884" w:rsidP="00C26884">
            <w:pPr>
              <w:pStyle w:val="TSNumberedParagraph11"/>
              <w:tabs>
                <w:tab w:val="left" w:pos="0"/>
              </w:tabs>
              <w:ind w:left="0" w:firstLine="0"/>
              <w:rPr>
                <w:rFonts w:asciiTheme="minorHAnsi" w:hAnsiTheme="minorHAnsi" w:cstheme="minorHAnsi"/>
              </w:rPr>
            </w:pPr>
            <w:r>
              <w:rPr>
                <w:rFonts w:asciiTheme="minorHAnsi" w:hAnsiTheme="minorHAnsi" w:cstheme="minorHAnsi"/>
              </w:rPr>
              <w:t xml:space="preserve">Interactions between the licensee and TSC are only likely to occur if a shortfall is identified and discussion is required. </w:t>
            </w:r>
            <w:r w:rsidR="0052347E">
              <w:rPr>
                <w:rFonts w:asciiTheme="minorHAnsi" w:hAnsiTheme="minorHAnsi" w:cstheme="minorHAnsi"/>
              </w:rPr>
              <w:t xml:space="preserve"> </w:t>
            </w:r>
            <w:r w:rsidR="0052347E" w:rsidRPr="00F05521">
              <w:rPr>
                <w:rFonts w:asciiTheme="minorHAnsi" w:hAnsiTheme="minorHAnsi" w:cstheme="minorHAnsi"/>
              </w:rPr>
              <w:t xml:space="preserve">It is advised that the TSC budget one working day (total) for these instances, with the understanding that these may not occur or only part of the allowance is used. </w:t>
            </w:r>
            <w:r w:rsidRPr="00F05521">
              <w:rPr>
                <w:rFonts w:asciiTheme="minorHAnsi" w:hAnsiTheme="minorHAnsi" w:cstheme="minorHAnsi"/>
              </w:rPr>
              <w:t>Any such meetings are expected to be held via teleconference.</w:t>
            </w:r>
            <w:r>
              <w:rPr>
                <w:rFonts w:asciiTheme="minorHAnsi" w:hAnsiTheme="minorHAnsi" w:cstheme="minorHAnsi"/>
              </w:rPr>
              <w:t xml:space="preserve"> </w:t>
            </w:r>
          </w:p>
          <w:p w:rsidR="00AF4C0F" w:rsidRPr="0033594B" w:rsidRDefault="0033594B" w:rsidP="001F2711">
            <w:pPr>
              <w:pStyle w:val="TSNumberedParagraph11"/>
              <w:tabs>
                <w:tab w:val="clear" w:pos="-31680"/>
                <w:tab w:val="left" w:pos="0"/>
              </w:tabs>
              <w:ind w:left="0" w:firstLine="0"/>
              <w:rPr>
                <w:rFonts w:asciiTheme="minorHAnsi" w:hAnsiTheme="minorHAnsi" w:cstheme="minorHAnsi"/>
              </w:rPr>
            </w:pPr>
            <w:r>
              <w:rPr>
                <w:rFonts w:asciiTheme="minorHAnsi" w:hAnsiTheme="minorHAnsi" w:cstheme="minorHAnsi"/>
              </w:rPr>
              <w:t>RI 6698 has been split into numerous draft deliverables (relating to the construction sequence) and therefore progressive drafts of the</w:t>
            </w:r>
            <w:r w:rsidR="001F2711">
              <w:rPr>
                <w:rFonts w:asciiTheme="minorHAnsi" w:hAnsiTheme="minorHAnsi" w:cstheme="minorHAnsi"/>
              </w:rPr>
              <w:t xml:space="preserve"> contractors’</w:t>
            </w:r>
            <w:r>
              <w:rPr>
                <w:rFonts w:asciiTheme="minorHAnsi" w:hAnsiTheme="minorHAnsi" w:cstheme="minorHAnsi"/>
              </w:rPr>
              <w:t xml:space="preserve"> technical note are expected </w:t>
            </w:r>
            <w:r w:rsidR="001F2711">
              <w:rPr>
                <w:rFonts w:asciiTheme="minorHAnsi" w:hAnsiTheme="minorHAnsi" w:cstheme="minorHAnsi"/>
              </w:rPr>
              <w:t>against each draft</w:t>
            </w:r>
            <w:r w:rsidR="003B55D6">
              <w:rPr>
                <w:rFonts w:asciiTheme="minorHAnsi" w:hAnsiTheme="minorHAnsi" w:cstheme="minorHAnsi"/>
              </w:rPr>
              <w:t xml:space="preserve"> until the final response is received</w:t>
            </w:r>
            <w:r>
              <w:rPr>
                <w:rFonts w:asciiTheme="minorHAnsi" w:hAnsiTheme="minorHAnsi" w:cstheme="minorHAnsi"/>
              </w:rPr>
              <w:t>.</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bCs/>
                <w:sz w:val="20"/>
                <w:szCs w:val="20"/>
              </w:rPr>
              <w:t>CONSTRAINTS</w:t>
            </w:r>
            <w:r w:rsidRPr="002C62C2">
              <w:rPr>
                <w:rFonts w:asciiTheme="minorHAnsi" w:hAnsiTheme="minorHAnsi" w:cstheme="minorHAnsi"/>
              </w:rPr>
              <w:t xml:space="preserve"> </w:t>
            </w:r>
          </w:p>
          <w:p w:rsidR="00D23B77" w:rsidRDefault="007500A0" w:rsidP="007500A0">
            <w:pPr>
              <w:pStyle w:val="TSNumberedParagraph11"/>
              <w:tabs>
                <w:tab w:val="clear" w:pos="-31680"/>
              </w:tabs>
              <w:rPr>
                <w:rFonts w:asciiTheme="minorHAnsi" w:hAnsiTheme="minorHAnsi" w:cstheme="minorHAnsi"/>
              </w:rPr>
            </w:pPr>
            <w:r w:rsidRPr="00A54E8C">
              <w:rPr>
                <w:rFonts w:asciiTheme="minorHAnsi" w:hAnsiTheme="minorHAnsi" w:cstheme="minorHAnsi"/>
              </w:rPr>
              <w:t>Constraints related to regulatory judgement:  Whilst the contractor will undertake the detailed technical reviews, it will be done under direction and management of ONR.  Regulatory j</w:t>
            </w:r>
            <w:r>
              <w:rPr>
                <w:rFonts w:asciiTheme="minorHAnsi" w:hAnsiTheme="minorHAnsi" w:cstheme="minorHAnsi"/>
              </w:rPr>
              <w:t xml:space="preserve">udgement </w:t>
            </w:r>
            <w:r>
              <w:rPr>
                <w:rFonts w:asciiTheme="minorHAnsi" w:hAnsiTheme="minorHAnsi" w:cstheme="minorHAnsi"/>
              </w:rPr>
              <w:lastRenderedPageBreak/>
              <w:t>on the adequacy of regulatory issue</w:t>
            </w:r>
            <w:r w:rsidRPr="00A54E8C">
              <w:rPr>
                <w:rFonts w:asciiTheme="minorHAnsi" w:hAnsiTheme="minorHAnsi" w:cstheme="minorHAnsi"/>
              </w:rPr>
              <w:t xml:space="preserve"> </w:t>
            </w:r>
            <w:r>
              <w:rPr>
                <w:rFonts w:asciiTheme="minorHAnsi" w:hAnsiTheme="minorHAnsi" w:cstheme="minorHAnsi"/>
              </w:rPr>
              <w:t>responses shall</w:t>
            </w:r>
            <w:r w:rsidRPr="00A54E8C">
              <w:rPr>
                <w:rFonts w:asciiTheme="minorHAnsi" w:hAnsiTheme="minorHAnsi" w:cstheme="minorHAnsi"/>
              </w:rPr>
              <w:t xml:space="preserve"> be made exclusively by ONR</w:t>
            </w:r>
            <w:r>
              <w:rPr>
                <w:rFonts w:asciiTheme="minorHAnsi" w:hAnsiTheme="minorHAnsi" w:cstheme="minorHAnsi"/>
              </w:rPr>
              <w:t xml:space="preserve"> taking cognisance of the contractors’ technical opinion</w:t>
            </w:r>
            <w:r w:rsidRPr="00A54E8C">
              <w:rPr>
                <w:rFonts w:asciiTheme="minorHAnsi" w:hAnsiTheme="minorHAnsi" w:cstheme="minorHAnsi"/>
              </w:rPr>
              <w:t xml:space="preserve">. </w:t>
            </w:r>
          </w:p>
          <w:p w:rsidR="00A54899" w:rsidRDefault="00A54899" w:rsidP="00A54899">
            <w:pPr>
              <w:pStyle w:val="TSNumberedParagraph11"/>
              <w:rPr>
                <w:rFonts w:asciiTheme="minorHAnsi" w:hAnsiTheme="minorHAnsi" w:cstheme="minorHAnsi"/>
              </w:rPr>
            </w:pPr>
            <w:r>
              <w:rPr>
                <w:rFonts w:asciiTheme="minorHAnsi" w:hAnsiTheme="minorHAnsi" w:cstheme="minorHAnsi"/>
              </w:rPr>
              <w:t>T</w:t>
            </w:r>
            <w:r w:rsidRPr="00A54899">
              <w:rPr>
                <w:rFonts w:asciiTheme="minorHAnsi" w:hAnsiTheme="minorHAnsi" w:cstheme="minorHAnsi"/>
              </w:rPr>
              <w:t xml:space="preserve">he </w:t>
            </w:r>
            <w:r>
              <w:rPr>
                <w:rFonts w:asciiTheme="minorHAnsi" w:hAnsiTheme="minorHAnsi" w:cstheme="minorHAnsi"/>
              </w:rPr>
              <w:t xml:space="preserve">assessment </w:t>
            </w:r>
            <w:r w:rsidRPr="00A54899">
              <w:rPr>
                <w:rFonts w:asciiTheme="minorHAnsi" w:hAnsiTheme="minorHAnsi" w:cstheme="minorHAnsi"/>
              </w:rPr>
              <w:t>work should be delivered by individuals who previously worked on raising these issues and are familiar with the HPC project</w:t>
            </w:r>
            <w:r>
              <w:rPr>
                <w:rFonts w:asciiTheme="minorHAnsi" w:hAnsiTheme="minorHAnsi" w:cstheme="minorHAnsi"/>
              </w:rPr>
              <w:t>. This allows consistency and a vital background to the observations that were raised.</w:t>
            </w:r>
            <w:r w:rsidRPr="00A54899" w:rsidDel="00A54899">
              <w:rPr>
                <w:rFonts w:asciiTheme="minorHAnsi" w:hAnsiTheme="minorHAnsi" w:cstheme="minorHAnsi"/>
              </w:rPr>
              <w:t xml:space="preserve"> </w:t>
            </w:r>
          </w:p>
          <w:p w:rsidR="00526CB5" w:rsidRDefault="00526CB5" w:rsidP="007500A0">
            <w:pPr>
              <w:pStyle w:val="TSNumberedParagraph11"/>
              <w:rPr>
                <w:rFonts w:asciiTheme="minorHAnsi" w:hAnsiTheme="minorHAnsi" w:cstheme="minorHAnsi"/>
              </w:rPr>
            </w:pPr>
            <w:r>
              <w:rPr>
                <w:rFonts w:asciiTheme="minorHAnsi" w:hAnsiTheme="minorHAnsi" w:cstheme="minorHAnsi"/>
              </w:rPr>
              <w:t>Conflict of interest considerations;</w:t>
            </w:r>
          </w:p>
          <w:p w:rsidR="00526CB5" w:rsidRDefault="007500A0" w:rsidP="00947ADC">
            <w:pPr>
              <w:pStyle w:val="TSNumberedParagraph11"/>
              <w:numPr>
                <w:ilvl w:val="1"/>
                <w:numId w:val="5"/>
              </w:numPr>
              <w:rPr>
                <w:rFonts w:asciiTheme="minorHAnsi" w:hAnsiTheme="minorHAnsi" w:cstheme="minorHAnsi"/>
              </w:rPr>
            </w:pPr>
            <w:r>
              <w:rPr>
                <w:rFonts w:asciiTheme="minorHAnsi" w:hAnsiTheme="minorHAnsi" w:cstheme="minorHAnsi"/>
              </w:rPr>
              <w:t xml:space="preserve">The supplier should not have previously supported the licensee in the development </w:t>
            </w:r>
            <w:r w:rsidR="00526CB5">
              <w:rPr>
                <w:rFonts w:asciiTheme="minorHAnsi" w:hAnsiTheme="minorHAnsi" w:cstheme="minorHAnsi"/>
              </w:rPr>
              <w:t xml:space="preserve">of nuclear island structures for the Hinkley Point C power station. </w:t>
            </w:r>
          </w:p>
          <w:p w:rsidR="008F70F6" w:rsidRDefault="008F70F6" w:rsidP="008F70F6">
            <w:pPr>
              <w:pStyle w:val="TSNumberedParagraph11"/>
              <w:rPr>
                <w:rFonts w:asciiTheme="minorHAnsi" w:hAnsiTheme="minorHAnsi" w:cstheme="minorHAnsi"/>
              </w:rPr>
            </w:pPr>
            <w:r>
              <w:rPr>
                <w:rFonts w:asciiTheme="minorHAnsi" w:hAnsiTheme="minorHAnsi" w:cstheme="minorHAnsi"/>
              </w:rPr>
              <w:t>Timing Constraints;</w:t>
            </w:r>
          </w:p>
          <w:p w:rsidR="008F70F6" w:rsidRPr="008F70F6" w:rsidRDefault="008F70F6" w:rsidP="00947ADC">
            <w:pPr>
              <w:pStyle w:val="TSNumberedParagraph11"/>
              <w:numPr>
                <w:ilvl w:val="1"/>
                <w:numId w:val="5"/>
              </w:numPr>
              <w:rPr>
                <w:rFonts w:asciiTheme="minorHAnsi" w:hAnsiTheme="minorHAnsi" w:cstheme="minorHAnsi"/>
              </w:rPr>
            </w:pPr>
            <w:r>
              <w:rPr>
                <w:rFonts w:asciiTheme="minorHAnsi" w:hAnsiTheme="minorHAnsi" w:cstheme="minorHAnsi"/>
              </w:rPr>
              <w:t>A start date of August 2019 is initially proposed for the contract. Desired deliverable dates against each RI are given in the scope section but will be clarified at the contract award stage. Delays in the supply of deliverables from the licensee may increase the period of the contract and when technical notes should be supplied, current expectation is that this contract will conclude in December 2019.</w:t>
            </w:r>
          </w:p>
          <w:p w:rsidR="0079277D" w:rsidRPr="0079277D" w:rsidRDefault="00526CB5" w:rsidP="0079277D">
            <w:pPr>
              <w:pStyle w:val="TSNumberedParagraph11"/>
              <w:tabs>
                <w:tab w:val="clear" w:pos="-31680"/>
              </w:tabs>
              <w:rPr>
                <w:rFonts w:asciiTheme="minorHAnsi" w:hAnsiTheme="minorHAnsi" w:cstheme="minorHAnsi"/>
              </w:rPr>
            </w:pPr>
            <w:r>
              <w:rPr>
                <w:rFonts w:asciiTheme="minorHAnsi" w:hAnsiTheme="minorHAnsi" w:cstheme="minorHAnsi"/>
              </w:rPr>
              <w:t>Security Considerations;</w:t>
            </w:r>
          </w:p>
          <w:p w:rsidR="0079277D" w:rsidRDefault="0079277D" w:rsidP="00947ADC">
            <w:pPr>
              <w:pStyle w:val="TSNumberedParagraph11"/>
              <w:numPr>
                <w:ilvl w:val="1"/>
                <w:numId w:val="5"/>
              </w:numPr>
              <w:tabs>
                <w:tab w:val="clear" w:pos="-31680"/>
              </w:tabs>
              <w:rPr>
                <w:rFonts w:asciiTheme="minorHAnsi" w:hAnsiTheme="minorHAnsi" w:cstheme="minorHAnsi"/>
              </w:rPr>
            </w:pPr>
            <w:r>
              <w:rPr>
                <w:rFonts w:asciiTheme="minorHAnsi" w:hAnsiTheme="minorHAnsi" w:cstheme="minorHAnsi"/>
              </w:rPr>
              <w:t xml:space="preserve">It is not anticipated that documentation marked UK OFFICIAL SENSITIVE will be included in the submissions by the licensee. It is also not anticipated that supporting documents will bear these markings, however, if official sensitive documentation supporting the submissions (and requested for sampling) are to be assessed, the contractor must have arrangements in place for individuals assessing this content. </w:t>
            </w:r>
          </w:p>
          <w:p w:rsidR="008F70F6" w:rsidRPr="008F70F6" w:rsidRDefault="008F70F6" w:rsidP="00947ADC">
            <w:pPr>
              <w:pStyle w:val="TSNumberedParagraph11"/>
              <w:numPr>
                <w:ilvl w:val="1"/>
                <w:numId w:val="5"/>
              </w:numPr>
              <w:tabs>
                <w:tab w:val="clear" w:pos="-31680"/>
              </w:tabs>
              <w:rPr>
                <w:rFonts w:asciiTheme="minorHAnsi" w:hAnsiTheme="minorHAnsi" w:cstheme="minorHAnsi"/>
              </w:rPr>
            </w:pPr>
            <w:r w:rsidRPr="008F70F6">
              <w:rPr>
                <w:rFonts w:asciiTheme="minorHAnsi" w:hAnsiTheme="minorHAnsi" w:cstheme="minorHAnsi"/>
              </w:rPr>
              <w:t xml:space="preserve">All information received from the </w:t>
            </w:r>
            <w:proofErr w:type="gramStart"/>
            <w:r w:rsidR="003B55D6">
              <w:rPr>
                <w:rFonts w:asciiTheme="minorHAnsi" w:hAnsiTheme="minorHAnsi" w:cstheme="minorHAnsi"/>
              </w:rPr>
              <w:t xml:space="preserve">licensee </w:t>
            </w:r>
            <w:r w:rsidRPr="008F70F6">
              <w:rPr>
                <w:rFonts w:asciiTheme="minorHAnsi" w:hAnsiTheme="minorHAnsi" w:cstheme="minorHAnsi"/>
              </w:rPr>
              <w:t xml:space="preserve"> will</w:t>
            </w:r>
            <w:proofErr w:type="gramEnd"/>
            <w:r w:rsidRPr="008F70F6">
              <w:rPr>
                <w:rFonts w:asciiTheme="minorHAnsi" w:hAnsiTheme="minorHAnsi" w:cstheme="minorHAnsi"/>
              </w:rPr>
              <w:t xml:space="preserve"> need to be treated in accordance with the ONR Technical Support Contact Framework agreement and non-disclosure agreement. The information or a certificate of destruction will need to be returned to ONR at the end of the contract.</w:t>
            </w:r>
          </w:p>
          <w:p w:rsidR="008F70F6" w:rsidRPr="008F70F6" w:rsidRDefault="008F70F6" w:rsidP="00947ADC">
            <w:pPr>
              <w:pStyle w:val="TSNumberedParagraph11"/>
              <w:numPr>
                <w:ilvl w:val="1"/>
                <w:numId w:val="5"/>
              </w:numPr>
              <w:rPr>
                <w:rFonts w:asciiTheme="minorHAnsi" w:hAnsiTheme="minorHAnsi" w:cstheme="minorHAnsi"/>
              </w:rPr>
            </w:pPr>
            <w:r w:rsidRPr="008F70F6">
              <w:rPr>
                <w:rFonts w:asciiTheme="minorHAnsi" w:hAnsiTheme="minorHAnsi" w:cstheme="minorHAnsi"/>
              </w:rPr>
              <w:t xml:space="preserve">The transmittal of all documents between ONR and the contractor will be through ONR's </w:t>
            </w:r>
            <w:r w:rsidR="008F0760" w:rsidRPr="00F05521">
              <w:rPr>
                <w:rFonts w:asciiTheme="minorHAnsi" w:hAnsiTheme="minorHAnsi" w:cstheme="minorHAnsi"/>
              </w:rPr>
              <w:t>Divisional Delivery Support (DDS</w:t>
            </w:r>
            <w:r w:rsidRPr="00F05521">
              <w:rPr>
                <w:rFonts w:asciiTheme="minorHAnsi" w:hAnsiTheme="minorHAnsi" w:cstheme="minorHAnsi"/>
              </w:rPr>
              <w:t>). This will be</w:t>
            </w:r>
            <w:r w:rsidR="00FA42AD">
              <w:rPr>
                <w:rFonts w:asciiTheme="minorHAnsi" w:hAnsiTheme="minorHAnsi" w:cstheme="minorHAnsi"/>
              </w:rPr>
              <w:t xml:space="preserve"> through Egress Switch</w:t>
            </w:r>
            <w:r w:rsidRPr="008F70F6">
              <w:rPr>
                <w:rFonts w:asciiTheme="minorHAnsi" w:hAnsiTheme="minorHAnsi" w:cstheme="minorHAnsi"/>
              </w:rPr>
              <w:t>, regardless of the security marking (unless the documents are publically available on the internet).</w:t>
            </w:r>
          </w:p>
          <w:p w:rsidR="007500A0" w:rsidRDefault="007500A0" w:rsidP="00947ADC">
            <w:pPr>
              <w:pStyle w:val="TSNumberedParagraph11"/>
              <w:numPr>
                <w:ilvl w:val="1"/>
                <w:numId w:val="5"/>
              </w:numPr>
              <w:rPr>
                <w:rFonts w:asciiTheme="minorHAnsi" w:hAnsiTheme="minorHAnsi" w:cstheme="minorHAnsi"/>
              </w:rPr>
            </w:pPr>
            <w:r w:rsidRPr="00BB2F6B">
              <w:rPr>
                <w:rFonts w:asciiTheme="minorHAnsi" w:hAnsiTheme="minorHAnsi" w:cstheme="minorHAnsi"/>
              </w:rPr>
              <w:t xml:space="preserve">It is ONR’s intention to provide the TSC’s reports to the </w:t>
            </w:r>
            <w:r w:rsidR="003B55D6">
              <w:rPr>
                <w:rFonts w:asciiTheme="minorHAnsi" w:hAnsiTheme="minorHAnsi" w:cstheme="minorHAnsi"/>
              </w:rPr>
              <w:t>licensee</w:t>
            </w:r>
            <w:r w:rsidRPr="00BB2F6B">
              <w:rPr>
                <w:rFonts w:asciiTheme="minorHAnsi" w:hAnsiTheme="minorHAnsi" w:cstheme="minorHAnsi"/>
              </w:rPr>
              <w:t xml:space="preserve"> for confirmation of factual accuracy.</w:t>
            </w:r>
            <w:r>
              <w:rPr>
                <w:rFonts w:asciiTheme="minorHAnsi" w:hAnsiTheme="minorHAnsi" w:cstheme="minorHAnsi"/>
              </w:rPr>
              <w:t xml:space="preserve"> Once approved, the TSC’s reports will become the intellectual property of ONR and may not be used for any other purpose, or distributed by the TSC to any third party.</w:t>
            </w:r>
          </w:p>
          <w:p w:rsidR="007E1312" w:rsidRPr="00F05521" w:rsidRDefault="007500A0" w:rsidP="00947ADC">
            <w:pPr>
              <w:pStyle w:val="TSNumberedParagraph11"/>
              <w:numPr>
                <w:ilvl w:val="1"/>
                <w:numId w:val="5"/>
              </w:numPr>
              <w:rPr>
                <w:rFonts w:asciiTheme="minorHAnsi" w:hAnsiTheme="minorHAnsi" w:cstheme="minorHAnsi"/>
              </w:rPr>
            </w:pPr>
            <w:r w:rsidRPr="007500A0">
              <w:rPr>
                <w:rFonts w:asciiTheme="minorHAnsi" w:hAnsiTheme="minorHAnsi" w:cstheme="minorHAnsi"/>
              </w:rPr>
              <w:t xml:space="preserve">It is not ONR’s intention to publish the reports produced through this contract. However, it is likely they will be referenced </w:t>
            </w:r>
            <w:r w:rsidR="008F70F6">
              <w:rPr>
                <w:rFonts w:asciiTheme="minorHAnsi" w:hAnsiTheme="minorHAnsi" w:cstheme="minorHAnsi"/>
              </w:rPr>
              <w:t>in ONR</w:t>
            </w:r>
            <w:r w:rsidRPr="007500A0">
              <w:rPr>
                <w:rFonts w:asciiTheme="minorHAnsi" w:hAnsiTheme="minorHAnsi" w:cstheme="minorHAnsi"/>
              </w:rPr>
              <w:t xml:space="preserve"> reports and therefore subject to freedom of information requests. This should not constrain or limit the produced reports but should be taken into account with the style and format.</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CONTRACT MANAGEMENT</w:t>
            </w:r>
          </w:p>
          <w:p w:rsidR="005C4C52" w:rsidRPr="005C4C52" w:rsidRDefault="005C4C52" w:rsidP="00F05521">
            <w:pPr>
              <w:pStyle w:val="TSNumberedParagraph11"/>
              <w:rPr>
                <w:rFonts w:asciiTheme="minorHAnsi" w:hAnsiTheme="minorHAnsi" w:cstheme="minorHAnsi"/>
              </w:rPr>
            </w:pPr>
            <w:r>
              <w:rPr>
                <w:rFonts w:asciiTheme="minorHAnsi" w:hAnsiTheme="minorHAnsi" w:cstheme="minorHAnsi"/>
              </w:rPr>
              <w:t>A contract start-up meeting can be held at ONR’s Bootle office or the contractor’s offices.</w:t>
            </w:r>
            <w:r w:rsidRPr="005C4C52">
              <w:rPr>
                <w:rFonts w:asciiTheme="minorHAnsi" w:hAnsiTheme="minorHAnsi" w:cstheme="minorHAnsi"/>
              </w:rPr>
              <w:t xml:space="preserve"> </w:t>
            </w:r>
            <w:r>
              <w:rPr>
                <w:rFonts w:asciiTheme="minorHAnsi" w:hAnsiTheme="minorHAnsi" w:cstheme="minorHAnsi"/>
              </w:rPr>
              <w:t>T</w:t>
            </w:r>
            <w:r w:rsidRPr="005C4C52">
              <w:rPr>
                <w:rFonts w:asciiTheme="minorHAnsi" w:hAnsiTheme="minorHAnsi" w:cstheme="minorHAnsi"/>
              </w:rPr>
              <w:t>echnical and programme update</w:t>
            </w:r>
            <w:r>
              <w:rPr>
                <w:rFonts w:asciiTheme="minorHAnsi" w:hAnsiTheme="minorHAnsi" w:cstheme="minorHAnsi"/>
              </w:rPr>
              <w:t>s will be delivered</w:t>
            </w:r>
            <w:r w:rsidRPr="005C4C52">
              <w:rPr>
                <w:rFonts w:asciiTheme="minorHAnsi" w:hAnsiTheme="minorHAnsi" w:cstheme="minorHAnsi"/>
              </w:rPr>
              <w:t xml:space="preserve"> via teleconference on a bi-weekly basis, likely one hour in length, indicating any areas of concern. </w:t>
            </w:r>
            <w:r>
              <w:rPr>
                <w:rFonts w:asciiTheme="minorHAnsi" w:hAnsiTheme="minorHAnsi" w:cstheme="minorHAnsi"/>
              </w:rPr>
              <w:t xml:space="preserve"> ONR will travel to the contractor’s offices where face to face interactions to discuss any findings are required. </w:t>
            </w:r>
          </w:p>
          <w:p w:rsidR="00AF4C0F" w:rsidRPr="00F05521" w:rsidRDefault="008F0C78" w:rsidP="00F05521">
            <w:pPr>
              <w:pStyle w:val="TSNumberedParagraph11"/>
              <w:rPr>
                <w:rFonts w:asciiTheme="minorHAnsi" w:hAnsiTheme="minorHAnsi" w:cstheme="minorHAnsi"/>
              </w:rPr>
            </w:pPr>
            <w:r w:rsidRPr="008F0C78">
              <w:rPr>
                <w:rFonts w:asciiTheme="minorHAnsi" w:hAnsiTheme="minorHAnsi" w:cstheme="minorHAnsi"/>
              </w:rPr>
              <w:t xml:space="preserve">With our contracting framework, it is a requirement that a progress update is submitted alongside the monthly invoices. </w:t>
            </w:r>
          </w:p>
        </w:tc>
      </w:tr>
      <w:tr w:rsidR="00863CDC" w:rsidRPr="002C62C2" w:rsidTr="00971BA8">
        <w:trPr>
          <w:jc w:val="center"/>
        </w:trPr>
        <w:tc>
          <w:tcPr>
            <w:tcW w:w="9709" w:type="dxa"/>
            <w:tcBorders>
              <w:bottom w:val="single" w:sz="4" w:space="0" w:color="auto"/>
            </w:tcBorders>
            <w:shd w:val="clear" w:color="auto" w:fill="006D68"/>
          </w:tcPr>
          <w:p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lastRenderedPageBreak/>
              <w:t>TECHNICAL RESPONSE</w:t>
            </w:r>
          </w:p>
        </w:tc>
      </w:tr>
      <w:tr w:rsidR="00971BA8" w:rsidRPr="002C62C2" w:rsidTr="00971BA8">
        <w:trPr>
          <w:jc w:val="center"/>
        </w:trPr>
        <w:tc>
          <w:tcPr>
            <w:tcW w:w="9709" w:type="dxa"/>
            <w:shd w:val="clear" w:color="auto" w:fill="auto"/>
          </w:tcPr>
          <w:p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rsidR="00971BA8" w:rsidRPr="00D55FE7" w:rsidRDefault="00971BA8"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The Technical Response</w:t>
            </w:r>
            <w:r w:rsidRPr="00D55FE7">
              <w:rPr>
                <w:rFonts w:asciiTheme="minorHAnsi" w:hAnsiTheme="minorHAnsi" w:cstheme="minorHAnsi"/>
              </w:rPr>
              <w:t xml:space="preserve"> should </w:t>
            </w:r>
            <w:r>
              <w:rPr>
                <w:rFonts w:asciiTheme="minorHAnsi" w:hAnsiTheme="minorHAnsi" w:cstheme="minorHAnsi"/>
              </w:rPr>
              <w:t>demonstrate a clear understanding of the work required.</w:t>
            </w:r>
          </w:p>
          <w:p w:rsidR="00971BA8" w:rsidRPr="002C62C2" w:rsidRDefault="00971BA8" w:rsidP="00971BA8">
            <w:pPr>
              <w:pStyle w:val="TSNumberedParagraph11"/>
              <w:tabs>
                <w:tab w:val="left" w:pos="0"/>
              </w:tabs>
              <w:ind w:left="0" w:firstLine="0"/>
              <w:rPr>
                <w:rFonts w:asciiTheme="minorHAnsi" w:hAnsiTheme="minorHAnsi" w:cstheme="minorHAnsi"/>
              </w:rPr>
            </w:pPr>
            <w:r w:rsidRPr="002C62C2">
              <w:rPr>
                <w:rFonts w:asciiTheme="minorHAnsi" w:hAnsiTheme="minorHAnsi" w:cstheme="minorHAnsi"/>
              </w:rPr>
              <w:t xml:space="preserve">Please provide </w:t>
            </w:r>
          </w:p>
          <w:p w:rsidR="00971BA8" w:rsidRPr="002C62C2" w:rsidRDefault="00971BA8" w:rsidP="00971BA8">
            <w:pPr>
              <w:pStyle w:val="TSBullet1Square"/>
              <w:tabs>
                <w:tab w:val="left" w:pos="0"/>
              </w:tabs>
              <w:spacing w:after="0"/>
              <w:ind w:left="0" w:firstLine="0"/>
              <w:rPr>
                <w:rFonts w:asciiTheme="minorHAnsi" w:hAnsiTheme="minorHAnsi" w:cstheme="minorHAnsi"/>
              </w:rPr>
            </w:pPr>
            <w:r w:rsidRPr="002C62C2">
              <w:rPr>
                <w:rFonts w:asciiTheme="minorHAnsi" w:hAnsiTheme="minorHAnsi" w:cstheme="minorHAnsi"/>
              </w:rPr>
              <w:t xml:space="preserve">a description of how you will deliver the </w:t>
            </w:r>
            <w:r>
              <w:rPr>
                <w:rFonts w:asciiTheme="minorHAnsi" w:hAnsiTheme="minorHAnsi" w:cstheme="minorHAnsi"/>
              </w:rPr>
              <w:t xml:space="preserve">scope of </w:t>
            </w:r>
            <w:r w:rsidRPr="002C62C2">
              <w:rPr>
                <w:rFonts w:asciiTheme="minorHAnsi" w:hAnsiTheme="minorHAnsi" w:cstheme="minorHAnsi"/>
              </w:rPr>
              <w:t xml:space="preserve">work </w:t>
            </w:r>
            <w:r>
              <w:rPr>
                <w:rFonts w:asciiTheme="minorHAnsi" w:hAnsiTheme="minorHAnsi" w:cstheme="minorHAnsi"/>
              </w:rPr>
              <w:t xml:space="preserve">(methodology) </w:t>
            </w:r>
            <w:r w:rsidRPr="002C62C2">
              <w:rPr>
                <w:rFonts w:asciiTheme="minorHAnsi" w:hAnsiTheme="minorHAnsi" w:cstheme="minorHAnsi"/>
              </w:rPr>
              <w:t xml:space="preserve">and the </w:t>
            </w:r>
            <w:r>
              <w:rPr>
                <w:rFonts w:asciiTheme="minorHAnsi" w:hAnsiTheme="minorHAnsi" w:cstheme="minorHAnsi"/>
              </w:rPr>
              <w:t>proposed delivery team</w:t>
            </w:r>
            <w:r w:rsidRPr="002C62C2">
              <w:rPr>
                <w:rFonts w:asciiTheme="minorHAnsi" w:hAnsiTheme="minorHAnsi" w:cstheme="minorHAnsi"/>
              </w:rPr>
              <w:t xml:space="preserve"> you will use,</w:t>
            </w:r>
            <w:r>
              <w:rPr>
                <w:rFonts w:asciiTheme="minorHAnsi" w:hAnsiTheme="minorHAnsi" w:cstheme="minorHAnsi"/>
              </w:rPr>
              <w:t xml:space="preserve"> clearly signposting to relevant sections within your Capability Prospectus where appropriate/relevant </w:t>
            </w:r>
            <w:r w:rsidRPr="002C62C2">
              <w:rPr>
                <w:rFonts w:asciiTheme="minorHAnsi" w:hAnsiTheme="minorHAnsi" w:cstheme="minorHAnsi"/>
              </w:rPr>
              <w:t>;</w:t>
            </w:r>
          </w:p>
          <w:p w:rsidR="00971BA8"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a description of proposed deliverables and/or outputs</w:t>
            </w:r>
          </w:p>
          <w:p w:rsidR="00971BA8"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an outline of anticipated engagement (project meetings &amp; management)</w:t>
            </w:r>
          </w:p>
          <w:p w:rsidR="00971BA8"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 xml:space="preserve">details of proposed cost and associated effort assumptions </w:t>
            </w:r>
          </w:p>
          <w:p w:rsidR="00971BA8"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 xml:space="preserve">a project delivery plan showing activities and milestones </w:t>
            </w:r>
          </w:p>
          <w:p w:rsidR="00971BA8"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a planned invoice schedule</w:t>
            </w:r>
          </w:p>
          <w:p w:rsidR="00971BA8" w:rsidRPr="002C62C2"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details of any assumptions or constraints</w:t>
            </w:r>
          </w:p>
          <w:p w:rsidR="00971BA8" w:rsidRDefault="00971BA8" w:rsidP="00971BA8">
            <w:pPr>
              <w:pStyle w:val="Header"/>
              <w:tabs>
                <w:tab w:val="left" w:pos="0"/>
              </w:tabs>
              <w:spacing w:before="120" w:after="120"/>
              <w:jc w:val="both"/>
              <w:rPr>
                <w:rFonts w:asciiTheme="minorHAnsi" w:hAnsiTheme="minorHAnsi" w:cstheme="minorHAnsi"/>
                <w:b/>
                <w:iCs/>
                <w:color w:val="FFFFFF" w:themeColor="background1"/>
                <w:sz w:val="24"/>
              </w:rPr>
            </w:pPr>
          </w:p>
        </w:tc>
      </w:tr>
    </w:tbl>
    <w:p w:rsidR="00240391" w:rsidRDefault="00240391" w:rsidP="00457068">
      <w:pPr>
        <w:ind w:left="567" w:hanging="567"/>
        <w:rPr>
          <w:rFonts w:asciiTheme="minorHAnsi" w:hAnsiTheme="minorHAnsi" w:cstheme="minorHAnsi"/>
        </w:rPr>
        <w:sectPr w:rsidR="00240391" w:rsidSect="00457068">
          <w:headerReference w:type="default" r:id="rId10"/>
          <w:footerReference w:type="default" r:id="rId11"/>
          <w:headerReference w:type="first" r:id="rId12"/>
          <w:footerReference w:type="first" r:id="rId13"/>
          <w:type w:val="continuous"/>
          <w:pgSz w:w="11906" w:h="16838" w:code="9"/>
          <w:pgMar w:top="709" w:right="720" w:bottom="720" w:left="720" w:header="431" w:footer="567" w:gutter="0"/>
          <w:cols w:space="708"/>
          <w:titlePg/>
          <w:docGrid w:linePitch="360"/>
        </w:sectPr>
      </w:pPr>
    </w:p>
    <w:p w:rsidR="00D75DA2" w:rsidRPr="00240391" w:rsidRDefault="00240391" w:rsidP="00240391">
      <w:pPr>
        <w:pStyle w:val="TSNumberedParagraph11"/>
        <w:numPr>
          <w:ilvl w:val="0"/>
          <w:numId w:val="0"/>
        </w:numPr>
        <w:tabs>
          <w:tab w:val="left" w:pos="2724"/>
          <w:tab w:val="center" w:pos="5233"/>
        </w:tabs>
        <w:ind w:left="567" w:hanging="567"/>
        <w:jc w:val="center"/>
        <w:rPr>
          <w:rFonts w:asciiTheme="minorHAnsi" w:hAnsiTheme="minorHAnsi" w:cstheme="minorHAnsi"/>
          <w:b/>
          <w:sz w:val="28"/>
          <w:szCs w:val="28"/>
        </w:rPr>
      </w:pPr>
      <w:r w:rsidRPr="00240391">
        <w:rPr>
          <w:rFonts w:asciiTheme="minorHAnsi" w:hAnsiTheme="minorHAnsi" w:cstheme="minorHAnsi"/>
          <w:b/>
          <w:sz w:val="28"/>
          <w:szCs w:val="28"/>
        </w:rPr>
        <w:lastRenderedPageBreak/>
        <w:t>Appendix A</w:t>
      </w:r>
      <w:r>
        <w:rPr>
          <w:rFonts w:asciiTheme="minorHAnsi" w:hAnsiTheme="minorHAnsi" w:cstheme="minorHAnsi"/>
          <w:b/>
          <w:sz w:val="28"/>
          <w:szCs w:val="28"/>
        </w:rPr>
        <w:t xml:space="preserve"> – Regulatory issues</w:t>
      </w:r>
    </w:p>
    <w:p w:rsidR="00240391" w:rsidRPr="00240391" w:rsidRDefault="00240391" w:rsidP="00240391">
      <w:pPr>
        <w:pStyle w:val="TSHeadingNumbered1"/>
        <w:numPr>
          <w:ilvl w:val="0"/>
          <w:numId w:val="0"/>
        </w:numPr>
        <w:tabs>
          <w:tab w:val="left" w:pos="0"/>
        </w:tabs>
        <w:spacing w:after="120"/>
        <w:ind w:left="862" w:hanging="720"/>
        <w:rPr>
          <w:rFonts w:asciiTheme="minorHAnsi" w:hAnsiTheme="minorHAnsi" w:cstheme="minorHAnsi"/>
        </w:rPr>
      </w:pPr>
      <w:r w:rsidRPr="00240391">
        <w:rPr>
          <w:rFonts w:asciiTheme="minorHAnsi" w:hAnsiTheme="minorHAnsi" w:cstheme="minorHAnsi"/>
        </w:rPr>
        <w:t>Regulatory issue 6688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997"/>
      </w:tblGrid>
      <w:tr w:rsidR="00240391" w:rsidRPr="00240391" w:rsidTr="00240391">
        <w:trPr>
          <w:trHeight w:val="890"/>
          <w:jc w:val="center"/>
        </w:trPr>
        <w:tc>
          <w:tcPr>
            <w:tcW w:w="1368" w:type="dxa"/>
            <w:shd w:val="clear" w:color="auto" w:fill="auto"/>
          </w:tcPr>
          <w:p w:rsidR="00240391" w:rsidRPr="00240391" w:rsidRDefault="00240391" w:rsidP="00240391">
            <w:r w:rsidRPr="00240391">
              <w:t xml:space="preserve">Title </w:t>
            </w:r>
          </w:p>
        </w:tc>
        <w:tc>
          <w:tcPr>
            <w:tcW w:w="8997" w:type="dxa"/>
            <w:shd w:val="clear" w:color="auto" w:fill="auto"/>
          </w:tcPr>
          <w:p w:rsidR="00240391" w:rsidRPr="00240391" w:rsidRDefault="00240391" w:rsidP="00240391">
            <w:pPr>
              <w:rPr>
                <w:i/>
                <w:color w:val="7F7F7F"/>
              </w:rPr>
            </w:pPr>
            <w:r w:rsidRPr="00240391">
              <w:t xml:space="preserve">NIC assessment – Implementation of alternative method for substantiation for sliding resistance. </w:t>
            </w:r>
          </w:p>
        </w:tc>
      </w:tr>
      <w:tr w:rsidR="00240391" w:rsidRPr="00240391" w:rsidTr="00240391">
        <w:trPr>
          <w:trHeight w:val="1540"/>
          <w:jc w:val="center"/>
        </w:trPr>
        <w:tc>
          <w:tcPr>
            <w:tcW w:w="1368" w:type="dxa"/>
            <w:shd w:val="clear" w:color="auto" w:fill="auto"/>
          </w:tcPr>
          <w:p w:rsidR="00240391" w:rsidRPr="00240391" w:rsidRDefault="00240391" w:rsidP="00240391">
            <w:r w:rsidRPr="00240391">
              <w:t>Issue</w:t>
            </w:r>
          </w:p>
        </w:tc>
        <w:tc>
          <w:tcPr>
            <w:tcW w:w="8997" w:type="dxa"/>
            <w:shd w:val="clear" w:color="auto" w:fill="auto"/>
          </w:tcPr>
          <w:p w:rsidR="00240391" w:rsidRPr="00240391" w:rsidRDefault="00240391" w:rsidP="00240391">
            <w:r w:rsidRPr="00240391">
              <w:t xml:space="preserve">In response to the GDA assessment finding CE-030, the licensee proposes to adopt an alternative approach to that provided for by the civil engineering design code ETC-C. At the time of NIC assessment, the time-history approach proposed was not sufficiently formalised and the method and tools to be used were not demonstrated to have been verified and duly authorised. Furthermore, the application of partial safety factors in the alternative proposal were not demonstrated to achieve an equivalent level of reliability compared to the codified provision that it was intended to replace. </w:t>
            </w:r>
          </w:p>
          <w:p w:rsidR="00240391" w:rsidRPr="00240391" w:rsidRDefault="00240391" w:rsidP="00240391"/>
          <w:p w:rsidR="00240391" w:rsidRPr="00240391" w:rsidRDefault="00240391" w:rsidP="00240391">
            <w:r w:rsidRPr="00240391">
              <w:t>See section 4.7.3.4 of ONR-NR-AR-18-001 (TRIM 2018/91888) for further detail</w:t>
            </w:r>
          </w:p>
          <w:p w:rsidR="00240391" w:rsidRPr="00240391" w:rsidRDefault="00240391" w:rsidP="00240391">
            <w:pPr>
              <w:rPr>
                <w:i/>
                <w:color w:val="7F7F7F"/>
              </w:rPr>
            </w:pPr>
          </w:p>
        </w:tc>
      </w:tr>
      <w:tr w:rsidR="00240391" w:rsidRPr="00240391" w:rsidTr="00240391">
        <w:trPr>
          <w:trHeight w:val="1540"/>
          <w:jc w:val="center"/>
        </w:trPr>
        <w:tc>
          <w:tcPr>
            <w:tcW w:w="1368" w:type="dxa"/>
            <w:shd w:val="clear" w:color="auto" w:fill="auto"/>
          </w:tcPr>
          <w:p w:rsidR="00240391" w:rsidRDefault="00240391" w:rsidP="00A140DF">
            <w:r>
              <w:t>Actions</w:t>
            </w:r>
          </w:p>
        </w:tc>
        <w:tc>
          <w:tcPr>
            <w:tcW w:w="8997" w:type="dxa"/>
            <w:shd w:val="clear" w:color="auto" w:fill="auto"/>
          </w:tcPr>
          <w:p w:rsidR="00240391" w:rsidRDefault="00240391" w:rsidP="00A140DF">
            <w:r>
              <w:t xml:space="preserve">NNB </w:t>
            </w:r>
            <w:proofErr w:type="spellStart"/>
            <w:r>
              <w:t>GenCo</w:t>
            </w:r>
            <w:proofErr w:type="spellEnd"/>
            <w:r>
              <w:t xml:space="preserve"> should demonstrate appropriate arrangements are implemented for substantiation of sliding resistance for the NI structures, including its technical governance. </w:t>
            </w:r>
          </w:p>
          <w:p w:rsidR="00240391" w:rsidRDefault="00240391" w:rsidP="00A140DF"/>
          <w:p w:rsidR="00240391" w:rsidRDefault="00240391" w:rsidP="00A140DF"/>
          <w:p w:rsidR="00240391" w:rsidRPr="0038404A" w:rsidRDefault="00240391" w:rsidP="00A140DF">
            <w:pPr>
              <w:rPr>
                <w:i/>
                <w:color w:val="7F7F7F"/>
              </w:rPr>
            </w:pPr>
          </w:p>
        </w:tc>
      </w:tr>
    </w:tbl>
    <w:p w:rsidR="00240391" w:rsidRDefault="00240391" w:rsidP="00457068">
      <w:pPr>
        <w:ind w:left="567" w:hanging="567"/>
        <w:rPr>
          <w:rFonts w:asciiTheme="minorHAnsi" w:hAnsiTheme="minorHAnsi" w:cstheme="minorHAnsi"/>
        </w:rPr>
      </w:pPr>
    </w:p>
    <w:p w:rsidR="00240391" w:rsidRDefault="00240391" w:rsidP="00240391">
      <w:pPr>
        <w:pStyle w:val="TSHeadingNumbered1"/>
        <w:numPr>
          <w:ilvl w:val="0"/>
          <w:numId w:val="0"/>
        </w:numPr>
        <w:tabs>
          <w:tab w:val="left" w:pos="0"/>
        </w:tabs>
        <w:spacing w:after="120"/>
        <w:ind w:left="862" w:hanging="720"/>
        <w:rPr>
          <w:rFonts w:asciiTheme="minorHAnsi" w:hAnsiTheme="minorHAnsi" w:cstheme="minorHAnsi"/>
        </w:rPr>
      </w:pPr>
      <w:r>
        <w:rPr>
          <w:rFonts w:asciiTheme="minorHAnsi" w:hAnsiTheme="minorHAnsi" w:cstheme="minorHAnsi"/>
        </w:rPr>
        <w:t>Regulatory issue 6691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072"/>
      </w:tblGrid>
      <w:tr w:rsidR="00240391" w:rsidRPr="00240391" w:rsidTr="00240391">
        <w:trPr>
          <w:trHeight w:val="890"/>
        </w:trPr>
        <w:tc>
          <w:tcPr>
            <w:tcW w:w="1418" w:type="dxa"/>
            <w:shd w:val="clear" w:color="auto" w:fill="auto"/>
          </w:tcPr>
          <w:p w:rsidR="00240391" w:rsidRPr="00240391" w:rsidRDefault="00240391" w:rsidP="00240391">
            <w:r w:rsidRPr="00240391">
              <w:t xml:space="preserve">Title </w:t>
            </w:r>
          </w:p>
        </w:tc>
        <w:tc>
          <w:tcPr>
            <w:tcW w:w="9072" w:type="dxa"/>
            <w:shd w:val="clear" w:color="auto" w:fill="auto"/>
          </w:tcPr>
          <w:p w:rsidR="00240391" w:rsidRPr="00240391" w:rsidRDefault="00240391" w:rsidP="00240391">
            <w:pPr>
              <w:rPr>
                <w:i/>
                <w:color w:val="7F7F7F"/>
              </w:rPr>
            </w:pPr>
            <w:r w:rsidRPr="00240391">
              <w:t xml:space="preserve">NIC assessment – Substantiation of RPV support ring and its anchorage to the civil structure. </w:t>
            </w:r>
          </w:p>
        </w:tc>
      </w:tr>
      <w:tr w:rsidR="00240391" w:rsidRPr="00240391" w:rsidTr="00240391">
        <w:trPr>
          <w:trHeight w:val="1540"/>
        </w:trPr>
        <w:tc>
          <w:tcPr>
            <w:tcW w:w="1418" w:type="dxa"/>
            <w:shd w:val="clear" w:color="auto" w:fill="auto"/>
          </w:tcPr>
          <w:p w:rsidR="00240391" w:rsidRPr="00240391" w:rsidRDefault="00240391" w:rsidP="00240391">
            <w:r w:rsidRPr="00240391">
              <w:t>Issue</w:t>
            </w:r>
          </w:p>
        </w:tc>
        <w:tc>
          <w:tcPr>
            <w:tcW w:w="9072" w:type="dxa"/>
            <w:shd w:val="clear" w:color="auto" w:fill="auto"/>
          </w:tcPr>
          <w:p w:rsidR="00240391" w:rsidRPr="00240391" w:rsidRDefault="00240391" w:rsidP="00240391">
            <w:r w:rsidRPr="00240391">
              <w:t xml:space="preserve">At the time of NIC assessment, the engineering substantiation of the RPV support ring or its anchorages to the civil structure was not available for assessment. Notwithstanding this, during the assessment of the civil structure, a number of concerns were raised in relation to consistency of analytical modelling assumptions between the RPV ring and the civil structure. Insufficient assurance was given regarding the proposed design substantiation and the design philosophy for welding and anchorage design. </w:t>
            </w:r>
          </w:p>
          <w:p w:rsidR="00240391" w:rsidRPr="00240391" w:rsidRDefault="00240391" w:rsidP="00240391"/>
          <w:p w:rsidR="00240391" w:rsidRPr="00240391" w:rsidRDefault="00240391" w:rsidP="00240391">
            <w:r w:rsidRPr="00240391">
              <w:t>See sections 4.7.4.4, 4.9.4.4 and 4.9.6.2 of ONR-NR-AR-18-001 (TRIM 2018/91888) for further detail</w:t>
            </w:r>
          </w:p>
          <w:p w:rsidR="00240391" w:rsidRPr="00240391" w:rsidRDefault="00240391" w:rsidP="00240391"/>
        </w:tc>
      </w:tr>
      <w:tr w:rsidR="00240391" w:rsidRPr="00240391" w:rsidTr="00240391">
        <w:trPr>
          <w:trHeight w:val="1540"/>
        </w:trPr>
        <w:tc>
          <w:tcPr>
            <w:tcW w:w="1418" w:type="dxa"/>
            <w:shd w:val="clear" w:color="auto" w:fill="auto"/>
          </w:tcPr>
          <w:p w:rsidR="00240391" w:rsidRDefault="00240391" w:rsidP="00A140DF">
            <w:r>
              <w:t>Actions</w:t>
            </w:r>
          </w:p>
        </w:tc>
        <w:tc>
          <w:tcPr>
            <w:tcW w:w="9072" w:type="dxa"/>
            <w:shd w:val="clear" w:color="auto" w:fill="auto"/>
          </w:tcPr>
          <w:p w:rsidR="00240391" w:rsidRDefault="00240391" w:rsidP="00A140DF">
            <w:r>
              <w:t xml:space="preserve">NNB </w:t>
            </w:r>
            <w:proofErr w:type="spellStart"/>
            <w:r>
              <w:t>GenCo</w:t>
            </w:r>
            <w:proofErr w:type="spellEnd"/>
            <w:r w:rsidRPr="003A7EE3">
              <w:t xml:space="preserve"> </w:t>
            </w:r>
            <w:r>
              <w:t xml:space="preserve">should demonstrate that the analysis and design of the RPV support ring is consistent with the civil engineering structure and that appropriate standards are applied to the design, specification and manufacturing assurance for the RPV support ring and its anchorages to the civil structure. </w:t>
            </w:r>
          </w:p>
          <w:p w:rsidR="00240391" w:rsidRPr="0038404A" w:rsidRDefault="00240391" w:rsidP="00A140DF">
            <w:pPr>
              <w:rPr>
                <w:i/>
                <w:color w:val="7F7F7F"/>
              </w:rPr>
            </w:pPr>
          </w:p>
        </w:tc>
      </w:tr>
    </w:tbl>
    <w:p w:rsidR="00240391" w:rsidRDefault="00240391" w:rsidP="00457068">
      <w:pPr>
        <w:ind w:left="567" w:hanging="567"/>
        <w:rPr>
          <w:rFonts w:asciiTheme="minorHAnsi" w:hAnsiTheme="minorHAnsi" w:cstheme="minorHAnsi"/>
        </w:rPr>
      </w:pPr>
    </w:p>
    <w:p w:rsidR="00240391" w:rsidRDefault="00240391">
      <w:pPr>
        <w:rPr>
          <w:rFonts w:asciiTheme="minorHAnsi" w:hAnsiTheme="minorHAnsi" w:cstheme="minorHAnsi"/>
          <w:b/>
          <w:caps/>
        </w:rPr>
      </w:pPr>
      <w:r>
        <w:rPr>
          <w:rFonts w:asciiTheme="minorHAnsi" w:hAnsiTheme="minorHAnsi" w:cstheme="minorHAnsi"/>
        </w:rPr>
        <w:br w:type="page"/>
      </w:r>
    </w:p>
    <w:p w:rsidR="00240391" w:rsidRDefault="00240391" w:rsidP="00240391">
      <w:pPr>
        <w:pStyle w:val="TSHeadingNumbered1"/>
        <w:numPr>
          <w:ilvl w:val="0"/>
          <w:numId w:val="0"/>
        </w:numPr>
        <w:tabs>
          <w:tab w:val="left" w:pos="0"/>
        </w:tabs>
        <w:spacing w:after="120"/>
        <w:ind w:left="862" w:hanging="720"/>
        <w:rPr>
          <w:rFonts w:asciiTheme="minorHAnsi" w:hAnsiTheme="minorHAnsi" w:cstheme="minorHAnsi"/>
        </w:rPr>
      </w:pPr>
      <w:r>
        <w:rPr>
          <w:rFonts w:asciiTheme="minorHAnsi" w:hAnsiTheme="minorHAnsi" w:cstheme="minorHAnsi"/>
        </w:rPr>
        <w:lastRenderedPageBreak/>
        <w:t>Regulatory issue 6693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072"/>
      </w:tblGrid>
      <w:tr w:rsidR="00240391" w:rsidRPr="00240391" w:rsidTr="00240391">
        <w:trPr>
          <w:trHeight w:val="347"/>
        </w:trPr>
        <w:tc>
          <w:tcPr>
            <w:tcW w:w="1418" w:type="dxa"/>
            <w:shd w:val="clear" w:color="auto" w:fill="auto"/>
          </w:tcPr>
          <w:p w:rsidR="00240391" w:rsidRPr="00240391" w:rsidRDefault="00240391" w:rsidP="00240391">
            <w:r w:rsidRPr="00240391">
              <w:t xml:space="preserve">Title </w:t>
            </w:r>
          </w:p>
        </w:tc>
        <w:tc>
          <w:tcPr>
            <w:tcW w:w="9072" w:type="dxa"/>
            <w:shd w:val="clear" w:color="auto" w:fill="auto"/>
          </w:tcPr>
          <w:p w:rsidR="00240391" w:rsidRPr="00240391" w:rsidRDefault="00240391" w:rsidP="00240391">
            <w:pPr>
              <w:rPr>
                <w:i/>
                <w:color w:val="7F7F7F"/>
              </w:rPr>
            </w:pPr>
            <w:r w:rsidRPr="00240391">
              <w:t xml:space="preserve">NIC assessment – Substantiation of the IC polar crane brackets. </w:t>
            </w:r>
          </w:p>
        </w:tc>
      </w:tr>
      <w:tr w:rsidR="00240391" w:rsidRPr="00240391" w:rsidTr="00240391">
        <w:trPr>
          <w:trHeight w:val="1540"/>
        </w:trPr>
        <w:tc>
          <w:tcPr>
            <w:tcW w:w="1418" w:type="dxa"/>
            <w:shd w:val="clear" w:color="auto" w:fill="auto"/>
          </w:tcPr>
          <w:p w:rsidR="00240391" w:rsidRPr="00240391" w:rsidRDefault="00240391" w:rsidP="00240391">
            <w:r w:rsidRPr="00240391">
              <w:t>Issue</w:t>
            </w:r>
          </w:p>
        </w:tc>
        <w:tc>
          <w:tcPr>
            <w:tcW w:w="9072" w:type="dxa"/>
            <w:shd w:val="clear" w:color="auto" w:fill="auto"/>
          </w:tcPr>
          <w:p w:rsidR="00240391" w:rsidRPr="00240391" w:rsidRDefault="00240391" w:rsidP="00240391">
            <w:r w:rsidRPr="00240391">
              <w:t xml:space="preserve">During the NIC assessment, on the basis of information provided at the time, it was not possible to draw a clear conclusion on the level of code compliance, the adequacy of actions and margins or the level of defect tolerance in the anchorage design. There was, at the time of assessment, ambiguity over the level of code-compliance of the design with respect to Eurocode requirements for crane-supporting structures. </w:t>
            </w:r>
          </w:p>
          <w:p w:rsidR="00240391" w:rsidRPr="00240391" w:rsidRDefault="00240391" w:rsidP="00240391"/>
          <w:p w:rsidR="00240391" w:rsidRPr="00240391" w:rsidRDefault="00240391" w:rsidP="00240391">
            <w:r w:rsidRPr="00240391">
              <w:t xml:space="preserve">See sections 4.8.5.1, 4.9.3.2 and 4.9.6.1 of ONR-NR-AR-18-001 (TRIM 2018/91888) for further detail </w:t>
            </w:r>
          </w:p>
          <w:p w:rsidR="00240391" w:rsidRPr="00240391" w:rsidRDefault="00240391" w:rsidP="00240391">
            <w:pPr>
              <w:rPr>
                <w:i/>
                <w:color w:val="7F7F7F"/>
              </w:rPr>
            </w:pPr>
            <w:r w:rsidRPr="00240391">
              <w:rPr>
                <w:i/>
                <w:color w:val="7F7F7F"/>
              </w:rPr>
              <w:t xml:space="preserve"> </w:t>
            </w:r>
          </w:p>
        </w:tc>
      </w:tr>
      <w:tr w:rsidR="00240391" w:rsidRPr="00240391" w:rsidTr="00240391">
        <w:trPr>
          <w:trHeight w:val="1540"/>
        </w:trPr>
        <w:tc>
          <w:tcPr>
            <w:tcW w:w="1418" w:type="dxa"/>
            <w:shd w:val="clear" w:color="auto" w:fill="auto"/>
          </w:tcPr>
          <w:p w:rsidR="00240391" w:rsidRDefault="00240391" w:rsidP="00A140DF">
            <w:r>
              <w:t>Actions</w:t>
            </w:r>
          </w:p>
        </w:tc>
        <w:tc>
          <w:tcPr>
            <w:tcW w:w="9072" w:type="dxa"/>
            <w:shd w:val="clear" w:color="auto" w:fill="auto"/>
          </w:tcPr>
          <w:p w:rsidR="00240391" w:rsidRPr="00240391" w:rsidRDefault="00240391" w:rsidP="00947ADC">
            <w:pPr>
              <w:numPr>
                <w:ilvl w:val="0"/>
                <w:numId w:val="6"/>
              </w:numPr>
              <w:spacing w:after="200" w:line="276" w:lineRule="auto"/>
              <w:contextualSpacing/>
              <w:rPr>
                <w:rFonts w:eastAsia="Calibri" w:cs="Arial"/>
                <w:szCs w:val="22"/>
              </w:rPr>
            </w:pPr>
            <w:r w:rsidRPr="00240391">
              <w:rPr>
                <w:rFonts w:eastAsia="Calibri" w:cs="Arial"/>
                <w:szCs w:val="22"/>
              </w:rPr>
              <w:t xml:space="preserve">NNB </w:t>
            </w:r>
            <w:proofErr w:type="spellStart"/>
            <w:r w:rsidRPr="00240391">
              <w:rPr>
                <w:rFonts w:eastAsia="Calibri" w:cs="Arial"/>
                <w:szCs w:val="22"/>
              </w:rPr>
              <w:t>GenCo</w:t>
            </w:r>
            <w:proofErr w:type="spellEnd"/>
            <w:r w:rsidRPr="00240391">
              <w:rPr>
                <w:rFonts w:eastAsia="Calibri" w:cs="Arial"/>
                <w:szCs w:val="22"/>
              </w:rPr>
              <w:t xml:space="preserve"> should demonstrate that the design of the polar crane brackets is code compliant and defect tolerant.  </w:t>
            </w:r>
          </w:p>
          <w:p w:rsidR="00240391" w:rsidRPr="0038404A" w:rsidRDefault="00240391" w:rsidP="00947ADC">
            <w:pPr>
              <w:numPr>
                <w:ilvl w:val="0"/>
                <w:numId w:val="6"/>
              </w:numPr>
              <w:spacing w:after="200" w:line="276" w:lineRule="auto"/>
              <w:contextualSpacing/>
              <w:rPr>
                <w:i/>
                <w:color w:val="7F7F7F"/>
              </w:rPr>
            </w:pPr>
            <w:r w:rsidRPr="00240391">
              <w:rPr>
                <w:rFonts w:eastAsia="Calibri" w:cs="Arial"/>
                <w:szCs w:val="22"/>
              </w:rPr>
              <w:t xml:space="preserve">NNB </w:t>
            </w:r>
            <w:proofErr w:type="spellStart"/>
            <w:r w:rsidRPr="00240391">
              <w:rPr>
                <w:rFonts w:eastAsia="Calibri" w:cs="Arial"/>
                <w:szCs w:val="22"/>
              </w:rPr>
              <w:t>GenCo</w:t>
            </w:r>
            <w:proofErr w:type="spellEnd"/>
            <w:r w:rsidRPr="00240391">
              <w:rPr>
                <w:rFonts w:eastAsia="Calibri" w:cs="Arial"/>
                <w:szCs w:val="22"/>
              </w:rPr>
              <w:t xml:space="preserve"> should provide evidence of suitable fabrication assurance against weld defects.</w:t>
            </w:r>
            <w:r w:rsidRPr="00240391">
              <w:rPr>
                <w:rFonts w:ascii="Calibri" w:eastAsia="Calibri" w:hAnsi="Calibri"/>
                <w:szCs w:val="22"/>
              </w:rPr>
              <w:t xml:space="preserve"> </w:t>
            </w:r>
          </w:p>
        </w:tc>
      </w:tr>
    </w:tbl>
    <w:p w:rsidR="00240391" w:rsidRDefault="00240391" w:rsidP="00240391">
      <w:pPr>
        <w:ind w:left="567" w:hanging="567"/>
        <w:rPr>
          <w:rFonts w:asciiTheme="minorHAnsi" w:hAnsiTheme="minorHAnsi" w:cstheme="minorHAnsi"/>
        </w:rPr>
      </w:pPr>
    </w:p>
    <w:p w:rsidR="00240391" w:rsidRDefault="00240391" w:rsidP="00240391">
      <w:pPr>
        <w:pStyle w:val="TSHeadingNumbered1"/>
        <w:numPr>
          <w:ilvl w:val="0"/>
          <w:numId w:val="0"/>
        </w:numPr>
        <w:tabs>
          <w:tab w:val="left" w:pos="0"/>
        </w:tabs>
        <w:spacing w:after="120"/>
        <w:ind w:left="862" w:hanging="720"/>
        <w:rPr>
          <w:rFonts w:asciiTheme="minorHAnsi" w:hAnsiTheme="minorHAnsi" w:cstheme="minorHAnsi"/>
        </w:rPr>
      </w:pPr>
      <w:r>
        <w:rPr>
          <w:rFonts w:asciiTheme="minorHAnsi" w:hAnsiTheme="minorHAnsi" w:cstheme="minorHAnsi"/>
        </w:rPr>
        <w:t>Regulatory issue 6694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072"/>
      </w:tblGrid>
      <w:tr w:rsidR="00240391" w:rsidRPr="00240391" w:rsidTr="00240391">
        <w:trPr>
          <w:trHeight w:val="653"/>
        </w:trPr>
        <w:tc>
          <w:tcPr>
            <w:tcW w:w="1418" w:type="dxa"/>
            <w:shd w:val="clear" w:color="auto" w:fill="auto"/>
          </w:tcPr>
          <w:p w:rsidR="00240391" w:rsidRPr="00240391" w:rsidRDefault="00240391" w:rsidP="00240391">
            <w:r w:rsidRPr="00240391">
              <w:t xml:space="preserve">Title </w:t>
            </w:r>
          </w:p>
        </w:tc>
        <w:tc>
          <w:tcPr>
            <w:tcW w:w="9072" w:type="dxa"/>
            <w:shd w:val="clear" w:color="auto" w:fill="auto"/>
          </w:tcPr>
          <w:p w:rsidR="00240391" w:rsidRPr="00240391" w:rsidRDefault="00240391" w:rsidP="00240391">
            <w:pPr>
              <w:rPr>
                <w:i/>
                <w:color w:val="7F7F7F"/>
              </w:rPr>
            </w:pPr>
            <w:r w:rsidRPr="00240391">
              <w:t xml:space="preserve">NIC assessment – Demonstration of adequacy of structural fire resistance requirement for HD to meet safety case requirements. </w:t>
            </w:r>
          </w:p>
        </w:tc>
      </w:tr>
      <w:tr w:rsidR="00240391" w:rsidRPr="00240391" w:rsidTr="00240391">
        <w:trPr>
          <w:trHeight w:val="1540"/>
        </w:trPr>
        <w:tc>
          <w:tcPr>
            <w:tcW w:w="1418" w:type="dxa"/>
            <w:shd w:val="clear" w:color="auto" w:fill="auto"/>
          </w:tcPr>
          <w:p w:rsidR="00240391" w:rsidRPr="00240391" w:rsidRDefault="00240391" w:rsidP="00240391">
            <w:r w:rsidRPr="00240391">
              <w:t>Issue</w:t>
            </w:r>
          </w:p>
        </w:tc>
        <w:tc>
          <w:tcPr>
            <w:tcW w:w="9072" w:type="dxa"/>
            <w:shd w:val="clear" w:color="auto" w:fill="auto"/>
          </w:tcPr>
          <w:p w:rsidR="00240391" w:rsidRPr="00240391" w:rsidRDefault="00240391" w:rsidP="00240391">
            <w:r w:rsidRPr="00240391">
              <w:t>During the NIC assessment, the fire resistance requirement for the diesel generator building was challenged on the grounds that a standard fire 2-hour resistance period had been adopted when the structure was susceptible to a hydrocarbon fire of longer period. Sufficient evidence was provided for NIC, including forward commitments, however this RI is raised in order to ensure closure of this issue.</w:t>
            </w:r>
          </w:p>
          <w:p w:rsidR="00240391" w:rsidRPr="00240391" w:rsidRDefault="00240391" w:rsidP="00240391"/>
          <w:p w:rsidR="00240391" w:rsidRPr="00240391" w:rsidRDefault="00240391" w:rsidP="00240391">
            <w:r w:rsidRPr="00240391">
              <w:t>See section 4.9.3.6 of ONR-NR-AR-18-001 (TRIM 2018/91888) for further detail</w:t>
            </w:r>
          </w:p>
        </w:tc>
      </w:tr>
      <w:tr w:rsidR="00240391" w:rsidRPr="00240391" w:rsidTr="00240391">
        <w:trPr>
          <w:trHeight w:val="662"/>
        </w:trPr>
        <w:tc>
          <w:tcPr>
            <w:tcW w:w="1418" w:type="dxa"/>
            <w:shd w:val="clear" w:color="auto" w:fill="auto"/>
          </w:tcPr>
          <w:p w:rsidR="00240391" w:rsidRDefault="00240391" w:rsidP="00A140DF">
            <w:r>
              <w:t>Actions</w:t>
            </w:r>
          </w:p>
        </w:tc>
        <w:tc>
          <w:tcPr>
            <w:tcW w:w="9072" w:type="dxa"/>
            <w:shd w:val="clear" w:color="auto" w:fill="auto"/>
          </w:tcPr>
          <w:p w:rsidR="00240391" w:rsidRPr="0038404A" w:rsidRDefault="00240391" w:rsidP="00240391">
            <w:pPr>
              <w:rPr>
                <w:i/>
                <w:color w:val="7F7F7F"/>
              </w:rPr>
            </w:pPr>
            <w:r>
              <w:t xml:space="preserve">NNB </w:t>
            </w:r>
            <w:proofErr w:type="spellStart"/>
            <w:r>
              <w:t>Genco</w:t>
            </w:r>
            <w:proofErr w:type="spellEnd"/>
            <w:r w:rsidRPr="00C95899">
              <w:t xml:space="preserve"> should demonstrate that</w:t>
            </w:r>
            <w:r>
              <w:t xml:space="preserve"> the specified structural fire resistance is appropriate for the hazard.</w:t>
            </w:r>
            <w:r>
              <w:rPr>
                <w:color w:val="7F7F7F"/>
              </w:rPr>
              <w:t xml:space="preserve"> </w:t>
            </w:r>
          </w:p>
        </w:tc>
      </w:tr>
    </w:tbl>
    <w:p w:rsidR="00240391" w:rsidRDefault="00240391" w:rsidP="00240391">
      <w:pPr>
        <w:rPr>
          <w:rFonts w:asciiTheme="minorHAnsi" w:hAnsiTheme="minorHAnsi" w:cstheme="minorHAnsi"/>
        </w:rPr>
      </w:pPr>
    </w:p>
    <w:p w:rsidR="00240391" w:rsidRDefault="00240391" w:rsidP="00240391">
      <w:pPr>
        <w:pStyle w:val="TSHeadingNumbered1"/>
        <w:numPr>
          <w:ilvl w:val="0"/>
          <w:numId w:val="0"/>
        </w:numPr>
        <w:tabs>
          <w:tab w:val="left" w:pos="0"/>
        </w:tabs>
        <w:spacing w:after="120"/>
        <w:ind w:left="862" w:hanging="720"/>
        <w:rPr>
          <w:rFonts w:asciiTheme="minorHAnsi" w:hAnsiTheme="minorHAnsi" w:cstheme="minorHAnsi"/>
        </w:rPr>
      </w:pPr>
      <w:r>
        <w:rPr>
          <w:rFonts w:asciiTheme="minorHAnsi" w:hAnsiTheme="minorHAnsi" w:cstheme="minorHAnsi"/>
        </w:rPr>
        <w:t>Regulatory issue 6695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072"/>
      </w:tblGrid>
      <w:tr w:rsidR="00240391" w:rsidRPr="00240391" w:rsidTr="00240391">
        <w:trPr>
          <w:trHeight w:val="641"/>
        </w:trPr>
        <w:tc>
          <w:tcPr>
            <w:tcW w:w="1418" w:type="dxa"/>
            <w:shd w:val="clear" w:color="auto" w:fill="auto"/>
          </w:tcPr>
          <w:p w:rsidR="00240391" w:rsidRPr="00240391" w:rsidRDefault="00240391" w:rsidP="00240391">
            <w:r w:rsidRPr="00240391">
              <w:t xml:space="preserve">Title </w:t>
            </w:r>
          </w:p>
        </w:tc>
        <w:tc>
          <w:tcPr>
            <w:tcW w:w="9072" w:type="dxa"/>
            <w:shd w:val="clear" w:color="auto" w:fill="auto"/>
          </w:tcPr>
          <w:p w:rsidR="00240391" w:rsidRPr="00240391" w:rsidRDefault="00240391" w:rsidP="00240391">
            <w:pPr>
              <w:rPr>
                <w:i/>
                <w:color w:val="7F7F7F"/>
              </w:rPr>
            </w:pPr>
            <w:r w:rsidRPr="00240391">
              <w:t>NIC assessment – Closure of structural analysis modelling calibration and verification activities.</w:t>
            </w:r>
          </w:p>
        </w:tc>
      </w:tr>
      <w:tr w:rsidR="00240391" w:rsidRPr="00240391" w:rsidTr="00240391">
        <w:trPr>
          <w:trHeight w:val="412"/>
        </w:trPr>
        <w:tc>
          <w:tcPr>
            <w:tcW w:w="1418" w:type="dxa"/>
            <w:shd w:val="clear" w:color="auto" w:fill="auto"/>
          </w:tcPr>
          <w:p w:rsidR="00240391" w:rsidRPr="00240391" w:rsidRDefault="00240391" w:rsidP="00240391">
            <w:r w:rsidRPr="00240391">
              <w:t>Issue</w:t>
            </w:r>
          </w:p>
        </w:tc>
        <w:tc>
          <w:tcPr>
            <w:tcW w:w="9072" w:type="dxa"/>
            <w:shd w:val="clear" w:color="auto" w:fill="auto"/>
          </w:tcPr>
          <w:p w:rsidR="00240391" w:rsidRPr="00240391" w:rsidRDefault="00240391" w:rsidP="00240391">
            <w:r w:rsidRPr="00240391">
              <w:t>At the conclusion of the NIC assessment a number of inconsistencies and open points remained outstanding on the structural analysis modelling of the sampled NI Structures (excluding CRX). These inconsistencies are captured in the Arup TSC reports (see TRIM 2018/91888). These inconsistencies and open points relate to issues that could potentially impact on the design action effects and therefore need to be resolved within a suitable timescale in advance of closure of the design for resistance of the relevant structural elements.</w:t>
            </w:r>
          </w:p>
          <w:p w:rsidR="00240391" w:rsidRPr="00240391" w:rsidRDefault="00240391" w:rsidP="00240391">
            <w:r w:rsidRPr="00240391">
              <w:t>The Arup TSC reports are outlined in the Civil engineering NIC report: ONR-NR-AR-18-001 (TRIM 2018/91888) section 4.4</w:t>
            </w:r>
          </w:p>
          <w:p w:rsidR="00240391" w:rsidRPr="00240391" w:rsidRDefault="00240391" w:rsidP="00240391">
            <w:r w:rsidRPr="00240391">
              <w:t>The main observations are IC-3, CRX-7, CRX-8, HRIS-1, HRIS-2, HRIS-3, HRIS-4, HRIS-5, HRIS-6, HRIS-7, HK-1, HK-3, HD-1, HD-2</w:t>
            </w:r>
          </w:p>
          <w:p w:rsidR="00240391" w:rsidRPr="00240391" w:rsidRDefault="00240391" w:rsidP="00240391">
            <w:proofErr w:type="gramStart"/>
            <w:r w:rsidRPr="00240391">
              <w:t>and</w:t>
            </w:r>
            <w:proofErr w:type="gramEnd"/>
            <w:r w:rsidRPr="00240391">
              <w:t xml:space="preserve"> HN-1.</w:t>
            </w:r>
          </w:p>
          <w:p w:rsidR="00240391" w:rsidRPr="00240391" w:rsidRDefault="00240391" w:rsidP="00240391"/>
          <w:p w:rsidR="00240391" w:rsidRPr="00240391" w:rsidRDefault="00240391" w:rsidP="00240391">
            <w:r w:rsidRPr="00240391">
              <w:t>See section 4.9.4.3 of ONR-NR-AR-18-001 (TRIM 2018/91888) for further detail</w:t>
            </w:r>
          </w:p>
        </w:tc>
      </w:tr>
      <w:tr w:rsidR="00240391" w:rsidRPr="00240391" w:rsidTr="00240391">
        <w:trPr>
          <w:trHeight w:val="412"/>
        </w:trPr>
        <w:tc>
          <w:tcPr>
            <w:tcW w:w="1418" w:type="dxa"/>
            <w:shd w:val="clear" w:color="auto" w:fill="auto"/>
          </w:tcPr>
          <w:p w:rsidR="00240391" w:rsidRDefault="00240391" w:rsidP="00A140DF">
            <w:r>
              <w:t>Actions</w:t>
            </w:r>
          </w:p>
        </w:tc>
        <w:tc>
          <w:tcPr>
            <w:tcW w:w="9072" w:type="dxa"/>
            <w:shd w:val="clear" w:color="auto" w:fill="auto"/>
          </w:tcPr>
          <w:p w:rsidR="00240391" w:rsidRPr="0038404A" w:rsidRDefault="00240391" w:rsidP="00A140DF">
            <w:pPr>
              <w:rPr>
                <w:i/>
                <w:color w:val="7F7F7F"/>
              </w:rPr>
            </w:pPr>
            <w:r>
              <w:t xml:space="preserve">The licensee should demonstrate verification and surveillance activities identifying and resolving the open points and inconsistencies found in the TSC reports and demonstrate that such issues are suitably addressed for other NI Structures not sampled in the NIC assessment.  </w:t>
            </w:r>
          </w:p>
        </w:tc>
      </w:tr>
    </w:tbl>
    <w:p w:rsidR="00240391" w:rsidRDefault="00240391" w:rsidP="00240391">
      <w:pPr>
        <w:pStyle w:val="TSHeadingNumbered1"/>
        <w:numPr>
          <w:ilvl w:val="0"/>
          <w:numId w:val="0"/>
        </w:numPr>
        <w:tabs>
          <w:tab w:val="left" w:pos="0"/>
        </w:tabs>
        <w:ind w:left="862" w:hanging="720"/>
        <w:rPr>
          <w:rFonts w:asciiTheme="minorHAnsi" w:hAnsiTheme="minorHAnsi" w:cstheme="minorHAnsi"/>
        </w:rPr>
      </w:pPr>
      <w:r>
        <w:rPr>
          <w:rFonts w:asciiTheme="minorHAnsi" w:hAnsiTheme="minorHAnsi" w:cstheme="minorHAnsi"/>
        </w:rPr>
        <w:lastRenderedPageBreak/>
        <w:t>Regulatory issue 6698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072"/>
      </w:tblGrid>
      <w:tr w:rsidR="00240391" w:rsidRPr="00240391" w:rsidTr="00240391">
        <w:trPr>
          <w:trHeight w:val="631"/>
        </w:trPr>
        <w:tc>
          <w:tcPr>
            <w:tcW w:w="1418" w:type="dxa"/>
            <w:shd w:val="clear" w:color="auto" w:fill="auto"/>
          </w:tcPr>
          <w:p w:rsidR="00240391" w:rsidRPr="00240391" w:rsidRDefault="00240391" w:rsidP="00240391">
            <w:r w:rsidRPr="00240391">
              <w:t xml:space="preserve">Title </w:t>
            </w:r>
          </w:p>
        </w:tc>
        <w:tc>
          <w:tcPr>
            <w:tcW w:w="9072" w:type="dxa"/>
            <w:shd w:val="clear" w:color="auto" w:fill="auto"/>
          </w:tcPr>
          <w:p w:rsidR="00240391" w:rsidRPr="00240391" w:rsidRDefault="00240391" w:rsidP="00240391">
            <w:pPr>
              <w:rPr>
                <w:i/>
                <w:color w:val="7F7F7F"/>
              </w:rPr>
            </w:pPr>
            <w:r w:rsidRPr="00240391">
              <w:t>NIC assessment</w:t>
            </w:r>
            <w:r w:rsidRPr="00240391">
              <w:rPr>
                <w:i/>
                <w:color w:val="7F7F7F"/>
              </w:rPr>
              <w:t xml:space="preserve"> </w:t>
            </w:r>
            <w:r w:rsidRPr="00240391">
              <w:t>– Review and sentencing of the observations of Arup from its assessment of the sampled NI Structures.</w:t>
            </w:r>
          </w:p>
        </w:tc>
      </w:tr>
      <w:tr w:rsidR="00240391" w:rsidRPr="00240391" w:rsidTr="00240391">
        <w:trPr>
          <w:trHeight w:val="1540"/>
        </w:trPr>
        <w:tc>
          <w:tcPr>
            <w:tcW w:w="1418" w:type="dxa"/>
            <w:shd w:val="clear" w:color="auto" w:fill="auto"/>
          </w:tcPr>
          <w:p w:rsidR="00240391" w:rsidRPr="00240391" w:rsidRDefault="00240391" w:rsidP="00240391">
            <w:r w:rsidRPr="00240391">
              <w:t>Issue</w:t>
            </w:r>
          </w:p>
        </w:tc>
        <w:tc>
          <w:tcPr>
            <w:tcW w:w="9072" w:type="dxa"/>
            <w:shd w:val="clear" w:color="auto" w:fill="auto"/>
          </w:tcPr>
          <w:p w:rsidR="00240391" w:rsidRPr="00240391" w:rsidRDefault="00240391" w:rsidP="00240391">
            <w:r w:rsidRPr="00240391">
              <w:t>During Nuclear Island Concrete (NIC) assessment, the ONR supporting TSC, Arup raised a number of documented observations relating to the evidence produced by the licensee for the purpose of assessment.</w:t>
            </w:r>
          </w:p>
          <w:p w:rsidR="00240391" w:rsidRPr="00240391" w:rsidRDefault="00240391" w:rsidP="00240391">
            <w:pPr>
              <w:rPr>
                <w:i/>
                <w:color w:val="7F7F7F"/>
              </w:rPr>
            </w:pPr>
          </w:p>
          <w:p w:rsidR="00240391" w:rsidRPr="00240391" w:rsidRDefault="00240391" w:rsidP="00240391">
            <w:pPr>
              <w:rPr>
                <w:i/>
                <w:color w:val="7F7F7F"/>
              </w:rPr>
            </w:pPr>
            <w:r w:rsidRPr="00240391">
              <w:t>See section 4.4  of ONR-NR-AR-18-001 (TRIM 2018/91888) for further detail</w:t>
            </w:r>
          </w:p>
        </w:tc>
      </w:tr>
      <w:tr w:rsidR="00240391" w:rsidRPr="00240391" w:rsidTr="00240391">
        <w:trPr>
          <w:trHeight w:val="563"/>
        </w:trPr>
        <w:tc>
          <w:tcPr>
            <w:tcW w:w="1418" w:type="dxa"/>
            <w:shd w:val="clear" w:color="auto" w:fill="auto"/>
          </w:tcPr>
          <w:p w:rsidR="00240391" w:rsidRDefault="00240391" w:rsidP="00A140DF">
            <w:r>
              <w:t>Actions</w:t>
            </w:r>
          </w:p>
        </w:tc>
        <w:tc>
          <w:tcPr>
            <w:tcW w:w="9072" w:type="dxa"/>
            <w:shd w:val="clear" w:color="auto" w:fill="auto"/>
          </w:tcPr>
          <w:p w:rsidR="00240391" w:rsidRDefault="00240391" w:rsidP="00A140DF">
            <w:r w:rsidRPr="00A34B31">
              <w:t xml:space="preserve">NNB </w:t>
            </w:r>
            <w:proofErr w:type="spellStart"/>
            <w:r w:rsidRPr="00A34B31">
              <w:t>GenCo</w:t>
            </w:r>
            <w:proofErr w:type="spellEnd"/>
            <w:r w:rsidRPr="00A34B31">
              <w:t xml:space="preserve"> should </w:t>
            </w:r>
            <w:r>
              <w:t>demonstrate that the observations made by Arup in the NIC assessment have been appropriately reviewed and sentenced.</w:t>
            </w:r>
            <w:r w:rsidRPr="00A34B31">
              <w:t xml:space="preserve"> </w:t>
            </w:r>
          </w:p>
          <w:p w:rsidR="00240391" w:rsidRPr="0038404A" w:rsidRDefault="00240391" w:rsidP="00A140DF">
            <w:pPr>
              <w:rPr>
                <w:i/>
                <w:color w:val="7F7F7F"/>
              </w:rPr>
            </w:pPr>
          </w:p>
        </w:tc>
      </w:tr>
    </w:tbl>
    <w:p w:rsidR="00240391" w:rsidRDefault="00240391" w:rsidP="00240391">
      <w:pPr>
        <w:rPr>
          <w:rFonts w:asciiTheme="minorHAnsi" w:hAnsiTheme="minorHAnsi" w:cstheme="minorHAnsi"/>
        </w:rPr>
      </w:pPr>
    </w:p>
    <w:p w:rsidR="00240391" w:rsidRDefault="00240391">
      <w:pPr>
        <w:rPr>
          <w:rFonts w:asciiTheme="minorHAnsi" w:hAnsiTheme="minorHAnsi" w:cstheme="minorHAnsi"/>
        </w:rPr>
      </w:pPr>
      <w:r>
        <w:rPr>
          <w:rFonts w:asciiTheme="minorHAnsi" w:hAnsiTheme="minorHAnsi" w:cstheme="minorHAnsi"/>
        </w:rPr>
        <w:br w:type="page"/>
      </w:r>
    </w:p>
    <w:p w:rsidR="00240391" w:rsidRDefault="00240391" w:rsidP="00240391">
      <w:pPr>
        <w:pStyle w:val="TSNumberedParagraph11"/>
        <w:numPr>
          <w:ilvl w:val="0"/>
          <w:numId w:val="0"/>
        </w:numPr>
        <w:tabs>
          <w:tab w:val="left" w:pos="2724"/>
          <w:tab w:val="center" w:pos="5233"/>
        </w:tabs>
        <w:ind w:left="567" w:hanging="567"/>
        <w:jc w:val="center"/>
        <w:rPr>
          <w:rFonts w:asciiTheme="minorHAnsi" w:hAnsiTheme="minorHAnsi" w:cstheme="minorHAnsi"/>
          <w:b/>
          <w:sz w:val="28"/>
          <w:szCs w:val="28"/>
        </w:rPr>
      </w:pPr>
      <w:r w:rsidRPr="00240391">
        <w:rPr>
          <w:rFonts w:asciiTheme="minorHAnsi" w:hAnsiTheme="minorHAnsi" w:cstheme="minorHAnsi"/>
          <w:b/>
          <w:sz w:val="28"/>
          <w:szCs w:val="28"/>
        </w:rPr>
        <w:lastRenderedPageBreak/>
        <w:t>Appendix B –</w:t>
      </w:r>
      <w:r w:rsidR="00A140DF">
        <w:rPr>
          <w:rFonts w:asciiTheme="minorHAnsi" w:hAnsiTheme="minorHAnsi" w:cstheme="minorHAnsi"/>
          <w:b/>
          <w:sz w:val="28"/>
          <w:szCs w:val="28"/>
        </w:rPr>
        <w:t xml:space="preserve"> O</w:t>
      </w:r>
      <w:r w:rsidRPr="00240391">
        <w:rPr>
          <w:rFonts w:asciiTheme="minorHAnsi" w:hAnsiTheme="minorHAnsi" w:cstheme="minorHAnsi"/>
          <w:b/>
          <w:sz w:val="28"/>
          <w:szCs w:val="28"/>
        </w:rPr>
        <w:t xml:space="preserve">bservations from </w:t>
      </w:r>
      <w:r w:rsidR="00A140DF">
        <w:rPr>
          <w:rFonts w:asciiTheme="minorHAnsi" w:hAnsiTheme="minorHAnsi" w:cstheme="minorHAnsi"/>
          <w:b/>
          <w:sz w:val="28"/>
          <w:szCs w:val="28"/>
        </w:rPr>
        <w:t>the technical</w:t>
      </w:r>
      <w:r w:rsidRPr="00240391">
        <w:rPr>
          <w:rFonts w:asciiTheme="minorHAnsi" w:hAnsiTheme="minorHAnsi" w:cstheme="minorHAnsi"/>
          <w:b/>
          <w:sz w:val="28"/>
          <w:szCs w:val="28"/>
        </w:rPr>
        <w:t xml:space="preserve"> assessment</w:t>
      </w:r>
      <w:r w:rsidR="00A140DF">
        <w:rPr>
          <w:rFonts w:asciiTheme="minorHAnsi" w:hAnsiTheme="minorHAnsi" w:cstheme="minorHAnsi"/>
          <w:b/>
          <w:sz w:val="28"/>
          <w:szCs w:val="28"/>
        </w:rPr>
        <w:t xml:space="preserve"> of</w:t>
      </w:r>
      <w:r w:rsidR="00A140DF" w:rsidRPr="00A140DF">
        <w:rPr>
          <w:rFonts w:asciiTheme="minorHAnsi" w:hAnsiTheme="minorHAnsi" w:cstheme="minorHAnsi"/>
          <w:b/>
          <w:sz w:val="28"/>
          <w:szCs w:val="28"/>
        </w:rPr>
        <w:t xml:space="preserve"> </w:t>
      </w:r>
      <w:r w:rsidR="00A140DF" w:rsidRPr="00240391">
        <w:rPr>
          <w:rFonts w:asciiTheme="minorHAnsi" w:hAnsiTheme="minorHAnsi" w:cstheme="minorHAnsi"/>
          <w:b/>
          <w:sz w:val="28"/>
          <w:szCs w:val="28"/>
        </w:rPr>
        <w:t>Nuclear Island Concrete</w:t>
      </w:r>
    </w:p>
    <w:p w:rsidR="00240391" w:rsidRPr="00947ADC" w:rsidRDefault="00240391" w:rsidP="00A140DF">
      <w:pPr>
        <w:rPr>
          <w:rFonts w:asciiTheme="minorHAnsi" w:hAnsiTheme="minorHAnsi"/>
        </w:rPr>
      </w:pPr>
      <w:r w:rsidRPr="00947ADC">
        <w:rPr>
          <w:rFonts w:asciiTheme="minorHAnsi" w:hAnsiTheme="minorHAnsi"/>
        </w:rPr>
        <w:t>Below are the 96 observations raised by the</w:t>
      </w:r>
      <w:r w:rsidR="00A140DF" w:rsidRPr="00947ADC">
        <w:rPr>
          <w:rFonts w:asciiTheme="minorHAnsi" w:hAnsiTheme="minorHAnsi"/>
        </w:rPr>
        <w:t xml:space="preserve"> TSC during nuclear island concrete </w:t>
      </w:r>
      <w:proofErr w:type="spellStart"/>
      <w:r w:rsidR="00A140DF" w:rsidRPr="00947ADC">
        <w:rPr>
          <w:rFonts w:asciiTheme="minorHAnsi" w:hAnsiTheme="minorHAnsi"/>
        </w:rPr>
        <w:t>permissioning</w:t>
      </w:r>
      <w:proofErr w:type="spellEnd"/>
      <w:r w:rsidR="00A140DF" w:rsidRPr="00947ADC">
        <w:rPr>
          <w:rFonts w:asciiTheme="minorHAnsi" w:hAnsiTheme="minorHAnsi"/>
        </w:rPr>
        <w:t>, these are split</w:t>
      </w:r>
      <w:r w:rsidR="00F068A7">
        <w:rPr>
          <w:rFonts w:asciiTheme="minorHAnsi" w:hAnsiTheme="minorHAnsi"/>
        </w:rPr>
        <w:t xml:space="preserve"> into their respective reports</w:t>
      </w:r>
      <w:r w:rsidR="00A140DF" w:rsidRPr="00947ADC">
        <w:rPr>
          <w:rFonts w:asciiTheme="minorHAnsi" w:hAnsiTheme="minorHAnsi"/>
        </w:rPr>
        <w:t xml:space="preserve">. The items highlighted in blue are part of RI </w:t>
      </w:r>
      <w:proofErr w:type="gramStart"/>
      <w:r w:rsidR="00A140DF" w:rsidRPr="00947ADC">
        <w:rPr>
          <w:rFonts w:asciiTheme="minorHAnsi" w:hAnsiTheme="minorHAnsi"/>
        </w:rPr>
        <w:t>6695,</w:t>
      </w:r>
      <w:proofErr w:type="gramEnd"/>
      <w:r w:rsidR="00A140DF" w:rsidRPr="00947ADC">
        <w:rPr>
          <w:rFonts w:asciiTheme="minorHAnsi" w:hAnsiTheme="minorHAnsi"/>
        </w:rPr>
        <w:t xml:space="preserve"> all others are captured under 6698.</w:t>
      </w:r>
    </w:p>
    <w:p w:rsidR="00A140DF" w:rsidRDefault="00A140DF" w:rsidP="00A140DF"/>
    <w:p w:rsidR="00A140DF" w:rsidRPr="00A140DF" w:rsidRDefault="00A140DF" w:rsidP="00A140DF">
      <w:pPr>
        <w:pStyle w:val="TSHeadingNumbered1"/>
        <w:numPr>
          <w:ilvl w:val="0"/>
          <w:numId w:val="0"/>
        </w:numPr>
        <w:tabs>
          <w:tab w:val="left" w:pos="0"/>
        </w:tabs>
        <w:ind w:left="720" w:hanging="720"/>
        <w:rPr>
          <w:rFonts w:asciiTheme="minorHAnsi" w:hAnsiTheme="minorHAnsi" w:cstheme="minorHAnsi"/>
        </w:rPr>
      </w:pPr>
      <w:r w:rsidRPr="00A140DF">
        <w:rPr>
          <w:rFonts w:asciiTheme="minorHAnsi" w:hAnsiTheme="minorHAnsi" w:cstheme="minorHAnsi"/>
        </w:rPr>
        <w:t>Inner Containment</w:t>
      </w:r>
      <w:r>
        <w:rPr>
          <w:rFonts w:asciiTheme="minorHAnsi" w:hAnsiTheme="minorHAnsi" w:cstheme="minorHAnsi"/>
        </w:rPr>
        <w:t xml:space="preserve"> (IC)</w:t>
      </w:r>
    </w:p>
    <w:tbl>
      <w:tblPr>
        <w:tblW w:w="10589" w:type="dxa"/>
        <w:tblInd w:w="93" w:type="dxa"/>
        <w:tblLook w:val="04A0" w:firstRow="1" w:lastRow="0" w:firstColumn="1" w:lastColumn="0" w:noHBand="0" w:noVBand="1"/>
      </w:tblPr>
      <w:tblGrid>
        <w:gridCol w:w="979"/>
        <w:gridCol w:w="1028"/>
        <w:gridCol w:w="7364"/>
        <w:gridCol w:w="1218"/>
      </w:tblGrid>
      <w:tr w:rsidR="00901BE2" w:rsidRPr="00947ADC" w:rsidTr="00947ADC">
        <w:trPr>
          <w:cantSplit/>
          <w:trHeight w:val="300"/>
        </w:trPr>
        <w:tc>
          <w:tcPr>
            <w:tcW w:w="97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901BE2" w:rsidRPr="00947ADC" w:rsidRDefault="00901BE2" w:rsidP="00A140DF">
            <w:pPr>
              <w:rPr>
                <w:rFonts w:asciiTheme="minorHAnsi" w:hAnsiTheme="minorHAnsi" w:cs="Arial"/>
                <w:b/>
                <w:bCs/>
                <w:color w:val="000000"/>
                <w:sz w:val="20"/>
                <w:szCs w:val="20"/>
                <w:lang w:eastAsia="en-GB"/>
              </w:rPr>
            </w:pPr>
            <w:r w:rsidRPr="00947ADC">
              <w:rPr>
                <w:rFonts w:asciiTheme="minorHAnsi" w:hAnsiTheme="minorHAnsi" w:cs="Arial"/>
                <w:b/>
                <w:bCs/>
                <w:color w:val="000000"/>
                <w:sz w:val="20"/>
                <w:szCs w:val="20"/>
                <w:lang w:eastAsia="en-GB"/>
              </w:rPr>
              <w:t xml:space="preserve">Finding ID </w:t>
            </w:r>
          </w:p>
        </w:tc>
        <w:tc>
          <w:tcPr>
            <w:tcW w:w="1028" w:type="dxa"/>
            <w:tcBorders>
              <w:top w:val="single" w:sz="4" w:space="0" w:color="auto"/>
              <w:left w:val="nil"/>
              <w:bottom w:val="single" w:sz="4" w:space="0" w:color="auto"/>
              <w:right w:val="single" w:sz="4" w:space="0" w:color="auto"/>
            </w:tcBorders>
            <w:shd w:val="clear" w:color="000000" w:fill="BFBFBF"/>
            <w:vAlign w:val="center"/>
            <w:hideMark/>
          </w:tcPr>
          <w:p w:rsidR="00901BE2" w:rsidRPr="00947ADC" w:rsidRDefault="00901BE2" w:rsidP="00A140DF">
            <w:pPr>
              <w:rPr>
                <w:rFonts w:asciiTheme="minorHAnsi" w:hAnsiTheme="minorHAnsi" w:cs="Arial"/>
                <w:b/>
                <w:bCs/>
                <w:color w:val="000000"/>
                <w:sz w:val="20"/>
                <w:szCs w:val="20"/>
                <w:lang w:eastAsia="en-GB"/>
              </w:rPr>
            </w:pPr>
            <w:r w:rsidRPr="00947ADC">
              <w:rPr>
                <w:rFonts w:asciiTheme="minorHAnsi" w:hAnsiTheme="minorHAnsi" w:cs="Arial"/>
                <w:b/>
                <w:bCs/>
                <w:color w:val="000000"/>
                <w:sz w:val="20"/>
                <w:szCs w:val="20"/>
                <w:lang w:eastAsia="en-GB"/>
              </w:rPr>
              <w:t xml:space="preserve">Report section </w:t>
            </w:r>
          </w:p>
        </w:tc>
        <w:tc>
          <w:tcPr>
            <w:tcW w:w="7364" w:type="dxa"/>
            <w:tcBorders>
              <w:top w:val="single" w:sz="4" w:space="0" w:color="auto"/>
              <w:left w:val="nil"/>
              <w:bottom w:val="single" w:sz="4" w:space="0" w:color="auto"/>
              <w:right w:val="single" w:sz="4" w:space="0" w:color="auto"/>
            </w:tcBorders>
            <w:shd w:val="clear" w:color="000000" w:fill="BFBFBF"/>
            <w:vAlign w:val="center"/>
            <w:hideMark/>
          </w:tcPr>
          <w:p w:rsidR="00901BE2" w:rsidRPr="00947ADC" w:rsidRDefault="00901BE2" w:rsidP="00A140DF">
            <w:pPr>
              <w:rPr>
                <w:rFonts w:asciiTheme="minorHAnsi" w:hAnsiTheme="minorHAnsi" w:cs="Arial"/>
                <w:b/>
                <w:bCs/>
                <w:color w:val="000000"/>
                <w:sz w:val="20"/>
                <w:szCs w:val="20"/>
                <w:lang w:eastAsia="en-GB"/>
              </w:rPr>
            </w:pPr>
            <w:r w:rsidRPr="00947ADC">
              <w:rPr>
                <w:rFonts w:asciiTheme="minorHAnsi" w:hAnsiTheme="minorHAnsi" w:cs="Arial"/>
                <w:b/>
                <w:bCs/>
                <w:color w:val="000000"/>
                <w:sz w:val="20"/>
                <w:szCs w:val="20"/>
                <w:lang w:eastAsia="en-GB"/>
              </w:rPr>
              <w:t xml:space="preserve">Summary of Finding </w:t>
            </w:r>
          </w:p>
        </w:tc>
        <w:tc>
          <w:tcPr>
            <w:tcW w:w="1218" w:type="dxa"/>
            <w:tcBorders>
              <w:top w:val="single" w:sz="4" w:space="0" w:color="auto"/>
              <w:left w:val="nil"/>
              <w:bottom w:val="single" w:sz="4" w:space="0" w:color="auto"/>
              <w:right w:val="single" w:sz="4" w:space="0" w:color="auto"/>
            </w:tcBorders>
            <w:shd w:val="clear" w:color="000000" w:fill="BFBFBF"/>
          </w:tcPr>
          <w:p w:rsidR="00901BE2" w:rsidRPr="00947ADC" w:rsidRDefault="00901BE2" w:rsidP="00A140DF">
            <w:pPr>
              <w:rPr>
                <w:rFonts w:asciiTheme="minorHAnsi" w:hAnsiTheme="minorHAnsi" w:cs="Arial"/>
                <w:b/>
                <w:bCs/>
                <w:color w:val="000000"/>
                <w:sz w:val="20"/>
                <w:szCs w:val="20"/>
                <w:lang w:eastAsia="en-GB"/>
              </w:rPr>
            </w:pPr>
            <w:r w:rsidRPr="00947ADC">
              <w:rPr>
                <w:rFonts w:asciiTheme="minorHAnsi" w:hAnsiTheme="minorHAnsi" w:cs="Arial"/>
                <w:b/>
                <w:bCs/>
                <w:color w:val="000000"/>
                <w:sz w:val="20"/>
                <w:szCs w:val="20"/>
                <w:lang w:eastAsia="en-GB"/>
              </w:rPr>
              <w:t>For TSC assessment</w:t>
            </w:r>
          </w:p>
        </w:tc>
      </w:tr>
      <w:tr w:rsidR="00901BE2" w:rsidRPr="00947ADC" w:rsidTr="00E01464">
        <w:trPr>
          <w:cantSplit/>
          <w:trHeight w:val="300"/>
        </w:trPr>
        <w:tc>
          <w:tcPr>
            <w:tcW w:w="979" w:type="dxa"/>
            <w:tcBorders>
              <w:top w:val="nil"/>
              <w:left w:val="single" w:sz="4" w:space="0" w:color="auto"/>
              <w:bottom w:val="single" w:sz="4" w:space="0" w:color="auto"/>
              <w:right w:val="single" w:sz="4" w:space="0" w:color="auto"/>
            </w:tcBorders>
            <w:shd w:val="clear" w:color="auto" w:fill="auto"/>
            <w:vAlign w:val="center"/>
            <w:hideMark/>
          </w:tcPr>
          <w:p w:rsidR="00901BE2" w:rsidRPr="00947ADC" w:rsidRDefault="00901BE2"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IC-1 </w:t>
            </w:r>
          </w:p>
        </w:tc>
        <w:tc>
          <w:tcPr>
            <w:tcW w:w="1028" w:type="dxa"/>
            <w:tcBorders>
              <w:top w:val="nil"/>
              <w:left w:val="nil"/>
              <w:bottom w:val="single" w:sz="4" w:space="0" w:color="auto"/>
              <w:right w:val="single" w:sz="4" w:space="0" w:color="auto"/>
            </w:tcBorders>
            <w:shd w:val="clear" w:color="auto" w:fill="auto"/>
            <w:vAlign w:val="center"/>
            <w:hideMark/>
          </w:tcPr>
          <w:p w:rsidR="00901BE2" w:rsidRPr="00947ADC" w:rsidRDefault="00901BE2"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4.2.1 </w:t>
            </w:r>
          </w:p>
        </w:tc>
        <w:tc>
          <w:tcPr>
            <w:tcW w:w="7364" w:type="dxa"/>
            <w:tcBorders>
              <w:top w:val="nil"/>
              <w:left w:val="nil"/>
              <w:bottom w:val="single" w:sz="4" w:space="0" w:color="auto"/>
              <w:right w:val="single" w:sz="4" w:space="0" w:color="auto"/>
            </w:tcBorders>
            <w:shd w:val="clear" w:color="auto" w:fill="auto"/>
            <w:vAlign w:val="center"/>
            <w:hideMark/>
          </w:tcPr>
          <w:p w:rsidR="00901BE2" w:rsidRPr="00947ADC" w:rsidRDefault="00901BE2"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No evidence has been presented that confirms the consistency of latest model Types 1 and 5. </w:t>
            </w:r>
          </w:p>
        </w:tc>
        <w:tc>
          <w:tcPr>
            <w:tcW w:w="1218" w:type="dxa"/>
            <w:tcBorders>
              <w:top w:val="nil"/>
              <w:left w:val="nil"/>
              <w:bottom w:val="single" w:sz="4" w:space="0" w:color="auto"/>
              <w:right w:val="single" w:sz="4" w:space="0" w:color="auto"/>
            </w:tcBorders>
            <w:shd w:val="clear" w:color="auto" w:fill="C5E0B3" w:themeFill="accent6" w:themeFillTint="66"/>
          </w:tcPr>
          <w:p w:rsidR="00901BE2" w:rsidRPr="00947ADC" w:rsidRDefault="00E01464" w:rsidP="00A140DF">
            <w:pPr>
              <w:rPr>
                <w:rFonts w:asciiTheme="minorHAnsi" w:hAnsiTheme="minorHAnsi" w:cs="Arial"/>
                <w:color w:val="000000"/>
                <w:sz w:val="20"/>
                <w:szCs w:val="20"/>
                <w:lang w:eastAsia="en-GB"/>
              </w:rPr>
            </w:pPr>
            <w:r>
              <w:rPr>
                <w:rFonts w:asciiTheme="minorHAnsi" w:hAnsiTheme="minorHAnsi" w:cs="Arial"/>
                <w:color w:val="000000"/>
                <w:sz w:val="20"/>
                <w:szCs w:val="20"/>
                <w:lang w:eastAsia="en-GB"/>
              </w:rPr>
              <w:t>Yes</w:t>
            </w:r>
          </w:p>
        </w:tc>
      </w:tr>
      <w:tr w:rsidR="00901BE2" w:rsidRPr="00947ADC" w:rsidTr="00947ADC">
        <w:trPr>
          <w:cantSplit/>
          <w:trHeight w:val="300"/>
        </w:trPr>
        <w:tc>
          <w:tcPr>
            <w:tcW w:w="979" w:type="dxa"/>
            <w:tcBorders>
              <w:top w:val="nil"/>
              <w:left w:val="single" w:sz="4" w:space="0" w:color="auto"/>
              <w:bottom w:val="single" w:sz="4" w:space="0" w:color="auto"/>
              <w:right w:val="single" w:sz="4" w:space="0" w:color="auto"/>
            </w:tcBorders>
            <w:shd w:val="clear" w:color="auto" w:fill="auto"/>
            <w:vAlign w:val="center"/>
            <w:hideMark/>
          </w:tcPr>
          <w:p w:rsidR="00901BE2" w:rsidRPr="00947ADC" w:rsidRDefault="00901BE2"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IC-2 </w:t>
            </w:r>
          </w:p>
        </w:tc>
        <w:tc>
          <w:tcPr>
            <w:tcW w:w="1028" w:type="dxa"/>
            <w:tcBorders>
              <w:top w:val="nil"/>
              <w:left w:val="nil"/>
              <w:bottom w:val="single" w:sz="4" w:space="0" w:color="auto"/>
              <w:right w:val="single" w:sz="4" w:space="0" w:color="auto"/>
            </w:tcBorders>
            <w:shd w:val="clear" w:color="auto" w:fill="auto"/>
            <w:vAlign w:val="center"/>
            <w:hideMark/>
          </w:tcPr>
          <w:p w:rsidR="00901BE2" w:rsidRPr="00947ADC" w:rsidRDefault="00901BE2"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4.2.4 </w:t>
            </w:r>
          </w:p>
        </w:tc>
        <w:tc>
          <w:tcPr>
            <w:tcW w:w="7364" w:type="dxa"/>
            <w:tcBorders>
              <w:top w:val="nil"/>
              <w:left w:val="nil"/>
              <w:bottom w:val="single" w:sz="4" w:space="0" w:color="auto"/>
              <w:right w:val="single" w:sz="4" w:space="0" w:color="auto"/>
            </w:tcBorders>
            <w:shd w:val="clear" w:color="auto" w:fill="auto"/>
            <w:vAlign w:val="center"/>
            <w:hideMark/>
          </w:tcPr>
          <w:p w:rsidR="00901BE2" w:rsidRPr="00947ADC" w:rsidRDefault="00901BE2"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Justification of the concrete stresses around openings omitted from the FE model is needed. </w:t>
            </w:r>
          </w:p>
        </w:tc>
        <w:tc>
          <w:tcPr>
            <w:tcW w:w="1218" w:type="dxa"/>
            <w:tcBorders>
              <w:top w:val="nil"/>
              <w:left w:val="nil"/>
              <w:bottom w:val="single" w:sz="4" w:space="0" w:color="auto"/>
              <w:right w:val="single" w:sz="4" w:space="0" w:color="auto"/>
            </w:tcBorders>
            <w:shd w:val="clear" w:color="auto" w:fill="C5E0B3" w:themeFill="accent6" w:themeFillTint="66"/>
          </w:tcPr>
          <w:p w:rsidR="00901BE2"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01BE2" w:rsidRPr="00947ADC" w:rsidTr="00E01464">
        <w:trPr>
          <w:cantSplit/>
          <w:trHeight w:val="300"/>
        </w:trPr>
        <w:tc>
          <w:tcPr>
            <w:tcW w:w="979" w:type="dxa"/>
            <w:tcBorders>
              <w:top w:val="nil"/>
              <w:left w:val="single" w:sz="4" w:space="0" w:color="auto"/>
              <w:bottom w:val="single" w:sz="4" w:space="0" w:color="auto"/>
              <w:right w:val="single" w:sz="4" w:space="0" w:color="auto"/>
            </w:tcBorders>
            <w:shd w:val="clear" w:color="000000" w:fill="C5D9F1"/>
            <w:vAlign w:val="center"/>
            <w:hideMark/>
          </w:tcPr>
          <w:p w:rsidR="00901BE2" w:rsidRPr="00947ADC" w:rsidRDefault="00901BE2"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IC-3 </w:t>
            </w:r>
          </w:p>
        </w:tc>
        <w:tc>
          <w:tcPr>
            <w:tcW w:w="1028" w:type="dxa"/>
            <w:tcBorders>
              <w:top w:val="nil"/>
              <w:left w:val="nil"/>
              <w:bottom w:val="single" w:sz="4" w:space="0" w:color="auto"/>
              <w:right w:val="single" w:sz="4" w:space="0" w:color="auto"/>
            </w:tcBorders>
            <w:shd w:val="clear" w:color="000000" w:fill="C5D9F1"/>
            <w:vAlign w:val="center"/>
            <w:hideMark/>
          </w:tcPr>
          <w:p w:rsidR="00901BE2" w:rsidRPr="00947ADC" w:rsidRDefault="00901BE2"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4.2.7 </w:t>
            </w:r>
          </w:p>
        </w:tc>
        <w:tc>
          <w:tcPr>
            <w:tcW w:w="7364" w:type="dxa"/>
            <w:tcBorders>
              <w:top w:val="nil"/>
              <w:left w:val="nil"/>
              <w:bottom w:val="single" w:sz="4" w:space="0" w:color="auto"/>
              <w:right w:val="single" w:sz="4" w:space="0" w:color="auto"/>
            </w:tcBorders>
            <w:shd w:val="clear" w:color="000000" w:fill="C5D9F1"/>
            <w:vAlign w:val="center"/>
            <w:hideMark/>
          </w:tcPr>
          <w:p w:rsidR="00901BE2" w:rsidRPr="00947ADC" w:rsidRDefault="00901BE2"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Further investigation into the use of sub model is recommended. </w:t>
            </w:r>
          </w:p>
        </w:tc>
        <w:tc>
          <w:tcPr>
            <w:tcW w:w="1218" w:type="dxa"/>
            <w:tcBorders>
              <w:top w:val="nil"/>
              <w:left w:val="nil"/>
              <w:bottom w:val="single" w:sz="4" w:space="0" w:color="auto"/>
              <w:right w:val="single" w:sz="4" w:space="0" w:color="auto"/>
            </w:tcBorders>
            <w:shd w:val="clear" w:color="auto" w:fill="C5E0B3" w:themeFill="accent6" w:themeFillTint="66"/>
          </w:tcPr>
          <w:p w:rsidR="00901BE2" w:rsidRPr="00947ADC" w:rsidRDefault="00E01464" w:rsidP="00A140DF">
            <w:pPr>
              <w:rPr>
                <w:rFonts w:asciiTheme="minorHAnsi" w:hAnsiTheme="minorHAnsi" w:cs="Arial"/>
                <w:color w:val="000000"/>
                <w:sz w:val="20"/>
                <w:szCs w:val="20"/>
                <w:lang w:eastAsia="en-GB"/>
              </w:rPr>
            </w:pPr>
            <w:r>
              <w:rPr>
                <w:rFonts w:asciiTheme="minorHAnsi" w:hAnsiTheme="minorHAnsi" w:cs="Arial"/>
                <w:color w:val="000000"/>
                <w:sz w:val="20"/>
                <w:szCs w:val="20"/>
                <w:lang w:eastAsia="en-GB"/>
              </w:rPr>
              <w:t>Yes</w:t>
            </w:r>
          </w:p>
        </w:tc>
      </w:tr>
      <w:tr w:rsidR="001A4094" w:rsidRPr="00947ADC" w:rsidTr="00947ADC">
        <w:trPr>
          <w:cantSplit/>
          <w:trHeight w:val="465"/>
        </w:trPr>
        <w:tc>
          <w:tcPr>
            <w:tcW w:w="979" w:type="dxa"/>
            <w:vMerge w:val="restart"/>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IC-4 </w:t>
            </w:r>
          </w:p>
        </w:tc>
        <w:tc>
          <w:tcPr>
            <w:tcW w:w="1028"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4.4, </w:t>
            </w:r>
          </w:p>
        </w:tc>
        <w:tc>
          <w:tcPr>
            <w:tcW w:w="7364" w:type="dxa"/>
            <w:vMerge w:val="restart"/>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Information on the polar crane design actions in SDMS 15 [S15] demonstrates inconsistencies and lack of maturity. Supplementary information implies the design has progressed since [S15], but does not confirm the extent to which the global and local designs have been updated. </w:t>
            </w:r>
          </w:p>
        </w:tc>
        <w:tc>
          <w:tcPr>
            <w:tcW w:w="1218" w:type="dxa"/>
            <w:tcBorders>
              <w:top w:val="nil"/>
              <w:left w:val="single" w:sz="4" w:space="0" w:color="auto"/>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360"/>
        </w:trPr>
        <w:tc>
          <w:tcPr>
            <w:tcW w:w="979" w:type="dxa"/>
            <w:vMerge/>
            <w:tcBorders>
              <w:top w:val="nil"/>
              <w:left w:val="single" w:sz="4" w:space="0" w:color="auto"/>
              <w:bottom w:val="single" w:sz="4" w:space="0" w:color="auto"/>
              <w:right w:val="single" w:sz="4" w:space="0" w:color="auto"/>
            </w:tcBorders>
            <w:vAlign w:val="center"/>
            <w:hideMark/>
          </w:tcPr>
          <w:p w:rsidR="001A4094" w:rsidRPr="00947ADC" w:rsidRDefault="001A4094" w:rsidP="00A140DF">
            <w:pPr>
              <w:rPr>
                <w:rFonts w:asciiTheme="minorHAnsi" w:hAnsiTheme="minorHAnsi" w:cs="Arial"/>
                <w:color w:val="000000"/>
                <w:sz w:val="20"/>
                <w:szCs w:val="20"/>
                <w:lang w:eastAsia="en-GB"/>
              </w:rPr>
            </w:pPr>
          </w:p>
        </w:tc>
        <w:tc>
          <w:tcPr>
            <w:tcW w:w="1028"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5.4.7.4 </w:t>
            </w:r>
          </w:p>
        </w:tc>
        <w:tc>
          <w:tcPr>
            <w:tcW w:w="7364" w:type="dxa"/>
            <w:vMerge/>
            <w:tcBorders>
              <w:top w:val="nil"/>
              <w:left w:val="single" w:sz="4" w:space="0" w:color="auto"/>
              <w:bottom w:val="single" w:sz="4" w:space="0" w:color="auto"/>
              <w:right w:val="single" w:sz="4" w:space="0" w:color="auto"/>
            </w:tcBorders>
            <w:vAlign w:val="center"/>
            <w:hideMark/>
          </w:tcPr>
          <w:p w:rsidR="001A4094" w:rsidRPr="00947ADC" w:rsidRDefault="001A4094" w:rsidP="00A140DF">
            <w:pPr>
              <w:rPr>
                <w:rFonts w:asciiTheme="minorHAnsi" w:hAnsiTheme="minorHAnsi" w:cs="Arial"/>
                <w:color w:val="000000"/>
                <w:sz w:val="20"/>
                <w:szCs w:val="20"/>
                <w:lang w:eastAsia="en-GB"/>
              </w:rPr>
            </w:pPr>
          </w:p>
        </w:tc>
        <w:tc>
          <w:tcPr>
            <w:tcW w:w="1218" w:type="dxa"/>
            <w:tcBorders>
              <w:top w:val="nil"/>
              <w:left w:val="single" w:sz="4" w:space="0" w:color="auto"/>
              <w:bottom w:val="single" w:sz="4" w:space="0" w:color="auto"/>
              <w:right w:val="single" w:sz="4" w:space="0" w:color="auto"/>
            </w:tcBorders>
            <w:shd w:val="clear" w:color="auto" w:fill="C5E0B3" w:themeFill="accent6" w:themeFillTint="66"/>
          </w:tcPr>
          <w:p w:rsidR="001A4094" w:rsidRPr="00947ADC" w:rsidRDefault="001A4094">
            <w:pPr>
              <w:rPr>
                <w:rFonts w:asciiTheme="minorHAnsi" w:hAnsiTheme="minorHAnsi"/>
              </w:rPr>
            </w:pPr>
            <w:r w:rsidRPr="00947ADC">
              <w:rPr>
                <w:rFonts w:asciiTheme="minorHAnsi" w:hAnsiTheme="minorHAnsi"/>
              </w:rPr>
              <w:t>Yes</w:t>
            </w:r>
          </w:p>
        </w:tc>
      </w:tr>
      <w:tr w:rsidR="001A4094" w:rsidRPr="00947ADC" w:rsidTr="00947ADC">
        <w:trPr>
          <w:cantSplit/>
          <w:trHeight w:val="510"/>
        </w:trPr>
        <w:tc>
          <w:tcPr>
            <w:tcW w:w="979"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IC-5 </w:t>
            </w:r>
          </w:p>
        </w:tc>
        <w:tc>
          <w:tcPr>
            <w:tcW w:w="1028"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5.2.2 </w:t>
            </w:r>
          </w:p>
        </w:tc>
        <w:tc>
          <w:tcPr>
            <w:tcW w:w="73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concrete design strength limit for Group 1 operational actions is less onerous than that enforced by BS EN1992 for ordinary UK structures.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pPr>
              <w:rPr>
                <w:rFonts w:asciiTheme="minorHAnsi" w:hAnsiTheme="minorHAnsi"/>
              </w:rPr>
            </w:pPr>
            <w:r w:rsidRPr="00947ADC">
              <w:rPr>
                <w:rFonts w:asciiTheme="minorHAnsi" w:hAnsiTheme="minorHAnsi"/>
              </w:rPr>
              <w:t>Yes</w:t>
            </w:r>
          </w:p>
        </w:tc>
      </w:tr>
      <w:tr w:rsidR="001A4094" w:rsidRPr="00947ADC" w:rsidTr="00947ADC">
        <w:trPr>
          <w:cantSplit/>
          <w:trHeight w:val="510"/>
        </w:trPr>
        <w:tc>
          <w:tcPr>
            <w:tcW w:w="979"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IC-6 </w:t>
            </w:r>
          </w:p>
        </w:tc>
        <w:tc>
          <w:tcPr>
            <w:tcW w:w="1028"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5.2.2, 5.2.5. </w:t>
            </w:r>
          </w:p>
        </w:tc>
        <w:tc>
          <w:tcPr>
            <w:tcW w:w="73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concrete design strength limit for Group 1 construction actions is less onerous than that enforced by BS EN1992 for ordinary UK structures.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pPr>
              <w:rPr>
                <w:rFonts w:asciiTheme="minorHAnsi" w:hAnsiTheme="minorHAnsi"/>
              </w:rPr>
            </w:pPr>
            <w:r w:rsidRPr="00947ADC">
              <w:rPr>
                <w:rFonts w:asciiTheme="minorHAnsi" w:hAnsiTheme="minorHAnsi"/>
              </w:rPr>
              <w:t>Yes</w:t>
            </w:r>
          </w:p>
        </w:tc>
      </w:tr>
      <w:tr w:rsidR="001A4094" w:rsidRPr="00947ADC" w:rsidTr="00947ADC">
        <w:trPr>
          <w:cantSplit/>
          <w:trHeight w:val="765"/>
        </w:trPr>
        <w:tc>
          <w:tcPr>
            <w:tcW w:w="979"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IC-7 </w:t>
            </w:r>
          </w:p>
        </w:tc>
        <w:tc>
          <w:tcPr>
            <w:tcW w:w="1028"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5.2.3 </w:t>
            </w:r>
          </w:p>
        </w:tc>
        <w:tc>
          <w:tcPr>
            <w:tcW w:w="73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It is unclear whether the concrete strength enhancement rule, as defined in ETC-C clause 1.4.5.2.1 [E1], is being appropriately applied. The simplified presentation of the rule in SDMS 15 [S15] suggests it might not be, with </w:t>
            </w:r>
            <w:proofErr w:type="spellStart"/>
            <w:r w:rsidRPr="00947ADC">
              <w:rPr>
                <w:rFonts w:asciiTheme="minorHAnsi" w:hAnsiTheme="minorHAnsi" w:cs="Arial"/>
                <w:color w:val="000000"/>
                <w:sz w:val="20"/>
                <w:szCs w:val="20"/>
                <w:lang w:eastAsia="en-GB"/>
              </w:rPr>
              <w:t>unconservative</w:t>
            </w:r>
            <w:proofErr w:type="spellEnd"/>
            <w:r w:rsidRPr="00947ADC">
              <w:rPr>
                <w:rFonts w:asciiTheme="minorHAnsi" w:hAnsiTheme="minorHAnsi" w:cs="Arial"/>
                <w:color w:val="000000"/>
                <w:sz w:val="20"/>
                <w:szCs w:val="20"/>
                <w:lang w:eastAsia="en-GB"/>
              </w:rPr>
              <w:t xml:space="preserve"> consequences.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pPr>
              <w:rPr>
                <w:rFonts w:asciiTheme="minorHAnsi" w:hAnsiTheme="minorHAnsi"/>
              </w:rPr>
            </w:pPr>
            <w:r w:rsidRPr="00947ADC">
              <w:rPr>
                <w:rFonts w:asciiTheme="minorHAnsi" w:hAnsiTheme="minorHAnsi"/>
              </w:rPr>
              <w:t>Yes</w:t>
            </w:r>
          </w:p>
        </w:tc>
      </w:tr>
      <w:tr w:rsidR="001A4094" w:rsidRPr="00947ADC" w:rsidTr="00947ADC">
        <w:trPr>
          <w:cantSplit/>
          <w:trHeight w:val="510"/>
        </w:trPr>
        <w:tc>
          <w:tcPr>
            <w:tcW w:w="979"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IC-8 </w:t>
            </w:r>
          </w:p>
        </w:tc>
        <w:tc>
          <w:tcPr>
            <w:tcW w:w="1028"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5.2.3 </w:t>
            </w:r>
          </w:p>
        </w:tc>
        <w:tc>
          <w:tcPr>
            <w:tcW w:w="73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It is unclear whether the concrete strength enhancement rule, as defined in ETC-C clause 1.4.5.2.1 [E1], is being appropriately interpreted.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pPr>
              <w:rPr>
                <w:rFonts w:asciiTheme="minorHAnsi" w:hAnsiTheme="minorHAnsi"/>
              </w:rPr>
            </w:pPr>
            <w:r w:rsidRPr="00947ADC">
              <w:rPr>
                <w:rFonts w:asciiTheme="minorHAnsi" w:hAnsiTheme="minorHAnsi"/>
              </w:rPr>
              <w:t>Yes</w:t>
            </w:r>
          </w:p>
        </w:tc>
      </w:tr>
      <w:tr w:rsidR="001A4094" w:rsidRPr="00947ADC" w:rsidTr="00947ADC">
        <w:trPr>
          <w:cantSplit/>
          <w:trHeight w:val="300"/>
        </w:trPr>
        <w:tc>
          <w:tcPr>
            <w:tcW w:w="979"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IC-9 </w:t>
            </w:r>
          </w:p>
        </w:tc>
        <w:tc>
          <w:tcPr>
            <w:tcW w:w="1028"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5.2.6 </w:t>
            </w:r>
          </w:p>
        </w:tc>
        <w:tc>
          <w:tcPr>
            <w:tcW w:w="73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limiting concrete strength assumed for shear calculations has been misquoted in SDMS 15 [S15]. </w:t>
            </w:r>
          </w:p>
        </w:tc>
        <w:tc>
          <w:tcPr>
            <w:tcW w:w="1218" w:type="dxa"/>
            <w:tcBorders>
              <w:top w:val="nil"/>
              <w:left w:val="nil"/>
              <w:bottom w:val="single" w:sz="4" w:space="0" w:color="auto"/>
              <w:right w:val="single" w:sz="4" w:space="0" w:color="auto"/>
            </w:tcBorders>
            <w:shd w:val="clear" w:color="auto" w:fill="FF8B8B"/>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No</w:t>
            </w:r>
          </w:p>
        </w:tc>
      </w:tr>
      <w:tr w:rsidR="001A4094" w:rsidRPr="00947ADC" w:rsidTr="00947ADC">
        <w:trPr>
          <w:cantSplit/>
          <w:trHeight w:val="510"/>
        </w:trPr>
        <w:tc>
          <w:tcPr>
            <w:tcW w:w="979"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IC-10 </w:t>
            </w:r>
          </w:p>
        </w:tc>
        <w:tc>
          <w:tcPr>
            <w:tcW w:w="1028"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5.2.7, 5.6 </w:t>
            </w:r>
          </w:p>
        </w:tc>
        <w:tc>
          <w:tcPr>
            <w:tcW w:w="73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reduction factor on thermal action effects is defined by a simplified single value without adequate justification that it is appropriate.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79"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IC-11 </w:t>
            </w:r>
          </w:p>
        </w:tc>
        <w:tc>
          <w:tcPr>
            <w:tcW w:w="1028"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5.4.5.1 </w:t>
            </w:r>
          </w:p>
        </w:tc>
        <w:tc>
          <w:tcPr>
            <w:tcW w:w="73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implementation of clause 6.2.5 (shear across a concrete interface) from EN1992 [P1] on the gusset is likely to be non-conservative.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300"/>
        </w:trPr>
        <w:tc>
          <w:tcPr>
            <w:tcW w:w="979"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IC-12 </w:t>
            </w:r>
          </w:p>
        </w:tc>
        <w:tc>
          <w:tcPr>
            <w:tcW w:w="1028"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5.4.5.2 </w:t>
            </w:r>
          </w:p>
        </w:tc>
        <w:tc>
          <w:tcPr>
            <w:tcW w:w="73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Checks for shear across a concrete interface have not been carried out on the IC dome.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79"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IC-13 </w:t>
            </w:r>
          </w:p>
        </w:tc>
        <w:tc>
          <w:tcPr>
            <w:tcW w:w="1028"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5.4.6 </w:t>
            </w:r>
          </w:p>
        </w:tc>
        <w:tc>
          <w:tcPr>
            <w:tcW w:w="73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young’s modulus for determining the thrust from the HR-IS onto the gusset due to a severe accident event is non-conservatively taken as a long-term value.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79"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IC-14 </w:t>
            </w:r>
          </w:p>
        </w:tc>
        <w:tc>
          <w:tcPr>
            <w:tcW w:w="1028"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5.4.7.1 </w:t>
            </w:r>
          </w:p>
        </w:tc>
        <w:tc>
          <w:tcPr>
            <w:tcW w:w="73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design of the crane brackets departs from the ETC-C rules. Revised rules are given in a document, ‘UKXSEPTENAIALLNOT200261B’ that has not been assessed.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765"/>
        </w:trPr>
        <w:tc>
          <w:tcPr>
            <w:tcW w:w="979"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IC-15 </w:t>
            </w:r>
          </w:p>
        </w:tc>
        <w:tc>
          <w:tcPr>
            <w:tcW w:w="1028"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5.4.7.2 </w:t>
            </w:r>
          </w:p>
        </w:tc>
        <w:tc>
          <w:tcPr>
            <w:tcW w:w="73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information on the crane bracket FE </w:t>
            </w:r>
            <w:proofErr w:type="gramStart"/>
            <w:r w:rsidRPr="00947ADC">
              <w:rPr>
                <w:rFonts w:asciiTheme="minorHAnsi" w:hAnsiTheme="minorHAnsi" w:cs="Arial"/>
                <w:color w:val="000000"/>
                <w:sz w:val="20"/>
                <w:szCs w:val="20"/>
                <w:lang w:eastAsia="en-GB"/>
              </w:rPr>
              <w:t>models,</w:t>
            </w:r>
            <w:proofErr w:type="gramEnd"/>
            <w:r w:rsidRPr="00947ADC">
              <w:rPr>
                <w:rFonts w:asciiTheme="minorHAnsi" w:hAnsiTheme="minorHAnsi" w:cs="Arial"/>
                <w:color w:val="000000"/>
                <w:sz w:val="20"/>
                <w:szCs w:val="20"/>
                <w:lang w:eastAsia="en-GB"/>
              </w:rPr>
              <w:t xml:space="preserve"> and specifically, how they are incorporated into the Type 5 IC models for the local design of the concrete and the bracket anchorages is insufficient to judge whether it meets RGP.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765"/>
        </w:trPr>
        <w:tc>
          <w:tcPr>
            <w:tcW w:w="979"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IC-16 </w:t>
            </w:r>
          </w:p>
        </w:tc>
        <w:tc>
          <w:tcPr>
            <w:tcW w:w="1028"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5.4.7.5 </w:t>
            </w:r>
          </w:p>
        </w:tc>
        <w:tc>
          <w:tcPr>
            <w:tcW w:w="73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parameters for the planned crane-bracket steelwork fatigue checks are not defined. There is also no detail on the fatigue checks on the welds, e.g. the welds between the anchor bars and the steel plates.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79"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IC-17 </w:t>
            </w:r>
          </w:p>
        </w:tc>
        <w:tc>
          <w:tcPr>
            <w:tcW w:w="1028"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5.4.7.5 </w:t>
            </w:r>
          </w:p>
        </w:tc>
        <w:tc>
          <w:tcPr>
            <w:tcW w:w="73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Fatigue checks on the concrete surrounding the crane brackets are not included in the design methodology given in [S15]. It is unclear whether such checks are being performed.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79"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IC-18 </w:t>
            </w:r>
          </w:p>
        </w:tc>
        <w:tc>
          <w:tcPr>
            <w:tcW w:w="1028"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5.4.8 </w:t>
            </w:r>
          </w:p>
        </w:tc>
        <w:tc>
          <w:tcPr>
            <w:tcW w:w="73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It is unclear whether the sampling approach adopted by EDF for the design of the small penetration sleeves will be sufficient to ensure all penetration sleeves are adequate.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79"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IC-19 </w:t>
            </w:r>
          </w:p>
        </w:tc>
        <w:tc>
          <w:tcPr>
            <w:tcW w:w="1028"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5.5, 7.2.1 </w:t>
            </w:r>
          </w:p>
        </w:tc>
        <w:tc>
          <w:tcPr>
            <w:tcW w:w="73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There is no design margin in the available gusset results. Results with utilisations notionally greater than 1.0 are being defended on the grounds of inherent conservatisms in the design.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79"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IC-20 </w:t>
            </w:r>
          </w:p>
        </w:tc>
        <w:tc>
          <w:tcPr>
            <w:tcW w:w="1028"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5.6</w:t>
            </w:r>
          </w:p>
        </w:tc>
        <w:tc>
          <w:tcPr>
            <w:tcW w:w="73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BDB performance requirements are defined in two </w:t>
            </w:r>
            <w:proofErr w:type="gramStart"/>
            <w:r w:rsidRPr="00947ADC">
              <w:rPr>
                <w:rFonts w:asciiTheme="minorHAnsi" w:hAnsiTheme="minorHAnsi" w:cs="Arial"/>
                <w:color w:val="000000"/>
                <w:sz w:val="20"/>
                <w:szCs w:val="20"/>
                <w:lang w:eastAsia="en-GB"/>
              </w:rPr>
              <w:t>form</w:t>
            </w:r>
            <w:proofErr w:type="gramEnd"/>
            <w:r w:rsidRPr="00947ADC">
              <w:rPr>
                <w:rFonts w:asciiTheme="minorHAnsi" w:hAnsiTheme="minorHAnsi" w:cs="Arial"/>
                <w:color w:val="000000"/>
                <w:sz w:val="20"/>
                <w:szCs w:val="20"/>
                <w:lang w:eastAsia="en-GB"/>
              </w:rPr>
              <w:t xml:space="preserve">: as a 60% margin and as a 1.19MPa absolute pressure. The two appear inconsistent with one another.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79"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IC-21 </w:t>
            </w:r>
          </w:p>
        </w:tc>
        <w:tc>
          <w:tcPr>
            <w:tcW w:w="1028"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5.8.1 </w:t>
            </w:r>
          </w:p>
        </w:tc>
        <w:tc>
          <w:tcPr>
            <w:tcW w:w="73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detailing of the hatches is insufficiently developed to confirm that they can accommodate the relative movement required between the IC and Outer Containment.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765"/>
        </w:trPr>
        <w:tc>
          <w:tcPr>
            <w:tcW w:w="979"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lastRenderedPageBreak/>
              <w:t xml:space="preserve">IC-22 </w:t>
            </w:r>
          </w:p>
        </w:tc>
        <w:tc>
          <w:tcPr>
            <w:tcW w:w="1028"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6.1</w:t>
            </w:r>
          </w:p>
        </w:tc>
        <w:tc>
          <w:tcPr>
            <w:tcW w:w="73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information conveyed on the fuel transfer canal has been insufficient to gain a good understanding of the design, noting that the geometry and requirements of this component suggest that it will be one of the more complicated aspects of the IC construction.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E01464">
        <w:trPr>
          <w:cantSplit/>
          <w:trHeight w:val="300"/>
        </w:trPr>
        <w:tc>
          <w:tcPr>
            <w:tcW w:w="979"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IC-23 </w:t>
            </w:r>
          </w:p>
        </w:tc>
        <w:tc>
          <w:tcPr>
            <w:tcW w:w="1028"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7.1</w:t>
            </w:r>
          </w:p>
        </w:tc>
        <w:tc>
          <w:tcPr>
            <w:tcW w:w="73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design substantiation is incomplete.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E01464" w:rsidP="00A140DF">
            <w:pPr>
              <w:rPr>
                <w:rFonts w:asciiTheme="minorHAnsi" w:hAnsiTheme="minorHAnsi" w:cs="Arial"/>
                <w:color w:val="000000"/>
                <w:sz w:val="20"/>
                <w:szCs w:val="20"/>
                <w:lang w:eastAsia="en-GB"/>
              </w:rPr>
            </w:pPr>
            <w:r>
              <w:rPr>
                <w:rFonts w:asciiTheme="minorHAnsi" w:hAnsiTheme="minorHAnsi" w:cs="Arial"/>
                <w:color w:val="000000"/>
                <w:sz w:val="20"/>
                <w:szCs w:val="20"/>
                <w:lang w:eastAsia="en-GB"/>
              </w:rPr>
              <w:t>Yes</w:t>
            </w:r>
          </w:p>
        </w:tc>
      </w:tr>
      <w:tr w:rsidR="001A4094" w:rsidRPr="00947ADC" w:rsidTr="00E01464">
        <w:trPr>
          <w:cantSplit/>
          <w:trHeight w:val="510"/>
        </w:trPr>
        <w:tc>
          <w:tcPr>
            <w:tcW w:w="979"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IC-24 </w:t>
            </w:r>
          </w:p>
        </w:tc>
        <w:tc>
          <w:tcPr>
            <w:tcW w:w="1028"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7.2.3 </w:t>
            </w:r>
          </w:p>
        </w:tc>
        <w:tc>
          <w:tcPr>
            <w:tcW w:w="73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There is strong evidence to suggest the geometry of the HPC analysis models (including the alignment of the </w:t>
            </w:r>
            <w:proofErr w:type="spellStart"/>
            <w:r w:rsidRPr="00947ADC">
              <w:rPr>
                <w:rFonts w:asciiTheme="minorHAnsi" w:hAnsiTheme="minorHAnsi" w:cs="Arial"/>
                <w:color w:val="000000"/>
                <w:sz w:val="20"/>
                <w:szCs w:val="20"/>
                <w:lang w:eastAsia="en-GB"/>
              </w:rPr>
              <w:t>prestress</w:t>
            </w:r>
            <w:proofErr w:type="spellEnd"/>
            <w:r w:rsidRPr="00947ADC">
              <w:rPr>
                <w:rFonts w:asciiTheme="minorHAnsi" w:hAnsiTheme="minorHAnsi" w:cs="Arial"/>
                <w:color w:val="000000"/>
                <w:sz w:val="20"/>
                <w:szCs w:val="20"/>
                <w:lang w:eastAsia="en-GB"/>
              </w:rPr>
              <w:t xml:space="preserve">) is based on FA3, but HPC is not wholly consistent with FA3.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E01464" w:rsidP="00A140DF">
            <w:pPr>
              <w:rPr>
                <w:rFonts w:asciiTheme="minorHAnsi" w:hAnsiTheme="minorHAnsi" w:cs="Arial"/>
                <w:color w:val="000000"/>
                <w:sz w:val="20"/>
                <w:szCs w:val="20"/>
                <w:lang w:eastAsia="en-GB"/>
              </w:rPr>
            </w:pPr>
            <w:r>
              <w:rPr>
                <w:rFonts w:asciiTheme="minorHAnsi" w:hAnsiTheme="minorHAnsi" w:cs="Arial"/>
                <w:color w:val="000000"/>
                <w:sz w:val="20"/>
                <w:szCs w:val="20"/>
                <w:lang w:eastAsia="en-GB"/>
              </w:rPr>
              <w:t>Yes</w:t>
            </w:r>
          </w:p>
        </w:tc>
      </w:tr>
      <w:tr w:rsidR="001A4094" w:rsidRPr="00947ADC" w:rsidTr="00E01464">
        <w:trPr>
          <w:cantSplit/>
          <w:trHeight w:val="510"/>
        </w:trPr>
        <w:tc>
          <w:tcPr>
            <w:tcW w:w="979"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IC-25 </w:t>
            </w:r>
          </w:p>
        </w:tc>
        <w:tc>
          <w:tcPr>
            <w:tcW w:w="1028"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7.3</w:t>
            </w:r>
          </w:p>
        </w:tc>
        <w:tc>
          <w:tcPr>
            <w:tcW w:w="73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design substantiation is incomplete, includes inconsistencies and fails to communicate the hierarchy of supporting evidence where multiple documents report on a common theme.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E01464" w:rsidP="00A140DF">
            <w:pPr>
              <w:rPr>
                <w:rFonts w:asciiTheme="minorHAnsi" w:hAnsiTheme="minorHAnsi" w:cs="Arial"/>
                <w:color w:val="000000"/>
                <w:sz w:val="20"/>
                <w:szCs w:val="20"/>
                <w:lang w:eastAsia="en-GB"/>
              </w:rPr>
            </w:pPr>
            <w:r>
              <w:rPr>
                <w:rFonts w:asciiTheme="minorHAnsi" w:hAnsiTheme="minorHAnsi" w:cs="Arial"/>
                <w:color w:val="000000"/>
                <w:sz w:val="20"/>
                <w:szCs w:val="20"/>
                <w:lang w:eastAsia="en-GB"/>
              </w:rPr>
              <w:t>Yes</w:t>
            </w:r>
          </w:p>
        </w:tc>
      </w:tr>
    </w:tbl>
    <w:p w:rsidR="00A140DF" w:rsidRDefault="00A140DF" w:rsidP="00A140DF"/>
    <w:p w:rsidR="00A140DF" w:rsidRDefault="00A140DF" w:rsidP="00A140DF">
      <w:pPr>
        <w:pStyle w:val="TSHeadingNumbered1"/>
        <w:numPr>
          <w:ilvl w:val="0"/>
          <w:numId w:val="0"/>
        </w:numPr>
        <w:tabs>
          <w:tab w:val="left" w:pos="0"/>
        </w:tabs>
        <w:ind w:left="720" w:hanging="720"/>
        <w:rPr>
          <w:rFonts w:asciiTheme="minorHAnsi" w:hAnsiTheme="minorHAnsi" w:cstheme="minorHAnsi"/>
        </w:rPr>
      </w:pPr>
      <w:r>
        <w:rPr>
          <w:rFonts w:asciiTheme="minorHAnsi" w:hAnsiTheme="minorHAnsi" w:cstheme="minorHAnsi"/>
        </w:rPr>
        <w:t>Common Raft (CRX)</w:t>
      </w:r>
    </w:p>
    <w:tbl>
      <w:tblPr>
        <w:tblW w:w="10589" w:type="dxa"/>
        <w:tblInd w:w="93" w:type="dxa"/>
        <w:tblLook w:val="04A0" w:firstRow="1" w:lastRow="0" w:firstColumn="1" w:lastColumn="0" w:noHBand="0" w:noVBand="1"/>
      </w:tblPr>
      <w:tblGrid>
        <w:gridCol w:w="995"/>
        <w:gridCol w:w="1064"/>
        <w:gridCol w:w="7312"/>
        <w:gridCol w:w="1218"/>
      </w:tblGrid>
      <w:tr w:rsidR="001A4094" w:rsidRPr="00947ADC" w:rsidTr="00947ADC">
        <w:trPr>
          <w:cantSplit/>
          <w:trHeight w:val="510"/>
        </w:trPr>
        <w:tc>
          <w:tcPr>
            <w:tcW w:w="9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A4094" w:rsidRPr="00A140DF" w:rsidRDefault="001A4094" w:rsidP="00E5719C">
            <w:pPr>
              <w:rPr>
                <w:rFonts w:asciiTheme="minorHAnsi" w:hAnsiTheme="minorHAnsi" w:cs="Arial"/>
                <w:b/>
                <w:bCs/>
                <w:color w:val="000000"/>
                <w:sz w:val="20"/>
                <w:szCs w:val="20"/>
                <w:lang w:eastAsia="en-GB"/>
              </w:rPr>
            </w:pPr>
            <w:r w:rsidRPr="00A140DF">
              <w:rPr>
                <w:rFonts w:asciiTheme="minorHAnsi" w:hAnsiTheme="minorHAnsi" w:cs="Arial"/>
                <w:b/>
                <w:bCs/>
                <w:color w:val="000000"/>
                <w:sz w:val="20"/>
                <w:szCs w:val="20"/>
                <w:lang w:eastAsia="en-GB"/>
              </w:rPr>
              <w:t xml:space="preserve">Finding ID </w:t>
            </w:r>
          </w:p>
        </w:tc>
        <w:tc>
          <w:tcPr>
            <w:tcW w:w="1064" w:type="dxa"/>
            <w:tcBorders>
              <w:top w:val="single" w:sz="4" w:space="0" w:color="auto"/>
              <w:left w:val="nil"/>
              <w:bottom w:val="single" w:sz="4" w:space="0" w:color="auto"/>
              <w:right w:val="single" w:sz="4" w:space="0" w:color="auto"/>
            </w:tcBorders>
            <w:shd w:val="clear" w:color="auto" w:fill="A6A6A6" w:themeFill="background1" w:themeFillShade="A6"/>
            <w:vAlign w:val="center"/>
          </w:tcPr>
          <w:p w:rsidR="001A4094" w:rsidRPr="00A140DF" w:rsidRDefault="001A4094" w:rsidP="00E5719C">
            <w:pPr>
              <w:rPr>
                <w:rFonts w:asciiTheme="minorHAnsi" w:hAnsiTheme="minorHAnsi" w:cs="Arial"/>
                <w:b/>
                <w:bCs/>
                <w:color w:val="000000"/>
                <w:sz w:val="20"/>
                <w:szCs w:val="20"/>
                <w:lang w:eastAsia="en-GB"/>
              </w:rPr>
            </w:pPr>
            <w:r w:rsidRPr="00A140DF">
              <w:rPr>
                <w:rFonts w:asciiTheme="minorHAnsi" w:hAnsiTheme="minorHAnsi" w:cs="Arial"/>
                <w:b/>
                <w:bCs/>
                <w:color w:val="000000"/>
                <w:sz w:val="20"/>
                <w:szCs w:val="20"/>
                <w:lang w:eastAsia="en-GB"/>
              </w:rPr>
              <w:t xml:space="preserve">Report section </w:t>
            </w:r>
          </w:p>
        </w:tc>
        <w:tc>
          <w:tcPr>
            <w:tcW w:w="7312" w:type="dxa"/>
            <w:tcBorders>
              <w:top w:val="single" w:sz="4" w:space="0" w:color="auto"/>
              <w:left w:val="nil"/>
              <w:bottom w:val="single" w:sz="4" w:space="0" w:color="auto"/>
              <w:right w:val="single" w:sz="4" w:space="0" w:color="auto"/>
            </w:tcBorders>
            <w:shd w:val="clear" w:color="auto" w:fill="A6A6A6" w:themeFill="background1" w:themeFillShade="A6"/>
            <w:vAlign w:val="center"/>
          </w:tcPr>
          <w:p w:rsidR="001A4094" w:rsidRPr="00A140DF" w:rsidRDefault="001A4094" w:rsidP="00E5719C">
            <w:pPr>
              <w:rPr>
                <w:rFonts w:asciiTheme="minorHAnsi" w:hAnsiTheme="minorHAnsi" w:cs="Arial"/>
                <w:b/>
                <w:bCs/>
                <w:color w:val="000000"/>
                <w:sz w:val="20"/>
                <w:szCs w:val="20"/>
                <w:lang w:eastAsia="en-GB"/>
              </w:rPr>
            </w:pPr>
            <w:r w:rsidRPr="00A140DF">
              <w:rPr>
                <w:rFonts w:asciiTheme="minorHAnsi" w:hAnsiTheme="minorHAnsi" w:cs="Arial"/>
                <w:b/>
                <w:bCs/>
                <w:color w:val="000000"/>
                <w:sz w:val="20"/>
                <w:szCs w:val="20"/>
                <w:lang w:eastAsia="en-GB"/>
              </w:rPr>
              <w:t xml:space="preserve">Summary of Finding </w:t>
            </w:r>
          </w:p>
        </w:tc>
        <w:tc>
          <w:tcPr>
            <w:tcW w:w="1218" w:type="dxa"/>
            <w:tcBorders>
              <w:top w:val="single" w:sz="4" w:space="0" w:color="auto"/>
              <w:left w:val="nil"/>
              <w:bottom w:val="single" w:sz="4" w:space="0" w:color="auto"/>
              <w:right w:val="single" w:sz="4" w:space="0" w:color="auto"/>
            </w:tcBorders>
            <w:shd w:val="clear" w:color="auto" w:fill="A6A6A6" w:themeFill="background1" w:themeFillShade="A6"/>
          </w:tcPr>
          <w:p w:rsidR="001A4094" w:rsidRPr="00947ADC" w:rsidRDefault="001A4094" w:rsidP="00E5719C">
            <w:pPr>
              <w:rPr>
                <w:rFonts w:asciiTheme="minorHAnsi" w:hAnsiTheme="minorHAnsi" w:cs="Arial"/>
                <w:b/>
                <w:bCs/>
                <w:color w:val="000000"/>
                <w:sz w:val="20"/>
                <w:szCs w:val="20"/>
                <w:lang w:eastAsia="en-GB"/>
              </w:rPr>
            </w:pPr>
            <w:r w:rsidRPr="00947ADC">
              <w:rPr>
                <w:rFonts w:asciiTheme="minorHAnsi" w:hAnsiTheme="minorHAnsi" w:cs="Arial"/>
                <w:b/>
                <w:bCs/>
                <w:color w:val="000000"/>
                <w:sz w:val="20"/>
                <w:szCs w:val="20"/>
                <w:lang w:eastAsia="en-GB"/>
              </w:rPr>
              <w:t>For TSC assessment</w:t>
            </w:r>
          </w:p>
        </w:tc>
      </w:tr>
      <w:tr w:rsidR="001A4094" w:rsidRPr="00947ADC" w:rsidTr="00947ADC">
        <w:trPr>
          <w:cantSplit/>
          <w:trHeight w:val="510"/>
        </w:trPr>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CRX-1 </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3.2.3 </w:t>
            </w:r>
          </w:p>
        </w:tc>
        <w:tc>
          <w:tcPr>
            <w:tcW w:w="7312" w:type="dxa"/>
            <w:tcBorders>
              <w:top w:val="single" w:sz="4" w:space="0" w:color="auto"/>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There is no recognition of, performance requirement for or detail of the interfaces between the CRX and connecting cross-site service galleries. </w:t>
            </w:r>
          </w:p>
        </w:tc>
        <w:tc>
          <w:tcPr>
            <w:tcW w:w="1218" w:type="dxa"/>
            <w:tcBorders>
              <w:top w:val="single" w:sz="4" w:space="0" w:color="auto"/>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CRX-2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3.4.1 </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definition of the structural form in the SDMS [S1] plus other supporting references is not consistent with the latest design information. </w:t>
            </w:r>
          </w:p>
        </w:tc>
        <w:tc>
          <w:tcPr>
            <w:tcW w:w="1218" w:type="dxa"/>
            <w:tcBorders>
              <w:top w:val="nil"/>
              <w:left w:val="nil"/>
              <w:bottom w:val="single" w:sz="4" w:space="0" w:color="auto"/>
              <w:right w:val="single" w:sz="4" w:space="0" w:color="auto"/>
            </w:tcBorders>
            <w:shd w:val="clear" w:color="auto" w:fill="FF8B8B"/>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No</w:t>
            </w:r>
          </w:p>
        </w:tc>
      </w:tr>
      <w:tr w:rsidR="001A4094" w:rsidRPr="00947ADC" w:rsidTr="00947ADC">
        <w:trPr>
          <w:cantSplit/>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CRX-3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3.4.2 </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There is no evidence of managing the risk of a failure to the waterproofing to the underside of the CRX at the junction between the CRX and PSG.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E01464">
        <w:trPr>
          <w:cantSplit/>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CRX-4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3.4.3 </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maturity of information reported on the embedded services does not appear to be consistent with that of the CRX design.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E01464" w:rsidP="00A140DF">
            <w:pPr>
              <w:rPr>
                <w:rFonts w:asciiTheme="minorHAnsi" w:hAnsiTheme="minorHAnsi" w:cs="Arial"/>
                <w:color w:val="000000"/>
                <w:sz w:val="20"/>
                <w:szCs w:val="20"/>
                <w:lang w:eastAsia="en-GB"/>
              </w:rPr>
            </w:pPr>
            <w:r>
              <w:rPr>
                <w:rFonts w:asciiTheme="minorHAnsi" w:hAnsiTheme="minorHAnsi" w:cs="Arial"/>
                <w:color w:val="000000"/>
                <w:sz w:val="20"/>
                <w:szCs w:val="20"/>
                <w:lang w:eastAsia="en-GB"/>
              </w:rPr>
              <w:t>Yes</w:t>
            </w:r>
          </w:p>
        </w:tc>
      </w:tr>
      <w:tr w:rsidR="001A4094" w:rsidRPr="00947ADC" w:rsidTr="00947ADC">
        <w:trPr>
          <w:cantSplit/>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CRX-5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4.1.2 </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It is unclear whether the design software ‘HFERCOQ version 4’ has been updated to be fully compliant with the UK edition of the ETC-C [E1].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CRX-6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4.1.2 </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performance of software packages HFISCOQ and FISSURATION used to carry out crack width calculations has not been demonstrated.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95" w:type="dxa"/>
            <w:tcBorders>
              <w:top w:val="nil"/>
              <w:left w:val="single" w:sz="4" w:space="0" w:color="auto"/>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CRX-7 </w:t>
            </w:r>
          </w:p>
        </w:tc>
        <w:tc>
          <w:tcPr>
            <w:tcW w:w="1064" w:type="dxa"/>
            <w:tcBorders>
              <w:top w:val="nil"/>
              <w:left w:val="nil"/>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4.2, 4.3.2.1 </w:t>
            </w:r>
          </w:p>
        </w:tc>
        <w:tc>
          <w:tcPr>
            <w:tcW w:w="7312" w:type="dxa"/>
            <w:tcBorders>
              <w:top w:val="nil"/>
              <w:left w:val="nil"/>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There is ambiguity in the naming of the latest CRX global model which raises doubt about the application of the model validation processes.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95" w:type="dxa"/>
            <w:tcBorders>
              <w:top w:val="nil"/>
              <w:left w:val="single" w:sz="4" w:space="0" w:color="auto"/>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CRX-8 </w:t>
            </w:r>
          </w:p>
        </w:tc>
        <w:tc>
          <w:tcPr>
            <w:tcW w:w="1064" w:type="dxa"/>
            <w:tcBorders>
              <w:top w:val="nil"/>
              <w:left w:val="nil"/>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4.3</w:t>
            </w:r>
          </w:p>
        </w:tc>
        <w:tc>
          <w:tcPr>
            <w:tcW w:w="7312" w:type="dxa"/>
            <w:tcBorders>
              <w:top w:val="nil"/>
              <w:left w:val="nil"/>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decision not to refine the mesh used for the detailed (local) design of the CRX is not substantiated.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CRX-9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4.3.1 </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modelling of the CRX with a common centre-line implies that local eccentricities are being neglected. Justification for this is not provided.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CRX-10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4.3.2.2 </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use of tension-compression rigid elements to model the contact-only connection between the CRX and HR-IS base slab is not justified.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CRX-11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5.4.4 </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status of wall starter bars for buildings above the CRX is unclear with some being based only on D1 global design information.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CRX-12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5.4.5 </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gusset starter bars are based on D1 information, yet employ utilisations up to 1.0. The utilisations are therefore considered too high for the level of design maturity.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CRX-13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5.4.6.2 </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Details of the pre-stressing anchorages are incomplete and there is no evidence that checks on the interface between the PSG roof and the CRX are consistent with the anchorage assumptions.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CRX-14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5.5.1 </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We consider it non-conservative to ignore imposed deformations due to shrinkage in the first year following construction.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CRX-15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5.5.1 </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use of the drying shrinkage model given in Annex B of BS EN1992-2 [P9] is not applicable to the UK climate. Its use, over the model recommended in the UK National Annex [P11] should be justified.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85"/>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CRX-16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5.5.2 </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design omits end-restraint cracking. We believe this is applicable and, furthermore, would expect it to govern certain aspects of the design.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765"/>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CRX-17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5.5.2 </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maximum allowable stress in the reinforcement implies crack widths greater than we would expect, although we also note that there does not appear to be a design limit specified against which the cracks are judged.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CRX-18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5.7.3 </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description of smoothing of shear around a shear perimeter is not in accordance with code guidance and is unjustified.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lastRenderedPageBreak/>
              <w:t xml:space="preserve">CRX-19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5.7.4 </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As a measure of design maturity, it is of concern that the design status cannot be easily matched to a stage in the step-by-step process flow for handling model data, described in [E7].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CRX-20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5.8</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CRX design employs utilisations up to 1.0. The utilisations are not considered commensurate with the design maturity, noting the influence of the supported buildings on the CRX.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765"/>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CRX-21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5.9</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Beyond Design Basis methodology document [E13] is not finalised, and there have been suggestions at Workshops that requirements are due to change. These need to be implemented into the design. </w:t>
            </w:r>
          </w:p>
        </w:tc>
        <w:tc>
          <w:tcPr>
            <w:tcW w:w="1218" w:type="dxa"/>
            <w:tcBorders>
              <w:top w:val="nil"/>
              <w:left w:val="nil"/>
              <w:bottom w:val="single" w:sz="4" w:space="0" w:color="auto"/>
              <w:right w:val="single" w:sz="4" w:space="0" w:color="auto"/>
            </w:tcBorders>
            <w:shd w:val="clear" w:color="auto" w:fill="FF8B8B"/>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No</w:t>
            </w:r>
          </w:p>
        </w:tc>
      </w:tr>
      <w:tr w:rsidR="001A4094" w:rsidRPr="00947ADC" w:rsidTr="00947ADC">
        <w:trPr>
          <w:cantSplit/>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CRX-22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5.9.1 </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Beyond Design Basis substantiation for the CRX is incomplete, and dependent on the further development of the designs of the supported buildings.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CRX-23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5.9.1.1 </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Beyond Design Basis </w:t>
            </w:r>
            <w:proofErr w:type="gramStart"/>
            <w:r w:rsidRPr="00947ADC">
              <w:rPr>
                <w:rFonts w:asciiTheme="minorHAnsi" w:hAnsiTheme="minorHAnsi" w:cs="Arial"/>
                <w:color w:val="000000"/>
                <w:sz w:val="20"/>
                <w:szCs w:val="20"/>
                <w:lang w:eastAsia="en-GB"/>
              </w:rPr>
              <w:t>criteria against sliding is</w:t>
            </w:r>
            <w:proofErr w:type="gramEnd"/>
            <w:r w:rsidRPr="00947ADC">
              <w:rPr>
                <w:rFonts w:asciiTheme="minorHAnsi" w:hAnsiTheme="minorHAnsi" w:cs="Arial"/>
                <w:color w:val="000000"/>
                <w:sz w:val="20"/>
                <w:szCs w:val="20"/>
                <w:lang w:eastAsia="en-GB"/>
              </w:rPr>
              <w:t xml:space="preserve"> only validated with the removal of factors ordinarily included in the design. Although logical, the justification of this is not comprehensive.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CRX-24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5.9.1.1 </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Commentary on the Beyond Design Basis assessment does not provide a justification for two of the sampled results.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CRX-25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5.9.1.1 </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Beyond Design Basis margin against displacements is not included in the DSR [D3] and it is unclear whether this check has been performed.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765"/>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CRX-26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5.9.1.2 </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significance of proposed changes to the Beyond Design Basis methodology is unclear because the governing design cases (with design margins &lt; 1.1) are not associated with a particular action combination.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CRX-27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7.2.1 </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variation between D1 and D2 results for the CRX is significant. It is notable that the level of variation between D1 and D2 results for the buildings supported by the CRX is yet to be confirmed.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30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CRX-28 </w:t>
            </w:r>
          </w:p>
        </w:tc>
        <w:tc>
          <w:tcPr>
            <w:tcW w:w="106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7.2.3 </w:t>
            </w:r>
          </w:p>
        </w:tc>
        <w:tc>
          <w:tcPr>
            <w:tcW w:w="7312"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status of the D2 inputs for the CRX design is unknown. </w:t>
            </w:r>
          </w:p>
        </w:tc>
        <w:tc>
          <w:tcPr>
            <w:tcW w:w="1218" w:type="dxa"/>
            <w:tcBorders>
              <w:top w:val="nil"/>
              <w:left w:val="nil"/>
              <w:bottom w:val="single" w:sz="4" w:space="0" w:color="auto"/>
              <w:right w:val="single" w:sz="4" w:space="0" w:color="auto"/>
            </w:tcBorders>
            <w:shd w:val="clear" w:color="auto" w:fill="FF8B8B"/>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No</w:t>
            </w:r>
          </w:p>
        </w:tc>
      </w:tr>
    </w:tbl>
    <w:p w:rsidR="00A140DF" w:rsidRDefault="00A140DF" w:rsidP="00A140DF">
      <w:pPr>
        <w:rPr>
          <w:rFonts w:asciiTheme="minorHAnsi" w:hAnsiTheme="minorHAnsi" w:cstheme="minorHAnsi"/>
          <w:b/>
          <w:caps/>
        </w:rPr>
      </w:pPr>
    </w:p>
    <w:p w:rsidR="00A140DF" w:rsidRDefault="00A140DF" w:rsidP="00A140DF">
      <w:pPr>
        <w:pStyle w:val="TSHeadingNumbered1"/>
        <w:numPr>
          <w:ilvl w:val="0"/>
          <w:numId w:val="0"/>
        </w:numPr>
        <w:tabs>
          <w:tab w:val="left" w:pos="0"/>
        </w:tabs>
        <w:ind w:left="720" w:hanging="720"/>
        <w:rPr>
          <w:rFonts w:asciiTheme="minorHAnsi" w:hAnsiTheme="minorHAnsi" w:cstheme="minorHAnsi"/>
        </w:rPr>
      </w:pPr>
      <w:r>
        <w:rPr>
          <w:rFonts w:asciiTheme="minorHAnsi" w:hAnsiTheme="minorHAnsi" w:cstheme="minorHAnsi"/>
        </w:rPr>
        <w:t>Reactor Building Internal Structures (HRIS)</w:t>
      </w:r>
    </w:p>
    <w:tbl>
      <w:tblPr>
        <w:tblW w:w="10589" w:type="dxa"/>
        <w:tblInd w:w="93" w:type="dxa"/>
        <w:tblLook w:val="04A0" w:firstRow="1" w:lastRow="0" w:firstColumn="1" w:lastColumn="0" w:noHBand="0" w:noVBand="1"/>
      </w:tblPr>
      <w:tblGrid>
        <w:gridCol w:w="997"/>
        <w:gridCol w:w="1079"/>
        <w:gridCol w:w="7295"/>
        <w:gridCol w:w="1218"/>
      </w:tblGrid>
      <w:tr w:rsidR="001A4094" w:rsidRPr="00947ADC" w:rsidTr="00947ADC">
        <w:trPr>
          <w:cantSplit/>
          <w:trHeight w:val="300"/>
        </w:trPr>
        <w:tc>
          <w:tcPr>
            <w:tcW w:w="99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1A4094" w:rsidRPr="00947ADC" w:rsidRDefault="001A4094" w:rsidP="00A140DF">
            <w:pPr>
              <w:rPr>
                <w:rFonts w:asciiTheme="minorHAnsi" w:hAnsiTheme="minorHAnsi" w:cs="Arial"/>
                <w:b/>
                <w:bCs/>
                <w:color w:val="000000"/>
                <w:sz w:val="20"/>
                <w:szCs w:val="20"/>
                <w:lang w:eastAsia="en-GB"/>
              </w:rPr>
            </w:pPr>
            <w:r w:rsidRPr="00947ADC">
              <w:rPr>
                <w:rFonts w:asciiTheme="minorHAnsi" w:hAnsiTheme="minorHAnsi" w:cs="Arial"/>
                <w:b/>
                <w:bCs/>
                <w:color w:val="000000"/>
                <w:sz w:val="20"/>
                <w:szCs w:val="20"/>
                <w:lang w:eastAsia="en-GB"/>
              </w:rPr>
              <w:t xml:space="preserve">Finding ID </w:t>
            </w:r>
          </w:p>
        </w:tc>
        <w:tc>
          <w:tcPr>
            <w:tcW w:w="1079" w:type="dxa"/>
            <w:tcBorders>
              <w:top w:val="single" w:sz="4" w:space="0" w:color="auto"/>
              <w:left w:val="nil"/>
              <w:bottom w:val="single" w:sz="4" w:space="0" w:color="auto"/>
              <w:right w:val="single" w:sz="4" w:space="0" w:color="auto"/>
            </w:tcBorders>
            <w:shd w:val="clear" w:color="000000" w:fill="BFBFBF"/>
            <w:vAlign w:val="center"/>
            <w:hideMark/>
          </w:tcPr>
          <w:p w:rsidR="001A4094" w:rsidRPr="00947ADC" w:rsidRDefault="001A4094" w:rsidP="00A140DF">
            <w:pPr>
              <w:rPr>
                <w:rFonts w:asciiTheme="minorHAnsi" w:hAnsiTheme="minorHAnsi" w:cs="Arial"/>
                <w:b/>
                <w:bCs/>
                <w:color w:val="000000"/>
                <w:sz w:val="20"/>
                <w:szCs w:val="20"/>
                <w:lang w:eastAsia="en-GB"/>
              </w:rPr>
            </w:pPr>
            <w:r w:rsidRPr="00947ADC">
              <w:rPr>
                <w:rFonts w:asciiTheme="minorHAnsi" w:hAnsiTheme="minorHAnsi" w:cs="Arial"/>
                <w:b/>
                <w:bCs/>
                <w:color w:val="000000"/>
                <w:sz w:val="20"/>
                <w:szCs w:val="20"/>
                <w:lang w:eastAsia="en-GB"/>
              </w:rPr>
              <w:t xml:space="preserve">Report Section </w:t>
            </w:r>
          </w:p>
        </w:tc>
        <w:tc>
          <w:tcPr>
            <w:tcW w:w="7295" w:type="dxa"/>
            <w:tcBorders>
              <w:top w:val="single" w:sz="4" w:space="0" w:color="auto"/>
              <w:left w:val="nil"/>
              <w:bottom w:val="single" w:sz="4" w:space="0" w:color="auto"/>
              <w:right w:val="single" w:sz="4" w:space="0" w:color="auto"/>
            </w:tcBorders>
            <w:shd w:val="clear" w:color="000000" w:fill="BFBFBF"/>
            <w:vAlign w:val="center"/>
            <w:hideMark/>
          </w:tcPr>
          <w:p w:rsidR="001A4094" w:rsidRPr="00947ADC" w:rsidRDefault="001A4094" w:rsidP="00A140DF">
            <w:pPr>
              <w:rPr>
                <w:rFonts w:asciiTheme="minorHAnsi" w:hAnsiTheme="minorHAnsi" w:cs="Arial"/>
                <w:b/>
                <w:bCs/>
                <w:color w:val="000000"/>
                <w:sz w:val="20"/>
                <w:szCs w:val="20"/>
                <w:lang w:eastAsia="en-GB"/>
              </w:rPr>
            </w:pPr>
            <w:r w:rsidRPr="00947ADC">
              <w:rPr>
                <w:rFonts w:asciiTheme="minorHAnsi" w:hAnsiTheme="minorHAnsi" w:cs="Arial"/>
                <w:b/>
                <w:bCs/>
                <w:color w:val="000000"/>
                <w:sz w:val="20"/>
                <w:szCs w:val="20"/>
                <w:lang w:eastAsia="en-GB"/>
              </w:rPr>
              <w:t xml:space="preserve">Summary of Finding </w:t>
            </w:r>
          </w:p>
        </w:tc>
        <w:tc>
          <w:tcPr>
            <w:tcW w:w="1218" w:type="dxa"/>
            <w:tcBorders>
              <w:top w:val="single" w:sz="4" w:space="0" w:color="auto"/>
              <w:left w:val="nil"/>
              <w:bottom w:val="single" w:sz="4" w:space="0" w:color="auto"/>
              <w:right w:val="single" w:sz="4" w:space="0" w:color="auto"/>
            </w:tcBorders>
            <w:shd w:val="clear" w:color="000000" w:fill="BFBFBF"/>
          </w:tcPr>
          <w:p w:rsidR="001A4094" w:rsidRPr="00947ADC" w:rsidRDefault="001A4094" w:rsidP="00A140DF">
            <w:pPr>
              <w:rPr>
                <w:rFonts w:asciiTheme="minorHAnsi" w:hAnsiTheme="minorHAnsi" w:cs="Arial"/>
                <w:b/>
                <w:bCs/>
                <w:color w:val="000000"/>
                <w:sz w:val="20"/>
                <w:szCs w:val="20"/>
                <w:lang w:eastAsia="en-GB"/>
              </w:rPr>
            </w:pPr>
            <w:r w:rsidRPr="00947ADC">
              <w:rPr>
                <w:rFonts w:asciiTheme="minorHAnsi" w:hAnsiTheme="minorHAnsi" w:cs="Arial"/>
                <w:b/>
                <w:bCs/>
                <w:color w:val="000000"/>
                <w:sz w:val="20"/>
                <w:szCs w:val="20"/>
                <w:lang w:eastAsia="en-GB"/>
              </w:rPr>
              <w:t>For TSC assessment</w:t>
            </w:r>
          </w:p>
        </w:tc>
      </w:tr>
      <w:tr w:rsidR="001A4094" w:rsidRPr="00947ADC" w:rsidTr="00947ADC">
        <w:trPr>
          <w:cantSplit/>
          <w:trHeight w:val="960"/>
        </w:trPr>
        <w:tc>
          <w:tcPr>
            <w:tcW w:w="997" w:type="dxa"/>
            <w:tcBorders>
              <w:top w:val="nil"/>
              <w:left w:val="single" w:sz="4" w:space="0" w:color="auto"/>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HRIS-1 </w:t>
            </w:r>
          </w:p>
        </w:tc>
        <w:tc>
          <w:tcPr>
            <w:tcW w:w="1079" w:type="dxa"/>
            <w:tcBorders>
              <w:top w:val="nil"/>
              <w:left w:val="nil"/>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4.2.2 </w:t>
            </w:r>
          </w:p>
        </w:tc>
        <w:tc>
          <w:tcPr>
            <w:tcW w:w="7295" w:type="dxa"/>
            <w:tcBorders>
              <w:top w:val="nil"/>
              <w:left w:val="nil"/>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For the RPV, the support structure is modelled with shell elements at the wall centreline. EDF states the structural elements supporting the RPV are considered as cantilevering elements and the design is verified by manual calculations adopting the strut-and-tie method. The proposed method addresses the design of the corbel structure itself; however, this approach ignores the bending loads generated in the supporting wall.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960"/>
        </w:trPr>
        <w:tc>
          <w:tcPr>
            <w:tcW w:w="997" w:type="dxa"/>
            <w:tcBorders>
              <w:top w:val="nil"/>
              <w:left w:val="single" w:sz="4" w:space="0" w:color="auto"/>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HRIS-2 </w:t>
            </w:r>
          </w:p>
        </w:tc>
        <w:tc>
          <w:tcPr>
            <w:tcW w:w="1079" w:type="dxa"/>
            <w:tcBorders>
              <w:top w:val="nil"/>
              <w:left w:val="nil"/>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4.2.2 </w:t>
            </w:r>
          </w:p>
        </w:tc>
        <w:tc>
          <w:tcPr>
            <w:tcW w:w="7295" w:type="dxa"/>
            <w:tcBorders>
              <w:top w:val="nil"/>
              <w:left w:val="nil"/>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For the steam generators, due to the </w:t>
            </w:r>
            <w:proofErr w:type="spellStart"/>
            <w:r w:rsidRPr="00947ADC">
              <w:rPr>
                <w:rFonts w:asciiTheme="minorHAnsi" w:hAnsiTheme="minorHAnsi" w:cs="Arial"/>
                <w:color w:val="000000"/>
                <w:sz w:val="20"/>
                <w:szCs w:val="20"/>
                <w:lang w:eastAsia="en-GB"/>
              </w:rPr>
              <w:t>linearisation</w:t>
            </w:r>
            <w:proofErr w:type="spellEnd"/>
            <w:r w:rsidRPr="00947ADC">
              <w:rPr>
                <w:rFonts w:asciiTheme="minorHAnsi" w:hAnsiTheme="minorHAnsi" w:cs="Arial"/>
                <w:color w:val="000000"/>
                <w:sz w:val="20"/>
                <w:szCs w:val="20"/>
                <w:lang w:eastAsia="en-GB"/>
              </w:rPr>
              <w:t xml:space="preserve"> process in creating the super element of the lower lateral </w:t>
            </w:r>
            <w:proofErr w:type="gramStart"/>
            <w:r w:rsidRPr="00947ADC">
              <w:rPr>
                <w:rFonts w:asciiTheme="minorHAnsi" w:hAnsiTheme="minorHAnsi" w:cs="Arial"/>
                <w:color w:val="000000"/>
                <w:sz w:val="20"/>
                <w:szCs w:val="20"/>
                <w:lang w:eastAsia="en-GB"/>
              </w:rPr>
              <w:t>supports,</w:t>
            </w:r>
            <w:proofErr w:type="gramEnd"/>
            <w:r w:rsidRPr="00947ADC">
              <w:rPr>
                <w:rFonts w:asciiTheme="minorHAnsi" w:hAnsiTheme="minorHAnsi" w:cs="Arial"/>
                <w:color w:val="000000"/>
                <w:sz w:val="20"/>
                <w:szCs w:val="20"/>
                <w:lang w:eastAsia="en-GB"/>
              </w:rPr>
              <w:t xml:space="preserve"> only SGL1 is modelled. It is not clear that this approach will always be conservative. For in-plane shear, higher loads may be generated if the two supports each transfer more than 50% of the inertial load to the central wall.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480"/>
        </w:trPr>
        <w:tc>
          <w:tcPr>
            <w:tcW w:w="997" w:type="dxa"/>
            <w:tcBorders>
              <w:top w:val="nil"/>
              <w:left w:val="single" w:sz="4" w:space="0" w:color="auto"/>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HRIS-3 </w:t>
            </w:r>
          </w:p>
        </w:tc>
        <w:tc>
          <w:tcPr>
            <w:tcW w:w="1079" w:type="dxa"/>
            <w:tcBorders>
              <w:top w:val="nil"/>
              <w:left w:val="nil"/>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4.2.2 </w:t>
            </w:r>
          </w:p>
        </w:tc>
        <w:tc>
          <w:tcPr>
            <w:tcW w:w="7295" w:type="dxa"/>
            <w:tcBorders>
              <w:top w:val="nil"/>
              <w:left w:val="nil"/>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A study presented to validate the super element used for the primary circuit has shown reaction values do not comply with the accuracy limits set out in SDMS 0.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720"/>
        </w:trPr>
        <w:tc>
          <w:tcPr>
            <w:tcW w:w="997" w:type="dxa"/>
            <w:tcBorders>
              <w:top w:val="nil"/>
              <w:left w:val="single" w:sz="4" w:space="0" w:color="auto"/>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HRIS-4 </w:t>
            </w:r>
          </w:p>
        </w:tc>
        <w:tc>
          <w:tcPr>
            <w:tcW w:w="1079" w:type="dxa"/>
            <w:tcBorders>
              <w:top w:val="nil"/>
              <w:left w:val="nil"/>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4.2.3 </w:t>
            </w:r>
          </w:p>
        </w:tc>
        <w:tc>
          <w:tcPr>
            <w:tcW w:w="7295" w:type="dxa"/>
            <w:tcBorders>
              <w:top w:val="nil"/>
              <w:left w:val="nil"/>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mesh methodology for the walls is being established on a case-by-case basis, as the methodology for the HR-IS is not documented it is not possible to assess whether it is appropriate for capturing the peak forces and moments at intersections with the slabs and other walls.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960"/>
        </w:trPr>
        <w:tc>
          <w:tcPr>
            <w:tcW w:w="997" w:type="dxa"/>
            <w:tcBorders>
              <w:top w:val="nil"/>
              <w:left w:val="single" w:sz="4" w:space="0" w:color="auto"/>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HRIS-5 </w:t>
            </w:r>
          </w:p>
        </w:tc>
        <w:tc>
          <w:tcPr>
            <w:tcW w:w="1079" w:type="dxa"/>
            <w:tcBorders>
              <w:top w:val="nil"/>
              <w:left w:val="nil"/>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4.2.3 </w:t>
            </w:r>
          </w:p>
        </w:tc>
        <w:tc>
          <w:tcPr>
            <w:tcW w:w="7295" w:type="dxa"/>
            <w:tcBorders>
              <w:top w:val="nil"/>
              <w:left w:val="nil"/>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For the analysis of the civil structure interfacing with the primary circuit, basing the reinforcement demand at these interface points on FE results could be sensitive to the mesh size adopted, which is not clear from the images presented in SDMS 3. Given the safety-critical nature of these civil structures, further substantiation should be provided to demonstrate how the results from FE are being validated.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1200"/>
        </w:trPr>
        <w:tc>
          <w:tcPr>
            <w:tcW w:w="997" w:type="dxa"/>
            <w:tcBorders>
              <w:top w:val="nil"/>
              <w:left w:val="single" w:sz="4" w:space="0" w:color="auto"/>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lastRenderedPageBreak/>
              <w:t xml:space="preserve">HRIS-6 </w:t>
            </w:r>
          </w:p>
        </w:tc>
        <w:tc>
          <w:tcPr>
            <w:tcW w:w="1079" w:type="dxa"/>
            <w:tcBorders>
              <w:top w:val="nil"/>
              <w:left w:val="nil"/>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4.2.5 </w:t>
            </w:r>
          </w:p>
        </w:tc>
        <w:tc>
          <w:tcPr>
            <w:tcW w:w="7295" w:type="dxa"/>
            <w:tcBorders>
              <w:top w:val="nil"/>
              <w:left w:val="nil"/>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beam elements used to link the HR-IS foundation slab with the IC and CRX. Beam elements are capable of transferring flexural loads, and have been made 1000 times stiffer than the concrete modulus of elasticity. In addition, there are horizontal links connecting the HRA03 gusset with the IC, which in turn is connected to the CRX. The model is therefore likely to simulate some level of composite action between the HR-IS foundation slab and the CRX, which may be </w:t>
            </w:r>
            <w:proofErr w:type="spellStart"/>
            <w:r w:rsidRPr="00947ADC">
              <w:rPr>
                <w:rFonts w:asciiTheme="minorHAnsi" w:hAnsiTheme="minorHAnsi" w:cs="Arial"/>
                <w:color w:val="000000"/>
                <w:sz w:val="20"/>
                <w:szCs w:val="20"/>
                <w:lang w:eastAsia="en-GB"/>
              </w:rPr>
              <w:t>unconservative</w:t>
            </w:r>
            <w:proofErr w:type="spellEnd"/>
            <w:r w:rsidRPr="00947ADC">
              <w:rPr>
                <w:rFonts w:asciiTheme="minorHAnsi" w:hAnsiTheme="minorHAnsi" w:cs="Arial"/>
                <w:color w:val="000000"/>
                <w:sz w:val="20"/>
                <w:szCs w:val="20"/>
                <w:lang w:eastAsia="en-GB"/>
              </w:rPr>
              <w:t xml:space="preserve"> given this is a contact-only connection.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960"/>
        </w:trPr>
        <w:tc>
          <w:tcPr>
            <w:tcW w:w="997" w:type="dxa"/>
            <w:tcBorders>
              <w:top w:val="nil"/>
              <w:left w:val="single" w:sz="4" w:space="0" w:color="auto"/>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HRIS-7 </w:t>
            </w:r>
          </w:p>
        </w:tc>
        <w:tc>
          <w:tcPr>
            <w:tcW w:w="1079" w:type="dxa"/>
            <w:tcBorders>
              <w:top w:val="nil"/>
              <w:left w:val="nil"/>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4.2.5 </w:t>
            </w:r>
          </w:p>
        </w:tc>
        <w:tc>
          <w:tcPr>
            <w:tcW w:w="7295" w:type="dxa"/>
            <w:tcBorders>
              <w:top w:val="nil"/>
              <w:left w:val="nil"/>
              <w:bottom w:val="single" w:sz="4" w:space="0" w:color="auto"/>
              <w:right w:val="single" w:sz="4" w:space="0" w:color="auto"/>
            </w:tcBorders>
            <w:shd w:val="clear" w:color="000000" w:fill="C5D9F1"/>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linear elastic approach used to model the interface with adjoining structures cannot quantitatively demonstrate the extent and consequence of uplift. The current modelling methodology also assumes a near rigid rotational restraint being provided at the gusset interface, which is not accurate. Further design substantiation, based on more realistic interface conditions being adopted, would demonstrate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120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HRIS-8 </w:t>
            </w:r>
          </w:p>
        </w:tc>
        <w:tc>
          <w:tcPr>
            <w:tcW w:w="1079"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4.4</w:t>
            </w:r>
          </w:p>
        </w:tc>
        <w:tc>
          <w:tcPr>
            <w:tcW w:w="7295"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In SDMS 3, EDF states that the Containment Test Pressure does not need to be considered due to pressures balancing on either side. There is some ambiguity in this assumption, as some walls in the HR-IS are required to withstand loads under the different LOCA load scenarios. The Containment Test Pressure case is also stated as a SFR for HR-IS. Further clarification is required on the containment test to understand why this load does not need to be considered.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72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HRIS-9 </w:t>
            </w:r>
          </w:p>
        </w:tc>
        <w:tc>
          <w:tcPr>
            <w:tcW w:w="1079"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5.2</w:t>
            </w:r>
          </w:p>
        </w:tc>
        <w:tc>
          <w:tcPr>
            <w:tcW w:w="7295"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minimum cover specified for exposure class XS3 components does not comply with BS 8500-1. Further information is required on the cement class and water/cement ratio of the concrete mix to determine appropriate cover values for all concrete elements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72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HRIS-10 </w:t>
            </w:r>
          </w:p>
        </w:tc>
        <w:tc>
          <w:tcPr>
            <w:tcW w:w="1079"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5.2.1 </w:t>
            </w:r>
          </w:p>
        </w:tc>
        <w:tc>
          <w:tcPr>
            <w:tcW w:w="7295"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It is not clear how the sacrificial cover required to resist extreme thermal conditions is accounted for in the structural design of the concrete sections. For example, the RPV support ring transfers the load into the concrete cylindrical wall through bearing action on one the areas where sacrificial cover is specified.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48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HRIS-11 </w:t>
            </w:r>
          </w:p>
        </w:tc>
        <w:tc>
          <w:tcPr>
            <w:tcW w:w="1079"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5.2.3 </w:t>
            </w:r>
          </w:p>
        </w:tc>
        <w:tc>
          <w:tcPr>
            <w:tcW w:w="7295"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reduction factor on thermal action effects is defined by simplified rules without adequate justification that these are appropriate.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960"/>
        </w:trPr>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HRIS-12 </w:t>
            </w:r>
          </w:p>
        </w:tc>
        <w:tc>
          <w:tcPr>
            <w:tcW w:w="1079" w:type="dxa"/>
            <w:vMerge w:val="restart"/>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5.4.1 </w:t>
            </w:r>
          </w:p>
        </w:tc>
        <w:tc>
          <w:tcPr>
            <w:tcW w:w="7295"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Studies by EDF have demonstrated that sizing the liner to maintain its structural integrity under a Fuel Assembly drop is impractical. For the HR pools, EDF has clarified that if a leak occurs, all the excess of water should go into the IRWST pool so no contamination is expected. This methodology is being confirmed to ensure this satisfies the SFR.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720"/>
        </w:trPr>
        <w:tc>
          <w:tcPr>
            <w:tcW w:w="997" w:type="dxa"/>
            <w:vMerge/>
            <w:tcBorders>
              <w:top w:val="nil"/>
              <w:left w:val="single" w:sz="4" w:space="0" w:color="auto"/>
              <w:bottom w:val="single" w:sz="4" w:space="0" w:color="auto"/>
              <w:right w:val="single" w:sz="4" w:space="0" w:color="auto"/>
            </w:tcBorders>
            <w:vAlign w:val="center"/>
            <w:hideMark/>
          </w:tcPr>
          <w:p w:rsidR="001A4094" w:rsidRPr="00947ADC" w:rsidRDefault="001A4094" w:rsidP="00A140DF">
            <w:pPr>
              <w:rPr>
                <w:rFonts w:asciiTheme="minorHAnsi" w:hAnsiTheme="minorHAnsi" w:cs="Arial"/>
                <w:color w:val="000000"/>
                <w:sz w:val="20"/>
                <w:szCs w:val="20"/>
                <w:lang w:eastAsia="en-GB"/>
              </w:rPr>
            </w:pPr>
          </w:p>
        </w:tc>
        <w:tc>
          <w:tcPr>
            <w:tcW w:w="1079" w:type="dxa"/>
            <w:vMerge/>
            <w:tcBorders>
              <w:top w:val="nil"/>
              <w:left w:val="single" w:sz="4" w:space="0" w:color="auto"/>
              <w:bottom w:val="single" w:sz="4" w:space="0" w:color="auto"/>
              <w:right w:val="single" w:sz="4" w:space="0" w:color="auto"/>
            </w:tcBorders>
            <w:vAlign w:val="center"/>
            <w:hideMark/>
          </w:tcPr>
          <w:p w:rsidR="001A4094" w:rsidRPr="00947ADC" w:rsidRDefault="001A4094" w:rsidP="00A140DF">
            <w:pPr>
              <w:rPr>
                <w:rFonts w:asciiTheme="minorHAnsi" w:hAnsiTheme="minorHAnsi" w:cs="Arial"/>
                <w:color w:val="000000"/>
                <w:sz w:val="20"/>
                <w:szCs w:val="20"/>
                <w:lang w:eastAsia="en-GB"/>
              </w:rPr>
            </w:pPr>
          </w:p>
        </w:tc>
        <w:tc>
          <w:tcPr>
            <w:tcW w:w="7295"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This justification appears reasonable, however, further clarification should be sought to understand the planned intervention and remedial measures that shall be implemented following a fuel assembly drop to ensure the reactor can be safely restarted.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48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HRIS-13 </w:t>
            </w:r>
          </w:p>
        </w:tc>
        <w:tc>
          <w:tcPr>
            <w:tcW w:w="1079"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5.5</w:t>
            </w:r>
          </w:p>
        </w:tc>
        <w:tc>
          <w:tcPr>
            <w:tcW w:w="7295"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It is unclear whether the BDB requirement for overpressure in the containment is also applicable to structures within the HR-IS.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30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HRIS-14 </w:t>
            </w:r>
          </w:p>
        </w:tc>
        <w:tc>
          <w:tcPr>
            <w:tcW w:w="1079"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7.1</w:t>
            </w:r>
          </w:p>
        </w:tc>
        <w:tc>
          <w:tcPr>
            <w:tcW w:w="7295"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The impact of mechanical and jet forces in the case of a RHEP is yet to be carried out.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72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HRIS-15 </w:t>
            </w:r>
          </w:p>
        </w:tc>
        <w:tc>
          <w:tcPr>
            <w:tcW w:w="1079"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7.2</w:t>
            </w:r>
          </w:p>
        </w:tc>
        <w:tc>
          <w:tcPr>
            <w:tcW w:w="7295"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 xml:space="preserve">Design Substantiation Reports are not planned for all structures. For the RPV support ring in particular, given the safety-critical nature of this structure, we are concerned that the structure will not be properly checked and verified prior to being constructed. </w:t>
            </w:r>
          </w:p>
        </w:tc>
        <w:tc>
          <w:tcPr>
            <w:tcW w:w="1218" w:type="dxa"/>
            <w:tcBorders>
              <w:top w:val="nil"/>
              <w:left w:val="nil"/>
              <w:bottom w:val="single" w:sz="4" w:space="0" w:color="auto"/>
              <w:right w:val="single" w:sz="4" w:space="0" w:color="auto"/>
            </w:tcBorders>
            <w:shd w:val="clear" w:color="auto" w:fill="C5E0B3" w:themeFill="accent6" w:themeFillTint="66"/>
          </w:tcPr>
          <w:p w:rsidR="001A4094" w:rsidRPr="00947ADC" w:rsidRDefault="001A4094"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bl>
    <w:p w:rsidR="00A140DF" w:rsidRDefault="00A140DF" w:rsidP="00A140DF">
      <w:pPr>
        <w:rPr>
          <w:rFonts w:asciiTheme="minorHAnsi" w:hAnsiTheme="minorHAnsi" w:cstheme="minorHAnsi"/>
          <w:b/>
          <w:caps/>
        </w:rPr>
      </w:pPr>
    </w:p>
    <w:p w:rsidR="00A140DF" w:rsidRDefault="00A140DF" w:rsidP="00A140DF">
      <w:pPr>
        <w:pStyle w:val="TSHeadingNumbered1"/>
        <w:numPr>
          <w:ilvl w:val="0"/>
          <w:numId w:val="0"/>
        </w:numPr>
        <w:tabs>
          <w:tab w:val="left" w:pos="0"/>
        </w:tabs>
        <w:ind w:left="720" w:hanging="720"/>
        <w:rPr>
          <w:rFonts w:asciiTheme="minorHAnsi" w:hAnsiTheme="minorHAnsi" w:cstheme="minorHAnsi"/>
        </w:rPr>
      </w:pPr>
      <w:r>
        <w:rPr>
          <w:rFonts w:asciiTheme="minorHAnsi" w:hAnsiTheme="minorHAnsi" w:cstheme="minorHAnsi"/>
        </w:rPr>
        <w:t>Fuel Building (HK)</w:t>
      </w:r>
    </w:p>
    <w:tbl>
      <w:tblPr>
        <w:tblW w:w="10589" w:type="dxa"/>
        <w:tblInd w:w="93" w:type="dxa"/>
        <w:tblLook w:val="04A0" w:firstRow="1" w:lastRow="0" w:firstColumn="1" w:lastColumn="0" w:noHBand="0" w:noVBand="1"/>
      </w:tblPr>
      <w:tblGrid>
        <w:gridCol w:w="997"/>
        <w:gridCol w:w="1080"/>
        <w:gridCol w:w="7294"/>
        <w:gridCol w:w="1218"/>
      </w:tblGrid>
      <w:tr w:rsidR="001A4094" w:rsidRPr="00947ADC" w:rsidTr="00947ADC">
        <w:trPr>
          <w:cantSplit/>
          <w:trHeight w:val="300"/>
        </w:trPr>
        <w:tc>
          <w:tcPr>
            <w:tcW w:w="99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1A4094" w:rsidRPr="00947ADC" w:rsidRDefault="001A4094" w:rsidP="00A140DF">
            <w:pPr>
              <w:rPr>
                <w:rFonts w:asciiTheme="minorHAnsi" w:hAnsiTheme="minorHAnsi"/>
                <w:b/>
                <w:bCs/>
                <w:color w:val="000000"/>
                <w:sz w:val="20"/>
                <w:szCs w:val="20"/>
                <w:lang w:eastAsia="en-GB"/>
              </w:rPr>
            </w:pPr>
            <w:r w:rsidRPr="00947ADC">
              <w:rPr>
                <w:rFonts w:asciiTheme="minorHAnsi" w:hAnsiTheme="minorHAnsi"/>
                <w:b/>
                <w:bCs/>
                <w:color w:val="000000"/>
                <w:sz w:val="20"/>
                <w:szCs w:val="20"/>
                <w:lang w:eastAsia="en-GB"/>
              </w:rPr>
              <w:t xml:space="preserve">Finding ID </w:t>
            </w:r>
          </w:p>
        </w:tc>
        <w:tc>
          <w:tcPr>
            <w:tcW w:w="1080" w:type="dxa"/>
            <w:tcBorders>
              <w:top w:val="single" w:sz="4" w:space="0" w:color="auto"/>
              <w:left w:val="nil"/>
              <w:bottom w:val="single" w:sz="4" w:space="0" w:color="auto"/>
              <w:right w:val="single" w:sz="4" w:space="0" w:color="auto"/>
            </w:tcBorders>
            <w:shd w:val="clear" w:color="000000" w:fill="BFBFBF"/>
            <w:vAlign w:val="center"/>
            <w:hideMark/>
          </w:tcPr>
          <w:p w:rsidR="001A4094" w:rsidRPr="00947ADC" w:rsidRDefault="001A4094" w:rsidP="00A140DF">
            <w:pPr>
              <w:rPr>
                <w:rFonts w:asciiTheme="minorHAnsi" w:hAnsiTheme="minorHAnsi"/>
                <w:b/>
                <w:bCs/>
                <w:color w:val="000000"/>
                <w:sz w:val="20"/>
                <w:szCs w:val="20"/>
                <w:lang w:eastAsia="en-GB"/>
              </w:rPr>
            </w:pPr>
            <w:r w:rsidRPr="00947ADC">
              <w:rPr>
                <w:rFonts w:asciiTheme="minorHAnsi" w:hAnsiTheme="minorHAnsi"/>
                <w:b/>
                <w:bCs/>
                <w:color w:val="000000"/>
                <w:sz w:val="20"/>
                <w:szCs w:val="20"/>
                <w:lang w:eastAsia="en-GB"/>
              </w:rPr>
              <w:t xml:space="preserve">Report Section </w:t>
            </w:r>
          </w:p>
        </w:tc>
        <w:tc>
          <w:tcPr>
            <w:tcW w:w="7294" w:type="dxa"/>
            <w:tcBorders>
              <w:top w:val="single" w:sz="4" w:space="0" w:color="auto"/>
              <w:left w:val="nil"/>
              <w:bottom w:val="single" w:sz="4" w:space="0" w:color="auto"/>
              <w:right w:val="single" w:sz="4" w:space="0" w:color="auto"/>
            </w:tcBorders>
            <w:shd w:val="clear" w:color="000000" w:fill="BFBFBF"/>
            <w:vAlign w:val="center"/>
            <w:hideMark/>
          </w:tcPr>
          <w:p w:rsidR="001A4094" w:rsidRPr="00947ADC" w:rsidRDefault="001A4094" w:rsidP="00A140DF">
            <w:pPr>
              <w:rPr>
                <w:rFonts w:asciiTheme="minorHAnsi" w:hAnsiTheme="minorHAnsi"/>
                <w:b/>
                <w:bCs/>
                <w:color w:val="000000"/>
                <w:sz w:val="20"/>
                <w:szCs w:val="20"/>
                <w:lang w:eastAsia="en-GB"/>
              </w:rPr>
            </w:pPr>
            <w:r w:rsidRPr="00947ADC">
              <w:rPr>
                <w:rFonts w:asciiTheme="minorHAnsi" w:hAnsiTheme="minorHAnsi"/>
                <w:b/>
                <w:bCs/>
                <w:color w:val="000000"/>
                <w:sz w:val="20"/>
                <w:szCs w:val="20"/>
                <w:lang w:eastAsia="en-GB"/>
              </w:rPr>
              <w:t xml:space="preserve">Summary of Finding </w:t>
            </w:r>
          </w:p>
        </w:tc>
        <w:tc>
          <w:tcPr>
            <w:tcW w:w="1218" w:type="dxa"/>
            <w:tcBorders>
              <w:top w:val="single" w:sz="4" w:space="0" w:color="auto"/>
              <w:left w:val="nil"/>
              <w:bottom w:val="single" w:sz="4" w:space="0" w:color="auto"/>
              <w:right w:val="single" w:sz="4" w:space="0" w:color="auto"/>
            </w:tcBorders>
            <w:shd w:val="clear" w:color="000000" w:fill="BFBFBF"/>
          </w:tcPr>
          <w:p w:rsidR="001A4094" w:rsidRPr="00947ADC" w:rsidRDefault="001A4094" w:rsidP="00A140DF">
            <w:pPr>
              <w:rPr>
                <w:rFonts w:asciiTheme="minorHAnsi" w:hAnsiTheme="minorHAnsi"/>
                <w:b/>
                <w:bCs/>
                <w:color w:val="000000"/>
                <w:sz w:val="20"/>
                <w:szCs w:val="20"/>
                <w:lang w:eastAsia="en-GB"/>
              </w:rPr>
            </w:pPr>
            <w:r w:rsidRPr="00947ADC">
              <w:rPr>
                <w:rFonts w:asciiTheme="minorHAnsi" w:hAnsiTheme="minorHAnsi"/>
                <w:b/>
                <w:bCs/>
                <w:color w:val="000000"/>
                <w:sz w:val="20"/>
                <w:szCs w:val="20"/>
                <w:lang w:eastAsia="en-GB"/>
              </w:rPr>
              <w:t>For TSC assessment</w:t>
            </w:r>
          </w:p>
        </w:tc>
      </w:tr>
      <w:tr w:rsidR="00947ADC" w:rsidRPr="00947ADC" w:rsidTr="00947ADC">
        <w:trPr>
          <w:cantSplit/>
          <w:trHeight w:val="720"/>
        </w:trPr>
        <w:tc>
          <w:tcPr>
            <w:tcW w:w="997" w:type="dxa"/>
            <w:tcBorders>
              <w:top w:val="nil"/>
              <w:left w:val="single" w:sz="4" w:space="0" w:color="auto"/>
              <w:bottom w:val="single" w:sz="4" w:space="0" w:color="auto"/>
              <w:right w:val="single" w:sz="4" w:space="0" w:color="auto"/>
            </w:tcBorders>
            <w:shd w:val="clear" w:color="000000" w:fill="C5D9F1"/>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HK-1 </w:t>
            </w:r>
          </w:p>
        </w:tc>
        <w:tc>
          <w:tcPr>
            <w:tcW w:w="1080" w:type="dxa"/>
            <w:tcBorders>
              <w:top w:val="nil"/>
              <w:left w:val="nil"/>
              <w:bottom w:val="single" w:sz="4" w:space="0" w:color="auto"/>
              <w:right w:val="single" w:sz="4" w:space="0" w:color="auto"/>
            </w:tcBorders>
            <w:shd w:val="clear" w:color="000000" w:fill="C5D9F1"/>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4.2.1 </w:t>
            </w:r>
          </w:p>
        </w:tc>
        <w:tc>
          <w:tcPr>
            <w:tcW w:w="7294" w:type="dxa"/>
            <w:tcBorders>
              <w:top w:val="nil"/>
              <w:left w:val="nil"/>
              <w:bottom w:val="single" w:sz="4" w:space="0" w:color="auto"/>
              <w:right w:val="single" w:sz="4" w:space="0" w:color="auto"/>
            </w:tcBorders>
            <w:shd w:val="clear" w:color="000000" w:fill="C5D9F1"/>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The sub-structuring approach used by EDF for seismic analysis is reasonable in </w:t>
            </w:r>
            <w:proofErr w:type="gramStart"/>
            <w:r w:rsidRPr="00947ADC">
              <w:rPr>
                <w:rFonts w:asciiTheme="minorHAnsi" w:hAnsiTheme="minorHAnsi"/>
                <w:color w:val="000000"/>
                <w:sz w:val="20"/>
                <w:szCs w:val="20"/>
                <w:lang w:eastAsia="en-GB"/>
              </w:rPr>
              <w:t>principle,</w:t>
            </w:r>
            <w:proofErr w:type="gramEnd"/>
            <w:r w:rsidRPr="00947ADC">
              <w:rPr>
                <w:rFonts w:asciiTheme="minorHAnsi" w:hAnsiTheme="minorHAnsi"/>
                <w:color w:val="000000"/>
                <w:sz w:val="20"/>
                <w:szCs w:val="20"/>
                <w:lang w:eastAsia="en-GB"/>
              </w:rPr>
              <w:t xml:space="preserve"> however given the importance of this modelling assumption, the sub-structuring approach should be fully validated to ensure results are conservative and within the performance guidelines set out in SDMS 0.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47ADC" w:rsidRPr="00947ADC" w:rsidTr="00947ADC">
        <w:trPr>
          <w:cantSplit/>
          <w:trHeight w:val="48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HK-2 </w:t>
            </w:r>
          </w:p>
        </w:tc>
        <w:tc>
          <w:tcPr>
            <w:tcW w:w="1080"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4.4</w:t>
            </w:r>
          </w:p>
        </w:tc>
        <w:tc>
          <w:tcPr>
            <w:tcW w:w="7294"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Internal explosion loading has been specified in the Safety Functional Requirements for HK but this is not documented in the SDMS documents.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47ADC" w:rsidRPr="00947ADC" w:rsidTr="00947ADC">
        <w:trPr>
          <w:cantSplit/>
          <w:trHeight w:val="720"/>
        </w:trPr>
        <w:tc>
          <w:tcPr>
            <w:tcW w:w="997" w:type="dxa"/>
            <w:tcBorders>
              <w:top w:val="nil"/>
              <w:left w:val="single" w:sz="4" w:space="0" w:color="auto"/>
              <w:bottom w:val="single" w:sz="4" w:space="0" w:color="auto"/>
              <w:right w:val="single" w:sz="4" w:space="0" w:color="auto"/>
            </w:tcBorders>
            <w:shd w:val="clear" w:color="000000" w:fill="C5D9F1"/>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HK-3 </w:t>
            </w:r>
          </w:p>
        </w:tc>
        <w:tc>
          <w:tcPr>
            <w:tcW w:w="1080" w:type="dxa"/>
            <w:tcBorders>
              <w:top w:val="nil"/>
              <w:left w:val="nil"/>
              <w:bottom w:val="single" w:sz="4" w:space="0" w:color="auto"/>
              <w:right w:val="single" w:sz="4" w:space="0" w:color="auto"/>
            </w:tcBorders>
            <w:shd w:val="clear" w:color="000000" w:fill="C5D9F1"/>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4.4.2 </w:t>
            </w:r>
          </w:p>
        </w:tc>
        <w:tc>
          <w:tcPr>
            <w:tcW w:w="7294" w:type="dxa"/>
            <w:tcBorders>
              <w:top w:val="nil"/>
              <w:left w:val="nil"/>
              <w:bottom w:val="single" w:sz="4" w:space="0" w:color="auto"/>
              <w:right w:val="single" w:sz="4" w:space="0" w:color="auto"/>
            </w:tcBorders>
            <w:shd w:val="clear" w:color="000000" w:fill="C5D9F1"/>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For the modelling of crane loads under seismic actions, the current methodology only considers a single crane location at mid-span for seismic loading. This approach is conservative for flexural loading, but may not be a conservative assumption for in-plane shear loading.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47ADC" w:rsidRPr="00947ADC" w:rsidTr="00947ADC">
        <w:trPr>
          <w:cantSplit/>
          <w:trHeight w:val="72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lastRenderedPageBreak/>
              <w:t xml:space="preserve">HK-4 </w:t>
            </w:r>
          </w:p>
        </w:tc>
        <w:tc>
          <w:tcPr>
            <w:tcW w:w="1080"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5.2</w:t>
            </w:r>
          </w:p>
        </w:tc>
        <w:tc>
          <w:tcPr>
            <w:tcW w:w="7294"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The minimum cover specified for exposure class XS3 components does not comply with BS 8500-1. Further information is required on the cement class and water/cement ratio of the concrete mix to determine appropriate cover values for all concrete elements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47ADC" w:rsidRPr="00947ADC" w:rsidTr="00947ADC">
        <w:trPr>
          <w:cantSplit/>
          <w:trHeight w:val="48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HK-5 </w:t>
            </w:r>
          </w:p>
        </w:tc>
        <w:tc>
          <w:tcPr>
            <w:tcW w:w="1080"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5.2</w:t>
            </w:r>
          </w:p>
        </w:tc>
        <w:tc>
          <w:tcPr>
            <w:tcW w:w="7294"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The design strength for </w:t>
            </w:r>
            <w:proofErr w:type="spellStart"/>
            <w:r w:rsidRPr="00947ADC">
              <w:rPr>
                <w:rFonts w:asciiTheme="minorHAnsi" w:hAnsiTheme="minorHAnsi"/>
                <w:color w:val="000000"/>
                <w:sz w:val="20"/>
                <w:szCs w:val="20"/>
                <w:lang w:eastAsia="en-GB"/>
              </w:rPr>
              <w:t>ULS.a</w:t>
            </w:r>
            <w:proofErr w:type="spellEnd"/>
            <w:r w:rsidRPr="00947ADC">
              <w:rPr>
                <w:rFonts w:asciiTheme="minorHAnsi" w:hAnsiTheme="minorHAnsi"/>
                <w:color w:val="000000"/>
                <w:sz w:val="20"/>
                <w:szCs w:val="20"/>
                <w:lang w:eastAsia="en-GB"/>
              </w:rPr>
              <w:t xml:space="preserve"> is based on αcc = 0.85, and </w:t>
            </w:r>
            <w:proofErr w:type="spellStart"/>
            <w:r w:rsidRPr="00947ADC">
              <w:rPr>
                <w:rFonts w:asciiTheme="minorHAnsi" w:hAnsiTheme="minorHAnsi"/>
                <w:color w:val="000000"/>
                <w:sz w:val="20"/>
                <w:szCs w:val="20"/>
                <w:lang w:eastAsia="en-GB"/>
              </w:rPr>
              <w:t>γc</w:t>
            </w:r>
            <w:proofErr w:type="spellEnd"/>
            <w:r w:rsidRPr="00947ADC">
              <w:rPr>
                <w:rFonts w:asciiTheme="minorHAnsi" w:hAnsiTheme="minorHAnsi"/>
                <w:color w:val="000000"/>
                <w:sz w:val="20"/>
                <w:szCs w:val="20"/>
                <w:lang w:eastAsia="en-GB"/>
              </w:rPr>
              <w:t xml:space="preserve"> = 1.2, which would give </w:t>
            </w:r>
            <w:proofErr w:type="spellStart"/>
            <w:r w:rsidRPr="00947ADC">
              <w:rPr>
                <w:rFonts w:asciiTheme="minorHAnsi" w:hAnsiTheme="minorHAnsi"/>
                <w:color w:val="000000"/>
                <w:sz w:val="20"/>
                <w:szCs w:val="20"/>
                <w:lang w:eastAsia="en-GB"/>
              </w:rPr>
              <w:t>fcd</w:t>
            </w:r>
            <w:proofErr w:type="spellEnd"/>
            <w:r w:rsidRPr="00947ADC">
              <w:rPr>
                <w:rFonts w:asciiTheme="minorHAnsi" w:hAnsiTheme="minorHAnsi"/>
                <w:color w:val="000000"/>
                <w:sz w:val="20"/>
                <w:szCs w:val="20"/>
                <w:lang w:eastAsia="en-GB"/>
              </w:rPr>
              <w:t xml:space="preserve"> = 0.85 x 60 / 1.2 = 42.5MPa. </w:t>
            </w:r>
            <w:proofErr w:type="gramStart"/>
            <w:r w:rsidRPr="00947ADC">
              <w:rPr>
                <w:rFonts w:asciiTheme="minorHAnsi" w:hAnsiTheme="minorHAnsi"/>
                <w:color w:val="000000"/>
                <w:sz w:val="20"/>
                <w:szCs w:val="20"/>
                <w:lang w:eastAsia="en-GB"/>
              </w:rPr>
              <w:t>An incorrect</w:t>
            </w:r>
            <w:proofErr w:type="gramEnd"/>
            <w:r w:rsidRPr="00947ADC">
              <w:rPr>
                <w:rFonts w:asciiTheme="minorHAnsi" w:hAnsiTheme="minorHAnsi"/>
                <w:color w:val="000000"/>
                <w:sz w:val="20"/>
                <w:szCs w:val="20"/>
                <w:lang w:eastAsia="en-GB"/>
              </w:rPr>
              <w:t xml:space="preserve"> design strength of 50MPa appears to have been quoted for C60/75 concrete.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47ADC" w:rsidRPr="00947ADC" w:rsidTr="00947ADC">
        <w:trPr>
          <w:cantSplit/>
          <w:trHeight w:val="120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HK-6 </w:t>
            </w:r>
          </w:p>
        </w:tc>
        <w:tc>
          <w:tcPr>
            <w:tcW w:w="1080"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5.6.2 </w:t>
            </w:r>
          </w:p>
        </w:tc>
        <w:tc>
          <w:tcPr>
            <w:tcW w:w="7294"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Studies by EDF have demonstrated that sizing the liner to maintain its structural integrity under a Fuel Assembly drop is impractical. EDF instead plans to justify the design based on the supporting concrete structure satisfying the leak tightness requirements of BS EN 1992-3. Given the importance of this assumption in ensuring the pool structures meet a primary safety function, this matter should be re-evaluated once EDF’s substantiation is complete.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47ADC" w:rsidRPr="00947ADC" w:rsidTr="00947ADC">
        <w:trPr>
          <w:cantSplit/>
          <w:trHeight w:val="72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HK-7 </w:t>
            </w:r>
          </w:p>
        </w:tc>
        <w:tc>
          <w:tcPr>
            <w:tcW w:w="1080"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5.6.3 </w:t>
            </w:r>
          </w:p>
        </w:tc>
        <w:tc>
          <w:tcPr>
            <w:tcW w:w="7294"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The design of structural discontinuities is to be assessed on a case-by-case basis. Given the importance of these connections on the structural load path, Arup recommends the substantiation of these discontinuities is carefully evaluated when complete.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30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HK-8 </w:t>
            </w:r>
          </w:p>
        </w:tc>
        <w:tc>
          <w:tcPr>
            <w:tcW w:w="1080"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7.1</w:t>
            </w:r>
          </w:p>
        </w:tc>
        <w:tc>
          <w:tcPr>
            <w:tcW w:w="729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The beyond design basis assessment for the HK building is yet to be completed. </w:t>
            </w:r>
          </w:p>
        </w:tc>
        <w:tc>
          <w:tcPr>
            <w:tcW w:w="1218" w:type="dxa"/>
            <w:tcBorders>
              <w:top w:val="nil"/>
              <w:left w:val="nil"/>
              <w:bottom w:val="single" w:sz="4" w:space="0" w:color="auto"/>
              <w:right w:val="single" w:sz="4" w:space="0" w:color="auto"/>
            </w:tcBorders>
            <w:shd w:val="clear" w:color="auto" w:fill="FF8B8B"/>
          </w:tcPr>
          <w:p w:rsidR="001A4094"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No</w:t>
            </w:r>
          </w:p>
        </w:tc>
      </w:tr>
    </w:tbl>
    <w:p w:rsidR="00A140DF" w:rsidRDefault="00A140DF" w:rsidP="00A140DF"/>
    <w:p w:rsidR="00A140DF" w:rsidRDefault="00A140DF" w:rsidP="00A140DF">
      <w:pPr>
        <w:pStyle w:val="TSHeadingNumbered1"/>
        <w:numPr>
          <w:ilvl w:val="0"/>
          <w:numId w:val="0"/>
        </w:numPr>
        <w:tabs>
          <w:tab w:val="left" w:pos="0"/>
        </w:tabs>
        <w:ind w:left="720" w:hanging="720"/>
        <w:rPr>
          <w:rFonts w:asciiTheme="minorHAnsi" w:hAnsiTheme="minorHAnsi" w:cstheme="minorHAnsi"/>
        </w:rPr>
      </w:pPr>
      <w:r>
        <w:rPr>
          <w:rFonts w:asciiTheme="minorHAnsi" w:hAnsiTheme="minorHAnsi" w:cstheme="minorHAnsi"/>
        </w:rPr>
        <w:t>Diesel Generator Building (HD)</w:t>
      </w:r>
    </w:p>
    <w:tbl>
      <w:tblPr>
        <w:tblW w:w="10589" w:type="dxa"/>
        <w:tblInd w:w="93" w:type="dxa"/>
        <w:tblLook w:val="04A0" w:firstRow="1" w:lastRow="0" w:firstColumn="1" w:lastColumn="0" w:noHBand="0" w:noVBand="1"/>
      </w:tblPr>
      <w:tblGrid>
        <w:gridCol w:w="997"/>
        <w:gridCol w:w="1080"/>
        <w:gridCol w:w="7294"/>
        <w:gridCol w:w="1218"/>
      </w:tblGrid>
      <w:tr w:rsidR="001A4094" w:rsidRPr="00947ADC" w:rsidTr="00947ADC">
        <w:trPr>
          <w:cantSplit/>
          <w:trHeight w:val="300"/>
        </w:trPr>
        <w:tc>
          <w:tcPr>
            <w:tcW w:w="99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1A4094" w:rsidRPr="00947ADC" w:rsidRDefault="001A4094" w:rsidP="00A140DF">
            <w:pPr>
              <w:rPr>
                <w:rFonts w:asciiTheme="minorHAnsi" w:hAnsiTheme="minorHAnsi"/>
                <w:b/>
                <w:bCs/>
                <w:color w:val="000000"/>
                <w:sz w:val="20"/>
                <w:szCs w:val="20"/>
                <w:lang w:eastAsia="en-GB"/>
              </w:rPr>
            </w:pPr>
            <w:r w:rsidRPr="00947ADC">
              <w:rPr>
                <w:rFonts w:asciiTheme="minorHAnsi" w:hAnsiTheme="minorHAnsi"/>
                <w:b/>
                <w:bCs/>
                <w:color w:val="000000"/>
                <w:sz w:val="20"/>
                <w:szCs w:val="20"/>
                <w:lang w:eastAsia="en-GB"/>
              </w:rPr>
              <w:t xml:space="preserve">Finding ID </w:t>
            </w:r>
          </w:p>
        </w:tc>
        <w:tc>
          <w:tcPr>
            <w:tcW w:w="1080" w:type="dxa"/>
            <w:tcBorders>
              <w:top w:val="single" w:sz="4" w:space="0" w:color="auto"/>
              <w:left w:val="nil"/>
              <w:bottom w:val="single" w:sz="4" w:space="0" w:color="auto"/>
              <w:right w:val="single" w:sz="4" w:space="0" w:color="auto"/>
            </w:tcBorders>
            <w:shd w:val="clear" w:color="000000" w:fill="BFBFBF"/>
            <w:vAlign w:val="center"/>
            <w:hideMark/>
          </w:tcPr>
          <w:p w:rsidR="001A4094" w:rsidRPr="00947ADC" w:rsidRDefault="001A4094" w:rsidP="00A140DF">
            <w:pPr>
              <w:rPr>
                <w:rFonts w:asciiTheme="minorHAnsi" w:hAnsiTheme="minorHAnsi"/>
                <w:b/>
                <w:bCs/>
                <w:color w:val="000000"/>
                <w:sz w:val="20"/>
                <w:szCs w:val="20"/>
                <w:lang w:eastAsia="en-GB"/>
              </w:rPr>
            </w:pPr>
            <w:r w:rsidRPr="00947ADC">
              <w:rPr>
                <w:rFonts w:asciiTheme="minorHAnsi" w:hAnsiTheme="minorHAnsi"/>
                <w:b/>
                <w:bCs/>
                <w:color w:val="000000"/>
                <w:sz w:val="20"/>
                <w:szCs w:val="20"/>
                <w:lang w:eastAsia="en-GB"/>
              </w:rPr>
              <w:t xml:space="preserve">Report Section </w:t>
            </w:r>
          </w:p>
        </w:tc>
        <w:tc>
          <w:tcPr>
            <w:tcW w:w="7294" w:type="dxa"/>
            <w:tcBorders>
              <w:top w:val="single" w:sz="4" w:space="0" w:color="auto"/>
              <w:left w:val="nil"/>
              <w:bottom w:val="single" w:sz="4" w:space="0" w:color="auto"/>
              <w:right w:val="single" w:sz="4" w:space="0" w:color="auto"/>
            </w:tcBorders>
            <w:shd w:val="clear" w:color="000000" w:fill="BFBFBF"/>
            <w:vAlign w:val="center"/>
            <w:hideMark/>
          </w:tcPr>
          <w:p w:rsidR="001A4094" w:rsidRPr="00947ADC" w:rsidRDefault="001A4094" w:rsidP="00A140DF">
            <w:pPr>
              <w:rPr>
                <w:rFonts w:asciiTheme="minorHAnsi" w:hAnsiTheme="minorHAnsi"/>
                <w:b/>
                <w:bCs/>
                <w:color w:val="000000"/>
                <w:sz w:val="20"/>
                <w:szCs w:val="20"/>
                <w:lang w:eastAsia="en-GB"/>
              </w:rPr>
            </w:pPr>
            <w:r w:rsidRPr="00947ADC">
              <w:rPr>
                <w:rFonts w:asciiTheme="minorHAnsi" w:hAnsiTheme="minorHAnsi"/>
                <w:b/>
                <w:bCs/>
                <w:color w:val="000000"/>
                <w:sz w:val="20"/>
                <w:szCs w:val="20"/>
                <w:lang w:eastAsia="en-GB"/>
              </w:rPr>
              <w:t xml:space="preserve">Summary of Finding </w:t>
            </w:r>
          </w:p>
        </w:tc>
        <w:tc>
          <w:tcPr>
            <w:tcW w:w="1218" w:type="dxa"/>
            <w:tcBorders>
              <w:top w:val="single" w:sz="4" w:space="0" w:color="auto"/>
              <w:left w:val="nil"/>
              <w:bottom w:val="single" w:sz="4" w:space="0" w:color="auto"/>
              <w:right w:val="single" w:sz="4" w:space="0" w:color="auto"/>
            </w:tcBorders>
            <w:shd w:val="clear" w:color="000000" w:fill="BFBFBF"/>
          </w:tcPr>
          <w:p w:rsidR="001A4094" w:rsidRPr="00947ADC" w:rsidRDefault="001A4094" w:rsidP="00A140DF">
            <w:pPr>
              <w:rPr>
                <w:rFonts w:asciiTheme="minorHAnsi" w:hAnsiTheme="minorHAnsi"/>
                <w:b/>
                <w:bCs/>
                <w:color w:val="000000"/>
                <w:sz w:val="20"/>
                <w:szCs w:val="20"/>
                <w:lang w:eastAsia="en-GB"/>
              </w:rPr>
            </w:pPr>
            <w:r w:rsidRPr="00947ADC">
              <w:rPr>
                <w:rFonts w:asciiTheme="minorHAnsi" w:hAnsiTheme="minorHAnsi"/>
                <w:b/>
                <w:bCs/>
                <w:color w:val="000000"/>
                <w:sz w:val="20"/>
                <w:szCs w:val="20"/>
                <w:lang w:eastAsia="en-GB"/>
              </w:rPr>
              <w:t>For TSC assessment</w:t>
            </w:r>
          </w:p>
        </w:tc>
      </w:tr>
      <w:tr w:rsidR="00947ADC" w:rsidRPr="00947ADC" w:rsidTr="00947ADC">
        <w:trPr>
          <w:cantSplit/>
          <w:trHeight w:val="720"/>
        </w:trPr>
        <w:tc>
          <w:tcPr>
            <w:tcW w:w="997" w:type="dxa"/>
            <w:tcBorders>
              <w:top w:val="nil"/>
              <w:left w:val="single" w:sz="4" w:space="0" w:color="auto"/>
              <w:bottom w:val="single" w:sz="4" w:space="0" w:color="auto"/>
              <w:right w:val="single" w:sz="4" w:space="0" w:color="auto"/>
            </w:tcBorders>
            <w:shd w:val="clear" w:color="000000" w:fill="C5D9F1"/>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HD-1 </w:t>
            </w:r>
          </w:p>
        </w:tc>
        <w:tc>
          <w:tcPr>
            <w:tcW w:w="1080" w:type="dxa"/>
            <w:tcBorders>
              <w:top w:val="nil"/>
              <w:left w:val="nil"/>
              <w:bottom w:val="single" w:sz="4" w:space="0" w:color="auto"/>
              <w:right w:val="single" w:sz="4" w:space="0" w:color="auto"/>
            </w:tcBorders>
            <w:shd w:val="clear" w:color="000000" w:fill="C5D9F1"/>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4.2.1 </w:t>
            </w:r>
          </w:p>
        </w:tc>
        <w:tc>
          <w:tcPr>
            <w:tcW w:w="7294" w:type="dxa"/>
            <w:tcBorders>
              <w:top w:val="nil"/>
              <w:left w:val="nil"/>
              <w:bottom w:val="single" w:sz="4" w:space="0" w:color="auto"/>
              <w:right w:val="single" w:sz="4" w:space="0" w:color="auto"/>
            </w:tcBorders>
            <w:shd w:val="clear" w:color="000000" w:fill="C5D9F1"/>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The mesh methodology for the walls is being established on a case-by-case basis, therefore it is not possible to assess whether this methodology appropriate for capturing the peak forces and moments at intersections with the slabs and other walls.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47ADC" w:rsidRPr="00947ADC" w:rsidTr="00947ADC">
        <w:trPr>
          <w:cantSplit/>
          <w:trHeight w:val="960"/>
        </w:trPr>
        <w:tc>
          <w:tcPr>
            <w:tcW w:w="997" w:type="dxa"/>
            <w:tcBorders>
              <w:top w:val="nil"/>
              <w:left w:val="single" w:sz="4" w:space="0" w:color="auto"/>
              <w:bottom w:val="single" w:sz="4" w:space="0" w:color="auto"/>
              <w:right w:val="single" w:sz="4" w:space="0" w:color="auto"/>
            </w:tcBorders>
            <w:shd w:val="clear" w:color="000000" w:fill="C5D9F1"/>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HD-2 </w:t>
            </w:r>
          </w:p>
        </w:tc>
        <w:tc>
          <w:tcPr>
            <w:tcW w:w="1080" w:type="dxa"/>
            <w:tcBorders>
              <w:top w:val="nil"/>
              <w:left w:val="nil"/>
              <w:bottom w:val="single" w:sz="4" w:space="0" w:color="auto"/>
              <w:right w:val="single" w:sz="4" w:space="0" w:color="auto"/>
            </w:tcBorders>
            <w:shd w:val="clear" w:color="000000" w:fill="C5D9F1"/>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4.2.2 </w:t>
            </w:r>
          </w:p>
        </w:tc>
        <w:tc>
          <w:tcPr>
            <w:tcW w:w="7294" w:type="dxa"/>
            <w:tcBorders>
              <w:top w:val="nil"/>
              <w:left w:val="nil"/>
              <w:bottom w:val="single" w:sz="4" w:space="0" w:color="auto"/>
              <w:right w:val="single" w:sz="4" w:space="0" w:color="auto"/>
            </w:tcBorders>
            <w:shd w:val="clear" w:color="000000" w:fill="C5D9F1"/>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Precast components are modelled as openings for FE modelling purposes, with the mass of the precast components added to adjacent walls. This method is likely to be conservative for static loading, however it may not be conservative for seismic loading, as the lateral seismic load will be influenced by the presence of the precast walls.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47ADC" w:rsidRPr="00947ADC" w:rsidTr="00947ADC">
        <w:trPr>
          <w:cantSplit/>
          <w:trHeight w:val="48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HD-3 </w:t>
            </w:r>
          </w:p>
        </w:tc>
        <w:tc>
          <w:tcPr>
            <w:tcW w:w="1080"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4.2.2 </w:t>
            </w:r>
          </w:p>
        </w:tc>
        <w:tc>
          <w:tcPr>
            <w:tcW w:w="7294"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The modelling methodology for the HD precast slabs is covered in [S0] section 6.3.4.2.2 for construction loading, but the modelling methodology for precast slabs under seismic loading is not clearly stated.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47ADC" w:rsidRPr="00947ADC" w:rsidTr="00947ADC">
        <w:trPr>
          <w:cantSplit/>
          <w:trHeight w:val="48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HD-4 </w:t>
            </w:r>
          </w:p>
        </w:tc>
        <w:tc>
          <w:tcPr>
            <w:tcW w:w="1080"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4.2.3 </w:t>
            </w:r>
          </w:p>
        </w:tc>
        <w:tc>
          <w:tcPr>
            <w:tcW w:w="7294"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There is no mention of the analysis of pool or tank structures in [S0] section 6 and [S12] and it is unclear how hydrodynamic loads are being assessed for the HD Building diesel tanks.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47ADC" w:rsidRPr="00947ADC" w:rsidTr="00947ADC">
        <w:trPr>
          <w:cantSplit/>
          <w:trHeight w:val="72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HD-5 </w:t>
            </w:r>
          </w:p>
        </w:tc>
        <w:tc>
          <w:tcPr>
            <w:tcW w:w="1080"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4.4</w:t>
            </w:r>
          </w:p>
        </w:tc>
        <w:tc>
          <w:tcPr>
            <w:tcW w:w="7294"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One load type that is specified in the SFR report but is not addressed in [S12] is Dropped Loads. This is described as out of the ICOS-H scope for the HD Building therefore it is not possible to assess the severity of this omission.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47ADC" w:rsidRPr="00947ADC" w:rsidTr="00947ADC">
        <w:trPr>
          <w:cantSplit/>
          <w:trHeight w:val="48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HD-6 </w:t>
            </w:r>
          </w:p>
        </w:tc>
        <w:tc>
          <w:tcPr>
            <w:tcW w:w="1080"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4.4.1 </w:t>
            </w:r>
          </w:p>
        </w:tc>
        <w:tc>
          <w:tcPr>
            <w:tcW w:w="7294"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Damping values are provided only for the DBE. For the inspection level earthquake, the damping values adopted for analysis are not stated in the SDMSs.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47ADC" w:rsidRPr="00947ADC" w:rsidTr="00947ADC">
        <w:trPr>
          <w:cantSplit/>
          <w:trHeight w:val="480"/>
        </w:trPr>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HD-7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5.3.1 </w:t>
            </w:r>
          </w:p>
        </w:tc>
        <w:tc>
          <w:tcPr>
            <w:tcW w:w="7294"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EDF has stated that accidental torsion do not need to be considered for the HD Building design and that testing will be carried out to validate this assumption.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47ADC" w:rsidRPr="00947ADC" w:rsidTr="00947ADC">
        <w:trPr>
          <w:cantSplit/>
          <w:trHeight w:val="480"/>
        </w:trPr>
        <w:tc>
          <w:tcPr>
            <w:tcW w:w="997" w:type="dxa"/>
            <w:vMerge/>
            <w:tcBorders>
              <w:top w:val="nil"/>
              <w:left w:val="single" w:sz="4" w:space="0" w:color="auto"/>
              <w:bottom w:val="single" w:sz="4" w:space="0" w:color="auto"/>
              <w:right w:val="single" w:sz="4" w:space="0" w:color="auto"/>
            </w:tcBorders>
            <w:vAlign w:val="center"/>
            <w:hideMark/>
          </w:tcPr>
          <w:p w:rsidR="00947ADC" w:rsidRPr="00947ADC" w:rsidRDefault="00947ADC" w:rsidP="00A140DF">
            <w:pPr>
              <w:rPr>
                <w:rFonts w:asciiTheme="minorHAnsi" w:hAnsiTheme="minorHAnsi"/>
                <w:color w:val="000000"/>
                <w:sz w:val="20"/>
                <w:szCs w:val="20"/>
                <w:lang w:eastAsia="en-GB"/>
              </w:rPr>
            </w:pPr>
          </w:p>
        </w:tc>
        <w:tc>
          <w:tcPr>
            <w:tcW w:w="1080" w:type="dxa"/>
            <w:vMerge/>
            <w:tcBorders>
              <w:top w:val="nil"/>
              <w:left w:val="single" w:sz="4" w:space="0" w:color="auto"/>
              <w:bottom w:val="single" w:sz="4" w:space="0" w:color="auto"/>
              <w:right w:val="single" w:sz="4" w:space="0" w:color="auto"/>
            </w:tcBorders>
            <w:vAlign w:val="center"/>
            <w:hideMark/>
          </w:tcPr>
          <w:p w:rsidR="00947ADC" w:rsidRPr="00947ADC" w:rsidRDefault="00947ADC" w:rsidP="00A140DF">
            <w:pPr>
              <w:rPr>
                <w:rFonts w:asciiTheme="minorHAnsi" w:hAnsiTheme="minorHAnsi"/>
                <w:color w:val="000000"/>
                <w:sz w:val="20"/>
                <w:szCs w:val="20"/>
                <w:lang w:eastAsia="en-GB"/>
              </w:rPr>
            </w:pPr>
          </w:p>
        </w:tc>
        <w:tc>
          <w:tcPr>
            <w:tcW w:w="7294"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The results from these test models should be monitored to ensure the structural analysis is sufficiently accurate and that this is a reasonable assumption.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47ADC" w:rsidRPr="00947ADC" w:rsidTr="00947ADC">
        <w:trPr>
          <w:cantSplit/>
          <w:trHeight w:val="96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HD-8 </w:t>
            </w:r>
          </w:p>
        </w:tc>
        <w:tc>
          <w:tcPr>
            <w:tcW w:w="1080"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5.5</w:t>
            </w:r>
          </w:p>
        </w:tc>
        <w:tc>
          <w:tcPr>
            <w:tcW w:w="7294"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The BDB performance requirement for rainfall and surface runoff hazards are applicable to the HD Building. In response to question A.036 [A7], EDF states that the threshold of the main doors is at +0.2m, and therefore there is a water ingress point between +0.2m and +0.3m, which does not comply with the current BDB performance requirements.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47ADC" w:rsidRPr="00947ADC" w:rsidTr="00947ADC">
        <w:trPr>
          <w:cantSplit/>
          <w:trHeight w:val="96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HD-9 </w:t>
            </w:r>
          </w:p>
        </w:tc>
        <w:tc>
          <w:tcPr>
            <w:tcW w:w="1080"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5.6</w:t>
            </w:r>
          </w:p>
        </w:tc>
        <w:tc>
          <w:tcPr>
            <w:tcW w:w="7294"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For the precast wall members, the current analysis methodology would mean only the mass of the wall members is accounted for in the FE model. In addition to their influence on adjacent components, no information has been provided in the SDMS documents regarding the analysis methodology for designing the precast sections themselves.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47ADC" w:rsidRPr="00947ADC" w:rsidTr="00947ADC">
        <w:trPr>
          <w:cantSplit/>
          <w:trHeight w:val="96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lastRenderedPageBreak/>
              <w:t xml:space="preserve">HD-10 </w:t>
            </w:r>
          </w:p>
        </w:tc>
        <w:tc>
          <w:tcPr>
            <w:tcW w:w="1080"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5.6</w:t>
            </w:r>
          </w:p>
        </w:tc>
        <w:tc>
          <w:tcPr>
            <w:tcW w:w="7294"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Accidental internal flooding loads are considered only at the D2 design stage, and result in considerable bending loads on the internal compartment walls. The staged design completion approach adopted by EDF means the raft design may be completed with the loading of higher levels only at D1 stage, and therefore not considering such accidental hydrostatic loads.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47ADC" w:rsidRPr="00947ADC" w:rsidTr="00947ADC">
        <w:trPr>
          <w:cantSplit/>
          <w:trHeight w:val="48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HD-11 </w:t>
            </w:r>
          </w:p>
        </w:tc>
        <w:tc>
          <w:tcPr>
            <w:tcW w:w="1080"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5.7</w:t>
            </w:r>
          </w:p>
        </w:tc>
        <w:tc>
          <w:tcPr>
            <w:tcW w:w="7294"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The simplified method in EC2-1-2 [P5] is not applicable for all structural elements in the HD Building and the required wall thickness and cover to main reinforcement may be being under-predicted at present.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1A4094" w:rsidRPr="00947ADC" w:rsidTr="00947ADC">
        <w:trPr>
          <w:cantSplit/>
          <w:trHeight w:val="48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HD-12 </w:t>
            </w:r>
          </w:p>
        </w:tc>
        <w:tc>
          <w:tcPr>
            <w:tcW w:w="1080"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7</w:t>
            </w:r>
          </w:p>
        </w:tc>
        <w:tc>
          <w:tcPr>
            <w:tcW w:w="7294" w:type="dxa"/>
            <w:tcBorders>
              <w:top w:val="nil"/>
              <w:left w:val="nil"/>
              <w:bottom w:val="single" w:sz="4" w:space="0" w:color="auto"/>
              <w:right w:val="single" w:sz="4" w:space="0" w:color="auto"/>
            </w:tcBorders>
            <w:shd w:val="clear" w:color="auto" w:fill="auto"/>
            <w:vAlign w:val="center"/>
            <w:hideMark/>
          </w:tcPr>
          <w:p w:rsidR="001A4094" w:rsidRPr="00947ADC" w:rsidRDefault="001A4094"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In a number of instances when assessing the SDMS documents, the hierarchy or currency of documents is often unclear when they are referenced. </w:t>
            </w:r>
          </w:p>
        </w:tc>
        <w:tc>
          <w:tcPr>
            <w:tcW w:w="1218" w:type="dxa"/>
            <w:tcBorders>
              <w:top w:val="nil"/>
              <w:left w:val="nil"/>
              <w:bottom w:val="single" w:sz="4" w:space="0" w:color="auto"/>
              <w:right w:val="single" w:sz="4" w:space="0" w:color="auto"/>
            </w:tcBorders>
            <w:shd w:val="clear" w:color="auto" w:fill="FF8B8B"/>
          </w:tcPr>
          <w:p w:rsidR="001A4094"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No</w:t>
            </w:r>
          </w:p>
        </w:tc>
      </w:tr>
    </w:tbl>
    <w:p w:rsidR="00A140DF" w:rsidRDefault="00A140DF" w:rsidP="00A140DF"/>
    <w:p w:rsidR="00A140DF" w:rsidRDefault="00A140DF" w:rsidP="00A140DF">
      <w:pPr>
        <w:pStyle w:val="TSHeadingNumbered1"/>
        <w:numPr>
          <w:ilvl w:val="0"/>
          <w:numId w:val="0"/>
        </w:numPr>
        <w:tabs>
          <w:tab w:val="left" w:pos="0"/>
        </w:tabs>
        <w:rPr>
          <w:rFonts w:asciiTheme="minorHAnsi" w:hAnsiTheme="minorHAnsi" w:cstheme="minorHAnsi"/>
        </w:rPr>
      </w:pPr>
      <w:r>
        <w:rPr>
          <w:rFonts w:asciiTheme="minorHAnsi" w:hAnsiTheme="minorHAnsi" w:cstheme="minorHAnsi"/>
        </w:rPr>
        <w:t>Nuclear Auxiliary Building (HN)</w:t>
      </w:r>
    </w:p>
    <w:tbl>
      <w:tblPr>
        <w:tblW w:w="10589" w:type="dxa"/>
        <w:tblInd w:w="93" w:type="dxa"/>
        <w:tblLook w:val="04A0" w:firstRow="1" w:lastRow="0" w:firstColumn="1" w:lastColumn="0" w:noHBand="0" w:noVBand="1"/>
      </w:tblPr>
      <w:tblGrid>
        <w:gridCol w:w="997"/>
        <w:gridCol w:w="1067"/>
        <w:gridCol w:w="7307"/>
        <w:gridCol w:w="1218"/>
      </w:tblGrid>
      <w:tr w:rsidR="001A4094" w:rsidRPr="00A140DF" w:rsidTr="00947ADC">
        <w:trPr>
          <w:cantSplit/>
          <w:trHeight w:val="300"/>
        </w:trPr>
        <w:tc>
          <w:tcPr>
            <w:tcW w:w="99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1A4094" w:rsidRPr="00947ADC" w:rsidRDefault="001A4094" w:rsidP="00A140DF">
            <w:pPr>
              <w:rPr>
                <w:rFonts w:asciiTheme="minorHAnsi" w:hAnsiTheme="minorHAnsi"/>
                <w:b/>
                <w:bCs/>
                <w:color w:val="000000"/>
                <w:sz w:val="20"/>
                <w:szCs w:val="20"/>
                <w:lang w:eastAsia="en-GB"/>
              </w:rPr>
            </w:pPr>
            <w:r w:rsidRPr="00947ADC">
              <w:rPr>
                <w:rFonts w:asciiTheme="minorHAnsi" w:hAnsiTheme="minorHAnsi"/>
                <w:b/>
                <w:bCs/>
                <w:color w:val="000000"/>
                <w:sz w:val="20"/>
                <w:szCs w:val="20"/>
                <w:lang w:eastAsia="en-GB"/>
              </w:rPr>
              <w:t xml:space="preserve">Finding ID </w:t>
            </w:r>
          </w:p>
        </w:tc>
        <w:tc>
          <w:tcPr>
            <w:tcW w:w="1067" w:type="dxa"/>
            <w:tcBorders>
              <w:top w:val="single" w:sz="4" w:space="0" w:color="auto"/>
              <w:left w:val="nil"/>
              <w:bottom w:val="single" w:sz="4" w:space="0" w:color="auto"/>
              <w:right w:val="single" w:sz="4" w:space="0" w:color="auto"/>
            </w:tcBorders>
            <w:shd w:val="clear" w:color="000000" w:fill="BFBFBF"/>
            <w:vAlign w:val="center"/>
            <w:hideMark/>
          </w:tcPr>
          <w:p w:rsidR="001A4094" w:rsidRPr="00947ADC" w:rsidRDefault="001A4094" w:rsidP="00A140DF">
            <w:pPr>
              <w:rPr>
                <w:rFonts w:asciiTheme="minorHAnsi" w:hAnsiTheme="minorHAnsi"/>
                <w:b/>
                <w:bCs/>
                <w:color w:val="000000"/>
                <w:sz w:val="20"/>
                <w:szCs w:val="20"/>
                <w:lang w:eastAsia="en-GB"/>
              </w:rPr>
            </w:pPr>
            <w:r w:rsidRPr="00947ADC">
              <w:rPr>
                <w:rFonts w:asciiTheme="minorHAnsi" w:hAnsiTheme="minorHAnsi"/>
                <w:b/>
                <w:bCs/>
                <w:color w:val="000000"/>
                <w:sz w:val="20"/>
                <w:szCs w:val="20"/>
                <w:lang w:eastAsia="en-GB"/>
              </w:rPr>
              <w:t xml:space="preserve">Report section </w:t>
            </w:r>
          </w:p>
        </w:tc>
        <w:tc>
          <w:tcPr>
            <w:tcW w:w="7307" w:type="dxa"/>
            <w:tcBorders>
              <w:top w:val="single" w:sz="4" w:space="0" w:color="auto"/>
              <w:left w:val="nil"/>
              <w:bottom w:val="single" w:sz="4" w:space="0" w:color="auto"/>
              <w:right w:val="single" w:sz="4" w:space="0" w:color="auto"/>
            </w:tcBorders>
            <w:shd w:val="clear" w:color="000000" w:fill="BFBFBF"/>
            <w:vAlign w:val="center"/>
            <w:hideMark/>
          </w:tcPr>
          <w:p w:rsidR="001A4094" w:rsidRPr="00947ADC" w:rsidRDefault="001A4094" w:rsidP="00A140DF">
            <w:pPr>
              <w:rPr>
                <w:rFonts w:asciiTheme="minorHAnsi" w:hAnsiTheme="minorHAnsi"/>
                <w:b/>
                <w:bCs/>
                <w:color w:val="000000"/>
                <w:sz w:val="20"/>
                <w:szCs w:val="20"/>
                <w:lang w:eastAsia="en-GB"/>
              </w:rPr>
            </w:pPr>
            <w:r w:rsidRPr="00947ADC">
              <w:rPr>
                <w:rFonts w:asciiTheme="minorHAnsi" w:hAnsiTheme="minorHAnsi"/>
                <w:b/>
                <w:bCs/>
                <w:color w:val="000000"/>
                <w:sz w:val="20"/>
                <w:szCs w:val="20"/>
                <w:lang w:eastAsia="en-GB"/>
              </w:rPr>
              <w:t xml:space="preserve">Summary of Finding </w:t>
            </w:r>
          </w:p>
        </w:tc>
        <w:tc>
          <w:tcPr>
            <w:tcW w:w="1218" w:type="dxa"/>
            <w:tcBorders>
              <w:top w:val="single" w:sz="4" w:space="0" w:color="auto"/>
              <w:left w:val="nil"/>
              <w:bottom w:val="single" w:sz="4" w:space="0" w:color="auto"/>
              <w:right w:val="single" w:sz="4" w:space="0" w:color="auto"/>
            </w:tcBorders>
            <w:shd w:val="clear" w:color="000000" w:fill="BFBFBF"/>
          </w:tcPr>
          <w:p w:rsidR="001A4094" w:rsidRPr="00947ADC" w:rsidRDefault="001A4094" w:rsidP="00A140DF">
            <w:pPr>
              <w:rPr>
                <w:rFonts w:asciiTheme="minorHAnsi" w:hAnsiTheme="minorHAnsi"/>
                <w:b/>
                <w:bCs/>
                <w:color w:val="000000"/>
                <w:sz w:val="20"/>
                <w:szCs w:val="20"/>
                <w:lang w:eastAsia="en-GB"/>
              </w:rPr>
            </w:pPr>
            <w:r w:rsidRPr="00947ADC">
              <w:rPr>
                <w:rFonts w:asciiTheme="minorHAnsi" w:hAnsiTheme="minorHAnsi"/>
                <w:b/>
                <w:bCs/>
                <w:color w:val="000000"/>
                <w:sz w:val="20"/>
                <w:szCs w:val="20"/>
                <w:lang w:eastAsia="en-GB"/>
              </w:rPr>
              <w:t>For TSC assessment</w:t>
            </w:r>
          </w:p>
        </w:tc>
      </w:tr>
      <w:tr w:rsidR="00947ADC" w:rsidRPr="00A140DF" w:rsidTr="00947ADC">
        <w:trPr>
          <w:cantSplit/>
          <w:trHeight w:val="300"/>
        </w:trPr>
        <w:tc>
          <w:tcPr>
            <w:tcW w:w="997" w:type="dxa"/>
            <w:tcBorders>
              <w:top w:val="nil"/>
              <w:left w:val="single" w:sz="4" w:space="0" w:color="auto"/>
              <w:bottom w:val="single" w:sz="4" w:space="0" w:color="auto"/>
              <w:right w:val="single" w:sz="4" w:space="0" w:color="auto"/>
            </w:tcBorders>
            <w:shd w:val="clear" w:color="000000" w:fill="C5D9F1"/>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HN-1 </w:t>
            </w:r>
          </w:p>
        </w:tc>
        <w:tc>
          <w:tcPr>
            <w:tcW w:w="1067" w:type="dxa"/>
            <w:tcBorders>
              <w:top w:val="nil"/>
              <w:left w:val="nil"/>
              <w:bottom w:val="single" w:sz="4" w:space="0" w:color="auto"/>
              <w:right w:val="single" w:sz="4" w:space="0" w:color="auto"/>
            </w:tcBorders>
            <w:shd w:val="clear" w:color="000000" w:fill="C5D9F1"/>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0</w:t>
            </w:r>
          </w:p>
        </w:tc>
        <w:tc>
          <w:tcPr>
            <w:tcW w:w="7307" w:type="dxa"/>
            <w:tcBorders>
              <w:top w:val="nil"/>
              <w:left w:val="nil"/>
              <w:bottom w:val="single" w:sz="4" w:space="0" w:color="auto"/>
              <w:right w:val="single" w:sz="4" w:space="0" w:color="auto"/>
            </w:tcBorders>
            <w:shd w:val="clear" w:color="000000" w:fill="C5D9F1"/>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The adopted mesh size is larger than that prescribed in SDMS 0 [S0]. No justification is given.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47ADC" w:rsidRPr="00A140DF" w:rsidTr="00947ADC">
        <w:trPr>
          <w:cantSplit/>
          <w:trHeight w:val="51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HN-2 </w:t>
            </w:r>
          </w:p>
        </w:tc>
        <w:tc>
          <w:tcPr>
            <w:tcW w:w="1067"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4.3.2 </w:t>
            </w:r>
          </w:p>
        </w:tc>
        <w:tc>
          <w:tcPr>
            <w:tcW w:w="7307"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It is not yet conclusive that NI Unit 1, which the soil load is currently based on, will be the governing case.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47ADC" w:rsidRPr="00A140DF" w:rsidTr="00947ADC">
        <w:trPr>
          <w:cantSplit/>
          <w:trHeight w:val="51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HN-3 </w:t>
            </w:r>
          </w:p>
        </w:tc>
        <w:tc>
          <w:tcPr>
            <w:tcW w:w="1067"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5.2.1 </w:t>
            </w:r>
          </w:p>
        </w:tc>
        <w:tc>
          <w:tcPr>
            <w:tcW w:w="7307"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The global calculations [E19] report a failure for the global sliding check and EDF has not given a resolution strategy.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47ADC" w:rsidRPr="00A140DF" w:rsidTr="00947ADC">
        <w:trPr>
          <w:cantSplit/>
          <w:trHeight w:val="30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HN-4 </w:t>
            </w:r>
          </w:p>
        </w:tc>
        <w:tc>
          <w:tcPr>
            <w:tcW w:w="1067"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5.2.1 </w:t>
            </w:r>
          </w:p>
        </w:tc>
        <w:tc>
          <w:tcPr>
            <w:tcW w:w="7307"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The global calculations [E19] omit the soil separation check.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47ADC" w:rsidRPr="00A140DF" w:rsidTr="00947ADC">
        <w:trPr>
          <w:cantSplit/>
          <w:trHeight w:val="30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HN-5 </w:t>
            </w:r>
          </w:p>
        </w:tc>
        <w:tc>
          <w:tcPr>
            <w:tcW w:w="1067"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5.4.1 </w:t>
            </w:r>
          </w:p>
        </w:tc>
        <w:tc>
          <w:tcPr>
            <w:tcW w:w="7307"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It is possible that enveloped actions could lead to non-conservative action combinations.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47ADC" w:rsidRPr="00A140DF" w:rsidTr="00947ADC">
        <w:trPr>
          <w:cantSplit/>
          <w:trHeight w:val="30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HN-6 </w:t>
            </w:r>
          </w:p>
        </w:tc>
        <w:tc>
          <w:tcPr>
            <w:tcW w:w="1067"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5.8.1 </w:t>
            </w:r>
          </w:p>
        </w:tc>
        <w:tc>
          <w:tcPr>
            <w:tcW w:w="7307"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It is unclear what the strategy is for water tightness of the external structure.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47ADC" w:rsidRPr="00A140DF" w:rsidTr="00947ADC">
        <w:trPr>
          <w:cantSplit/>
          <w:trHeight w:val="30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HN-7 </w:t>
            </w:r>
          </w:p>
        </w:tc>
        <w:tc>
          <w:tcPr>
            <w:tcW w:w="1067"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5.8.1 </w:t>
            </w:r>
          </w:p>
        </w:tc>
        <w:tc>
          <w:tcPr>
            <w:tcW w:w="7307"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We are concerned that the target crack width will not be achieved with the adopted limiting bar stress.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r w:rsidR="00947ADC" w:rsidRPr="00A140DF" w:rsidTr="00947ADC">
        <w:trPr>
          <w:cantSplit/>
          <w:trHeight w:val="51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HN-8 </w:t>
            </w:r>
          </w:p>
        </w:tc>
        <w:tc>
          <w:tcPr>
            <w:tcW w:w="1067"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5.9, 6 </w:t>
            </w:r>
          </w:p>
        </w:tc>
        <w:tc>
          <w:tcPr>
            <w:tcW w:w="7307" w:type="dxa"/>
            <w:tcBorders>
              <w:top w:val="nil"/>
              <w:left w:val="nil"/>
              <w:bottom w:val="single" w:sz="4" w:space="0" w:color="auto"/>
              <w:right w:val="single" w:sz="4" w:space="0" w:color="auto"/>
            </w:tcBorders>
            <w:shd w:val="clear" w:color="auto" w:fill="auto"/>
            <w:vAlign w:val="center"/>
            <w:hideMark/>
          </w:tcPr>
          <w:p w:rsidR="00947ADC" w:rsidRPr="00947ADC" w:rsidRDefault="00947ADC" w:rsidP="00A140DF">
            <w:pPr>
              <w:rPr>
                <w:rFonts w:asciiTheme="minorHAnsi" w:hAnsiTheme="minorHAnsi"/>
                <w:color w:val="000000"/>
                <w:sz w:val="20"/>
                <w:szCs w:val="20"/>
                <w:lang w:eastAsia="en-GB"/>
              </w:rPr>
            </w:pPr>
            <w:r w:rsidRPr="00947ADC">
              <w:rPr>
                <w:rFonts w:asciiTheme="minorHAnsi" w:hAnsiTheme="minorHAnsi"/>
                <w:color w:val="000000"/>
                <w:sz w:val="20"/>
                <w:szCs w:val="20"/>
                <w:lang w:eastAsia="en-GB"/>
              </w:rPr>
              <w:t xml:space="preserve">There are no details confirming the waterproofing to safeguard against flooding of the seismic gaps. This is both a design and buildability concern. </w:t>
            </w:r>
          </w:p>
        </w:tc>
        <w:tc>
          <w:tcPr>
            <w:tcW w:w="1218" w:type="dxa"/>
            <w:tcBorders>
              <w:top w:val="nil"/>
              <w:left w:val="nil"/>
              <w:bottom w:val="single" w:sz="4" w:space="0" w:color="auto"/>
              <w:right w:val="single" w:sz="4" w:space="0" w:color="auto"/>
            </w:tcBorders>
            <w:shd w:val="clear" w:color="auto" w:fill="C5E0B3" w:themeFill="accent6" w:themeFillTint="66"/>
          </w:tcPr>
          <w:p w:rsidR="00947ADC" w:rsidRPr="00947ADC" w:rsidRDefault="00947ADC" w:rsidP="00E5719C">
            <w:pPr>
              <w:rPr>
                <w:rFonts w:asciiTheme="minorHAnsi" w:hAnsiTheme="minorHAnsi" w:cs="Arial"/>
                <w:color w:val="000000"/>
                <w:sz w:val="20"/>
                <w:szCs w:val="20"/>
                <w:lang w:eastAsia="en-GB"/>
              </w:rPr>
            </w:pPr>
            <w:r w:rsidRPr="00947ADC">
              <w:rPr>
                <w:rFonts w:asciiTheme="minorHAnsi" w:hAnsiTheme="minorHAnsi" w:cs="Arial"/>
                <w:color w:val="000000"/>
                <w:sz w:val="20"/>
                <w:szCs w:val="20"/>
                <w:lang w:eastAsia="en-GB"/>
              </w:rPr>
              <w:t>Yes</w:t>
            </w:r>
          </w:p>
        </w:tc>
      </w:tr>
    </w:tbl>
    <w:p w:rsidR="00A140DF" w:rsidRPr="00A140DF" w:rsidRDefault="00A140DF" w:rsidP="00A140DF"/>
    <w:sectPr w:rsidR="00A140DF" w:rsidRPr="00A140DF" w:rsidSect="00240391">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19C" w:rsidRDefault="00E5719C">
      <w:r>
        <w:separator/>
      </w:r>
    </w:p>
  </w:endnote>
  <w:endnote w:type="continuationSeparator" w:id="0">
    <w:p w:rsidR="00E5719C" w:rsidRDefault="00E5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19C" w:rsidRPr="00485EDF" w:rsidRDefault="00E5719C" w:rsidP="00BC5FC8">
    <w:pPr>
      <w:pStyle w:val="Header"/>
      <w:jc w:val="center"/>
      <w:rPr>
        <w:b/>
        <w:color w:val="006D68"/>
        <w:sz w:val="24"/>
        <w:szCs w:val="14"/>
      </w:rPr>
    </w:pPr>
    <w:r w:rsidRPr="00485EDF">
      <w:rPr>
        <w:b/>
        <w:color w:val="006D68"/>
        <w:sz w:val="24"/>
        <w:szCs w:val="14"/>
      </w:rPr>
      <w:t>OFFICIAL</w:t>
    </w:r>
  </w:p>
  <w:p w:rsidR="00E5719C" w:rsidRDefault="00E5719C" w:rsidP="00BC5FC8">
    <w:pPr>
      <w:pStyle w:val="Footer"/>
      <w:tabs>
        <w:tab w:val="clear" w:pos="4153"/>
        <w:tab w:val="clear" w:pos="8306"/>
        <w:tab w:val="right" w:pos="9214"/>
      </w:tabs>
      <w:jc w:val="center"/>
      <w:rPr>
        <w:color w:val="006D68"/>
        <w:sz w:val="14"/>
        <w:szCs w:val="14"/>
      </w:rPr>
    </w:pPr>
  </w:p>
  <w:p w:rsidR="00E5719C" w:rsidRPr="00487A22" w:rsidRDefault="00E5719C"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FC6046">
      <w:rPr>
        <w:b/>
        <w:noProof/>
        <w:color w:val="006D68"/>
        <w:sz w:val="14"/>
        <w:szCs w:val="14"/>
      </w:rPr>
      <w:t>2</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FC6046">
      <w:rPr>
        <w:b/>
        <w:noProof/>
        <w:color w:val="006D68"/>
        <w:sz w:val="14"/>
        <w:szCs w:val="14"/>
      </w:rPr>
      <w:t>13</w:t>
    </w:r>
    <w:r w:rsidRPr="00487A22">
      <w:rPr>
        <w:b/>
        <w:color w:val="006D68"/>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19C" w:rsidRDefault="00E5719C" w:rsidP="007D545C">
    <w:pPr>
      <w:pStyle w:val="Header"/>
      <w:jc w:val="center"/>
      <w:rPr>
        <w:b/>
        <w:color w:val="006D68"/>
        <w:sz w:val="14"/>
        <w:szCs w:val="14"/>
      </w:rPr>
    </w:pPr>
    <w:r>
      <w:rPr>
        <w:b/>
        <w:color w:val="006D68"/>
        <w:sz w:val="24"/>
        <w:szCs w:val="14"/>
      </w:rPr>
      <w:t>OFFICIAL</w:t>
    </w:r>
  </w:p>
  <w:p w:rsidR="00E5719C" w:rsidRDefault="00E5719C" w:rsidP="00BC5FC8">
    <w:pPr>
      <w:pStyle w:val="Header"/>
      <w:jc w:val="center"/>
      <w:rPr>
        <w:b/>
        <w:color w:val="006D68"/>
        <w:sz w:val="14"/>
        <w:szCs w:val="14"/>
      </w:rPr>
    </w:pPr>
  </w:p>
  <w:p w:rsidR="00E5719C" w:rsidRDefault="00E5719C" w:rsidP="00BC5FC8">
    <w:pPr>
      <w:pStyle w:val="Footer"/>
      <w:tabs>
        <w:tab w:val="clear" w:pos="4153"/>
        <w:tab w:val="clear" w:pos="8306"/>
        <w:tab w:val="right" w:pos="9214"/>
      </w:tabs>
      <w:jc w:val="center"/>
      <w:rPr>
        <w:color w:val="006D68"/>
        <w:sz w:val="14"/>
        <w:szCs w:val="14"/>
      </w:rPr>
    </w:pPr>
  </w:p>
  <w:p w:rsidR="00E5719C" w:rsidRPr="00B56CCE" w:rsidRDefault="00E5719C" w:rsidP="00B56CCE">
    <w:pPr>
      <w:pStyle w:val="Footer"/>
      <w:tabs>
        <w:tab w:val="clear" w:pos="4153"/>
        <w:tab w:val="clear" w:pos="8306"/>
        <w:tab w:val="right" w:pos="9214"/>
      </w:tabs>
      <w:rPr>
        <w:b/>
        <w:color w:val="006D68"/>
        <w:sz w:val="14"/>
        <w:szCs w:val="14"/>
      </w:rPr>
    </w:pPr>
    <w:r>
      <w:rPr>
        <w:color w:val="006D68"/>
        <w:sz w:val="14"/>
        <w:szCs w:val="14"/>
      </w:rPr>
      <w:t>Template Ref:</w:t>
    </w:r>
    <w:r w:rsidRPr="00B56CCE">
      <w:rPr>
        <w:color w:val="006D68"/>
        <w:sz w:val="14"/>
        <w:szCs w:val="14"/>
      </w:rPr>
      <w:tab/>
    </w:r>
    <w:r w:rsidRPr="00B56CCE">
      <w:rPr>
        <w:b/>
        <w:color w:val="006D68"/>
        <w:sz w:val="14"/>
        <w:szCs w:val="14"/>
      </w:rPr>
      <w:t xml:space="preserve">Page </w:t>
    </w:r>
    <w:r w:rsidRPr="00B56CCE">
      <w:rPr>
        <w:b/>
        <w:color w:val="006D68"/>
        <w:sz w:val="14"/>
        <w:szCs w:val="14"/>
      </w:rPr>
      <w:fldChar w:fldCharType="begin"/>
    </w:r>
    <w:r w:rsidRPr="00B56CCE">
      <w:rPr>
        <w:b/>
        <w:color w:val="006D68"/>
        <w:sz w:val="14"/>
        <w:szCs w:val="14"/>
      </w:rPr>
      <w:instrText xml:space="preserve"> PAGE </w:instrText>
    </w:r>
    <w:r w:rsidRPr="00B56CCE">
      <w:rPr>
        <w:b/>
        <w:color w:val="006D68"/>
        <w:sz w:val="14"/>
        <w:szCs w:val="14"/>
      </w:rPr>
      <w:fldChar w:fldCharType="separate"/>
    </w:r>
    <w:r w:rsidR="00FC6046">
      <w:rPr>
        <w:b/>
        <w:noProof/>
        <w:color w:val="006D68"/>
        <w:sz w:val="14"/>
        <w:szCs w:val="14"/>
      </w:rPr>
      <w:t>1</w:t>
    </w:r>
    <w:r w:rsidRPr="00B56CCE">
      <w:rPr>
        <w:b/>
        <w:color w:val="006D68"/>
        <w:sz w:val="14"/>
        <w:szCs w:val="14"/>
      </w:rPr>
      <w:fldChar w:fldCharType="end"/>
    </w:r>
    <w:r w:rsidRPr="00B56CCE">
      <w:rPr>
        <w:b/>
        <w:color w:val="006D68"/>
        <w:sz w:val="14"/>
        <w:szCs w:val="14"/>
      </w:rPr>
      <w:t xml:space="preserve"> of </w:t>
    </w:r>
    <w:r w:rsidRPr="00B56CCE">
      <w:rPr>
        <w:b/>
        <w:color w:val="006D68"/>
        <w:sz w:val="14"/>
        <w:szCs w:val="14"/>
      </w:rPr>
      <w:fldChar w:fldCharType="begin"/>
    </w:r>
    <w:r w:rsidRPr="00B56CCE">
      <w:rPr>
        <w:b/>
        <w:color w:val="006D68"/>
        <w:sz w:val="14"/>
        <w:szCs w:val="14"/>
      </w:rPr>
      <w:instrText xml:space="preserve"> NUMPAGES </w:instrText>
    </w:r>
    <w:r w:rsidRPr="00B56CCE">
      <w:rPr>
        <w:b/>
        <w:color w:val="006D68"/>
        <w:sz w:val="14"/>
        <w:szCs w:val="14"/>
      </w:rPr>
      <w:fldChar w:fldCharType="separate"/>
    </w:r>
    <w:r w:rsidR="00FC6046">
      <w:rPr>
        <w:b/>
        <w:noProof/>
        <w:color w:val="006D68"/>
        <w:sz w:val="14"/>
        <w:szCs w:val="14"/>
      </w:rPr>
      <w:t>13</w:t>
    </w:r>
    <w:r w:rsidRPr="00B56CCE">
      <w:rPr>
        <w:b/>
        <w:color w:val="006D68"/>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19C" w:rsidRDefault="00E5719C">
      <w:r>
        <w:separator/>
      </w:r>
    </w:p>
  </w:footnote>
  <w:footnote w:type="continuationSeparator" w:id="0">
    <w:p w:rsidR="00E5719C" w:rsidRDefault="00E57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19C" w:rsidRDefault="00E5719C">
    <w:pPr>
      <w:pStyle w:val="Header"/>
      <w:rPr>
        <w:b/>
        <w:color w:val="006D68"/>
        <w:sz w:val="14"/>
        <w:szCs w:val="14"/>
      </w:rPr>
    </w:pPr>
    <w:r w:rsidRPr="00487A22">
      <w:rPr>
        <w:color w:val="006D68"/>
        <w:sz w:val="14"/>
        <w:szCs w:val="14"/>
      </w:rPr>
      <w:t>Office for Nuclear Regulation</w:t>
    </w:r>
  </w:p>
  <w:p w:rsidR="00E5719C" w:rsidRDefault="00E5719C">
    <w:pPr>
      <w:pStyle w:val="Header"/>
      <w:rPr>
        <w:b/>
        <w:color w:val="006D68"/>
        <w:sz w:val="14"/>
        <w:szCs w:val="14"/>
      </w:rPr>
    </w:pPr>
  </w:p>
  <w:p w:rsidR="00E5719C" w:rsidRPr="00485EDF" w:rsidRDefault="00E5719C" w:rsidP="007D545C">
    <w:pPr>
      <w:pStyle w:val="Header"/>
      <w:jc w:val="center"/>
      <w:rPr>
        <w:b/>
        <w:color w:val="006D68"/>
        <w:sz w:val="24"/>
        <w:szCs w:val="14"/>
      </w:rPr>
    </w:pPr>
    <w:r w:rsidRPr="00485EDF">
      <w:rPr>
        <w:b/>
        <w:color w:val="006D68"/>
        <w:sz w:val="24"/>
        <w:szCs w:val="14"/>
      </w:rPr>
      <w:t>OFFICIAL</w:t>
    </w:r>
  </w:p>
  <w:p w:rsidR="00E5719C" w:rsidRDefault="00E5719C" w:rsidP="007D545C">
    <w:pPr>
      <w:pStyle w:val="Header"/>
      <w:jc w:val="center"/>
      <w:rPr>
        <w:b/>
        <w:color w:val="006D68"/>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19C" w:rsidRDefault="00E5719C" w:rsidP="00457068">
    <w:pPr>
      <w:pStyle w:val="Header"/>
      <w:rPr>
        <w:b/>
        <w:sz w:val="20"/>
        <w:szCs w:val="20"/>
      </w:rPr>
    </w:pPr>
    <w:r>
      <w:rPr>
        <w:b/>
        <w:noProof/>
        <w:sz w:val="20"/>
        <w:szCs w:val="20"/>
        <w:lang w:eastAsia="en-GB"/>
      </w:rPr>
      <w:drawing>
        <wp:inline distT="0" distB="0" distL="0" distR="0" wp14:anchorId="6098DBD3" wp14:editId="63362ADB">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rsidR="003B54BF" w:rsidRDefault="003B54BF" w:rsidP="00457068">
    <w:pPr>
      <w:pStyle w:val="Header"/>
      <w:jc w:val="right"/>
      <w:rPr>
        <w:b/>
        <w:sz w:val="20"/>
        <w:szCs w:val="20"/>
      </w:rPr>
    </w:pPr>
    <w:r>
      <w:rPr>
        <w:b/>
        <w:sz w:val="20"/>
        <w:szCs w:val="20"/>
      </w:rPr>
      <w:t>Schedule A</w:t>
    </w:r>
  </w:p>
  <w:p w:rsidR="00E5719C" w:rsidRPr="00C754D7" w:rsidRDefault="00364384" w:rsidP="00457068">
    <w:pPr>
      <w:pStyle w:val="Header"/>
      <w:jc w:val="right"/>
      <w:rPr>
        <w:b/>
        <w:sz w:val="20"/>
        <w:szCs w:val="20"/>
      </w:rPr>
    </w:pPr>
    <w:r>
      <w:rPr>
        <w:b/>
        <w:sz w:val="20"/>
        <w:szCs w:val="20"/>
      </w:rPr>
      <w:t>ONR/T3465</w:t>
    </w:r>
  </w:p>
  <w:p w:rsidR="00E5719C" w:rsidRPr="00D55197" w:rsidRDefault="00E5719C" w:rsidP="00CA3B14">
    <w:pPr>
      <w:pStyle w:val="Header"/>
      <w:jc w:val="center"/>
      <w:rPr>
        <w:b/>
        <w:color w:val="006D68"/>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43C44"/>
    <w:multiLevelType w:val="hybridMultilevel"/>
    <w:tmpl w:val="83444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BB5339"/>
    <w:multiLevelType w:val="multilevel"/>
    <w:tmpl w:val="1792BC80"/>
    <w:lvl w:ilvl="0">
      <w:start w:val="1"/>
      <w:numFmt w:val="decimal"/>
      <w:lvlText w:val="%1"/>
      <w:lvlJc w:val="left"/>
      <w:pPr>
        <w:tabs>
          <w:tab w:val="num" w:pos="-31538"/>
        </w:tabs>
        <w:ind w:left="862" w:hanging="720"/>
      </w:pPr>
      <w:rPr>
        <w:rFonts w:hint="default"/>
        <w:sz w:val="22"/>
      </w:rPr>
    </w:lvl>
    <w:lvl w:ilvl="1">
      <w:start w:val="1"/>
      <w:numFmt w:val="bullet"/>
      <w:lvlText w:val=""/>
      <w:lvlJc w:val="left"/>
      <w:pPr>
        <w:tabs>
          <w:tab w:val="num" w:pos="-31680"/>
        </w:tabs>
        <w:ind w:left="720" w:hanging="720"/>
      </w:pPr>
      <w:rPr>
        <w:rFonts w:ascii="Wingdings" w:hAnsi="Wingdings" w:hint="default"/>
        <w:caps w:val="0"/>
        <w:strike w:val="0"/>
        <w:dstrike w:val="0"/>
        <w:vanish w:val="0"/>
        <w:color w:val="5F5F5F"/>
        <w:sz w:val="20"/>
        <w:vertAlign w:val="baseline"/>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3F682F79"/>
    <w:multiLevelType w:val="hybridMultilevel"/>
    <w:tmpl w:val="1D862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22"/>
    <w:rsid w:val="0000329D"/>
    <w:rsid w:val="00030D3C"/>
    <w:rsid w:val="000312D3"/>
    <w:rsid w:val="000375D1"/>
    <w:rsid w:val="00037D2F"/>
    <w:rsid w:val="0005598C"/>
    <w:rsid w:val="000715BD"/>
    <w:rsid w:val="00096F71"/>
    <w:rsid w:val="000B1830"/>
    <w:rsid w:val="000B4E40"/>
    <w:rsid w:val="000D6244"/>
    <w:rsid w:val="001069A0"/>
    <w:rsid w:val="00121C8F"/>
    <w:rsid w:val="00131ECC"/>
    <w:rsid w:val="00144CEA"/>
    <w:rsid w:val="00164F4F"/>
    <w:rsid w:val="00193C9A"/>
    <w:rsid w:val="001A4094"/>
    <w:rsid w:val="001A58B1"/>
    <w:rsid w:val="001C3DB8"/>
    <w:rsid w:val="001D78A1"/>
    <w:rsid w:val="001F2711"/>
    <w:rsid w:val="00200CB7"/>
    <w:rsid w:val="0021074A"/>
    <w:rsid w:val="00216018"/>
    <w:rsid w:val="00240391"/>
    <w:rsid w:val="0028011F"/>
    <w:rsid w:val="0028356A"/>
    <w:rsid w:val="00297401"/>
    <w:rsid w:val="002C62C2"/>
    <w:rsid w:val="0031706E"/>
    <w:rsid w:val="0033594B"/>
    <w:rsid w:val="00364384"/>
    <w:rsid w:val="003B4AA2"/>
    <w:rsid w:val="003B54BF"/>
    <w:rsid w:val="003B55D6"/>
    <w:rsid w:val="003D005E"/>
    <w:rsid w:val="003E2CA6"/>
    <w:rsid w:val="003E452E"/>
    <w:rsid w:val="003F45A8"/>
    <w:rsid w:val="00427FC6"/>
    <w:rsid w:val="00457068"/>
    <w:rsid w:val="004750A2"/>
    <w:rsid w:val="00485EDF"/>
    <w:rsid w:val="00487A22"/>
    <w:rsid w:val="004A5C44"/>
    <w:rsid w:val="004A7B1B"/>
    <w:rsid w:val="004D1B2A"/>
    <w:rsid w:val="004E3CEE"/>
    <w:rsid w:val="004F24BC"/>
    <w:rsid w:val="00505F6E"/>
    <w:rsid w:val="0052347E"/>
    <w:rsid w:val="00526CB5"/>
    <w:rsid w:val="005322E6"/>
    <w:rsid w:val="00534136"/>
    <w:rsid w:val="00542986"/>
    <w:rsid w:val="005556C6"/>
    <w:rsid w:val="00562F2F"/>
    <w:rsid w:val="005A1570"/>
    <w:rsid w:val="005A5A87"/>
    <w:rsid w:val="005C4C52"/>
    <w:rsid w:val="005F0722"/>
    <w:rsid w:val="00604F23"/>
    <w:rsid w:val="006A667F"/>
    <w:rsid w:val="006B2DA6"/>
    <w:rsid w:val="006C3FD2"/>
    <w:rsid w:val="006C519A"/>
    <w:rsid w:val="006D1375"/>
    <w:rsid w:val="006F1199"/>
    <w:rsid w:val="006F5420"/>
    <w:rsid w:val="00702D52"/>
    <w:rsid w:val="00715C62"/>
    <w:rsid w:val="007179F3"/>
    <w:rsid w:val="0072164C"/>
    <w:rsid w:val="007500A0"/>
    <w:rsid w:val="007658B6"/>
    <w:rsid w:val="00773F3D"/>
    <w:rsid w:val="0079277D"/>
    <w:rsid w:val="00797B5E"/>
    <w:rsid w:val="007B4EE0"/>
    <w:rsid w:val="007D545C"/>
    <w:rsid w:val="007D626A"/>
    <w:rsid w:val="007E1312"/>
    <w:rsid w:val="007F7246"/>
    <w:rsid w:val="00842FD6"/>
    <w:rsid w:val="008443C8"/>
    <w:rsid w:val="00863CDC"/>
    <w:rsid w:val="00891423"/>
    <w:rsid w:val="008A7BDD"/>
    <w:rsid w:val="008D71E9"/>
    <w:rsid w:val="008E67CB"/>
    <w:rsid w:val="008F0760"/>
    <w:rsid w:val="008F0C78"/>
    <w:rsid w:val="008F70F6"/>
    <w:rsid w:val="00901BE2"/>
    <w:rsid w:val="009022C8"/>
    <w:rsid w:val="0091041C"/>
    <w:rsid w:val="00932851"/>
    <w:rsid w:val="00947ADC"/>
    <w:rsid w:val="009678DE"/>
    <w:rsid w:val="00971BA8"/>
    <w:rsid w:val="009765DB"/>
    <w:rsid w:val="00987AA6"/>
    <w:rsid w:val="009962B1"/>
    <w:rsid w:val="009B5159"/>
    <w:rsid w:val="009D3CD0"/>
    <w:rsid w:val="009F1B6F"/>
    <w:rsid w:val="00A140DF"/>
    <w:rsid w:val="00A25EB0"/>
    <w:rsid w:val="00A41FDA"/>
    <w:rsid w:val="00A442D1"/>
    <w:rsid w:val="00A54899"/>
    <w:rsid w:val="00AB2BB0"/>
    <w:rsid w:val="00AB7147"/>
    <w:rsid w:val="00AD5635"/>
    <w:rsid w:val="00AE199F"/>
    <w:rsid w:val="00AF4C0F"/>
    <w:rsid w:val="00B255B3"/>
    <w:rsid w:val="00B260FE"/>
    <w:rsid w:val="00B265B5"/>
    <w:rsid w:val="00B43C54"/>
    <w:rsid w:val="00B504F7"/>
    <w:rsid w:val="00B56CCE"/>
    <w:rsid w:val="00B81B18"/>
    <w:rsid w:val="00B85C28"/>
    <w:rsid w:val="00BA3C09"/>
    <w:rsid w:val="00BB10D3"/>
    <w:rsid w:val="00BB6EB0"/>
    <w:rsid w:val="00BC24ED"/>
    <w:rsid w:val="00BC5FC8"/>
    <w:rsid w:val="00BE2C21"/>
    <w:rsid w:val="00C25583"/>
    <w:rsid w:val="00C26884"/>
    <w:rsid w:val="00C6395B"/>
    <w:rsid w:val="00C63EE2"/>
    <w:rsid w:val="00C72846"/>
    <w:rsid w:val="00C75298"/>
    <w:rsid w:val="00C75A1C"/>
    <w:rsid w:val="00C972B7"/>
    <w:rsid w:val="00CA3B14"/>
    <w:rsid w:val="00CD0D7E"/>
    <w:rsid w:val="00CD6033"/>
    <w:rsid w:val="00CD7B5F"/>
    <w:rsid w:val="00CE5958"/>
    <w:rsid w:val="00CE6571"/>
    <w:rsid w:val="00D17745"/>
    <w:rsid w:val="00D23B77"/>
    <w:rsid w:val="00D3061A"/>
    <w:rsid w:val="00D35663"/>
    <w:rsid w:val="00D42F91"/>
    <w:rsid w:val="00D55197"/>
    <w:rsid w:val="00D55FE7"/>
    <w:rsid w:val="00D75DA2"/>
    <w:rsid w:val="00D7747E"/>
    <w:rsid w:val="00D91A62"/>
    <w:rsid w:val="00DC6611"/>
    <w:rsid w:val="00DE4417"/>
    <w:rsid w:val="00DF3697"/>
    <w:rsid w:val="00E01464"/>
    <w:rsid w:val="00E12A39"/>
    <w:rsid w:val="00E32F3B"/>
    <w:rsid w:val="00E5719C"/>
    <w:rsid w:val="00E71B0C"/>
    <w:rsid w:val="00E87C8C"/>
    <w:rsid w:val="00E9478E"/>
    <w:rsid w:val="00E97293"/>
    <w:rsid w:val="00EA5EB4"/>
    <w:rsid w:val="00ED5F2B"/>
    <w:rsid w:val="00ED6445"/>
    <w:rsid w:val="00F02C94"/>
    <w:rsid w:val="00F05521"/>
    <w:rsid w:val="00F068A7"/>
    <w:rsid w:val="00F4103A"/>
    <w:rsid w:val="00F45431"/>
    <w:rsid w:val="00F52201"/>
    <w:rsid w:val="00FA42AD"/>
    <w:rsid w:val="00FC6046"/>
    <w:rsid w:val="00FD0C4A"/>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06013693">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654649164">
      <w:bodyDiv w:val="1"/>
      <w:marLeft w:val="0"/>
      <w:marRight w:val="0"/>
      <w:marTop w:val="0"/>
      <w:marBottom w:val="0"/>
      <w:divBdr>
        <w:top w:val="none" w:sz="0" w:space="0" w:color="auto"/>
        <w:left w:val="none" w:sz="0" w:space="0" w:color="auto"/>
        <w:bottom w:val="none" w:sz="0" w:space="0" w:color="auto"/>
        <w:right w:val="none" w:sz="0" w:space="0" w:color="auto"/>
      </w:divBdr>
    </w:div>
    <w:div w:id="786778588">
      <w:bodyDiv w:val="1"/>
      <w:marLeft w:val="0"/>
      <w:marRight w:val="0"/>
      <w:marTop w:val="0"/>
      <w:marBottom w:val="0"/>
      <w:divBdr>
        <w:top w:val="none" w:sz="0" w:space="0" w:color="auto"/>
        <w:left w:val="none" w:sz="0" w:space="0" w:color="auto"/>
        <w:bottom w:val="none" w:sz="0" w:space="0" w:color="auto"/>
        <w:right w:val="none" w:sz="0" w:space="0" w:color="auto"/>
      </w:divBdr>
    </w:div>
    <w:div w:id="997612232">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315373368">
      <w:bodyDiv w:val="1"/>
      <w:marLeft w:val="0"/>
      <w:marRight w:val="0"/>
      <w:marTop w:val="0"/>
      <w:marBottom w:val="0"/>
      <w:divBdr>
        <w:top w:val="none" w:sz="0" w:space="0" w:color="auto"/>
        <w:left w:val="none" w:sz="0" w:space="0" w:color="auto"/>
        <w:bottom w:val="none" w:sz="0" w:space="0" w:color="auto"/>
        <w:right w:val="none" w:sz="0" w:space="0" w:color="auto"/>
      </w:divBdr>
    </w:div>
    <w:div w:id="1401364888">
      <w:bodyDiv w:val="1"/>
      <w:marLeft w:val="0"/>
      <w:marRight w:val="0"/>
      <w:marTop w:val="0"/>
      <w:marBottom w:val="0"/>
      <w:divBdr>
        <w:top w:val="none" w:sz="0" w:space="0" w:color="auto"/>
        <w:left w:val="none" w:sz="0" w:space="0" w:color="auto"/>
        <w:bottom w:val="none" w:sz="0" w:space="0" w:color="auto"/>
        <w:right w:val="none" w:sz="0" w:space="0" w:color="auto"/>
      </w:divBdr>
    </w:div>
    <w:div w:id="1409771408">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 w:id="1773863525">
      <w:bodyDiv w:val="1"/>
      <w:marLeft w:val="0"/>
      <w:marRight w:val="0"/>
      <w:marTop w:val="0"/>
      <w:marBottom w:val="0"/>
      <w:divBdr>
        <w:top w:val="none" w:sz="0" w:space="0" w:color="auto"/>
        <w:left w:val="none" w:sz="0" w:space="0" w:color="auto"/>
        <w:bottom w:val="none" w:sz="0" w:space="0" w:color="auto"/>
        <w:right w:val="none" w:sz="0" w:space="0" w:color="auto"/>
      </w:divBdr>
    </w:div>
    <w:div w:id="205831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C05C5-3534-4619-BB05-C20B208CF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5886</Words>
  <Characters>31602</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37414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Name</cp:lastModifiedBy>
  <cp:revision>2</cp:revision>
  <cp:lastPrinted>2019-08-09T11:10:00Z</cp:lastPrinted>
  <dcterms:created xsi:type="dcterms:W3CDTF">2019-10-15T13:46:00Z</dcterms:created>
  <dcterms:modified xsi:type="dcterms:W3CDTF">2019-10-15T13:46:00Z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