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09" w:rsidRPr="00E17DE0" w:rsidRDefault="00E13923" w:rsidP="00E17DE0">
      <w:r w:rsidRPr="00E17DE0">
        <w:rPr>
          <w:noProof/>
          <w:lang w:eastAsia="en-GB"/>
        </w:rPr>
        <w:drawing>
          <wp:anchor distT="0" distB="0" distL="114300" distR="114300" simplePos="0" relativeHeight="251660288" behindDoc="1" locked="0" layoutInCell="1" allowOverlap="1" wp14:anchorId="05DED8F4" wp14:editId="5135BAC4">
            <wp:simplePos x="0" y="0"/>
            <wp:positionH relativeFrom="column">
              <wp:posOffset>-615315</wp:posOffset>
            </wp:positionH>
            <wp:positionV relativeFrom="paragraph">
              <wp:posOffset>-584835</wp:posOffset>
            </wp:positionV>
            <wp:extent cx="2400300" cy="101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Look w:val="0000" w:firstRow="0" w:lastRow="0" w:firstColumn="0" w:lastColumn="0" w:noHBand="0" w:noVBand="0"/>
      </w:tblPr>
      <w:tblGrid>
        <w:gridCol w:w="9570"/>
      </w:tblGrid>
      <w:tr w:rsidR="00F21F09" w:rsidRPr="00E17DE0">
        <w:tc>
          <w:tcPr>
            <w:tcW w:w="9570" w:type="dxa"/>
          </w:tcPr>
          <w:p w:rsidR="005A6DCF" w:rsidRDefault="005A6DCF" w:rsidP="005A6DCF">
            <w:pPr>
              <w:jc w:val="center"/>
              <w:rPr>
                <w:sz w:val="28"/>
                <w:szCs w:val="28"/>
              </w:rPr>
            </w:pPr>
            <w:bookmarkStart w:id="0" w:name="RepTitle"/>
            <w:bookmarkEnd w:id="0"/>
          </w:p>
          <w:p w:rsidR="00F21F09" w:rsidRDefault="005A6DCF" w:rsidP="005A6DCF">
            <w:pPr>
              <w:jc w:val="center"/>
              <w:rPr>
                <w:sz w:val="28"/>
                <w:szCs w:val="28"/>
              </w:rPr>
            </w:pPr>
            <w:r>
              <w:rPr>
                <w:sz w:val="28"/>
                <w:szCs w:val="28"/>
              </w:rPr>
              <w:t>H</w:t>
            </w:r>
            <w:r w:rsidR="00A56110" w:rsidRPr="005A6DCF">
              <w:rPr>
                <w:sz w:val="28"/>
                <w:szCs w:val="28"/>
              </w:rPr>
              <w:t>ighways England Risk Management Policy</w:t>
            </w:r>
            <w:r w:rsidR="00E13DEE" w:rsidRPr="005A6DCF">
              <w:rPr>
                <w:sz w:val="28"/>
                <w:szCs w:val="28"/>
              </w:rPr>
              <w:t xml:space="preserve"> and Strategy</w:t>
            </w:r>
          </w:p>
          <w:p w:rsidR="005A45D1" w:rsidRPr="005A45D1" w:rsidRDefault="005A45D1" w:rsidP="005A6DCF">
            <w:pPr>
              <w:jc w:val="center"/>
              <w:rPr>
                <w:sz w:val="24"/>
              </w:rPr>
            </w:pPr>
          </w:p>
        </w:tc>
      </w:tr>
    </w:tbl>
    <w:p w:rsidR="00A56110" w:rsidRPr="007642F1" w:rsidRDefault="004E2826" w:rsidP="00D9247F">
      <w:pPr>
        <w:pStyle w:val="Heading1"/>
        <w:spacing w:before="120" w:after="120"/>
        <w:rPr>
          <w:b w:val="0"/>
          <w:szCs w:val="28"/>
        </w:rPr>
      </w:pPr>
      <w:bookmarkStart w:id="1" w:name="Version"/>
      <w:bookmarkStart w:id="2" w:name="TodayDate"/>
      <w:bookmarkStart w:id="3" w:name="Start"/>
      <w:bookmarkStart w:id="4" w:name="_Toc459628291"/>
      <w:bookmarkStart w:id="5" w:name="_Toc328053903"/>
      <w:bookmarkEnd w:id="1"/>
      <w:bookmarkEnd w:id="2"/>
      <w:bookmarkEnd w:id="3"/>
      <w:r w:rsidRPr="007642F1">
        <w:rPr>
          <w:szCs w:val="28"/>
        </w:rPr>
        <w:t>Introduction</w:t>
      </w:r>
      <w:bookmarkEnd w:id="4"/>
      <w:r w:rsidR="005761DA" w:rsidRPr="007642F1">
        <w:rPr>
          <w:b w:val="0"/>
          <w:szCs w:val="28"/>
        </w:rPr>
        <w:t xml:space="preserve"> </w:t>
      </w:r>
      <w:r w:rsidR="005A6DCF" w:rsidRPr="007642F1">
        <w:rPr>
          <w:szCs w:val="28"/>
        </w:rPr>
        <w:t>and Scope</w:t>
      </w:r>
    </w:p>
    <w:bookmarkEnd w:id="5"/>
    <w:p w:rsidR="005A6DCF" w:rsidRPr="00F84998" w:rsidRDefault="005A6DCF" w:rsidP="005A45D1">
      <w:pPr>
        <w:pStyle w:val="CommentText"/>
        <w:numPr>
          <w:ilvl w:val="0"/>
          <w:numId w:val="9"/>
        </w:numPr>
        <w:spacing w:before="120" w:after="120"/>
        <w:ind w:left="567" w:hanging="567"/>
        <w:rPr>
          <w:rFonts w:ascii="Arial" w:hAnsi="Arial" w:cs="Arial"/>
          <w:sz w:val="22"/>
        </w:rPr>
      </w:pPr>
      <w:r w:rsidRPr="00F84998">
        <w:rPr>
          <w:rFonts w:ascii="Arial" w:hAnsi="Arial" w:cs="Arial"/>
          <w:sz w:val="22"/>
        </w:rPr>
        <w:t xml:space="preserve">Risk is an inherent aspect of the company’s administrative and commercial business activities. The key objective of this policy is to ensure that the company has a consistent basis for </w:t>
      </w:r>
      <w:r w:rsidR="005B0260">
        <w:rPr>
          <w:rFonts w:ascii="Arial" w:hAnsi="Arial" w:cs="Arial"/>
          <w:sz w:val="22"/>
        </w:rPr>
        <w:t xml:space="preserve">identifying, </w:t>
      </w:r>
      <w:r w:rsidRPr="00F84998">
        <w:rPr>
          <w:rFonts w:ascii="Arial" w:hAnsi="Arial" w:cs="Arial"/>
          <w:sz w:val="22"/>
        </w:rPr>
        <w:t>measuring, controlling, monitoring and reporting risk across the business at all levels.</w:t>
      </w:r>
    </w:p>
    <w:p w:rsidR="005A6DCF" w:rsidRDefault="00C83518" w:rsidP="005A45D1">
      <w:pPr>
        <w:pStyle w:val="Heading1"/>
        <w:numPr>
          <w:ilvl w:val="0"/>
          <w:numId w:val="9"/>
        </w:numPr>
        <w:spacing w:before="120" w:after="120"/>
        <w:ind w:left="567" w:hanging="567"/>
        <w:rPr>
          <w:b w:val="0"/>
          <w:sz w:val="22"/>
        </w:rPr>
      </w:pPr>
      <w:r w:rsidRPr="00C83518">
        <w:rPr>
          <w:b w:val="0"/>
          <w:sz w:val="22"/>
        </w:rPr>
        <w:t xml:space="preserve">The aim of </w:t>
      </w:r>
      <w:r w:rsidR="005A45D1">
        <w:rPr>
          <w:b w:val="0"/>
          <w:sz w:val="22"/>
        </w:rPr>
        <w:t xml:space="preserve">Highways England’s risk management approach </w:t>
      </w:r>
      <w:r w:rsidRPr="00C83518">
        <w:rPr>
          <w:b w:val="0"/>
          <w:sz w:val="22"/>
        </w:rPr>
        <w:t xml:space="preserve">is not to </w:t>
      </w:r>
      <w:r>
        <w:rPr>
          <w:b w:val="0"/>
          <w:sz w:val="22"/>
        </w:rPr>
        <w:t>eliminate</w:t>
      </w:r>
      <w:r w:rsidRPr="00C83518">
        <w:rPr>
          <w:b w:val="0"/>
          <w:sz w:val="22"/>
        </w:rPr>
        <w:t xml:space="preserve"> risk completely from our activities, but to ensure that every effort is made to manage risk appropriately to maximise potential opportunities and minimise the adverse effects of risk. In doing so, the company aims to use risk management to take better informed decisions and improve the probability of achieving its strategic and operational objectives.</w:t>
      </w:r>
    </w:p>
    <w:p w:rsidR="005A45D1" w:rsidRPr="007642F1" w:rsidRDefault="00F3509E" w:rsidP="00D9247F">
      <w:pPr>
        <w:pStyle w:val="Heading1"/>
        <w:spacing w:before="120" w:after="120"/>
        <w:rPr>
          <w:szCs w:val="28"/>
        </w:rPr>
      </w:pPr>
      <w:bookmarkStart w:id="6" w:name="_Toc459628292"/>
      <w:r w:rsidRPr="007642F1">
        <w:rPr>
          <w:szCs w:val="28"/>
        </w:rPr>
        <w:t>Definitions</w:t>
      </w:r>
      <w:bookmarkEnd w:id="6"/>
    </w:p>
    <w:p w:rsidR="005A45D1" w:rsidRPr="0028074A" w:rsidRDefault="005A45D1" w:rsidP="005A45D1">
      <w:pPr>
        <w:pStyle w:val="Heading1"/>
        <w:numPr>
          <w:ilvl w:val="0"/>
          <w:numId w:val="9"/>
        </w:numPr>
        <w:spacing w:before="120" w:after="120"/>
        <w:ind w:left="567" w:hanging="567"/>
        <w:rPr>
          <w:b w:val="0"/>
          <w:sz w:val="22"/>
          <w:szCs w:val="22"/>
        </w:rPr>
      </w:pPr>
      <w:r w:rsidRPr="0028074A">
        <w:rPr>
          <w:b w:val="0"/>
          <w:sz w:val="22"/>
          <w:szCs w:val="22"/>
        </w:rPr>
        <w:t>For the purposes of this policy risk is defined as:</w:t>
      </w:r>
    </w:p>
    <w:p w:rsidR="00F3509E" w:rsidRPr="0028074A" w:rsidRDefault="00747C5A" w:rsidP="005A45D1">
      <w:pPr>
        <w:pStyle w:val="Heading1"/>
        <w:spacing w:before="120" w:after="120"/>
        <w:ind w:left="567"/>
        <w:rPr>
          <w:b w:val="0"/>
          <w:sz w:val="22"/>
          <w:szCs w:val="22"/>
        </w:rPr>
      </w:pPr>
      <w:r w:rsidRPr="0028074A">
        <w:rPr>
          <w:b w:val="0"/>
          <w:sz w:val="22"/>
          <w:szCs w:val="22"/>
        </w:rPr>
        <w:t>A</w:t>
      </w:r>
      <w:r w:rsidR="005A45D1" w:rsidRPr="0028074A">
        <w:rPr>
          <w:b w:val="0"/>
          <w:sz w:val="22"/>
          <w:szCs w:val="22"/>
        </w:rPr>
        <w:t xml:space="preserve">n uncertain </w:t>
      </w:r>
      <w:proofErr w:type="gramStart"/>
      <w:r w:rsidR="00DA0606" w:rsidRPr="0028074A">
        <w:rPr>
          <w:b w:val="0"/>
          <w:sz w:val="22"/>
          <w:szCs w:val="22"/>
        </w:rPr>
        <w:t>event</w:t>
      </w:r>
      <w:r w:rsidR="00DA0606">
        <w:rPr>
          <w:b w:val="0"/>
          <w:sz w:val="22"/>
          <w:szCs w:val="22"/>
        </w:rPr>
        <w:t>,</w:t>
      </w:r>
      <w:proofErr w:type="gramEnd"/>
      <w:r w:rsidR="005A45D1" w:rsidRPr="0028074A">
        <w:rPr>
          <w:b w:val="0"/>
          <w:sz w:val="22"/>
          <w:szCs w:val="22"/>
        </w:rPr>
        <w:t xml:space="preserve"> or set of events</w:t>
      </w:r>
      <w:r w:rsidRPr="0028074A">
        <w:rPr>
          <w:b w:val="0"/>
          <w:sz w:val="22"/>
          <w:szCs w:val="22"/>
        </w:rPr>
        <w:t>,</w:t>
      </w:r>
      <w:r w:rsidR="005A45D1" w:rsidRPr="0028074A">
        <w:rPr>
          <w:b w:val="0"/>
          <w:sz w:val="22"/>
          <w:szCs w:val="22"/>
        </w:rPr>
        <w:t xml:space="preserve"> which would affect the delivery of objectives. Th</w:t>
      </w:r>
      <w:r w:rsidR="00DA0606">
        <w:rPr>
          <w:b w:val="0"/>
          <w:sz w:val="22"/>
          <w:szCs w:val="22"/>
        </w:rPr>
        <w:t>is</w:t>
      </w:r>
      <w:r w:rsidR="005A45D1" w:rsidRPr="0028074A">
        <w:rPr>
          <w:b w:val="0"/>
          <w:sz w:val="22"/>
          <w:szCs w:val="22"/>
        </w:rPr>
        <w:t xml:space="preserve"> c</w:t>
      </w:r>
      <w:r w:rsidR="00DA0606">
        <w:rPr>
          <w:b w:val="0"/>
          <w:sz w:val="22"/>
          <w:szCs w:val="22"/>
        </w:rPr>
        <w:t>ould</w:t>
      </w:r>
      <w:r w:rsidR="005A45D1" w:rsidRPr="0028074A">
        <w:rPr>
          <w:b w:val="0"/>
          <w:sz w:val="22"/>
          <w:szCs w:val="22"/>
        </w:rPr>
        <w:t xml:space="preserve"> be</w:t>
      </w:r>
      <w:r w:rsidR="00DA0606">
        <w:rPr>
          <w:b w:val="0"/>
          <w:sz w:val="22"/>
          <w:szCs w:val="22"/>
        </w:rPr>
        <w:t xml:space="preserve"> a threat</w:t>
      </w:r>
      <w:r w:rsidR="005A45D1" w:rsidRPr="0028074A">
        <w:rPr>
          <w:b w:val="0"/>
          <w:sz w:val="22"/>
          <w:szCs w:val="22"/>
        </w:rPr>
        <w:t xml:space="preserve"> to planned outcomes</w:t>
      </w:r>
      <w:r w:rsidR="00DA0606">
        <w:rPr>
          <w:b w:val="0"/>
          <w:sz w:val="22"/>
          <w:szCs w:val="22"/>
        </w:rPr>
        <w:t>,</w:t>
      </w:r>
      <w:r w:rsidR="005A45D1" w:rsidRPr="0028074A">
        <w:rPr>
          <w:b w:val="0"/>
          <w:sz w:val="22"/>
          <w:szCs w:val="22"/>
        </w:rPr>
        <w:t xml:space="preserve"> or </w:t>
      </w:r>
      <w:r w:rsidR="00DA0606">
        <w:rPr>
          <w:b w:val="0"/>
          <w:sz w:val="22"/>
          <w:szCs w:val="22"/>
        </w:rPr>
        <w:t>an opportunity</w:t>
      </w:r>
      <w:r w:rsidR="005A45D1" w:rsidRPr="0028074A">
        <w:rPr>
          <w:b w:val="0"/>
          <w:sz w:val="22"/>
          <w:szCs w:val="22"/>
        </w:rPr>
        <w:t xml:space="preserve"> which, if exploited, could deliver improvements beyond planned outcomes.</w:t>
      </w:r>
    </w:p>
    <w:p w:rsidR="005A45D1" w:rsidRPr="0028074A" w:rsidRDefault="00747C5A" w:rsidP="00747C5A">
      <w:pPr>
        <w:pStyle w:val="ListParagraph"/>
        <w:numPr>
          <w:ilvl w:val="0"/>
          <w:numId w:val="9"/>
        </w:numPr>
        <w:ind w:left="567" w:hanging="567"/>
        <w:rPr>
          <w:szCs w:val="22"/>
        </w:rPr>
      </w:pPr>
      <w:r w:rsidRPr="0028074A">
        <w:rPr>
          <w:szCs w:val="22"/>
        </w:rPr>
        <w:t>An issue is defined as:</w:t>
      </w:r>
    </w:p>
    <w:p w:rsidR="00747C5A" w:rsidRPr="0028074A" w:rsidRDefault="00747C5A" w:rsidP="00747C5A">
      <w:pPr>
        <w:pStyle w:val="ListParagraph"/>
        <w:ind w:left="567"/>
        <w:rPr>
          <w:szCs w:val="22"/>
        </w:rPr>
      </w:pPr>
    </w:p>
    <w:p w:rsidR="00747C5A" w:rsidRPr="0028074A" w:rsidRDefault="00DA0606" w:rsidP="00747C5A">
      <w:pPr>
        <w:pStyle w:val="ListParagraph"/>
        <w:ind w:left="567"/>
        <w:rPr>
          <w:szCs w:val="22"/>
        </w:rPr>
      </w:pPr>
      <w:proofErr w:type="gramStart"/>
      <w:r>
        <w:rPr>
          <w:szCs w:val="22"/>
        </w:rPr>
        <w:t>A risk</w:t>
      </w:r>
      <w:r w:rsidR="00747C5A" w:rsidRPr="0028074A">
        <w:rPr>
          <w:szCs w:val="22"/>
        </w:rPr>
        <w:t xml:space="preserve"> which has either materialised already</w:t>
      </w:r>
      <w:r>
        <w:rPr>
          <w:szCs w:val="22"/>
        </w:rPr>
        <w:t>,</w:t>
      </w:r>
      <w:r w:rsidR="00747C5A" w:rsidRPr="0028074A">
        <w:rPr>
          <w:szCs w:val="22"/>
        </w:rPr>
        <w:t xml:space="preserve"> or is certain to do so in the future.</w:t>
      </w:r>
      <w:proofErr w:type="gramEnd"/>
    </w:p>
    <w:p w:rsidR="005A45D1" w:rsidRPr="0028074A" w:rsidRDefault="005A45D1" w:rsidP="005A45D1">
      <w:pPr>
        <w:rPr>
          <w:szCs w:val="22"/>
        </w:rPr>
      </w:pPr>
    </w:p>
    <w:p w:rsidR="0044698E" w:rsidRPr="007642F1" w:rsidRDefault="0044698E" w:rsidP="00D9247F">
      <w:pPr>
        <w:pStyle w:val="Heading1"/>
        <w:spacing w:before="120" w:after="120"/>
        <w:rPr>
          <w:szCs w:val="28"/>
        </w:rPr>
      </w:pPr>
      <w:bookmarkStart w:id="7" w:name="_Toc328053913"/>
      <w:bookmarkStart w:id="8" w:name="_Toc459628304"/>
      <w:bookmarkStart w:id="9" w:name="_Toc459628293"/>
      <w:r w:rsidRPr="007642F1">
        <w:rPr>
          <w:szCs w:val="28"/>
        </w:rPr>
        <w:t>Risk Management Roles and Responsibilities</w:t>
      </w:r>
      <w:bookmarkEnd w:id="7"/>
      <w:bookmarkEnd w:id="8"/>
      <w:r w:rsidRPr="007642F1">
        <w:rPr>
          <w:szCs w:val="28"/>
        </w:rPr>
        <w:t xml:space="preserve"> </w:t>
      </w:r>
    </w:p>
    <w:p w:rsidR="00EC06F1" w:rsidRDefault="0044698E" w:rsidP="00EC06F1">
      <w:pPr>
        <w:pStyle w:val="ListParagraph"/>
        <w:numPr>
          <w:ilvl w:val="0"/>
          <w:numId w:val="9"/>
        </w:numPr>
        <w:spacing w:before="120" w:after="120"/>
        <w:ind w:left="567" w:hanging="567"/>
        <w:rPr>
          <w:lang w:eastAsia="en-GB"/>
        </w:rPr>
      </w:pPr>
      <w:r w:rsidRPr="00180EFC">
        <w:rPr>
          <w:lang w:eastAsia="en-GB"/>
        </w:rPr>
        <w:t>All staff within the company ha</w:t>
      </w:r>
      <w:r w:rsidR="00747C5A">
        <w:rPr>
          <w:lang w:eastAsia="en-GB"/>
        </w:rPr>
        <w:t>s</w:t>
      </w:r>
      <w:r w:rsidRPr="00180EFC">
        <w:rPr>
          <w:lang w:eastAsia="en-GB"/>
        </w:rPr>
        <w:t xml:space="preserve"> a responsibility to report </w:t>
      </w:r>
      <w:r w:rsidR="00747C5A">
        <w:rPr>
          <w:lang w:eastAsia="en-GB"/>
        </w:rPr>
        <w:t xml:space="preserve">promptly </w:t>
      </w:r>
      <w:r w:rsidRPr="00180EFC">
        <w:rPr>
          <w:lang w:eastAsia="en-GB"/>
        </w:rPr>
        <w:t>on emerging risks that they identify during the course of their work to their line manager or the appropriate risk manager</w:t>
      </w:r>
      <w:r w:rsidR="00747C5A">
        <w:rPr>
          <w:lang w:eastAsia="en-GB"/>
        </w:rPr>
        <w:t>. This is</w:t>
      </w:r>
      <w:r w:rsidRPr="00180EFC">
        <w:rPr>
          <w:lang w:eastAsia="en-GB"/>
        </w:rPr>
        <w:t xml:space="preserve"> so that the risk can be recorded, further assessed and escalated, if appropriate.</w:t>
      </w:r>
      <w:r w:rsidR="00747C5A">
        <w:rPr>
          <w:lang w:eastAsia="en-GB"/>
        </w:rPr>
        <w:t xml:space="preserve"> </w:t>
      </w:r>
      <w:r w:rsidR="00EC06F1">
        <w:rPr>
          <w:lang w:eastAsia="en-GB"/>
        </w:rPr>
        <w:t xml:space="preserve">To support Highways England’s approach to risk management a number of key responsibilities has been defined and is contained in Annex A. </w:t>
      </w:r>
    </w:p>
    <w:p w:rsidR="009E2631" w:rsidRPr="007642F1" w:rsidRDefault="000A1A37" w:rsidP="00D9247F">
      <w:pPr>
        <w:spacing w:before="120" w:after="120"/>
        <w:rPr>
          <w:b/>
          <w:sz w:val="24"/>
          <w:szCs w:val="28"/>
        </w:rPr>
      </w:pPr>
      <w:bookmarkStart w:id="10" w:name="_Toc459628295"/>
      <w:bookmarkEnd w:id="9"/>
      <w:r w:rsidRPr="007642F1">
        <w:rPr>
          <w:b/>
          <w:sz w:val="24"/>
          <w:szCs w:val="28"/>
        </w:rPr>
        <w:t>Our Approach</w:t>
      </w:r>
      <w:bookmarkEnd w:id="10"/>
    </w:p>
    <w:p w:rsidR="000A1A37" w:rsidRDefault="00F84998" w:rsidP="0028074A">
      <w:pPr>
        <w:pStyle w:val="ListParagraph"/>
        <w:numPr>
          <w:ilvl w:val="0"/>
          <w:numId w:val="9"/>
        </w:numPr>
        <w:spacing w:before="120" w:after="120"/>
        <w:ind w:left="567" w:hanging="567"/>
        <w:contextualSpacing w:val="0"/>
      </w:pPr>
      <w:r>
        <w:t xml:space="preserve">Our risk management process is aimed at early identification and mitigation and our framework gives us the structure through which we can consistently identify, prioritise, manage, monitor and report risks. We take a thematic approach to risk reporting. There are nine themes which are linked to our Delivery Plan and the Performance Specification within the Road Investment Strategy. These are detailed in Annex </w:t>
      </w:r>
      <w:r w:rsidR="00EC06F1">
        <w:t>B</w:t>
      </w:r>
      <w:r>
        <w:t xml:space="preserve">. </w:t>
      </w:r>
    </w:p>
    <w:p w:rsidR="000A1A37" w:rsidRDefault="000A1A37" w:rsidP="0028074A">
      <w:pPr>
        <w:pStyle w:val="ListParagraph"/>
        <w:numPr>
          <w:ilvl w:val="0"/>
          <w:numId w:val="9"/>
        </w:numPr>
        <w:spacing w:before="120" w:after="120"/>
        <w:ind w:left="567" w:hanging="567"/>
        <w:contextualSpacing w:val="0"/>
      </w:pPr>
      <w:r>
        <w:t>Our underlying principles are that:</w:t>
      </w:r>
    </w:p>
    <w:p w:rsidR="000A1A37" w:rsidRDefault="000A1A37" w:rsidP="00D9247F">
      <w:pPr>
        <w:pStyle w:val="ListParagraph"/>
        <w:numPr>
          <w:ilvl w:val="1"/>
          <w:numId w:val="5"/>
        </w:numPr>
        <w:spacing w:before="120" w:after="120"/>
        <w:contextualSpacing w:val="0"/>
      </w:pPr>
      <w:r>
        <w:t>risks are monitored continuously</w:t>
      </w:r>
    </w:p>
    <w:p w:rsidR="000A1A37" w:rsidRDefault="000A1A37" w:rsidP="00D9247F">
      <w:pPr>
        <w:pStyle w:val="ListParagraph"/>
        <w:numPr>
          <w:ilvl w:val="1"/>
          <w:numId w:val="5"/>
        </w:numPr>
        <w:spacing w:before="120" w:after="120"/>
        <w:contextualSpacing w:val="0"/>
      </w:pPr>
      <w:r>
        <w:t>any associated action plans are reviewed alongside the appropriate contingency plans</w:t>
      </w:r>
    </w:p>
    <w:p w:rsidR="00A5266C" w:rsidRDefault="000A1A37" w:rsidP="00D9247F">
      <w:pPr>
        <w:pStyle w:val="ListParagraph"/>
        <w:numPr>
          <w:ilvl w:val="1"/>
          <w:numId w:val="5"/>
        </w:numPr>
        <w:spacing w:before="120" w:after="120"/>
        <w:contextualSpacing w:val="0"/>
      </w:pPr>
      <w:r>
        <w:t>the information is reported thr</w:t>
      </w:r>
      <w:r w:rsidR="00EC06F1">
        <w:t>ough our established procedures</w:t>
      </w:r>
    </w:p>
    <w:p w:rsidR="00BF1741" w:rsidRDefault="00F84998" w:rsidP="00D9247F">
      <w:pPr>
        <w:pStyle w:val="ListParagraph"/>
        <w:numPr>
          <w:ilvl w:val="1"/>
          <w:numId w:val="5"/>
        </w:numPr>
        <w:spacing w:before="120" w:after="120"/>
        <w:contextualSpacing w:val="0"/>
      </w:pPr>
      <w:r>
        <w:t>r</w:t>
      </w:r>
      <w:r w:rsidR="00BF1741">
        <w:t>isk management is not just</w:t>
      </w:r>
      <w:r w:rsidR="008274BE">
        <w:t xml:space="preserve"> achieved</w:t>
      </w:r>
      <w:r w:rsidR="00BF1741">
        <w:t xml:space="preserve"> through</w:t>
      </w:r>
      <w:r w:rsidR="008274BE">
        <w:t xml:space="preserve"> the</w:t>
      </w:r>
      <w:r w:rsidR="00BF1741">
        <w:t xml:space="preserve"> use of risk</w:t>
      </w:r>
      <w:r w:rsidR="0007575B">
        <w:t xml:space="preserve"> </w:t>
      </w:r>
      <w:r w:rsidR="008274BE">
        <w:t>registers</w:t>
      </w:r>
      <w:r w:rsidR="00BF1741">
        <w:t xml:space="preserve">, but also </w:t>
      </w:r>
      <w:r w:rsidR="008274BE">
        <w:t xml:space="preserve">risk management activities such as </w:t>
      </w:r>
      <w:r w:rsidR="00BF1741">
        <w:t xml:space="preserve">scenario </w:t>
      </w:r>
      <w:r w:rsidR="00EC06F1">
        <w:t>planning</w:t>
      </w:r>
    </w:p>
    <w:p w:rsidR="00194396" w:rsidRPr="00E17DE0" w:rsidRDefault="003108DD" w:rsidP="00D9247F">
      <w:pPr>
        <w:pStyle w:val="ListParagraph"/>
        <w:numPr>
          <w:ilvl w:val="1"/>
          <w:numId w:val="5"/>
        </w:numPr>
        <w:spacing w:before="120" w:after="120"/>
        <w:contextualSpacing w:val="0"/>
      </w:pPr>
      <w:r>
        <w:t xml:space="preserve">Our </w:t>
      </w:r>
      <w:r w:rsidR="005B0260">
        <w:t>c</w:t>
      </w:r>
      <w:r>
        <w:t xml:space="preserve">ontractors and </w:t>
      </w:r>
      <w:r w:rsidR="005B0260">
        <w:t>suppliers</w:t>
      </w:r>
      <w:r w:rsidR="0007575B">
        <w:t xml:space="preserve"> use our approach for shared risks</w:t>
      </w:r>
    </w:p>
    <w:p w:rsidR="0070756C" w:rsidRPr="00E17DE0" w:rsidRDefault="00BF1741" w:rsidP="00D9247F">
      <w:pPr>
        <w:pStyle w:val="Heading1"/>
        <w:spacing w:before="120" w:after="120"/>
      </w:pPr>
      <w:bookmarkStart w:id="11" w:name="_Toc459628296"/>
      <w:r>
        <w:t xml:space="preserve">Risk </w:t>
      </w:r>
      <w:r w:rsidR="006820D1">
        <w:t>Appetite</w:t>
      </w:r>
      <w:bookmarkEnd w:id="11"/>
    </w:p>
    <w:p w:rsidR="00BF1741" w:rsidRPr="00FE1BE6" w:rsidRDefault="00A56110" w:rsidP="00EC06F1">
      <w:pPr>
        <w:pStyle w:val="CommentText"/>
        <w:numPr>
          <w:ilvl w:val="0"/>
          <w:numId w:val="9"/>
        </w:numPr>
        <w:spacing w:before="120" w:after="120"/>
        <w:ind w:left="567" w:hanging="567"/>
      </w:pPr>
      <w:r w:rsidRPr="00FE1BE6">
        <w:rPr>
          <w:rFonts w:ascii="Arial" w:hAnsi="Arial" w:cs="Arial"/>
          <w:sz w:val="22"/>
          <w:szCs w:val="22"/>
        </w:rPr>
        <w:t>Risk appetite</w:t>
      </w:r>
      <w:r w:rsidR="0070756C" w:rsidRPr="00FE1BE6">
        <w:rPr>
          <w:rFonts w:ascii="Arial" w:hAnsi="Arial" w:cs="Arial"/>
          <w:sz w:val="22"/>
          <w:szCs w:val="22"/>
        </w:rPr>
        <w:t xml:space="preserve"> </w:t>
      </w:r>
      <w:r w:rsidR="00C62AA8" w:rsidRPr="00FE1BE6">
        <w:rPr>
          <w:rFonts w:ascii="Arial" w:hAnsi="Arial" w:cs="Arial"/>
          <w:sz w:val="22"/>
          <w:szCs w:val="22"/>
        </w:rPr>
        <w:t xml:space="preserve">is </w:t>
      </w:r>
      <w:r w:rsidR="003108DD" w:rsidRPr="00FE1BE6">
        <w:rPr>
          <w:rFonts w:ascii="Arial" w:hAnsi="Arial" w:cs="Arial"/>
          <w:sz w:val="22"/>
          <w:szCs w:val="22"/>
        </w:rPr>
        <w:t>how much</w:t>
      </w:r>
      <w:r w:rsidR="00031C8F" w:rsidRPr="00FE1BE6">
        <w:rPr>
          <w:rFonts w:ascii="Arial" w:hAnsi="Arial" w:cs="Arial"/>
          <w:sz w:val="22"/>
          <w:szCs w:val="22"/>
        </w:rPr>
        <w:t xml:space="preserve"> risk </w:t>
      </w:r>
      <w:r w:rsidR="00194396" w:rsidRPr="00FE1BE6">
        <w:rPr>
          <w:rFonts w:ascii="Arial" w:hAnsi="Arial" w:cs="Arial"/>
          <w:sz w:val="22"/>
          <w:szCs w:val="22"/>
        </w:rPr>
        <w:t>we are</w:t>
      </w:r>
      <w:r w:rsidR="00031C8F" w:rsidRPr="00FE1BE6">
        <w:rPr>
          <w:rFonts w:ascii="Arial" w:hAnsi="Arial" w:cs="Arial"/>
          <w:sz w:val="22"/>
          <w:szCs w:val="22"/>
        </w:rPr>
        <w:t xml:space="preserve"> willing to take </w:t>
      </w:r>
      <w:r w:rsidR="00FE1BE6" w:rsidRPr="00FE1BE6">
        <w:rPr>
          <w:rFonts w:ascii="Arial" w:hAnsi="Arial" w:cs="Arial"/>
          <w:sz w:val="22"/>
          <w:szCs w:val="22"/>
        </w:rPr>
        <w:t xml:space="preserve">as a company </w:t>
      </w:r>
      <w:r w:rsidR="00031C8F" w:rsidRPr="00FE1BE6">
        <w:rPr>
          <w:rFonts w:ascii="Arial" w:hAnsi="Arial" w:cs="Arial"/>
          <w:sz w:val="22"/>
          <w:szCs w:val="22"/>
        </w:rPr>
        <w:t xml:space="preserve">in order to meet </w:t>
      </w:r>
      <w:r w:rsidR="006820D1" w:rsidRPr="00FE1BE6">
        <w:rPr>
          <w:rFonts w:ascii="Arial" w:hAnsi="Arial" w:cs="Arial"/>
          <w:sz w:val="22"/>
          <w:szCs w:val="22"/>
        </w:rPr>
        <w:t>our</w:t>
      </w:r>
      <w:r w:rsidR="00031C8F" w:rsidRPr="00FE1BE6">
        <w:rPr>
          <w:rFonts w:ascii="Arial" w:hAnsi="Arial" w:cs="Arial"/>
          <w:sz w:val="22"/>
          <w:szCs w:val="22"/>
        </w:rPr>
        <w:t xml:space="preserve"> strategic objectives.</w:t>
      </w:r>
      <w:r w:rsidR="00FE1BE6" w:rsidRPr="00FE1BE6">
        <w:rPr>
          <w:rFonts w:ascii="Arial" w:hAnsi="Arial" w:cs="Arial"/>
          <w:sz w:val="22"/>
          <w:szCs w:val="24"/>
        </w:rPr>
        <w:t xml:space="preserve"> </w:t>
      </w:r>
      <w:r w:rsidR="00FE1BE6" w:rsidRPr="00F648BE">
        <w:rPr>
          <w:rFonts w:ascii="Arial" w:hAnsi="Arial" w:cs="Arial"/>
          <w:sz w:val="22"/>
          <w:szCs w:val="24"/>
        </w:rPr>
        <w:t xml:space="preserve">Setting the appetite is important as it allows risk </w:t>
      </w:r>
      <w:r w:rsidR="000D324D" w:rsidRPr="00F648BE">
        <w:rPr>
          <w:rFonts w:ascii="Arial" w:hAnsi="Arial" w:cs="Arial"/>
          <w:sz w:val="22"/>
          <w:szCs w:val="24"/>
        </w:rPr>
        <w:t>owner</w:t>
      </w:r>
      <w:r w:rsidR="000D324D">
        <w:rPr>
          <w:rFonts w:ascii="Arial" w:hAnsi="Arial" w:cs="Arial"/>
          <w:sz w:val="22"/>
          <w:szCs w:val="24"/>
        </w:rPr>
        <w:t>s and risk</w:t>
      </w:r>
      <w:r w:rsidR="000D324D" w:rsidRPr="00F648BE">
        <w:rPr>
          <w:rFonts w:ascii="Arial" w:hAnsi="Arial" w:cs="Arial"/>
          <w:sz w:val="22"/>
          <w:szCs w:val="24"/>
        </w:rPr>
        <w:t xml:space="preserve"> </w:t>
      </w:r>
      <w:r w:rsidR="00FE1BE6" w:rsidRPr="00F648BE">
        <w:rPr>
          <w:rFonts w:ascii="Arial" w:hAnsi="Arial" w:cs="Arial"/>
          <w:sz w:val="22"/>
          <w:szCs w:val="24"/>
        </w:rPr>
        <w:t xml:space="preserve">managers room to agree a working tolerance </w:t>
      </w:r>
      <w:r w:rsidR="000D324D">
        <w:rPr>
          <w:rFonts w:ascii="Arial" w:hAnsi="Arial" w:cs="Arial"/>
          <w:sz w:val="22"/>
          <w:szCs w:val="24"/>
        </w:rPr>
        <w:t>for specific risks</w:t>
      </w:r>
      <w:r w:rsidR="00FE1BE6" w:rsidRPr="00F648BE">
        <w:rPr>
          <w:rFonts w:ascii="Arial" w:hAnsi="Arial" w:cs="Arial"/>
          <w:sz w:val="22"/>
          <w:szCs w:val="24"/>
        </w:rPr>
        <w:t xml:space="preserve">. </w:t>
      </w:r>
      <w:r w:rsidR="00FE1BE6">
        <w:rPr>
          <w:rFonts w:ascii="Arial" w:hAnsi="Arial" w:cs="Arial"/>
          <w:sz w:val="22"/>
          <w:szCs w:val="24"/>
        </w:rPr>
        <w:t>While risk</w:t>
      </w:r>
      <w:r w:rsidR="00FE1BE6" w:rsidRPr="00F648BE">
        <w:rPr>
          <w:rFonts w:ascii="Arial" w:hAnsi="Arial" w:cs="Arial"/>
          <w:sz w:val="22"/>
          <w:szCs w:val="24"/>
        </w:rPr>
        <w:t xml:space="preserve"> appetite is the </w:t>
      </w:r>
      <w:r w:rsidR="00FE1BE6">
        <w:rPr>
          <w:rFonts w:ascii="Arial" w:hAnsi="Arial" w:cs="Arial"/>
          <w:sz w:val="22"/>
          <w:szCs w:val="24"/>
        </w:rPr>
        <w:lastRenderedPageBreak/>
        <w:t>high-level</w:t>
      </w:r>
      <w:r w:rsidR="00FE1BE6" w:rsidRPr="00F648BE">
        <w:rPr>
          <w:rFonts w:ascii="Arial" w:hAnsi="Arial" w:cs="Arial"/>
          <w:sz w:val="22"/>
          <w:szCs w:val="24"/>
        </w:rPr>
        <w:t xml:space="preserve"> reaction to the amount of risk that we are prepared to accept, tolerance </w:t>
      </w:r>
      <w:r w:rsidR="00FE1BE6">
        <w:rPr>
          <w:rFonts w:ascii="Arial" w:hAnsi="Arial" w:cs="Arial"/>
          <w:sz w:val="22"/>
          <w:szCs w:val="24"/>
        </w:rPr>
        <w:t xml:space="preserve">is the baseline that </w:t>
      </w:r>
      <w:r w:rsidR="000D324D">
        <w:rPr>
          <w:rFonts w:ascii="Arial" w:hAnsi="Arial" w:cs="Arial"/>
          <w:sz w:val="22"/>
          <w:szCs w:val="24"/>
        </w:rPr>
        <w:t xml:space="preserve">owners and </w:t>
      </w:r>
      <w:r w:rsidR="00FE1BE6">
        <w:rPr>
          <w:rFonts w:ascii="Arial" w:hAnsi="Arial" w:cs="Arial"/>
          <w:sz w:val="22"/>
          <w:szCs w:val="24"/>
        </w:rPr>
        <w:t>ma</w:t>
      </w:r>
      <w:r w:rsidR="00FE1BE6" w:rsidRPr="00F648BE">
        <w:rPr>
          <w:rFonts w:ascii="Arial" w:hAnsi="Arial" w:cs="Arial"/>
          <w:sz w:val="22"/>
          <w:szCs w:val="24"/>
        </w:rPr>
        <w:t>nage</w:t>
      </w:r>
      <w:r w:rsidR="00FE1BE6">
        <w:rPr>
          <w:rFonts w:ascii="Arial" w:hAnsi="Arial" w:cs="Arial"/>
          <w:sz w:val="22"/>
          <w:szCs w:val="24"/>
        </w:rPr>
        <w:t>rs can</w:t>
      </w:r>
      <w:r w:rsidR="00FE1BE6" w:rsidRPr="00F648BE">
        <w:rPr>
          <w:rFonts w:ascii="Arial" w:hAnsi="Arial" w:cs="Arial"/>
          <w:sz w:val="22"/>
          <w:szCs w:val="24"/>
        </w:rPr>
        <w:t xml:space="preserve"> work within</w:t>
      </w:r>
      <w:r w:rsidR="00FE1BE6">
        <w:rPr>
          <w:rFonts w:ascii="Arial" w:hAnsi="Arial" w:cs="Arial"/>
          <w:sz w:val="22"/>
          <w:szCs w:val="24"/>
        </w:rPr>
        <w:t xml:space="preserve"> before they need to escalate the risk to senior management for further action</w:t>
      </w:r>
      <w:r w:rsidR="00FE1BE6">
        <w:t>.</w:t>
      </w:r>
    </w:p>
    <w:p w:rsidR="00583A47" w:rsidRPr="00124CE9" w:rsidRDefault="003108DD" w:rsidP="00EC06F1">
      <w:pPr>
        <w:pStyle w:val="BodyText"/>
        <w:numPr>
          <w:ilvl w:val="0"/>
          <w:numId w:val="9"/>
        </w:numPr>
        <w:spacing w:before="120" w:after="120"/>
        <w:ind w:left="567" w:hanging="567"/>
        <w:rPr>
          <w:b w:val="0"/>
        </w:rPr>
      </w:pPr>
      <w:r w:rsidRPr="00124CE9">
        <w:rPr>
          <w:b w:val="0"/>
        </w:rPr>
        <w:t>Our</w:t>
      </w:r>
      <w:r w:rsidR="00C62AA8" w:rsidRPr="00124CE9">
        <w:rPr>
          <w:b w:val="0"/>
        </w:rPr>
        <w:t xml:space="preserve"> </w:t>
      </w:r>
      <w:r w:rsidR="005526E1" w:rsidRPr="00124CE9">
        <w:rPr>
          <w:b w:val="0"/>
        </w:rPr>
        <w:t>appetite</w:t>
      </w:r>
      <w:r w:rsidR="005526E1" w:rsidRPr="00124CE9">
        <w:rPr>
          <w:b w:val="0"/>
          <w:color w:val="FF0000"/>
        </w:rPr>
        <w:t xml:space="preserve"> </w:t>
      </w:r>
      <w:r w:rsidR="00C62AA8" w:rsidRPr="00124CE9">
        <w:rPr>
          <w:b w:val="0"/>
        </w:rPr>
        <w:t xml:space="preserve">statements </w:t>
      </w:r>
      <w:r w:rsidR="005526E1" w:rsidRPr="00124CE9">
        <w:rPr>
          <w:b w:val="0"/>
        </w:rPr>
        <w:t xml:space="preserve">are </w:t>
      </w:r>
      <w:r w:rsidRPr="00124CE9">
        <w:rPr>
          <w:b w:val="0"/>
        </w:rPr>
        <w:t>aligned with</w:t>
      </w:r>
      <w:r w:rsidR="009E1199" w:rsidRPr="00124CE9">
        <w:rPr>
          <w:b w:val="0"/>
        </w:rPr>
        <w:t xml:space="preserve"> our three </w:t>
      </w:r>
      <w:r w:rsidR="005526E1" w:rsidRPr="00124CE9">
        <w:rPr>
          <w:b w:val="0"/>
        </w:rPr>
        <w:t xml:space="preserve">key business </w:t>
      </w:r>
      <w:r w:rsidR="009E1199" w:rsidRPr="00124CE9">
        <w:rPr>
          <w:b w:val="0"/>
        </w:rPr>
        <w:t>imperatives of Health &amp; Safety, Customer and Deliver</w:t>
      </w:r>
      <w:r w:rsidR="005152B8">
        <w:rPr>
          <w:b w:val="0"/>
        </w:rPr>
        <w:t>y</w:t>
      </w:r>
      <w:r w:rsidR="00EC06F1" w:rsidRPr="00124CE9">
        <w:rPr>
          <w:b w:val="0"/>
        </w:rPr>
        <w:t>. These are contained in Annex C.</w:t>
      </w:r>
      <w:r w:rsidR="00C62AA8" w:rsidRPr="00124CE9">
        <w:rPr>
          <w:b w:val="0"/>
          <w:color w:val="FF0000"/>
        </w:rPr>
        <w:t xml:space="preserve"> </w:t>
      </w:r>
    </w:p>
    <w:p w:rsidR="00C62AA8" w:rsidRPr="007642F1" w:rsidRDefault="006820D1" w:rsidP="00D9247F">
      <w:pPr>
        <w:spacing w:before="120" w:after="120"/>
        <w:rPr>
          <w:b/>
          <w:sz w:val="24"/>
          <w:szCs w:val="28"/>
          <w:lang w:val="en"/>
        </w:rPr>
      </w:pPr>
      <w:r w:rsidRPr="007642F1">
        <w:rPr>
          <w:b/>
          <w:sz w:val="24"/>
          <w:szCs w:val="28"/>
          <w:lang w:val="en"/>
        </w:rPr>
        <w:t>Taking advantage of o</w:t>
      </w:r>
      <w:r w:rsidR="00A56110" w:rsidRPr="007642F1">
        <w:rPr>
          <w:b/>
          <w:sz w:val="24"/>
          <w:szCs w:val="28"/>
          <w:lang w:val="en"/>
        </w:rPr>
        <w:t>pportunities</w:t>
      </w:r>
    </w:p>
    <w:p w:rsidR="006820D1" w:rsidRPr="00DA2F3E" w:rsidRDefault="00427AB6" w:rsidP="00EC06F1">
      <w:pPr>
        <w:pStyle w:val="ListParagraph"/>
        <w:numPr>
          <w:ilvl w:val="0"/>
          <w:numId w:val="9"/>
        </w:numPr>
        <w:spacing w:before="120" w:after="120"/>
        <w:ind w:left="567" w:hanging="567"/>
        <w:contextualSpacing w:val="0"/>
        <w:rPr>
          <w:b/>
        </w:rPr>
      </w:pPr>
      <w:r w:rsidRPr="00E17DE0">
        <w:t xml:space="preserve">Opportunities are an important aspect </w:t>
      </w:r>
      <w:r w:rsidR="00BF1741">
        <w:t xml:space="preserve">of our risk management process, and are recorded </w:t>
      </w:r>
      <w:r w:rsidR="00376C36">
        <w:t>i</w:t>
      </w:r>
      <w:r w:rsidR="00BF1741">
        <w:t xml:space="preserve">n </w:t>
      </w:r>
      <w:r w:rsidR="00BF1741" w:rsidRPr="00DA2F3E">
        <w:t>efficienc</w:t>
      </w:r>
      <w:r w:rsidR="00DD06A1" w:rsidRPr="00DA2F3E">
        <w:t>y</w:t>
      </w:r>
      <w:r w:rsidR="00BF1741" w:rsidRPr="00DA2F3E">
        <w:t xml:space="preserve"> </w:t>
      </w:r>
      <w:r w:rsidR="00BF1741">
        <w:t>register</w:t>
      </w:r>
      <w:r w:rsidR="00376C36">
        <w:t>s, as well as within business cases</w:t>
      </w:r>
      <w:r w:rsidR="00BF1741">
        <w:t>.</w:t>
      </w:r>
      <w:r w:rsidR="00376C36">
        <w:t xml:space="preserve"> Opportunities will also be captured in project risk registers.</w:t>
      </w:r>
      <w:r w:rsidR="00DA2F3E">
        <w:t xml:space="preserve"> </w:t>
      </w:r>
      <w:r w:rsidR="006820D1">
        <w:t>Should a financial opportunity arise, the I</w:t>
      </w:r>
      <w:r w:rsidR="00914C8F">
        <w:t xml:space="preserve">nvestment </w:t>
      </w:r>
      <w:r w:rsidR="006820D1">
        <w:t>D</w:t>
      </w:r>
      <w:r w:rsidR="00914C8F">
        <w:t xml:space="preserve">ecision </w:t>
      </w:r>
      <w:r w:rsidR="006820D1">
        <w:t>C</w:t>
      </w:r>
      <w:r w:rsidR="00914C8F">
        <w:t>ommittee</w:t>
      </w:r>
      <w:r w:rsidR="006820D1">
        <w:t xml:space="preserve"> process must be followed.</w:t>
      </w:r>
    </w:p>
    <w:p w:rsidR="009E2631" w:rsidRPr="007642F1" w:rsidRDefault="00BF1741" w:rsidP="00D9247F">
      <w:pPr>
        <w:pStyle w:val="Heading1"/>
        <w:spacing w:before="120" w:after="120"/>
        <w:rPr>
          <w:szCs w:val="28"/>
        </w:rPr>
      </w:pPr>
      <w:bookmarkStart w:id="12" w:name="_Toc459628297"/>
      <w:bookmarkStart w:id="13" w:name="_Toc224207899"/>
      <w:r w:rsidRPr="007642F1">
        <w:rPr>
          <w:szCs w:val="28"/>
        </w:rPr>
        <w:t>Risk Identification</w:t>
      </w:r>
      <w:bookmarkEnd w:id="12"/>
    </w:p>
    <w:p w:rsidR="00DE0041" w:rsidRDefault="00205000" w:rsidP="00DA2F3E">
      <w:pPr>
        <w:pStyle w:val="BodyText"/>
        <w:numPr>
          <w:ilvl w:val="0"/>
          <w:numId w:val="9"/>
        </w:numPr>
        <w:spacing w:before="120" w:after="120"/>
        <w:ind w:left="567" w:hanging="567"/>
        <w:rPr>
          <w:b w:val="0"/>
        </w:rPr>
      </w:pPr>
      <w:r>
        <w:rPr>
          <w:b w:val="0"/>
        </w:rPr>
        <w:t xml:space="preserve">Formal risk identification exercises </w:t>
      </w:r>
      <w:r w:rsidR="00BF1741">
        <w:rPr>
          <w:b w:val="0"/>
        </w:rPr>
        <w:t>are</w:t>
      </w:r>
      <w:r>
        <w:rPr>
          <w:b w:val="0"/>
        </w:rPr>
        <w:t xml:space="preserve"> conducted at all levels of the business at least once a year </w:t>
      </w:r>
      <w:r w:rsidR="00DD06A1" w:rsidRPr="006370AC">
        <w:rPr>
          <w:b w:val="0"/>
        </w:rPr>
        <w:t xml:space="preserve">in line with setting </w:t>
      </w:r>
      <w:r w:rsidR="00DE0041" w:rsidRPr="006370AC">
        <w:rPr>
          <w:b w:val="0"/>
        </w:rPr>
        <w:t xml:space="preserve">or changing </w:t>
      </w:r>
      <w:r w:rsidR="00DD06A1" w:rsidRPr="006370AC">
        <w:rPr>
          <w:b w:val="0"/>
        </w:rPr>
        <w:t>of objectives and key strategic aims</w:t>
      </w:r>
      <w:r w:rsidR="00DD06A1">
        <w:rPr>
          <w:b w:val="0"/>
        </w:rPr>
        <w:t xml:space="preserve">. </w:t>
      </w:r>
      <w:r w:rsidR="006370AC">
        <w:rPr>
          <w:b w:val="0"/>
        </w:rPr>
        <w:t>H</w:t>
      </w:r>
      <w:r>
        <w:rPr>
          <w:b w:val="0"/>
        </w:rPr>
        <w:t>owever</w:t>
      </w:r>
      <w:r w:rsidR="00DD06A1" w:rsidRPr="006370AC">
        <w:rPr>
          <w:b w:val="0"/>
        </w:rPr>
        <w:t>,</w:t>
      </w:r>
      <w:r w:rsidRPr="006370AC">
        <w:rPr>
          <w:b w:val="0"/>
        </w:rPr>
        <w:t xml:space="preserve"> risks </w:t>
      </w:r>
      <w:r w:rsidR="000D324D">
        <w:rPr>
          <w:b w:val="0"/>
        </w:rPr>
        <w:t>can</w:t>
      </w:r>
      <w:r w:rsidR="00DE0041" w:rsidRPr="006370AC">
        <w:rPr>
          <w:b w:val="0"/>
        </w:rPr>
        <w:t xml:space="preserve"> be identified at any </w:t>
      </w:r>
      <w:r w:rsidR="000D324D">
        <w:rPr>
          <w:b w:val="0"/>
        </w:rPr>
        <w:t>time</w:t>
      </w:r>
      <w:r w:rsidR="00DE0041" w:rsidRPr="006370AC">
        <w:rPr>
          <w:b w:val="0"/>
        </w:rPr>
        <w:t xml:space="preserve"> and </w:t>
      </w:r>
      <w:r w:rsidRPr="006370AC">
        <w:rPr>
          <w:b w:val="0"/>
        </w:rPr>
        <w:t xml:space="preserve">should be recorded whenever </w:t>
      </w:r>
      <w:r w:rsidR="00DE0041" w:rsidRPr="006370AC">
        <w:rPr>
          <w:b w:val="0"/>
        </w:rPr>
        <w:t>they are</w:t>
      </w:r>
      <w:r w:rsidRPr="006370AC">
        <w:rPr>
          <w:b w:val="0"/>
        </w:rPr>
        <w:t xml:space="preserve"> identified or change</w:t>
      </w:r>
      <w:r w:rsidR="00DE0041" w:rsidRPr="006370AC">
        <w:rPr>
          <w:b w:val="0"/>
        </w:rPr>
        <w:t>d</w:t>
      </w:r>
      <w:r w:rsidRPr="006370AC">
        <w:rPr>
          <w:b w:val="0"/>
        </w:rPr>
        <w:t>.</w:t>
      </w:r>
      <w:r w:rsidR="00BF1741" w:rsidRPr="006370AC">
        <w:rPr>
          <w:b w:val="0"/>
        </w:rPr>
        <w:t xml:space="preserve"> </w:t>
      </w:r>
    </w:p>
    <w:p w:rsidR="00205000" w:rsidRPr="006370AC" w:rsidRDefault="00BF1741" w:rsidP="00DA2F3E">
      <w:pPr>
        <w:pStyle w:val="BodyText"/>
        <w:numPr>
          <w:ilvl w:val="0"/>
          <w:numId w:val="9"/>
        </w:numPr>
        <w:spacing w:before="120" w:after="120"/>
        <w:ind w:left="567" w:hanging="567"/>
        <w:rPr>
          <w:b w:val="0"/>
        </w:rPr>
      </w:pPr>
      <w:r w:rsidRPr="006370AC">
        <w:rPr>
          <w:b w:val="0"/>
        </w:rPr>
        <w:t xml:space="preserve">The Board and Executive teams have formal annual free-thinking </w:t>
      </w:r>
      <w:r w:rsidR="0007575B" w:rsidRPr="006370AC">
        <w:rPr>
          <w:b w:val="0"/>
        </w:rPr>
        <w:t xml:space="preserve">identification </w:t>
      </w:r>
      <w:r w:rsidRPr="006370AC">
        <w:rPr>
          <w:b w:val="0"/>
        </w:rPr>
        <w:t>sessions.</w:t>
      </w:r>
    </w:p>
    <w:p w:rsidR="00BF1741" w:rsidRPr="007642F1" w:rsidRDefault="00BF1741" w:rsidP="00D9247F">
      <w:pPr>
        <w:pStyle w:val="Heading1"/>
        <w:spacing w:before="120" w:after="120"/>
        <w:rPr>
          <w:szCs w:val="28"/>
        </w:rPr>
      </w:pPr>
      <w:bookmarkStart w:id="14" w:name="_Toc459628298"/>
      <w:r w:rsidRPr="007642F1">
        <w:rPr>
          <w:szCs w:val="28"/>
        </w:rPr>
        <w:t>Risk Assessment</w:t>
      </w:r>
      <w:bookmarkEnd w:id="14"/>
    </w:p>
    <w:p w:rsidR="00717596" w:rsidRDefault="007116DC" w:rsidP="00DA2F3E">
      <w:pPr>
        <w:pStyle w:val="BodyText"/>
        <w:numPr>
          <w:ilvl w:val="0"/>
          <w:numId w:val="9"/>
        </w:numPr>
        <w:spacing w:before="120" w:after="120"/>
        <w:ind w:left="567" w:hanging="567"/>
        <w:rPr>
          <w:b w:val="0"/>
        </w:rPr>
      </w:pPr>
      <w:r>
        <w:rPr>
          <w:b w:val="0"/>
        </w:rPr>
        <w:t>We assess our risk</w:t>
      </w:r>
      <w:r w:rsidR="00A87AE4">
        <w:rPr>
          <w:b w:val="0"/>
        </w:rPr>
        <w:t xml:space="preserve"> exposure</w:t>
      </w:r>
      <w:r>
        <w:rPr>
          <w:b w:val="0"/>
        </w:rPr>
        <w:t xml:space="preserve"> in terms of their </w:t>
      </w:r>
      <w:r w:rsidR="00717596">
        <w:rPr>
          <w:b w:val="0"/>
        </w:rPr>
        <w:t xml:space="preserve">impact on the achievement of our corporate objectives and the likelihood of the risk materialising using a 5x5 matrix (Impact 1-5 x Likelihood 1-5) supported by guidance on how to score them. </w:t>
      </w:r>
    </w:p>
    <w:p w:rsidR="00A87AE4" w:rsidRPr="00DA2F3E" w:rsidRDefault="00DA2F3E" w:rsidP="00DA2F3E">
      <w:pPr>
        <w:pStyle w:val="BodyText"/>
        <w:numPr>
          <w:ilvl w:val="0"/>
          <w:numId w:val="9"/>
        </w:numPr>
        <w:spacing w:before="120" w:after="120"/>
        <w:ind w:left="567" w:hanging="567"/>
        <w:rPr>
          <w:b w:val="0"/>
        </w:rPr>
      </w:pPr>
      <w:r w:rsidRPr="00DA2F3E">
        <w:rPr>
          <w:b w:val="0"/>
        </w:rPr>
        <w:t>An</w:t>
      </w:r>
      <w:r w:rsidR="00717596" w:rsidRPr="00DA2F3E">
        <w:rPr>
          <w:b w:val="0"/>
        </w:rPr>
        <w:t xml:space="preserve"> assessment is made of the risks in their raw </w:t>
      </w:r>
      <w:r w:rsidR="00A87AE4" w:rsidRPr="00DA2F3E">
        <w:rPr>
          <w:b w:val="0"/>
        </w:rPr>
        <w:t xml:space="preserve">state </w:t>
      </w:r>
      <w:r w:rsidR="00717596" w:rsidRPr="00DA2F3E">
        <w:rPr>
          <w:b w:val="0"/>
        </w:rPr>
        <w:t xml:space="preserve">(before any controls are in place), current </w:t>
      </w:r>
      <w:r w:rsidR="00A87AE4" w:rsidRPr="00DA2F3E">
        <w:rPr>
          <w:b w:val="0"/>
        </w:rPr>
        <w:t xml:space="preserve">state </w:t>
      </w:r>
      <w:r w:rsidR="00717596" w:rsidRPr="00DA2F3E">
        <w:rPr>
          <w:b w:val="0"/>
        </w:rPr>
        <w:t xml:space="preserve">(after controls are in place, but excluding any controls which are </w:t>
      </w:r>
      <w:r w:rsidR="00A87AE4" w:rsidRPr="00DA2F3E">
        <w:rPr>
          <w:b w:val="0"/>
        </w:rPr>
        <w:t>planned o</w:t>
      </w:r>
      <w:r w:rsidR="00717596" w:rsidRPr="00DA2F3E">
        <w:rPr>
          <w:b w:val="0"/>
        </w:rPr>
        <w:t>r</w:t>
      </w:r>
      <w:r w:rsidR="00A87AE4" w:rsidRPr="00DA2F3E">
        <w:rPr>
          <w:b w:val="0"/>
        </w:rPr>
        <w:t xml:space="preserve"> </w:t>
      </w:r>
      <w:r w:rsidR="00717596" w:rsidRPr="00DA2F3E">
        <w:rPr>
          <w:b w:val="0"/>
        </w:rPr>
        <w:t xml:space="preserve">in development) </w:t>
      </w:r>
      <w:r w:rsidR="00A87AE4" w:rsidRPr="00DA2F3E">
        <w:rPr>
          <w:b w:val="0"/>
        </w:rPr>
        <w:t xml:space="preserve">and forecast state (after the planned actions are in place). These are assessed against a target risk exposure set for each risk (high / medium / low). The target risk is the level of risk exposure we are willing to accept for a risk. It is informed by our risk appetite and an assessment of the cost and benefits of controls needed to manage the risk.  </w:t>
      </w:r>
    </w:p>
    <w:p w:rsidR="00A71AC7" w:rsidRPr="00D9247F" w:rsidRDefault="00180EFC" w:rsidP="00DA2F3E">
      <w:pPr>
        <w:pStyle w:val="BodyText"/>
        <w:numPr>
          <w:ilvl w:val="0"/>
          <w:numId w:val="9"/>
        </w:numPr>
        <w:spacing w:before="120" w:after="120"/>
        <w:ind w:left="567" w:hanging="567"/>
        <w:rPr>
          <w:b w:val="0"/>
        </w:rPr>
      </w:pPr>
      <w:r w:rsidRPr="00E17DE0">
        <w:rPr>
          <w:b w:val="0"/>
        </w:rPr>
        <w:t xml:space="preserve">All </w:t>
      </w:r>
      <w:r w:rsidR="00DA2F3E">
        <w:rPr>
          <w:b w:val="0"/>
        </w:rPr>
        <w:t>identified</w:t>
      </w:r>
      <w:r>
        <w:rPr>
          <w:b w:val="0"/>
        </w:rPr>
        <w:t xml:space="preserve"> </w:t>
      </w:r>
      <w:r w:rsidRPr="00E17DE0">
        <w:rPr>
          <w:b w:val="0"/>
        </w:rPr>
        <w:t xml:space="preserve">controls </w:t>
      </w:r>
      <w:r w:rsidR="00DA2F3E">
        <w:rPr>
          <w:b w:val="0"/>
        </w:rPr>
        <w:t>(</w:t>
      </w:r>
      <w:r w:rsidRPr="00E17DE0">
        <w:rPr>
          <w:b w:val="0"/>
        </w:rPr>
        <w:t>whether in place or planned</w:t>
      </w:r>
      <w:r w:rsidR="00DA2F3E">
        <w:rPr>
          <w:b w:val="0"/>
        </w:rPr>
        <w:t>)</w:t>
      </w:r>
      <w:r w:rsidRPr="00E17DE0">
        <w:rPr>
          <w:b w:val="0"/>
        </w:rPr>
        <w:t xml:space="preserve"> </w:t>
      </w:r>
      <w:r w:rsidR="00A87AE4">
        <w:rPr>
          <w:b w:val="0"/>
        </w:rPr>
        <w:t>are</w:t>
      </w:r>
      <w:r w:rsidRPr="00E17DE0">
        <w:rPr>
          <w:b w:val="0"/>
        </w:rPr>
        <w:t xml:space="preserve"> auditable with clear decision making processes </w:t>
      </w:r>
      <w:r>
        <w:rPr>
          <w:b w:val="0"/>
        </w:rPr>
        <w:t>supporting</w:t>
      </w:r>
      <w:r w:rsidRPr="00E17DE0">
        <w:rPr>
          <w:b w:val="0"/>
        </w:rPr>
        <w:t xml:space="preserve"> them.</w:t>
      </w:r>
    </w:p>
    <w:p w:rsidR="00BF1741" w:rsidRPr="007642F1" w:rsidRDefault="00A71AC7" w:rsidP="00D9247F">
      <w:pPr>
        <w:spacing w:before="120" w:after="120"/>
        <w:rPr>
          <w:b/>
          <w:sz w:val="24"/>
          <w:szCs w:val="28"/>
        </w:rPr>
      </w:pPr>
      <w:r w:rsidRPr="007642F1">
        <w:rPr>
          <w:b/>
          <w:sz w:val="24"/>
          <w:szCs w:val="28"/>
        </w:rPr>
        <w:t>Risk Recording</w:t>
      </w:r>
    </w:p>
    <w:p w:rsidR="00DA2F3E" w:rsidRPr="00DA2F3E" w:rsidRDefault="00A71AC7" w:rsidP="00DA2F3E">
      <w:pPr>
        <w:pStyle w:val="ListParagraph"/>
        <w:numPr>
          <w:ilvl w:val="0"/>
          <w:numId w:val="9"/>
        </w:numPr>
        <w:ind w:left="567" w:hanging="567"/>
        <w:rPr>
          <w:szCs w:val="20"/>
        </w:rPr>
      </w:pPr>
      <w:bookmarkStart w:id="15" w:name="_Toc328053908"/>
      <w:bookmarkEnd w:id="13"/>
      <w:r w:rsidRPr="00A71AC7">
        <w:t xml:space="preserve">All risks, once identified, are logged onto </w:t>
      </w:r>
      <w:r>
        <w:t>a</w:t>
      </w:r>
      <w:r w:rsidRPr="00A71AC7">
        <w:t xml:space="preserve"> corporate standard risk register. The template has been designed to ensure consistency in the reporting and escalation process, and will not be subject to any amendment without prior consent from the Head of Corporate Risk Assurance.</w:t>
      </w:r>
      <w:r w:rsidR="00DA2F3E" w:rsidRPr="00DA2F3E">
        <w:t xml:space="preserve"> </w:t>
      </w:r>
      <w:r w:rsidR="00DA2F3E" w:rsidRPr="00DA2F3E">
        <w:rPr>
          <w:szCs w:val="20"/>
        </w:rPr>
        <w:t xml:space="preserve">All registers must be retained on the corporate records management system (Share). Any deviation from this must be agreed with the Head of Corporate Risk Assurance. </w:t>
      </w:r>
    </w:p>
    <w:p w:rsidR="00A71AC7" w:rsidRPr="00D9247F" w:rsidRDefault="00A71AC7" w:rsidP="00DA2F3E">
      <w:pPr>
        <w:pStyle w:val="CommentText"/>
        <w:numPr>
          <w:ilvl w:val="0"/>
          <w:numId w:val="9"/>
        </w:numPr>
        <w:spacing w:before="120" w:after="120"/>
        <w:ind w:left="567" w:hanging="567"/>
        <w:rPr>
          <w:rFonts w:ascii="Arial" w:hAnsi="Arial" w:cs="Arial"/>
          <w:sz w:val="22"/>
        </w:rPr>
      </w:pPr>
      <w:r w:rsidRPr="00A71AC7">
        <w:rPr>
          <w:rFonts w:ascii="Arial" w:hAnsi="Arial" w:cs="Arial"/>
          <w:sz w:val="22"/>
        </w:rPr>
        <w:t>The register must contain details of all controls or further planned mitigation activities and should include any financial details (if appropriate). All controls should be monitored throughout the risk’s life (as part of the monitoring process). Should any control change, be superseded, or expire, an immediate review of the risk should be undertaken.</w:t>
      </w:r>
    </w:p>
    <w:p w:rsidR="00E56ACA" w:rsidRPr="007642F1" w:rsidRDefault="00E56ACA" w:rsidP="00D9247F">
      <w:pPr>
        <w:pStyle w:val="Heading1"/>
        <w:spacing w:before="120" w:after="120"/>
        <w:rPr>
          <w:szCs w:val="28"/>
        </w:rPr>
      </w:pPr>
      <w:bookmarkStart w:id="16" w:name="_Toc459628301"/>
      <w:r w:rsidRPr="007642F1">
        <w:rPr>
          <w:szCs w:val="28"/>
        </w:rPr>
        <w:t>Formal Risk Reviews</w:t>
      </w:r>
      <w:bookmarkEnd w:id="16"/>
    </w:p>
    <w:p w:rsidR="00E56ACA" w:rsidRDefault="00E56ACA" w:rsidP="00DA2F3E">
      <w:pPr>
        <w:pStyle w:val="ListParagraph"/>
        <w:numPr>
          <w:ilvl w:val="0"/>
          <w:numId w:val="9"/>
        </w:numPr>
        <w:spacing w:before="120" w:after="120"/>
        <w:ind w:left="567" w:hanging="567"/>
        <w:contextualSpacing w:val="0"/>
      </w:pPr>
      <w:r>
        <w:t>All r</w:t>
      </w:r>
      <w:r w:rsidRPr="0007595A">
        <w:t xml:space="preserve">isks must be reviewed </w:t>
      </w:r>
      <w:r>
        <w:t xml:space="preserve">by the risk owner on a periodic basis (determined by the </w:t>
      </w:r>
      <w:r w:rsidRPr="0007595A">
        <w:t>proximity</w:t>
      </w:r>
      <w:r>
        <w:t xml:space="preserve"> of the risk materialising). At each assessment</w:t>
      </w:r>
      <w:r w:rsidRPr="0007595A">
        <w:t>,</w:t>
      </w:r>
      <w:r>
        <w:t xml:space="preserve"> both </w:t>
      </w:r>
      <w:r w:rsidRPr="0007595A">
        <w:t>controls and further planned mitigation activities</w:t>
      </w:r>
      <w:r>
        <w:t xml:space="preserve"> should be assessed to identify whether they are still valid, operating effectively and, for further planned mitigating actions, whether they have been implemented.</w:t>
      </w:r>
      <w:r w:rsidRPr="0007595A">
        <w:t xml:space="preserve">  </w:t>
      </w:r>
    </w:p>
    <w:p w:rsidR="00E17DE0" w:rsidRPr="00D9247F" w:rsidRDefault="00E56ACA" w:rsidP="001C1697">
      <w:pPr>
        <w:pStyle w:val="ListParagraph"/>
        <w:numPr>
          <w:ilvl w:val="0"/>
          <w:numId w:val="9"/>
        </w:numPr>
        <w:spacing w:before="120" w:after="120"/>
        <w:ind w:left="567" w:hanging="567"/>
        <w:contextualSpacing w:val="0"/>
      </w:pPr>
      <w:r>
        <w:lastRenderedPageBreak/>
        <w:t xml:space="preserve">Executive </w:t>
      </w:r>
      <w:r w:rsidRPr="009A00ED">
        <w:t>risk owners must review their corporate risks on a quarterly basis</w:t>
      </w:r>
      <w:r>
        <w:t>.</w:t>
      </w:r>
      <w:r w:rsidR="001C1697">
        <w:t xml:space="preserve"> </w:t>
      </w:r>
      <w:r>
        <w:t>The Audit and Risk Committee receives a progress update on the risk management process four times per year. It also conducts a deep dive on a specific risk, risk theme</w:t>
      </w:r>
      <w:r w:rsidR="001C1697">
        <w:t>,</w:t>
      </w:r>
      <w:r>
        <w:t xml:space="preserve"> or topic at these meetings.</w:t>
      </w:r>
    </w:p>
    <w:p w:rsidR="009E2631" w:rsidRPr="007642F1" w:rsidRDefault="007757DC" w:rsidP="00D9247F">
      <w:pPr>
        <w:pStyle w:val="Heading1"/>
        <w:spacing w:before="120" w:after="120"/>
        <w:rPr>
          <w:szCs w:val="28"/>
        </w:rPr>
      </w:pPr>
      <w:bookmarkStart w:id="17" w:name="_Toc459628299"/>
      <w:bookmarkEnd w:id="15"/>
      <w:r w:rsidRPr="007642F1">
        <w:rPr>
          <w:szCs w:val="28"/>
        </w:rPr>
        <w:t>Escalation and Cascad</w:t>
      </w:r>
      <w:bookmarkEnd w:id="17"/>
      <w:r w:rsidR="00D9247F" w:rsidRPr="007642F1">
        <w:rPr>
          <w:szCs w:val="28"/>
        </w:rPr>
        <w:t>e</w:t>
      </w:r>
    </w:p>
    <w:p w:rsidR="00E93C45" w:rsidRDefault="000D324D" w:rsidP="001C1697">
      <w:pPr>
        <w:pStyle w:val="BodyText"/>
        <w:numPr>
          <w:ilvl w:val="0"/>
          <w:numId w:val="9"/>
        </w:numPr>
        <w:spacing w:before="120" w:after="120"/>
        <w:ind w:left="567" w:hanging="567"/>
        <w:rPr>
          <w:rStyle w:val="HTMLCite"/>
          <w:b w:val="0"/>
          <w:color w:val="auto"/>
        </w:rPr>
      </w:pPr>
      <w:r>
        <w:rPr>
          <w:rStyle w:val="HTMLCite"/>
          <w:b w:val="0"/>
          <w:color w:val="auto"/>
        </w:rPr>
        <w:t>Risks will be owned and managed where they can be controlled and monitored</w:t>
      </w:r>
      <w:r w:rsidR="004B5C46" w:rsidRPr="004B5C46">
        <w:rPr>
          <w:rStyle w:val="HTMLCite"/>
          <w:b w:val="0"/>
          <w:color w:val="auto"/>
        </w:rPr>
        <w:t xml:space="preserve"> </w:t>
      </w:r>
      <w:r w:rsidR="004B5C46">
        <w:rPr>
          <w:rStyle w:val="HTMLCite"/>
          <w:b w:val="0"/>
          <w:color w:val="auto"/>
        </w:rPr>
        <w:t>most effectively</w:t>
      </w:r>
      <w:r>
        <w:rPr>
          <w:rStyle w:val="HTMLCite"/>
          <w:b w:val="0"/>
          <w:color w:val="auto"/>
        </w:rPr>
        <w:t>. When r</w:t>
      </w:r>
      <w:r w:rsidR="0031601A" w:rsidRPr="00FE1BE6">
        <w:rPr>
          <w:rStyle w:val="HTMLCite"/>
          <w:b w:val="0"/>
          <w:color w:val="auto"/>
        </w:rPr>
        <w:t>isks</w:t>
      </w:r>
      <w:r w:rsidR="0031601A">
        <w:rPr>
          <w:rStyle w:val="HTMLCite"/>
          <w:b w:val="0"/>
          <w:color w:val="auto"/>
        </w:rPr>
        <w:t xml:space="preserve"> </w:t>
      </w:r>
      <w:r>
        <w:rPr>
          <w:rStyle w:val="HTMLCite"/>
          <w:b w:val="0"/>
          <w:color w:val="auto"/>
        </w:rPr>
        <w:t xml:space="preserve">exceed the tolerance of the risk </w:t>
      </w:r>
      <w:r w:rsidR="004B5C46">
        <w:rPr>
          <w:rStyle w:val="HTMLCite"/>
          <w:b w:val="0"/>
          <w:color w:val="auto"/>
        </w:rPr>
        <w:t>owner</w:t>
      </w:r>
      <w:r>
        <w:rPr>
          <w:rStyle w:val="HTMLCite"/>
          <w:b w:val="0"/>
          <w:color w:val="auto"/>
        </w:rPr>
        <w:t xml:space="preserve"> they </w:t>
      </w:r>
      <w:r w:rsidR="0031601A">
        <w:rPr>
          <w:rStyle w:val="HTMLCite"/>
          <w:b w:val="0"/>
          <w:color w:val="auto"/>
        </w:rPr>
        <w:t xml:space="preserve">will be escalated </w:t>
      </w:r>
      <w:r w:rsidR="004B5C46">
        <w:rPr>
          <w:rStyle w:val="HTMLCite"/>
          <w:b w:val="0"/>
          <w:color w:val="auto"/>
        </w:rPr>
        <w:t xml:space="preserve">to more senior management for review </w:t>
      </w:r>
      <w:r w:rsidR="0031601A">
        <w:rPr>
          <w:rStyle w:val="HTMLCite"/>
          <w:b w:val="0"/>
          <w:color w:val="auto"/>
        </w:rPr>
        <w:t>and</w:t>
      </w:r>
      <w:r w:rsidR="007B283C">
        <w:rPr>
          <w:rStyle w:val="HTMLCite"/>
          <w:b w:val="0"/>
          <w:color w:val="auto"/>
        </w:rPr>
        <w:t xml:space="preserve"> </w:t>
      </w:r>
      <w:r w:rsidR="00BD5A74">
        <w:rPr>
          <w:rStyle w:val="HTMLCite"/>
          <w:b w:val="0"/>
          <w:color w:val="auto"/>
        </w:rPr>
        <w:t>/</w:t>
      </w:r>
      <w:r w:rsidR="007B283C">
        <w:rPr>
          <w:rStyle w:val="HTMLCite"/>
          <w:b w:val="0"/>
          <w:color w:val="auto"/>
        </w:rPr>
        <w:t xml:space="preserve"> </w:t>
      </w:r>
      <w:r w:rsidR="0031601A">
        <w:rPr>
          <w:rStyle w:val="HTMLCite"/>
          <w:b w:val="0"/>
          <w:color w:val="auto"/>
        </w:rPr>
        <w:t xml:space="preserve">or </w:t>
      </w:r>
      <w:r w:rsidR="004B5C46">
        <w:rPr>
          <w:rStyle w:val="HTMLCite"/>
          <w:b w:val="0"/>
          <w:color w:val="auto"/>
        </w:rPr>
        <w:t>further action. Similarly, risks requiring more devolved management will be cascaded for ownership at a more local level.</w:t>
      </w:r>
    </w:p>
    <w:p w:rsidR="004B5C46" w:rsidRDefault="004B5C46" w:rsidP="001C1697">
      <w:pPr>
        <w:pStyle w:val="BodyText"/>
        <w:numPr>
          <w:ilvl w:val="0"/>
          <w:numId w:val="9"/>
        </w:numPr>
        <w:spacing w:before="120" w:after="120"/>
        <w:ind w:left="567" w:hanging="567"/>
        <w:rPr>
          <w:rStyle w:val="HTMLCite"/>
          <w:b w:val="0"/>
          <w:color w:val="auto"/>
        </w:rPr>
      </w:pPr>
      <w:r>
        <w:rPr>
          <w:rStyle w:val="HTMLCite"/>
          <w:b w:val="0"/>
          <w:color w:val="auto"/>
        </w:rPr>
        <w:t>The ownership and management of risks cannot be escalated or cascaded without the knowledge and consent of the new owner or manager.</w:t>
      </w:r>
    </w:p>
    <w:p w:rsidR="0031601A" w:rsidRPr="00DA2F3E" w:rsidRDefault="00E93C45" w:rsidP="00D9247F">
      <w:pPr>
        <w:pStyle w:val="Heading1"/>
        <w:spacing w:before="120" w:after="120"/>
        <w:rPr>
          <w:rStyle w:val="HTMLCite"/>
          <w:color w:val="auto"/>
          <w:sz w:val="28"/>
          <w:szCs w:val="28"/>
        </w:rPr>
      </w:pPr>
      <w:bookmarkStart w:id="18" w:name="_Toc459628300"/>
      <w:r w:rsidRPr="007642F1">
        <w:rPr>
          <w:rStyle w:val="HTMLCite"/>
          <w:color w:val="auto"/>
          <w:szCs w:val="28"/>
        </w:rPr>
        <w:t>Third Party Risks</w:t>
      </w:r>
      <w:bookmarkEnd w:id="18"/>
    </w:p>
    <w:p w:rsidR="00F46CE5" w:rsidRDefault="004B5C46" w:rsidP="001C1697">
      <w:pPr>
        <w:pStyle w:val="ListParagraph"/>
        <w:numPr>
          <w:ilvl w:val="0"/>
          <w:numId w:val="9"/>
        </w:numPr>
        <w:spacing w:before="120" w:after="120"/>
        <w:ind w:left="567" w:hanging="567"/>
        <w:contextualSpacing w:val="0"/>
      </w:pPr>
      <w:r>
        <w:t>Contractors, suppliers and agency staff</w:t>
      </w:r>
      <w:r w:rsidR="009A42D4">
        <w:t xml:space="preserve"> must use our approach </w:t>
      </w:r>
      <w:r w:rsidR="00E93C45">
        <w:t>wherever there is an impact on Highways England deliverables and</w:t>
      </w:r>
      <w:r w:rsidR="00BD5A74">
        <w:t xml:space="preserve"> </w:t>
      </w:r>
      <w:r w:rsidR="00E93C45">
        <w:t>/</w:t>
      </w:r>
      <w:r w:rsidR="00BD5A74">
        <w:t xml:space="preserve"> </w:t>
      </w:r>
      <w:r w:rsidR="00E93C45">
        <w:t>or objectives.</w:t>
      </w:r>
    </w:p>
    <w:p w:rsidR="005B0260" w:rsidRDefault="00E93C45" w:rsidP="001C1697">
      <w:pPr>
        <w:pStyle w:val="ListParagraph"/>
        <w:numPr>
          <w:ilvl w:val="0"/>
          <w:numId w:val="9"/>
        </w:numPr>
        <w:spacing w:before="120" w:after="120"/>
        <w:ind w:left="567" w:hanging="567"/>
        <w:contextualSpacing w:val="0"/>
      </w:pPr>
      <w:r>
        <w:t xml:space="preserve">There must be a Highways England owner for </w:t>
      </w:r>
      <w:r w:rsidR="005D3AB1" w:rsidRPr="005B0260">
        <w:t>all</w:t>
      </w:r>
      <w:r w:rsidR="005D3AB1" w:rsidRPr="005D3AB1">
        <w:rPr>
          <w:color w:val="FF0000"/>
        </w:rPr>
        <w:t xml:space="preserve"> </w:t>
      </w:r>
      <w:r w:rsidR="001C1697">
        <w:rPr>
          <w:color w:val="FF0000"/>
        </w:rPr>
        <w:t>‘</w:t>
      </w:r>
      <w:r>
        <w:t>third party</w:t>
      </w:r>
      <w:r w:rsidR="001C1697">
        <w:t>’</w:t>
      </w:r>
      <w:r>
        <w:t xml:space="preserve"> risks </w:t>
      </w:r>
      <w:r w:rsidR="005D3AB1" w:rsidRPr="005B0260">
        <w:t xml:space="preserve">identified and these must be </w:t>
      </w:r>
      <w:r>
        <w:t xml:space="preserve">recorded within </w:t>
      </w:r>
      <w:r w:rsidR="005B0260" w:rsidRPr="005B0260">
        <w:t>a</w:t>
      </w:r>
      <w:r w:rsidR="005D3AB1">
        <w:rPr>
          <w:color w:val="FF0000"/>
        </w:rPr>
        <w:t xml:space="preserve"> </w:t>
      </w:r>
      <w:r>
        <w:t>Highways England</w:t>
      </w:r>
      <w:r w:rsidR="005D3AB1">
        <w:t xml:space="preserve"> </w:t>
      </w:r>
      <w:r w:rsidR="005D3AB1" w:rsidRPr="005B0260">
        <w:t>risk register</w:t>
      </w:r>
      <w:r w:rsidR="005B0260">
        <w:t>. S</w:t>
      </w:r>
      <w:r>
        <w:t xml:space="preserve">uppliers and contractors cannot </w:t>
      </w:r>
      <w:r w:rsidR="005B0260">
        <w:t>own</w:t>
      </w:r>
      <w:r>
        <w:t xml:space="preserve"> risks on our behalf, but may manage and</w:t>
      </w:r>
      <w:r w:rsidR="00BD5A74">
        <w:t xml:space="preserve"> </w:t>
      </w:r>
      <w:r>
        <w:t>/</w:t>
      </w:r>
      <w:r w:rsidR="00BD5A74">
        <w:t xml:space="preserve"> </w:t>
      </w:r>
      <w:r>
        <w:t>or implement controls that contribute to the mitigation</w:t>
      </w:r>
      <w:r w:rsidR="00BD5A74">
        <w:t xml:space="preserve"> </w:t>
      </w:r>
      <w:r>
        <w:t>/</w:t>
      </w:r>
      <w:r w:rsidR="00BD5A74">
        <w:t xml:space="preserve"> </w:t>
      </w:r>
      <w:r>
        <w:t xml:space="preserve">management of that risk. </w:t>
      </w:r>
    </w:p>
    <w:p w:rsidR="00C62AA8" w:rsidRPr="00D9247F" w:rsidRDefault="005B0260" w:rsidP="001C1697">
      <w:pPr>
        <w:pStyle w:val="ListParagraph"/>
        <w:numPr>
          <w:ilvl w:val="0"/>
          <w:numId w:val="9"/>
        </w:numPr>
        <w:spacing w:before="120" w:after="120"/>
        <w:ind w:left="567" w:hanging="567"/>
        <w:contextualSpacing w:val="0"/>
      </w:pPr>
      <w:r>
        <w:t xml:space="preserve">We </w:t>
      </w:r>
      <w:r w:rsidR="001C1697">
        <w:t xml:space="preserve">acknowledge that </w:t>
      </w:r>
      <w:r>
        <w:t xml:space="preserve">our </w:t>
      </w:r>
      <w:r w:rsidR="001C1697">
        <w:t>S</w:t>
      </w:r>
      <w:r>
        <w:t>hareholder</w:t>
      </w:r>
      <w:r w:rsidR="001C1697">
        <w:t xml:space="preserve"> and Client</w:t>
      </w:r>
      <w:r>
        <w:t xml:space="preserve"> </w:t>
      </w:r>
      <w:r w:rsidR="001C1697">
        <w:t xml:space="preserve">bodies </w:t>
      </w:r>
      <w:r>
        <w:t xml:space="preserve">hold </w:t>
      </w:r>
      <w:r w:rsidR="001C1697">
        <w:t xml:space="preserve">risks relating to </w:t>
      </w:r>
      <w:r>
        <w:t xml:space="preserve">the delivery of our strategic objectives. </w:t>
      </w:r>
      <w:r w:rsidR="001C1697">
        <w:t>We will share our key risks and, where appropriate, align our risk management to ensure clarity and provide efficiency in their mitigation.</w:t>
      </w:r>
    </w:p>
    <w:p w:rsidR="009E2631" w:rsidRPr="007642F1" w:rsidRDefault="00A56110" w:rsidP="00D9247F">
      <w:pPr>
        <w:pStyle w:val="Heading1"/>
        <w:spacing w:before="120" w:after="120"/>
        <w:rPr>
          <w:szCs w:val="28"/>
          <w:lang w:val="en"/>
        </w:rPr>
      </w:pPr>
      <w:bookmarkStart w:id="19" w:name="_Toc459628302"/>
      <w:r w:rsidRPr="007642F1">
        <w:rPr>
          <w:szCs w:val="28"/>
          <w:lang w:val="en"/>
        </w:rPr>
        <w:t>Risk Retirement</w:t>
      </w:r>
      <w:bookmarkEnd w:id="19"/>
    </w:p>
    <w:p w:rsidR="00A56110" w:rsidRPr="00E17DE0" w:rsidRDefault="0008636E" w:rsidP="001C1697">
      <w:pPr>
        <w:pStyle w:val="BodyText"/>
        <w:numPr>
          <w:ilvl w:val="0"/>
          <w:numId w:val="9"/>
        </w:numPr>
        <w:spacing w:before="120" w:after="120"/>
        <w:ind w:left="567" w:hanging="567"/>
        <w:rPr>
          <w:b w:val="0"/>
          <w:lang w:val="en"/>
        </w:rPr>
      </w:pPr>
      <w:r w:rsidRPr="009A00ED">
        <w:rPr>
          <w:b w:val="0"/>
          <w:lang w:val="en"/>
        </w:rPr>
        <w:t xml:space="preserve">All risks have a finite life. </w:t>
      </w:r>
      <w:r w:rsidR="001C1697">
        <w:rPr>
          <w:b w:val="0"/>
          <w:lang w:val="en"/>
        </w:rPr>
        <w:t xml:space="preserve">Highways England </w:t>
      </w:r>
      <w:r w:rsidRPr="009A00ED">
        <w:rPr>
          <w:b w:val="0"/>
        </w:rPr>
        <w:t>recognises</w:t>
      </w:r>
      <w:r w:rsidRPr="009A00ED">
        <w:rPr>
          <w:b w:val="0"/>
          <w:lang w:val="en"/>
        </w:rPr>
        <w:t xml:space="preserve"> that w</w:t>
      </w:r>
      <w:r w:rsidR="00A56110" w:rsidRPr="00E17DE0">
        <w:rPr>
          <w:b w:val="0"/>
          <w:lang w:val="en"/>
        </w:rPr>
        <w:t>hen a decision is made to retire a risk, a record should be kept so that lessons can be learned about the best way to effectively manage risks of that type</w:t>
      </w:r>
      <w:r>
        <w:rPr>
          <w:b w:val="0"/>
          <w:lang w:val="en"/>
        </w:rPr>
        <w:t xml:space="preserve"> </w:t>
      </w:r>
      <w:r w:rsidRPr="009A00ED">
        <w:rPr>
          <w:b w:val="0"/>
          <w:lang w:val="en"/>
        </w:rPr>
        <w:t>in the future</w:t>
      </w:r>
      <w:r w:rsidR="00A56110" w:rsidRPr="00E17DE0">
        <w:rPr>
          <w:b w:val="0"/>
          <w:lang w:val="en"/>
        </w:rPr>
        <w:t>.  This action also allows the risk to be reactivated</w:t>
      </w:r>
      <w:r>
        <w:rPr>
          <w:b w:val="0"/>
          <w:color w:val="FF0000"/>
          <w:lang w:val="en"/>
        </w:rPr>
        <w:t>,</w:t>
      </w:r>
      <w:r w:rsidR="00A56110" w:rsidRPr="00E17DE0">
        <w:rPr>
          <w:b w:val="0"/>
          <w:lang w:val="en"/>
        </w:rPr>
        <w:t xml:space="preserve"> should the </w:t>
      </w:r>
      <w:r w:rsidR="009A42D4">
        <w:rPr>
          <w:b w:val="0"/>
          <w:lang w:val="en"/>
        </w:rPr>
        <w:t>need arise</w:t>
      </w:r>
      <w:r w:rsidR="00A56110" w:rsidRPr="00E17DE0">
        <w:rPr>
          <w:b w:val="0"/>
          <w:lang w:val="en"/>
        </w:rPr>
        <w:t>.</w:t>
      </w:r>
    </w:p>
    <w:p w:rsidR="001417C6" w:rsidRPr="007642F1" w:rsidRDefault="001417C6" w:rsidP="00D9247F">
      <w:pPr>
        <w:pStyle w:val="Heading1"/>
        <w:spacing w:before="120" w:after="120"/>
        <w:rPr>
          <w:b w:val="0"/>
          <w:szCs w:val="28"/>
        </w:rPr>
      </w:pPr>
      <w:bookmarkStart w:id="20" w:name="_Toc328053904"/>
      <w:bookmarkStart w:id="21" w:name="_Toc459628303"/>
      <w:r w:rsidRPr="007642F1">
        <w:rPr>
          <w:szCs w:val="28"/>
        </w:rPr>
        <w:t>Assurance</w:t>
      </w:r>
      <w:bookmarkEnd w:id="20"/>
      <w:bookmarkEnd w:id="21"/>
      <w:r w:rsidRPr="007642F1">
        <w:rPr>
          <w:b w:val="0"/>
          <w:szCs w:val="28"/>
        </w:rPr>
        <w:t xml:space="preserve"> </w:t>
      </w:r>
    </w:p>
    <w:p w:rsidR="00994201" w:rsidRDefault="00CA54AB" w:rsidP="001C1697">
      <w:pPr>
        <w:pStyle w:val="BodyText"/>
        <w:numPr>
          <w:ilvl w:val="0"/>
          <w:numId w:val="9"/>
        </w:numPr>
        <w:spacing w:before="120" w:after="120"/>
        <w:ind w:left="567" w:hanging="567"/>
        <w:rPr>
          <w:b w:val="0"/>
        </w:rPr>
      </w:pPr>
      <w:r w:rsidRPr="009A00ED">
        <w:rPr>
          <w:b w:val="0"/>
        </w:rPr>
        <w:t>Assurance over whether a risk is being properly managed</w:t>
      </w:r>
      <w:r w:rsidR="00994201" w:rsidRPr="009A00ED">
        <w:rPr>
          <w:b w:val="0"/>
        </w:rPr>
        <w:t xml:space="preserve"> is provided </w:t>
      </w:r>
      <w:r w:rsidRPr="009A00ED">
        <w:rPr>
          <w:b w:val="0"/>
        </w:rPr>
        <w:t xml:space="preserve">through a number of routes. Highways England brigades these into </w:t>
      </w:r>
      <w:r w:rsidR="007B283C" w:rsidRPr="009A00ED">
        <w:rPr>
          <w:b w:val="0"/>
        </w:rPr>
        <w:t xml:space="preserve">the </w:t>
      </w:r>
      <w:r w:rsidR="00994201" w:rsidRPr="00994201">
        <w:rPr>
          <w:b w:val="0"/>
        </w:rPr>
        <w:t>‘four lines of defence’ model:</w:t>
      </w:r>
    </w:p>
    <w:p w:rsidR="00994201" w:rsidRDefault="00994201" w:rsidP="00D9247F">
      <w:pPr>
        <w:pStyle w:val="BodyText"/>
        <w:numPr>
          <w:ilvl w:val="1"/>
          <w:numId w:val="4"/>
        </w:numPr>
        <w:spacing w:before="120" w:after="120"/>
        <w:rPr>
          <w:b w:val="0"/>
        </w:rPr>
      </w:pPr>
      <w:r w:rsidRPr="00CA54AB">
        <w:rPr>
          <w:b w:val="0"/>
          <w:u w:val="single"/>
        </w:rPr>
        <w:t>line one</w:t>
      </w:r>
      <w:r w:rsidRPr="00994201">
        <w:rPr>
          <w:b w:val="0"/>
        </w:rPr>
        <w:t xml:space="preserve"> - day-to-day management activity and reporting</w:t>
      </w:r>
    </w:p>
    <w:p w:rsidR="00994201" w:rsidRPr="009A00ED" w:rsidRDefault="00994201" w:rsidP="00D9247F">
      <w:pPr>
        <w:pStyle w:val="BodyText"/>
        <w:numPr>
          <w:ilvl w:val="1"/>
          <w:numId w:val="4"/>
        </w:numPr>
        <w:spacing w:before="120" w:after="120"/>
        <w:rPr>
          <w:b w:val="0"/>
        </w:rPr>
      </w:pPr>
      <w:r w:rsidRPr="00CA54AB">
        <w:rPr>
          <w:b w:val="0"/>
          <w:u w:val="single"/>
        </w:rPr>
        <w:t>line two</w:t>
      </w:r>
      <w:r w:rsidRPr="00994201">
        <w:rPr>
          <w:b w:val="0"/>
        </w:rPr>
        <w:t xml:space="preserve"> - executive oversight and periodic review</w:t>
      </w:r>
      <w:r w:rsidR="00CA54AB">
        <w:rPr>
          <w:b w:val="0"/>
        </w:rPr>
        <w:t xml:space="preserve"> </w:t>
      </w:r>
      <w:r w:rsidR="00CA54AB" w:rsidRPr="009A00ED">
        <w:rPr>
          <w:b w:val="0"/>
        </w:rPr>
        <w:t>from a party outside of front line activity</w:t>
      </w:r>
      <w:r w:rsidRPr="009A00ED">
        <w:t xml:space="preserve"> </w:t>
      </w:r>
    </w:p>
    <w:p w:rsidR="00994201" w:rsidRDefault="00994201" w:rsidP="00D9247F">
      <w:pPr>
        <w:pStyle w:val="BodyText"/>
        <w:numPr>
          <w:ilvl w:val="1"/>
          <w:numId w:val="4"/>
        </w:numPr>
        <w:spacing w:before="120" w:after="120"/>
        <w:rPr>
          <w:b w:val="0"/>
        </w:rPr>
      </w:pPr>
      <w:r w:rsidRPr="00CA54AB">
        <w:rPr>
          <w:b w:val="0"/>
          <w:u w:val="single"/>
        </w:rPr>
        <w:t>line three</w:t>
      </w:r>
      <w:r w:rsidRPr="00994201">
        <w:rPr>
          <w:b w:val="0"/>
        </w:rPr>
        <w:t xml:space="preserve"> - activity carried out by parties with operational independence, such as </w:t>
      </w:r>
      <w:r w:rsidR="001C1697">
        <w:rPr>
          <w:b w:val="0"/>
        </w:rPr>
        <w:t xml:space="preserve">Audit and Assurance </w:t>
      </w:r>
      <w:r w:rsidR="00CA54AB" w:rsidRPr="009A00ED">
        <w:rPr>
          <w:b w:val="0"/>
        </w:rPr>
        <w:t xml:space="preserve">or </w:t>
      </w:r>
      <w:r w:rsidR="001C1697">
        <w:rPr>
          <w:b w:val="0"/>
        </w:rPr>
        <w:t>C</w:t>
      </w:r>
      <w:r w:rsidR="00CA54AB" w:rsidRPr="009A00ED">
        <w:rPr>
          <w:b w:val="0"/>
        </w:rPr>
        <w:t xml:space="preserve">orporate </w:t>
      </w:r>
      <w:r w:rsidR="001C1697">
        <w:rPr>
          <w:b w:val="0"/>
        </w:rPr>
        <w:t>R</w:t>
      </w:r>
      <w:r w:rsidR="00CA54AB" w:rsidRPr="009A00ED">
        <w:rPr>
          <w:b w:val="0"/>
        </w:rPr>
        <w:t xml:space="preserve">isk </w:t>
      </w:r>
      <w:r w:rsidR="001C1697">
        <w:rPr>
          <w:b w:val="0"/>
        </w:rPr>
        <w:t>A</w:t>
      </w:r>
      <w:r w:rsidR="00CA54AB" w:rsidRPr="009A00ED">
        <w:rPr>
          <w:b w:val="0"/>
        </w:rPr>
        <w:t>ssurance</w:t>
      </w:r>
    </w:p>
    <w:p w:rsidR="00994201" w:rsidRPr="00994201" w:rsidRDefault="00994201" w:rsidP="00D9247F">
      <w:pPr>
        <w:pStyle w:val="BodyText"/>
        <w:numPr>
          <w:ilvl w:val="1"/>
          <w:numId w:val="4"/>
        </w:numPr>
        <w:spacing w:before="120" w:after="120"/>
        <w:rPr>
          <w:b w:val="0"/>
        </w:rPr>
      </w:pPr>
      <w:r w:rsidRPr="00CA54AB">
        <w:rPr>
          <w:b w:val="0"/>
          <w:u w:val="single"/>
        </w:rPr>
        <w:t>line four</w:t>
      </w:r>
      <w:r w:rsidRPr="00994201">
        <w:rPr>
          <w:b w:val="0"/>
        </w:rPr>
        <w:t xml:space="preserve"> - activity completed by </w:t>
      </w:r>
      <w:r w:rsidR="009A42D4">
        <w:rPr>
          <w:b w:val="0"/>
        </w:rPr>
        <w:t xml:space="preserve">external </w:t>
      </w:r>
      <w:r w:rsidRPr="00994201">
        <w:rPr>
          <w:b w:val="0"/>
        </w:rPr>
        <w:t>independent parties, such as the National Audit Office or</w:t>
      </w:r>
      <w:r>
        <w:rPr>
          <w:b w:val="0"/>
        </w:rPr>
        <w:t xml:space="preserve"> </w:t>
      </w:r>
      <w:r w:rsidRPr="00994201">
        <w:rPr>
          <w:b w:val="0"/>
        </w:rPr>
        <w:t>the Highways Monitor</w:t>
      </w:r>
    </w:p>
    <w:p w:rsidR="005A45D1" w:rsidRDefault="001417C6" w:rsidP="00D9247F">
      <w:pPr>
        <w:pStyle w:val="BodyText"/>
        <w:numPr>
          <w:ilvl w:val="0"/>
          <w:numId w:val="9"/>
        </w:numPr>
        <w:spacing w:before="120" w:after="120"/>
        <w:ind w:left="567" w:hanging="567"/>
      </w:pPr>
      <w:r w:rsidRPr="005D040A">
        <w:rPr>
          <w:b w:val="0"/>
        </w:rPr>
        <w:t xml:space="preserve">Corporate </w:t>
      </w:r>
      <w:r w:rsidR="009A42D4" w:rsidRPr="005D040A">
        <w:rPr>
          <w:b w:val="0"/>
        </w:rPr>
        <w:t xml:space="preserve">Assurance </w:t>
      </w:r>
      <w:r w:rsidRPr="005D040A">
        <w:rPr>
          <w:b w:val="0"/>
        </w:rPr>
        <w:t xml:space="preserve">will undertake </w:t>
      </w:r>
      <w:r w:rsidR="005951F2" w:rsidRPr="005D040A">
        <w:rPr>
          <w:b w:val="0"/>
        </w:rPr>
        <w:t>in</w:t>
      </w:r>
      <w:r w:rsidR="007B283C" w:rsidRPr="005D040A">
        <w:rPr>
          <w:b w:val="0"/>
        </w:rPr>
        <w:t>-</w:t>
      </w:r>
      <w:r w:rsidR="005951F2" w:rsidRPr="005D040A">
        <w:rPr>
          <w:b w:val="0"/>
        </w:rPr>
        <w:t xml:space="preserve">depth reviews </w:t>
      </w:r>
      <w:r w:rsidRPr="005D040A">
        <w:rPr>
          <w:b w:val="0"/>
        </w:rPr>
        <w:t xml:space="preserve">on </w:t>
      </w:r>
      <w:r w:rsidR="009A42D4" w:rsidRPr="005D040A">
        <w:rPr>
          <w:b w:val="0"/>
        </w:rPr>
        <w:t xml:space="preserve">risk </w:t>
      </w:r>
      <w:r w:rsidRPr="005D040A">
        <w:rPr>
          <w:b w:val="0"/>
        </w:rPr>
        <w:t>registers and will provide guidance and recommendation on their findings as appropriate.</w:t>
      </w:r>
      <w:bookmarkStart w:id="22" w:name="_Toc459628305"/>
      <w:r w:rsidR="005A45D1">
        <w:br w:type="page"/>
      </w:r>
    </w:p>
    <w:p w:rsidR="0028074A" w:rsidRDefault="00C62AA8" w:rsidP="00D9247F">
      <w:pPr>
        <w:pStyle w:val="Heading1"/>
        <w:spacing w:before="120" w:after="120"/>
      </w:pPr>
      <w:r w:rsidRPr="00C62AA8">
        <w:lastRenderedPageBreak/>
        <w:t>Annex A</w:t>
      </w:r>
      <w:r>
        <w:t xml:space="preserve">: </w:t>
      </w:r>
      <w:r w:rsidR="0028074A">
        <w:t xml:space="preserve">Key Responsibilities </w:t>
      </w:r>
    </w:p>
    <w:p w:rsidR="0028074A" w:rsidRPr="00180EFC" w:rsidRDefault="0028074A" w:rsidP="0028074A">
      <w:pPr>
        <w:spacing w:before="120" w:after="120"/>
        <w:rPr>
          <w:lang w:eastAsia="en-GB"/>
        </w:rPr>
      </w:pPr>
      <w:r w:rsidRPr="00180EFC">
        <w:rPr>
          <w:lang w:eastAsia="en-GB"/>
        </w:rPr>
        <w:t xml:space="preserve">To support Highways England’s approach to risk management </w:t>
      </w:r>
      <w:r>
        <w:rPr>
          <w:lang w:eastAsia="en-GB"/>
        </w:rPr>
        <w:t xml:space="preserve">a number of key </w:t>
      </w:r>
      <w:r w:rsidRPr="00180EFC">
        <w:rPr>
          <w:lang w:eastAsia="en-GB"/>
        </w:rPr>
        <w:t>responsibilities ha</w:t>
      </w:r>
      <w:r>
        <w:rPr>
          <w:lang w:eastAsia="en-GB"/>
        </w:rPr>
        <w:t xml:space="preserve">s been </w:t>
      </w:r>
      <w:r w:rsidRPr="00180EFC">
        <w:rPr>
          <w:lang w:eastAsia="en-GB"/>
        </w:rPr>
        <w:t>defined</w:t>
      </w:r>
      <w:r>
        <w:rPr>
          <w:lang w:eastAsia="en-GB"/>
        </w:rPr>
        <w:t xml:space="preserve"> and are provided below: </w:t>
      </w:r>
    </w:p>
    <w:p w:rsidR="0028074A" w:rsidRPr="00180EFC" w:rsidRDefault="0028074A" w:rsidP="0028074A">
      <w:pPr>
        <w:pStyle w:val="Bullet"/>
      </w:pPr>
      <w:r w:rsidRPr="00180EFC">
        <w:rPr>
          <w:u w:val="single"/>
        </w:rPr>
        <w:t>Highways England Board</w:t>
      </w:r>
      <w:r w:rsidRPr="00180EFC">
        <w:t xml:space="preserve"> – has overall responsibility for determining the nature and extent of the significant risks that it is willing to take in achieving our strategic objectives and shall define the overall risk appetite and risk management culture</w:t>
      </w:r>
    </w:p>
    <w:p w:rsidR="0028074A" w:rsidRPr="00180EFC" w:rsidRDefault="0028074A" w:rsidP="0028074A">
      <w:pPr>
        <w:pStyle w:val="Bullet"/>
      </w:pPr>
      <w:r w:rsidRPr="0028074A">
        <w:rPr>
          <w:u w:val="single"/>
        </w:rPr>
        <w:t>Audit and Risk Committee</w:t>
      </w:r>
      <w:r w:rsidRPr="00180EFC">
        <w:t xml:space="preserve"> – supports the Board through reviewing performance, progress and compliance with the company’s risk management process and through providing assurance on the effectiveness of our internal controls and procedures to identify, assess and report risk</w:t>
      </w:r>
    </w:p>
    <w:p w:rsidR="0028074A" w:rsidRPr="00180EFC" w:rsidRDefault="0028074A" w:rsidP="0028074A">
      <w:pPr>
        <w:pStyle w:val="Bullet"/>
      </w:pPr>
      <w:r w:rsidRPr="0028074A">
        <w:rPr>
          <w:u w:val="single"/>
        </w:rPr>
        <w:t>Chief Executive (and Accounting Officer)</w:t>
      </w:r>
      <w:r w:rsidRPr="00180EFC">
        <w:t xml:space="preserve"> – is responsible to Parliament (through the Permanent Secretary of the Department for Transport) for the stewardship of public money and has overall responsibility for ensuring that the company has effective systems of risk management, governance and internal control</w:t>
      </w:r>
    </w:p>
    <w:p w:rsidR="0028074A" w:rsidRDefault="0028074A" w:rsidP="0028074A">
      <w:pPr>
        <w:pStyle w:val="Bullet"/>
      </w:pPr>
      <w:r w:rsidRPr="0028074A">
        <w:rPr>
          <w:u w:val="single"/>
        </w:rPr>
        <w:t>Executive Directors</w:t>
      </w:r>
      <w:r w:rsidRPr="00180EFC">
        <w:t xml:space="preserve"> – should establish appropriate ownership for risk management throughout their directorate to ensure reliable, timely and up-to-date risk information can be provided. They should also promote the integration of risk thinking into core management processes  </w:t>
      </w:r>
    </w:p>
    <w:p w:rsidR="00D40C8B" w:rsidRPr="00D40C8B" w:rsidRDefault="0028074A" w:rsidP="0028074A">
      <w:pPr>
        <w:pStyle w:val="Bullet"/>
        <w:rPr>
          <w:u w:val="single"/>
        </w:rPr>
      </w:pPr>
      <w:r w:rsidRPr="00D40C8B">
        <w:rPr>
          <w:u w:val="single"/>
        </w:rPr>
        <w:t xml:space="preserve">Chief Financial </w:t>
      </w:r>
      <w:proofErr w:type="gramStart"/>
      <w:r w:rsidRPr="00D40C8B">
        <w:rPr>
          <w:u w:val="single"/>
        </w:rPr>
        <w:t>Officer &amp;</w:t>
      </w:r>
      <w:proofErr w:type="gramEnd"/>
      <w:r w:rsidRPr="00D40C8B">
        <w:rPr>
          <w:u w:val="single"/>
        </w:rPr>
        <w:t xml:space="preserve"> SIRO (Senior Information Risk Owner)</w:t>
      </w:r>
      <w:r>
        <w:t xml:space="preserve"> – </w:t>
      </w:r>
      <w:r w:rsidR="00DA0606">
        <w:t>Own</w:t>
      </w:r>
      <w:r w:rsidR="00C660DD">
        <w:t>s</w:t>
      </w:r>
      <w:r w:rsidR="00DA0606">
        <w:t xml:space="preserve"> the organisation’s overall risk policy and risk assessment processes </w:t>
      </w:r>
      <w:r w:rsidR="00C660DD">
        <w:t xml:space="preserve">(including information risks) </w:t>
      </w:r>
      <w:r w:rsidR="00DA0606">
        <w:t>and ensur</w:t>
      </w:r>
      <w:r w:rsidR="00C660DD">
        <w:t>es</w:t>
      </w:r>
      <w:r w:rsidR="00DA0606">
        <w:t xml:space="preserve"> they are implemented consistently</w:t>
      </w:r>
      <w:r w:rsidR="00C660DD">
        <w:t>. They advise the Chief Executive on the information risk aspects of his/her statement on internal controls and own the organisation’s information incident management framework</w:t>
      </w:r>
    </w:p>
    <w:p w:rsidR="0028074A" w:rsidRPr="00C660DD" w:rsidRDefault="0028074A" w:rsidP="0028074A">
      <w:pPr>
        <w:pStyle w:val="Bullet"/>
        <w:rPr>
          <w:u w:val="single"/>
        </w:rPr>
      </w:pPr>
      <w:r w:rsidRPr="00C660DD">
        <w:rPr>
          <w:u w:val="single"/>
        </w:rPr>
        <w:t>Corporate Assurance</w:t>
      </w:r>
      <w:r>
        <w:t xml:space="preserve"> – </w:t>
      </w:r>
      <w:r w:rsidRPr="0028074A">
        <w:t>Provides the Board and Audit and Risk Committee with independent assurance that risk is being identified and managed effectively, in accordance with the risk management framework</w:t>
      </w:r>
    </w:p>
    <w:p w:rsidR="0028074A" w:rsidRDefault="0028074A" w:rsidP="0028074A">
      <w:pPr>
        <w:pStyle w:val="Bullet"/>
      </w:pPr>
      <w:r w:rsidRPr="0028074A">
        <w:rPr>
          <w:u w:val="single"/>
        </w:rPr>
        <w:t xml:space="preserve">Regional </w:t>
      </w:r>
      <w:r w:rsidR="00AB6A3B">
        <w:rPr>
          <w:u w:val="single"/>
        </w:rPr>
        <w:t>Directors</w:t>
      </w:r>
      <w:r>
        <w:t xml:space="preserve"> – </w:t>
      </w:r>
      <w:r w:rsidRPr="00EF7D7E">
        <w:t xml:space="preserve"> </w:t>
      </w:r>
      <w:r>
        <w:t>Responsible for m</w:t>
      </w:r>
      <w:r w:rsidRPr="00E17DE0">
        <w:t>aintain</w:t>
      </w:r>
      <w:r>
        <w:t>ing</w:t>
      </w:r>
      <w:r w:rsidRPr="00E17DE0">
        <w:t xml:space="preserve"> a strategic overview of the regional contribution to national targets</w:t>
      </w:r>
    </w:p>
    <w:p w:rsidR="0028074A" w:rsidRPr="0028074A" w:rsidRDefault="0028074A" w:rsidP="0028074A">
      <w:pPr>
        <w:pStyle w:val="Bullet"/>
        <w:rPr>
          <w:b/>
        </w:rPr>
      </w:pPr>
      <w:r w:rsidRPr="0028074A">
        <w:rPr>
          <w:u w:val="single"/>
        </w:rPr>
        <w:t>Directorate Performance Management Teams</w:t>
      </w:r>
      <w:r w:rsidRPr="0044698E">
        <w:t xml:space="preserve"> - Responsible for ensuring that the risk management policy and processes are complied with, and disseminating risk management guidance and training. They oversee the collation of risk registers within their directorates and </w:t>
      </w:r>
      <w:r>
        <w:t>v</w:t>
      </w:r>
      <w:r w:rsidRPr="0044698E">
        <w:t>alidate risk assessments</w:t>
      </w:r>
      <w:r>
        <w:t>.</w:t>
      </w:r>
      <w:r w:rsidRPr="0044698E">
        <w:t xml:space="preserve"> </w:t>
      </w:r>
    </w:p>
    <w:p w:rsidR="0028074A" w:rsidRDefault="0028074A" w:rsidP="0028074A">
      <w:pPr>
        <w:pStyle w:val="Bullet"/>
      </w:pPr>
      <w:r w:rsidRPr="00D9247F">
        <w:rPr>
          <w:u w:val="single"/>
        </w:rPr>
        <w:t>Programme, Project and Process Managers</w:t>
      </w:r>
      <w:r w:rsidRPr="00D9247F">
        <w:t xml:space="preserve"> –</w:t>
      </w:r>
      <w:r w:rsidRPr="00D9247F">
        <w:rPr>
          <w:b/>
        </w:rPr>
        <w:t xml:space="preserve"> </w:t>
      </w:r>
      <w:r w:rsidRPr="00D9247F">
        <w:t xml:space="preserve">Responsible for </w:t>
      </w:r>
      <w:proofErr w:type="spellStart"/>
      <w:r w:rsidRPr="00D9247F">
        <w:t>actioning</w:t>
      </w:r>
      <w:proofErr w:type="spellEnd"/>
      <w:r w:rsidRPr="00D9247F">
        <w:t xml:space="preserve"> risk responses delegated to them by risk owners. They ensure a thorough understanding of risk responsibilities within their teams. In addition they co-ordinate the identification of risks from within their sphere of control</w:t>
      </w:r>
    </w:p>
    <w:p w:rsidR="0028074A" w:rsidRDefault="0028074A" w:rsidP="0028074A"/>
    <w:p w:rsidR="005D040A" w:rsidRDefault="005D040A" w:rsidP="0028074A">
      <w:r>
        <w:br w:type="page"/>
      </w:r>
    </w:p>
    <w:p w:rsidR="00BD5A74" w:rsidRDefault="0028074A" w:rsidP="00D9247F">
      <w:pPr>
        <w:pStyle w:val="Heading1"/>
        <w:spacing w:before="120" w:after="120"/>
      </w:pPr>
      <w:r>
        <w:lastRenderedPageBreak/>
        <w:t>Annex B:</w:t>
      </w:r>
      <w:r w:rsidR="005D040A">
        <w:t xml:space="preserve"> </w:t>
      </w:r>
      <w:r w:rsidR="00C62AA8">
        <w:t>Themes mapped to KPIs</w:t>
      </w:r>
      <w:bookmarkEnd w:id="22"/>
    </w:p>
    <w:p w:rsidR="00A56110" w:rsidRPr="00D9247F" w:rsidRDefault="001E295F" w:rsidP="00D9247F">
      <w:pPr>
        <w:spacing w:before="120" w:after="120"/>
        <w:rPr>
          <w:i/>
        </w:rPr>
      </w:pPr>
      <w:r>
        <w:t>T</w:t>
      </w:r>
      <w:r w:rsidR="00BD5A74">
        <w:t xml:space="preserve">he </w:t>
      </w:r>
      <w:r>
        <w:t xml:space="preserve">table below shows the </w:t>
      </w:r>
      <w:r w:rsidR="00BD5A74">
        <w:t xml:space="preserve">nine risk themes </w:t>
      </w:r>
      <w:r w:rsidR="00A97810">
        <w:t xml:space="preserve">with </w:t>
      </w:r>
      <w:r w:rsidR="00BD5A74">
        <w:t>linked corporate KPIs and target</w:t>
      </w:r>
      <w:r w:rsidR="00A97810">
        <w:t>s:</w:t>
      </w:r>
      <w:r w:rsidR="00BD5A74">
        <w:t xml:space="preserve"> </w:t>
      </w:r>
    </w:p>
    <w:tbl>
      <w:tblPr>
        <w:tblStyle w:val="TableClassic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2693"/>
        <w:gridCol w:w="2941"/>
      </w:tblGrid>
      <w:tr w:rsidR="007A405A" w:rsidRPr="00BF47DF" w:rsidTr="00B1274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093" w:type="dxa"/>
            <w:shd w:val="solid" w:color="4F81BD" w:themeColor="accent1" w:fill="FFFFFF"/>
          </w:tcPr>
          <w:p w:rsidR="007A405A" w:rsidRPr="005B24A0" w:rsidRDefault="007A405A" w:rsidP="00E6505F">
            <w:pPr>
              <w:ind w:left="360"/>
              <w:jc w:val="center"/>
              <w:rPr>
                <w:color w:val="auto"/>
                <w:szCs w:val="22"/>
              </w:rPr>
            </w:pPr>
            <w:r w:rsidRPr="005B24A0">
              <w:rPr>
                <w:szCs w:val="22"/>
              </w:rPr>
              <w:t>Theme</w:t>
            </w:r>
          </w:p>
        </w:tc>
        <w:tc>
          <w:tcPr>
            <w:tcW w:w="1843" w:type="dxa"/>
            <w:shd w:val="solid" w:color="4F81BD" w:themeColor="accent1" w:fill="FFFFFF"/>
          </w:tcPr>
          <w:p w:rsidR="007A405A" w:rsidRPr="007318F9" w:rsidRDefault="007A405A" w:rsidP="00E6505F">
            <w:pPr>
              <w:pStyle w:val="BodyText"/>
              <w:ind w:left="360"/>
              <w:jc w:val="center"/>
              <w:cnfStyle w:val="100000000000" w:firstRow="1" w:lastRow="0" w:firstColumn="0" w:lastColumn="0" w:oddVBand="0" w:evenVBand="0" w:oddHBand="0" w:evenHBand="0" w:firstRowFirstColumn="0" w:firstRowLastColumn="0" w:lastRowFirstColumn="0" w:lastRowLastColumn="0"/>
              <w:rPr>
                <w:b w:val="0"/>
                <w:color w:val="auto"/>
                <w:szCs w:val="22"/>
              </w:rPr>
            </w:pPr>
            <w:r w:rsidRPr="00BF47DF">
              <w:rPr>
                <w:b w:val="0"/>
                <w:szCs w:val="22"/>
              </w:rPr>
              <w:t>Performance Area</w:t>
            </w:r>
          </w:p>
        </w:tc>
        <w:tc>
          <w:tcPr>
            <w:tcW w:w="2693" w:type="dxa"/>
            <w:shd w:val="solid" w:color="4F81BD" w:themeColor="accent1" w:fill="FFFFFF"/>
          </w:tcPr>
          <w:p w:rsidR="007A405A" w:rsidRPr="007318F9" w:rsidRDefault="007A405A" w:rsidP="00E6505F">
            <w:pPr>
              <w:pStyle w:val="BodyText"/>
              <w:ind w:left="360"/>
              <w:jc w:val="center"/>
              <w:cnfStyle w:val="100000000000" w:firstRow="1" w:lastRow="0" w:firstColumn="0" w:lastColumn="0" w:oddVBand="0" w:evenVBand="0" w:oddHBand="0" w:evenHBand="0" w:firstRowFirstColumn="0" w:firstRowLastColumn="0" w:lastRowFirstColumn="0" w:lastRowLastColumn="0"/>
              <w:rPr>
                <w:b w:val="0"/>
                <w:color w:val="auto"/>
                <w:szCs w:val="22"/>
              </w:rPr>
            </w:pPr>
            <w:r w:rsidRPr="00BF47DF">
              <w:rPr>
                <w:b w:val="0"/>
                <w:szCs w:val="22"/>
              </w:rPr>
              <w:t>KPI</w:t>
            </w:r>
          </w:p>
        </w:tc>
        <w:tc>
          <w:tcPr>
            <w:tcW w:w="2941" w:type="dxa"/>
            <w:shd w:val="solid" w:color="4F81BD" w:themeColor="accent1" w:fill="FFFFFF"/>
          </w:tcPr>
          <w:p w:rsidR="007A405A" w:rsidRPr="007318F9" w:rsidRDefault="007A405A" w:rsidP="00E6505F">
            <w:pPr>
              <w:pStyle w:val="BodyText"/>
              <w:ind w:left="360"/>
              <w:jc w:val="center"/>
              <w:cnfStyle w:val="100000000000" w:firstRow="1" w:lastRow="0" w:firstColumn="0" w:lastColumn="0" w:oddVBand="0" w:evenVBand="0" w:oddHBand="0" w:evenHBand="0" w:firstRowFirstColumn="0" w:firstRowLastColumn="0" w:lastRowFirstColumn="0" w:lastRowLastColumn="0"/>
              <w:rPr>
                <w:b w:val="0"/>
                <w:color w:val="auto"/>
                <w:szCs w:val="22"/>
              </w:rPr>
            </w:pPr>
            <w:r w:rsidRPr="00BF47DF">
              <w:rPr>
                <w:b w:val="0"/>
                <w:szCs w:val="22"/>
              </w:rPr>
              <w:t>Target</w:t>
            </w:r>
          </w:p>
        </w:tc>
      </w:tr>
      <w:tr w:rsidR="007A405A" w:rsidRPr="00C87C8D" w:rsidTr="00B1274C">
        <w:tc>
          <w:tcPr>
            <w:cnfStyle w:val="001000000000" w:firstRow="0" w:lastRow="0" w:firstColumn="1" w:lastColumn="0" w:oddVBand="0" w:evenVBand="0" w:oddHBand="0" w:evenHBand="0" w:firstRowFirstColumn="0" w:firstRowLastColumn="0" w:lastRowFirstColumn="0" w:lastRowLastColumn="0"/>
            <w:tcW w:w="2093" w:type="dxa"/>
            <w:vMerge w:val="restart"/>
            <w:vAlign w:val="center"/>
          </w:tcPr>
          <w:p w:rsidR="007A405A" w:rsidRPr="009D20BC" w:rsidRDefault="007A405A" w:rsidP="00E6505F">
            <w:pPr>
              <w:pStyle w:val="BodyText"/>
              <w:ind w:left="360"/>
              <w:jc w:val="center"/>
              <w:rPr>
                <w:szCs w:val="22"/>
              </w:rPr>
            </w:pPr>
            <w:r w:rsidRPr="009D20BC">
              <w:rPr>
                <w:b/>
                <w:szCs w:val="22"/>
              </w:rPr>
              <w:t>Health, Safety and Wellbeing</w:t>
            </w:r>
          </w:p>
        </w:tc>
        <w:tc>
          <w:tcPr>
            <w:tcW w:w="184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Making the Network Safer</w:t>
            </w:r>
          </w:p>
          <w:p w:rsidR="007A405A" w:rsidRPr="00C87C8D" w:rsidRDefault="007A405A" w:rsidP="00E6505F">
            <w:pPr>
              <w:pStyle w:val="BodyText"/>
              <w:jc w:val="center"/>
              <w:cnfStyle w:val="000000000000" w:firstRow="0" w:lastRow="0" w:firstColumn="0" w:lastColumn="0" w:oddVBand="0" w:evenVBand="0" w:oddHBand="0" w:evenHBand="0" w:firstRowFirstColumn="0" w:firstRowLastColumn="0" w:lastRowFirstColumn="0" w:lastRowLastColumn="0"/>
              <w:rPr>
                <w:b w:val="0"/>
                <w:szCs w:val="22"/>
              </w:rPr>
            </w:pP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The number of KSIs on the SRN.</w:t>
            </w: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 xml:space="preserve">Ongoing reduction in Network KSIs to support a decrease of at least 40% by the end of 2020 against the 2005–09 average </w:t>
            </w:r>
            <w:proofErr w:type="gramStart"/>
            <w:r w:rsidRPr="00C87C8D">
              <w:rPr>
                <w:b w:val="0"/>
                <w:szCs w:val="22"/>
              </w:rPr>
              <w:t>baseline</w:t>
            </w:r>
            <w:proofErr w:type="gramEnd"/>
            <w:r w:rsidRPr="00C87C8D">
              <w:rPr>
                <w:b w:val="0"/>
                <w:szCs w:val="22"/>
              </w:rPr>
              <w:t>.</w:t>
            </w:r>
          </w:p>
        </w:tc>
      </w:tr>
      <w:tr w:rsidR="007A405A" w:rsidRPr="00C87C8D" w:rsidTr="00B1274C">
        <w:trPr>
          <w:trHeight w:val="1777"/>
        </w:trPr>
        <w:tc>
          <w:tcPr>
            <w:cnfStyle w:val="001000000000" w:firstRow="0" w:lastRow="0" w:firstColumn="1" w:lastColumn="0" w:oddVBand="0" w:evenVBand="0" w:oddHBand="0" w:evenHBand="0" w:firstRowFirstColumn="0" w:firstRowLastColumn="0" w:lastRowFirstColumn="0" w:lastRowLastColumn="0"/>
            <w:tcW w:w="2093" w:type="dxa"/>
            <w:vMerge/>
            <w:vAlign w:val="center"/>
          </w:tcPr>
          <w:p w:rsidR="007A405A" w:rsidRPr="009D20BC" w:rsidRDefault="007A405A" w:rsidP="00E6505F">
            <w:pPr>
              <w:pStyle w:val="BodyText"/>
              <w:ind w:left="360"/>
              <w:jc w:val="center"/>
              <w:rPr>
                <w:szCs w:val="22"/>
              </w:rPr>
            </w:pPr>
          </w:p>
        </w:tc>
        <w:tc>
          <w:tcPr>
            <w:tcW w:w="184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Helping cyclists, walkers, and other vulnerable users of the Network</w:t>
            </w:r>
          </w:p>
          <w:p w:rsidR="007A405A" w:rsidRPr="00C87C8D" w:rsidRDefault="007A405A" w:rsidP="00E6505F">
            <w:pPr>
              <w:pStyle w:val="BodyText"/>
              <w:jc w:val="center"/>
              <w:cnfStyle w:val="000000000000" w:firstRow="0" w:lastRow="0" w:firstColumn="0" w:lastColumn="0" w:oddVBand="0" w:evenVBand="0" w:oddHBand="0" w:evenHBand="0" w:firstRowFirstColumn="0" w:firstRowLastColumn="0" w:lastRowFirstColumn="0" w:lastRowLastColumn="0"/>
              <w:rPr>
                <w:b w:val="0"/>
                <w:szCs w:val="22"/>
              </w:rPr>
            </w:pP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The number of new and upgraded crossings.</w:t>
            </w: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p>
        </w:tc>
      </w:tr>
      <w:tr w:rsidR="007A405A" w:rsidRPr="00C87C8D" w:rsidTr="00B1274C">
        <w:tc>
          <w:tcPr>
            <w:cnfStyle w:val="001000000000" w:firstRow="0" w:lastRow="0" w:firstColumn="1" w:lastColumn="0" w:oddVBand="0" w:evenVBand="0" w:oddHBand="0" w:evenHBand="0" w:firstRowFirstColumn="0" w:firstRowLastColumn="0" w:lastRowFirstColumn="0" w:lastRowLastColumn="0"/>
            <w:tcW w:w="2093" w:type="dxa"/>
            <w:vMerge w:val="restart"/>
            <w:vAlign w:val="center"/>
          </w:tcPr>
          <w:p w:rsidR="007A405A" w:rsidRPr="009D20BC" w:rsidRDefault="007A405A" w:rsidP="00E6505F">
            <w:pPr>
              <w:pStyle w:val="BodyText"/>
              <w:ind w:left="360"/>
              <w:jc w:val="center"/>
              <w:rPr>
                <w:b/>
                <w:szCs w:val="22"/>
              </w:rPr>
            </w:pPr>
            <w:r w:rsidRPr="009D20BC">
              <w:rPr>
                <w:b/>
                <w:szCs w:val="22"/>
              </w:rPr>
              <w:t>Delivering Service to Customers and Communities</w:t>
            </w:r>
          </w:p>
          <w:p w:rsidR="007A405A" w:rsidRPr="009D20BC" w:rsidRDefault="007A405A" w:rsidP="00E6505F">
            <w:pPr>
              <w:pStyle w:val="BodyText"/>
              <w:jc w:val="center"/>
              <w:rPr>
                <w:b/>
                <w:szCs w:val="22"/>
              </w:rPr>
            </w:pPr>
          </w:p>
        </w:tc>
        <w:tc>
          <w:tcPr>
            <w:tcW w:w="184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Improving user satisfaction</w:t>
            </w: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The percentage of NRUSS respondents who are Very or Fairly Satisfied.</w:t>
            </w: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Achieve a score of 90% by 31 March 2017 and then maintain or improve it.</w:t>
            </w:r>
          </w:p>
        </w:tc>
      </w:tr>
      <w:tr w:rsidR="007A405A" w:rsidRPr="00C87C8D" w:rsidTr="00B1274C">
        <w:trPr>
          <w:trHeight w:val="1319"/>
        </w:trPr>
        <w:tc>
          <w:tcPr>
            <w:cnfStyle w:val="001000000000" w:firstRow="0" w:lastRow="0" w:firstColumn="1" w:lastColumn="0" w:oddVBand="0" w:evenVBand="0" w:oddHBand="0" w:evenHBand="0" w:firstRowFirstColumn="0" w:firstRowLastColumn="0" w:lastRowFirstColumn="0" w:lastRowLastColumn="0"/>
            <w:tcW w:w="2093" w:type="dxa"/>
            <w:vMerge/>
            <w:vAlign w:val="center"/>
          </w:tcPr>
          <w:p w:rsidR="007A405A" w:rsidRPr="009D20BC" w:rsidRDefault="007A405A" w:rsidP="00E6505F">
            <w:pPr>
              <w:pStyle w:val="BodyText"/>
              <w:ind w:left="360"/>
              <w:jc w:val="center"/>
              <w:rPr>
                <w:b/>
                <w:szCs w:val="22"/>
              </w:rPr>
            </w:pPr>
          </w:p>
        </w:tc>
        <w:tc>
          <w:tcPr>
            <w:tcW w:w="184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Supporting the smooth flow of traffic</w:t>
            </w: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Incident Management: percentage of motorway incidents cleared within one hour.</w:t>
            </w: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At least 85% of all motorway incidents should be cleared within one hour.</w:t>
            </w:r>
          </w:p>
        </w:tc>
      </w:tr>
      <w:tr w:rsidR="007A405A" w:rsidRPr="00C87C8D" w:rsidTr="00B1274C">
        <w:tc>
          <w:tcPr>
            <w:cnfStyle w:val="001000000000" w:firstRow="0" w:lastRow="0" w:firstColumn="1" w:lastColumn="0" w:oddVBand="0" w:evenVBand="0" w:oddHBand="0" w:evenHBand="0" w:firstRowFirstColumn="0" w:firstRowLastColumn="0" w:lastRowFirstColumn="0" w:lastRowLastColumn="0"/>
            <w:tcW w:w="2093" w:type="dxa"/>
            <w:vMerge w:val="restart"/>
            <w:vAlign w:val="center"/>
          </w:tcPr>
          <w:p w:rsidR="007A405A" w:rsidRPr="009D20BC" w:rsidRDefault="007A405A" w:rsidP="00E6505F">
            <w:pPr>
              <w:pStyle w:val="Heading3"/>
              <w:ind w:left="360"/>
              <w:jc w:val="center"/>
              <w:outlineLvl w:val="2"/>
              <w:rPr>
                <w:b/>
                <w:sz w:val="22"/>
                <w:szCs w:val="22"/>
              </w:rPr>
            </w:pPr>
            <w:r>
              <w:rPr>
                <w:b/>
                <w:sz w:val="22"/>
                <w:szCs w:val="22"/>
              </w:rPr>
              <w:t>Delivering Performance and Efficiency</w:t>
            </w:r>
          </w:p>
          <w:p w:rsidR="007A405A" w:rsidRPr="009D20BC" w:rsidRDefault="007A405A" w:rsidP="00E6505F">
            <w:pPr>
              <w:pStyle w:val="BodyText"/>
              <w:jc w:val="center"/>
              <w:rPr>
                <w:b/>
                <w:szCs w:val="22"/>
              </w:rPr>
            </w:pPr>
          </w:p>
          <w:p w:rsidR="007A405A" w:rsidRPr="009D20BC" w:rsidRDefault="007A405A" w:rsidP="00E6505F">
            <w:pPr>
              <w:pStyle w:val="BodyText"/>
              <w:jc w:val="center"/>
              <w:rPr>
                <w:b/>
                <w:szCs w:val="22"/>
              </w:rPr>
            </w:pPr>
          </w:p>
        </w:tc>
        <w:tc>
          <w:tcPr>
            <w:tcW w:w="184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Improving user satisfaction</w:t>
            </w:r>
          </w:p>
          <w:p w:rsidR="007A405A" w:rsidRPr="00C87C8D" w:rsidRDefault="007A405A" w:rsidP="00E6505F">
            <w:pPr>
              <w:pStyle w:val="BodyText"/>
              <w:jc w:val="center"/>
              <w:cnfStyle w:val="000000000000" w:firstRow="0" w:lastRow="0" w:firstColumn="0" w:lastColumn="0" w:oddVBand="0" w:evenVBand="0" w:oddHBand="0" w:evenHBand="0" w:firstRowFirstColumn="0" w:firstRowLastColumn="0" w:lastRowFirstColumn="0" w:lastRowLastColumn="0"/>
              <w:rPr>
                <w:b w:val="0"/>
                <w:szCs w:val="22"/>
              </w:rPr>
            </w:pP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The percentage of NRUSS respondents who are Very or Fairly Satisfied with: Journey Time; Information and Signs; Management of roadwork’s; Feeling Safe; Upkeep.</w:t>
            </w: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p>
        </w:tc>
      </w:tr>
      <w:tr w:rsidR="007A405A" w:rsidRPr="00C87C8D" w:rsidTr="00B1274C">
        <w:tc>
          <w:tcPr>
            <w:cnfStyle w:val="001000000000" w:firstRow="0" w:lastRow="0" w:firstColumn="1" w:lastColumn="0" w:oddVBand="0" w:evenVBand="0" w:oddHBand="0" w:evenHBand="0" w:firstRowFirstColumn="0" w:firstRowLastColumn="0" w:lastRowFirstColumn="0" w:lastRowLastColumn="0"/>
            <w:tcW w:w="2093" w:type="dxa"/>
            <w:vMerge/>
            <w:vAlign w:val="center"/>
          </w:tcPr>
          <w:p w:rsidR="007A405A" w:rsidRPr="009D20BC" w:rsidRDefault="007A405A" w:rsidP="00E6505F">
            <w:pPr>
              <w:pStyle w:val="BodyText"/>
              <w:ind w:left="360"/>
              <w:jc w:val="center"/>
              <w:rPr>
                <w:b/>
                <w:szCs w:val="22"/>
              </w:rPr>
            </w:pPr>
          </w:p>
        </w:tc>
        <w:tc>
          <w:tcPr>
            <w:tcW w:w="1843" w:type="dxa"/>
            <w:vMerge w:val="restart"/>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Achieving Real Efficiency</w:t>
            </w:r>
          </w:p>
          <w:p w:rsidR="007A405A" w:rsidRPr="00C87C8D" w:rsidRDefault="007A405A" w:rsidP="00E6505F">
            <w:pPr>
              <w:pStyle w:val="BodyText"/>
              <w:jc w:val="center"/>
              <w:cnfStyle w:val="000000000000" w:firstRow="0" w:lastRow="0" w:firstColumn="0" w:lastColumn="0" w:oddVBand="0" w:evenVBand="0" w:oddHBand="0" w:evenHBand="0" w:firstRowFirstColumn="0" w:firstRowLastColumn="0" w:lastRowFirstColumn="0" w:lastRowLastColumn="0"/>
              <w:rPr>
                <w:b w:val="0"/>
                <w:szCs w:val="22"/>
              </w:rPr>
            </w:pP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Cost Savings: Savings on capital expenditure.</w:t>
            </w:r>
          </w:p>
          <w:p w:rsidR="007A405A" w:rsidRPr="00C87C8D" w:rsidRDefault="007A405A" w:rsidP="00E6505F">
            <w:pPr>
              <w:pStyle w:val="BodyText"/>
              <w:jc w:val="center"/>
              <w:cnfStyle w:val="000000000000" w:firstRow="0" w:lastRow="0" w:firstColumn="0" w:lastColumn="0" w:oddVBand="0" w:evenVBand="0" w:oddHBand="0" w:evenHBand="0" w:firstRowFirstColumn="0" w:firstRowLastColumn="0" w:lastRowFirstColumn="0" w:lastRowLastColumn="0"/>
              <w:rPr>
                <w:b w:val="0"/>
                <w:szCs w:val="22"/>
              </w:rPr>
            </w:pP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Total savings of at least £1.212 billion over RP1 on capital expenditure.</w:t>
            </w:r>
          </w:p>
        </w:tc>
      </w:tr>
      <w:tr w:rsidR="007A405A" w:rsidRPr="00C87C8D" w:rsidTr="00B1274C">
        <w:trPr>
          <w:trHeight w:val="2330"/>
        </w:trPr>
        <w:tc>
          <w:tcPr>
            <w:cnfStyle w:val="001000000000" w:firstRow="0" w:lastRow="0" w:firstColumn="1" w:lastColumn="0" w:oddVBand="0" w:evenVBand="0" w:oddHBand="0" w:evenHBand="0" w:firstRowFirstColumn="0" w:firstRowLastColumn="0" w:lastRowFirstColumn="0" w:lastRowLastColumn="0"/>
            <w:tcW w:w="2093" w:type="dxa"/>
            <w:vMerge/>
            <w:vAlign w:val="center"/>
          </w:tcPr>
          <w:p w:rsidR="007A405A" w:rsidRPr="009D20BC" w:rsidRDefault="007A405A" w:rsidP="00E6505F">
            <w:pPr>
              <w:pStyle w:val="BodyText"/>
              <w:ind w:left="360"/>
              <w:jc w:val="center"/>
              <w:rPr>
                <w:b/>
                <w:szCs w:val="22"/>
              </w:rPr>
            </w:pPr>
          </w:p>
        </w:tc>
        <w:tc>
          <w:tcPr>
            <w:tcW w:w="1843" w:type="dxa"/>
            <w:vMerge/>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Delivery Plan Progress: progress of work, relative to forecasts set out in the Delivery Plan, and annual updates to that Plan, and expectations at the start of RP1.</w:t>
            </w:r>
          </w:p>
          <w:p w:rsidR="007A405A" w:rsidRPr="00C87C8D" w:rsidRDefault="007A405A" w:rsidP="00E6505F">
            <w:pPr>
              <w:pStyle w:val="BodyText"/>
              <w:jc w:val="center"/>
              <w:cnfStyle w:val="000000000000" w:firstRow="0" w:lastRow="0" w:firstColumn="0" w:lastColumn="0" w:oddVBand="0" w:evenVBand="0" w:oddHBand="0" w:evenHBand="0" w:firstRowFirstColumn="0" w:firstRowLastColumn="0" w:lastRowFirstColumn="0" w:lastRowLastColumn="0"/>
              <w:rPr>
                <w:b w:val="0"/>
                <w:szCs w:val="22"/>
              </w:rPr>
            </w:pP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Meet or exceed forecasts.</w:t>
            </w:r>
          </w:p>
        </w:tc>
      </w:tr>
      <w:tr w:rsidR="007A405A" w:rsidRPr="00C87C8D" w:rsidTr="00B1274C">
        <w:tc>
          <w:tcPr>
            <w:cnfStyle w:val="001000000000" w:firstRow="0" w:lastRow="0" w:firstColumn="1" w:lastColumn="0" w:oddVBand="0" w:evenVBand="0" w:oddHBand="0" w:evenHBand="0" w:firstRowFirstColumn="0" w:firstRowLastColumn="0" w:lastRowFirstColumn="0" w:lastRowLastColumn="0"/>
            <w:tcW w:w="2093" w:type="dxa"/>
            <w:vAlign w:val="center"/>
          </w:tcPr>
          <w:p w:rsidR="007A405A" w:rsidRPr="009D20BC" w:rsidRDefault="007A405A" w:rsidP="00E6505F">
            <w:pPr>
              <w:pStyle w:val="BodyText"/>
              <w:ind w:left="360"/>
              <w:jc w:val="center"/>
              <w:rPr>
                <w:b/>
                <w:szCs w:val="22"/>
              </w:rPr>
            </w:pPr>
            <w:r>
              <w:rPr>
                <w:b/>
                <w:szCs w:val="22"/>
              </w:rPr>
              <w:lastRenderedPageBreak/>
              <w:t>People and Company</w:t>
            </w:r>
          </w:p>
        </w:tc>
        <w:tc>
          <w:tcPr>
            <w:tcW w:w="184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Achieving Real Efficiency</w:t>
            </w:r>
          </w:p>
          <w:p w:rsidR="007A405A" w:rsidRPr="00C87C8D" w:rsidRDefault="007A405A" w:rsidP="00E6505F">
            <w:pPr>
              <w:pStyle w:val="BodyText"/>
              <w:jc w:val="center"/>
              <w:cnfStyle w:val="000000000000" w:firstRow="0" w:lastRow="0" w:firstColumn="0" w:lastColumn="0" w:oddVBand="0" w:evenVBand="0" w:oddHBand="0" w:evenHBand="0" w:firstRowFirstColumn="0" w:firstRowLastColumn="0" w:lastRowFirstColumn="0" w:lastRowLastColumn="0"/>
              <w:rPr>
                <w:b w:val="0"/>
                <w:szCs w:val="22"/>
              </w:rPr>
            </w:pP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Delivery Plan Progress: progress of work, relative to forecasts set out in the Delivery Plan, and annual updates to that Plan, and expectations at the start of RP1</w:t>
            </w: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Meet or exceed forecasts.</w:t>
            </w:r>
          </w:p>
        </w:tc>
      </w:tr>
      <w:tr w:rsidR="007A405A" w:rsidRPr="00C87C8D" w:rsidTr="00B1274C">
        <w:tc>
          <w:tcPr>
            <w:cnfStyle w:val="001000000000" w:firstRow="0" w:lastRow="0" w:firstColumn="1" w:lastColumn="0" w:oddVBand="0" w:evenVBand="0" w:oddHBand="0" w:evenHBand="0" w:firstRowFirstColumn="0" w:firstRowLastColumn="0" w:lastRowFirstColumn="0" w:lastRowLastColumn="0"/>
            <w:tcW w:w="2093" w:type="dxa"/>
            <w:vMerge w:val="restart"/>
            <w:vAlign w:val="center"/>
          </w:tcPr>
          <w:p w:rsidR="007A405A" w:rsidRPr="009D20BC" w:rsidRDefault="007A405A" w:rsidP="00E6505F">
            <w:pPr>
              <w:pStyle w:val="BodyText"/>
              <w:ind w:left="360"/>
              <w:jc w:val="center"/>
              <w:rPr>
                <w:b/>
                <w:szCs w:val="22"/>
              </w:rPr>
            </w:pPr>
            <w:r>
              <w:rPr>
                <w:b/>
                <w:szCs w:val="22"/>
              </w:rPr>
              <w:t xml:space="preserve">Improving the </w:t>
            </w:r>
            <w:r w:rsidRPr="009D20BC">
              <w:rPr>
                <w:b/>
                <w:szCs w:val="22"/>
              </w:rPr>
              <w:t>Environment</w:t>
            </w:r>
          </w:p>
        </w:tc>
        <w:tc>
          <w:tcPr>
            <w:tcW w:w="1843" w:type="dxa"/>
            <w:vMerge w:val="restart"/>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Delivering Better Environmental Outcomes</w:t>
            </w:r>
          </w:p>
          <w:p w:rsidR="007A405A" w:rsidRPr="00C87C8D" w:rsidRDefault="007A405A" w:rsidP="00E6505F">
            <w:pPr>
              <w:pStyle w:val="BodyText"/>
              <w:jc w:val="center"/>
              <w:cnfStyle w:val="000000000000" w:firstRow="0" w:lastRow="0" w:firstColumn="0" w:lastColumn="0" w:oddVBand="0" w:evenVBand="0" w:oddHBand="0" w:evenHBand="0" w:firstRowFirstColumn="0" w:firstRowLastColumn="0" w:lastRowFirstColumn="0" w:lastRowLastColumn="0"/>
              <w:rPr>
                <w:b w:val="0"/>
                <w:szCs w:val="22"/>
              </w:rPr>
            </w:pPr>
          </w:p>
          <w:p w:rsidR="007A405A" w:rsidRPr="00C87C8D" w:rsidRDefault="007A405A" w:rsidP="00E6505F">
            <w:pPr>
              <w:pStyle w:val="BodyText"/>
              <w:jc w:val="center"/>
              <w:cnfStyle w:val="000000000000" w:firstRow="0" w:lastRow="0" w:firstColumn="0" w:lastColumn="0" w:oddVBand="0" w:evenVBand="0" w:oddHBand="0" w:evenHBand="0" w:firstRowFirstColumn="0" w:firstRowLastColumn="0" w:lastRowFirstColumn="0" w:lastRowLastColumn="0"/>
              <w:rPr>
                <w:b w:val="0"/>
                <w:szCs w:val="22"/>
              </w:rPr>
            </w:pP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Noise: Number of Noise Important Areas mitigated.</w:t>
            </w: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Mitigate at least 1,150 Noise Important Areas over RP1.</w:t>
            </w:r>
          </w:p>
        </w:tc>
      </w:tr>
      <w:tr w:rsidR="007A405A" w:rsidRPr="00C87C8D" w:rsidTr="00B1274C">
        <w:tc>
          <w:tcPr>
            <w:cnfStyle w:val="001000000000" w:firstRow="0" w:lastRow="0" w:firstColumn="1" w:lastColumn="0" w:oddVBand="0" w:evenVBand="0" w:oddHBand="0" w:evenHBand="0" w:firstRowFirstColumn="0" w:firstRowLastColumn="0" w:lastRowFirstColumn="0" w:lastRowLastColumn="0"/>
            <w:tcW w:w="2093" w:type="dxa"/>
            <w:vMerge/>
            <w:vAlign w:val="center"/>
          </w:tcPr>
          <w:p w:rsidR="007A405A" w:rsidRPr="009D20BC" w:rsidRDefault="007A405A" w:rsidP="00E6505F">
            <w:pPr>
              <w:pStyle w:val="BodyText"/>
              <w:ind w:left="360"/>
              <w:jc w:val="center"/>
              <w:rPr>
                <w:b/>
                <w:szCs w:val="22"/>
              </w:rPr>
            </w:pPr>
          </w:p>
        </w:tc>
        <w:tc>
          <w:tcPr>
            <w:tcW w:w="1843" w:type="dxa"/>
            <w:vMerge/>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 Biodiversity: Delivery of improved biodiversity, as set out in the Company's Biodiversity Action Plan.</w:t>
            </w: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The Company should publish its Biodiversity Action Plan by 30 June 2015 and report annually on how it has delivered against the Plan to reduce net biodiversity loss on an ongoing annual basis.</w:t>
            </w:r>
          </w:p>
          <w:p w:rsidR="007A405A" w:rsidRPr="00C87C8D" w:rsidRDefault="007A405A" w:rsidP="00E6505F">
            <w:pPr>
              <w:pStyle w:val="BodyText"/>
              <w:jc w:val="center"/>
              <w:cnfStyle w:val="000000000000" w:firstRow="0" w:lastRow="0" w:firstColumn="0" w:lastColumn="0" w:oddVBand="0" w:evenVBand="0" w:oddHBand="0" w:evenHBand="0" w:firstRowFirstColumn="0" w:firstRowLastColumn="0" w:lastRowFirstColumn="0" w:lastRowLastColumn="0"/>
              <w:rPr>
                <w:b w:val="0"/>
                <w:szCs w:val="22"/>
              </w:rPr>
            </w:pPr>
          </w:p>
        </w:tc>
      </w:tr>
      <w:tr w:rsidR="007A405A" w:rsidRPr="00C87C8D" w:rsidTr="00B1274C">
        <w:tc>
          <w:tcPr>
            <w:cnfStyle w:val="001000000000" w:firstRow="0" w:lastRow="0" w:firstColumn="1" w:lastColumn="0" w:oddVBand="0" w:evenVBand="0" w:oddHBand="0" w:evenHBand="0" w:firstRowFirstColumn="0" w:firstRowLastColumn="0" w:lastRowFirstColumn="0" w:lastRowLastColumn="0"/>
            <w:tcW w:w="2093" w:type="dxa"/>
            <w:vMerge w:val="restart"/>
            <w:vAlign w:val="center"/>
          </w:tcPr>
          <w:p w:rsidR="007A405A" w:rsidRPr="009D20BC" w:rsidRDefault="007A405A" w:rsidP="00E6505F">
            <w:pPr>
              <w:pStyle w:val="BodyText"/>
              <w:ind w:left="360"/>
              <w:jc w:val="center"/>
              <w:rPr>
                <w:b/>
                <w:szCs w:val="22"/>
              </w:rPr>
            </w:pPr>
            <w:r w:rsidRPr="009D20BC">
              <w:rPr>
                <w:b/>
                <w:szCs w:val="22"/>
              </w:rPr>
              <w:t>Asset Stewardship</w:t>
            </w:r>
          </w:p>
        </w:tc>
        <w:tc>
          <w:tcPr>
            <w:tcW w:w="184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Keeping the Network in good condition</w:t>
            </w:r>
          </w:p>
          <w:p w:rsidR="007A405A" w:rsidRPr="00C87C8D" w:rsidRDefault="007A405A" w:rsidP="00E6505F">
            <w:pPr>
              <w:pStyle w:val="BodyText"/>
              <w:jc w:val="center"/>
              <w:cnfStyle w:val="000000000000" w:firstRow="0" w:lastRow="0" w:firstColumn="0" w:lastColumn="0" w:oddVBand="0" w:evenVBand="0" w:oddHBand="0" w:evenHBand="0" w:firstRowFirstColumn="0" w:firstRowLastColumn="0" w:lastRowFirstColumn="0" w:lastRowLastColumn="0"/>
              <w:rPr>
                <w:b w:val="0"/>
                <w:szCs w:val="22"/>
              </w:rPr>
            </w:pP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The percentage of pavement that does not require further investigation for possible maintenance.</w:t>
            </w: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Percentage to be maintained at 95% or above.</w:t>
            </w:r>
          </w:p>
        </w:tc>
      </w:tr>
      <w:tr w:rsidR="007A405A" w:rsidRPr="00C87C8D" w:rsidTr="00B1274C">
        <w:tc>
          <w:tcPr>
            <w:cnfStyle w:val="001000000000" w:firstRow="0" w:lastRow="0" w:firstColumn="1" w:lastColumn="0" w:oddVBand="0" w:evenVBand="0" w:oddHBand="0" w:evenHBand="0" w:firstRowFirstColumn="0" w:firstRowLastColumn="0" w:lastRowFirstColumn="0" w:lastRowLastColumn="0"/>
            <w:tcW w:w="2093" w:type="dxa"/>
            <w:vMerge/>
            <w:vAlign w:val="center"/>
          </w:tcPr>
          <w:p w:rsidR="007A405A" w:rsidRPr="009D20BC" w:rsidRDefault="007A405A" w:rsidP="00E6505F">
            <w:pPr>
              <w:pStyle w:val="BodyText"/>
              <w:ind w:left="360"/>
              <w:jc w:val="center"/>
              <w:rPr>
                <w:b/>
                <w:szCs w:val="22"/>
              </w:rPr>
            </w:pPr>
          </w:p>
        </w:tc>
        <w:tc>
          <w:tcPr>
            <w:tcW w:w="184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Supporting the smooth Flow of Traffic</w:t>
            </w:r>
          </w:p>
          <w:p w:rsidR="007A405A" w:rsidRPr="00C87C8D" w:rsidRDefault="007A405A" w:rsidP="00E6505F">
            <w:pPr>
              <w:pStyle w:val="BodyText"/>
              <w:jc w:val="center"/>
              <w:cnfStyle w:val="000000000000" w:firstRow="0" w:lastRow="0" w:firstColumn="0" w:lastColumn="0" w:oddVBand="0" w:evenVBand="0" w:oddHBand="0" w:evenHBand="0" w:firstRowFirstColumn="0" w:firstRowLastColumn="0" w:lastRowFirstColumn="0" w:lastRowLastColumn="0"/>
              <w:rPr>
                <w:b w:val="0"/>
                <w:szCs w:val="22"/>
              </w:rPr>
            </w:pP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Network Availability: the percentage of the SRN available to traffic.</w:t>
            </w: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Maximise lane availability so that it does not fall below 97% in any one rolling year.</w:t>
            </w:r>
          </w:p>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Encouraging Economic Growth</w:t>
            </w:r>
          </w:p>
        </w:tc>
      </w:tr>
      <w:tr w:rsidR="007A405A" w:rsidRPr="00C87C8D" w:rsidTr="00B1274C">
        <w:tc>
          <w:tcPr>
            <w:cnfStyle w:val="001000000000" w:firstRow="0" w:lastRow="0" w:firstColumn="1" w:lastColumn="0" w:oddVBand="0" w:evenVBand="0" w:oddHBand="0" w:evenHBand="0" w:firstRowFirstColumn="0" w:firstRowLastColumn="0" w:lastRowFirstColumn="0" w:lastRowLastColumn="0"/>
            <w:tcW w:w="2093" w:type="dxa"/>
            <w:vMerge/>
            <w:vAlign w:val="center"/>
          </w:tcPr>
          <w:p w:rsidR="007A405A" w:rsidRPr="009D20BC" w:rsidRDefault="007A405A" w:rsidP="00E6505F">
            <w:pPr>
              <w:pStyle w:val="BodyText"/>
              <w:ind w:left="360"/>
              <w:jc w:val="center"/>
              <w:rPr>
                <w:b/>
                <w:szCs w:val="22"/>
              </w:rPr>
            </w:pPr>
          </w:p>
        </w:tc>
        <w:tc>
          <w:tcPr>
            <w:tcW w:w="184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Encouraging Economic Growth</w:t>
            </w:r>
          </w:p>
          <w:p w:rsidR="007A405A" w:rsidRPr="00C87C8D" w:rsidRDefault="007A405A" w:rsidP="00E6505F">
            <w:pPr>
              <w:pStyle w:val="BodyText"/>
              <w:jc w:val="center"/>
              <w:cnfStyle w:val="000000000000" w:firstRow="0" w:lastRow="0" w:firstColumn="0" w:lastColumn="0" w:oddVBand="0" w:evenVBand="0" w:oddHBand="0" w:evenHBand="0" w:firstRowFirstColumn="0" w:firstRowLastColumn="0" w:lastRowFirstColumn="0" w:lastRowLastColumn="0"/>
              <w:rPr>
                <w:b w:val="0"/>
                <w:szCs w:val="22"/>
              </w:rPr>
            </w:pP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Average delay (time lost per vehicle per mile).</w:t>
            </w: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p>
        </w:tc>
      </w:tr>
      <w:tr w:rsidR="007A405A" w:rsidRPr="00C87C8D" w:rsidTr="00B1274C">
        <w:tc>
          <w:tcPr>
            <w:cnfStyle w:val="001000000000" w:firstRow="0" w:lastRow="0" w:firstColumn="1" w:lastColumn="0" w:oddVBand="0" w:evenVBand="0" w:oddHBand="0" w:evenHBand="0" w:firstRowFirstColumn="0" w:firstRowLastColumn="0" w:lastRowFirstColumn="0" w:lastRowLastColumn="0"/>
            <w:tcW w:w="2093" w:type="dxa"/>
            <w:vAlign w:val="center"/>
          </w:tcPr>
          <w:p w:rsidR="007A405A" w:rsidRPr="009D20BC" w:rsidRDefault="007A405A" w:rsidP="00E6505F">
            <w:pPr>
              <w:pStyle w:val="BodyText"/>
              <w:ind w:left="360"/>
              <w:jc w:val="center"/>
              <w:rPr>
                <w:b/>
                <w:szCs w:val="22"/>
              </w:rPr>
            </w:pPr>
            <w:r w:rsidRPr="009D20BC">
              <w:rPr>
                <w:b/>
                <w:szCs w:val="22"/>
              </w:rPr>
              <w:t>Licence to Operate</w:t>
            </w:r>
          </w:p>
        </w:tc>
        <w:tc>
          <w:tcPr>
            <w:tcW w:w="184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Achieving Real Efficiency</w:t>
            </w:r>
          </w:p>
          <w:p w:rsidR="007A405A" w:rsidRPr="00C87C8D" w:rsidRDefault="007A405A" w:rsidP="00E6505F">
            <w:pPr>
              <w:pStyle w:val="BodyText"/>
              <w:jc w:val="center"/>
              <w:cnfStyle w:val="000000000000" w:firstRow="0" w:lastRow="0" w:firstColumn="0" w:lastColumn="0" w:oddVBand="0" w:evenVBand="0" w:oddHBand="0" w:evenHBand="0" w:firstRowFirstColumn="0" w:firstRowLastColumn="0" w:lastRowFirstColumn="0" w:lastRowLastColumn="0"/>
              <w:rPr>
                <w:b w:val="0"/>
                <w:szCs w:val="22"/>
              </w:rPr>
            </w:pP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Delivery Plan Progress: progress of work, relative to forecasts set out in the Delivery Plan, and annual updates to that Plan, and expectations at the start of RP1.</w:t>
            </w: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Meet or exceed forecasts.</w:t>
            </w:r>
          </w:p>
        </w:tc>
      </w:tr>
      <w:tr w:rsidR="007A405A" w:rsidRPr="00C87C8D" w:rsidTr="00B1274C">
        <w:tc>
          <w:tcPr>
            <w:cnfStyle w:val="001000000000" w:firstRow="0" w:lastRow="0" w:firstColumn="1" w:lastColumn="0" w:oddVBand="0" w:evenVBand="0" w:oddHBand="0" w:evenHBand="0" w:firstRowFirstColumn="0" w:firstRowLastColumn="0" w:lastRowFirstColumn="0" w:lastRowLastColumn="0"/>
            <w:tcW w:w="2093" w:type="dxa"/>
            <w:vAlign w:val="center"/>
          </w:tcPr>
          <w:p w:rsidR="007A405A" w:rsidRPr="009D20BC" w:rsidRDefault="007A405A" w:rsidP="00E6505F">
            <w:pPr>
              <w:pStyle w:val="BodyText"/>
              <w:ind w:left="360"/>
              <w:jc w:val="center"/>
              <w:rPr>
                <w:b/>
                <w:szCs w:val="22"/>
              </w:rPr>
            </w:pPr>
            <w:r w:rsidRPr="009D20BC">
              <w:rPr>
                <w:b/>
                <w:szCs w:val="22"/>
              </w:rPr>
              <w:t>Supporting Economic Growth</w:t>
            </w:r>
          </w:p>
        </w:tc>
        <w:tc>
          <w:tcPr>
            <w:tcW w:w="1843" w:type="dxa"/>
            <w:vAlign w:val="center"/>
          </w:tcPr>
          <w:p w:rsidR="007A405A" w:rsidRPr="00C87C8D" w:rsidRDefault="007A405A" w:rsidP="00E6505F">
            <w:pPr>
              <w:pStyle w:val="BodyText"/>
              <w:ind w:left="360"/>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Encouraging Economic Growth</w:t>
            </w: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Average delay (time lost per vehicle per mile).</w:t>
            </w: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p>
        </w:tc>
      </w:tr>
      <w:tr w:rsidR="007A405A" w:rsidRPr="00C87C8D" w:rsidTr="00B1274C">
        <w:tc>
          <w:tcPr>
            <w:cnfStyle w:val="001000000000" w:firstRow="0" w:lastRow="0" w:firstColumn="1" w:lastColumn="0" w:oddVBand="0" w:evenVBand="0" w:oddHBand="0" w:evenHBand="0" w:firstRowFirstColumn="0" w:firstRowLastColumn="0" w:lastRowFirstColumn="0" w:lastRowLastColumn="0"/>
            <w:tcW w:w="2093" w:type="dxa"/>
            <w:vMerge w:val="restart"/>
            <w:vAlign w:val="center"/>
          </w:tcPr>
          <w:p w:rsidR="007A405A" w:rsidRPr="009D20BC" w:rsidRDefault="007A405A" w:rsidP="00E6505F">
            <w:pPr>
              <w:pStyle w:val="BodyText"/>
              <w:ind w:left="360"/>
              <w:jc w:val="center"/>
              <w:rPr>
                <w:b/>
                <w:szCs w:val="22"/>
              </w:rPr>
            </w:pPr>
            <w:r w:rsidRPr="009D20BC">
              <w:rPr>
                <w:b/>
                <w:szCs w:val="22"/>
              </w:rPr>
              <w:t xml:space="preserve">Strategic </w:t>
            </w:r>
            <w:r w:rsidRPr="009D20BC">
              <w:rPr>
                <w:b/>
                <w:szCs w:val="22"/>
              </w:rPr>
              <w:lastRenderedPageBreak/>
              <w:t>Planning</w:t>
            </w:r>
          </w:p>
        </w:tc>
        <w:tc>
          <w:tcPr>
            <w:tcW w:w="1843" w:type="dxa"/>
            <w:vMerge w:val="restart"/>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lastRenderedPageBreak/>
              <w:t xml:space="preserve">Achieving </w:t>
            </w:r>
            <w:r w:rsidRPr="00C87C8D">
              <w:rPr>
                <w:b w:val="0"/>
                <w:szCs w:val="22"/>
              </w:rPr>
              <w:lastRenderedPageBreak/>
              <w:t>Real Efficiency</w:t>
            </w:r>
          </w:p>
          <w:p w:rsidR="007A405A" w:rsidRPr="00C87C8D" w:rsidRDefault="007A405A" w:rsidP="00E6505F">
            <w:pPr>
              <w:pStyle w:val="BodyText"/>
              <w:jc w:val="center"/>
              <w:cnfStyle w:val="000000000000" w:firstRow="0" w:lastRow="0" w:firstColumn="0" w:lastColumn="0" w:oddVBand="0" w:evenVBand="0" w:oddHBand="0" w:evenHBand="0" w:firstRowFirstColumn="0" w:firstRowLastColumn="0" w:lastRowFirstColumn="0" w:lastRowLastColumn="0"/>
              <w:rPr>
                <w:b w:val="0"/>
                <w:szCs w:val="22"/>
              </w:rPr>
            </w:pP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lastRenderedPageBreak/>
              <w:t xml:space="preserve">Cost Savings: </w:t>
            </w:r>
            <w:r w:rsidRPr="00C87C8D">
              <w:rPr>
                <w:b w:val="0"/>
                <w:szCs w:val="22"/>
              </w:rPr>
              <w:lastRenderedPageBreak/>
              <w:t>Savings on capital expenditure.</w:t>
            </w: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lastRenderedPageBreak/>
              <w:t xml:space="preserve">Total savings of at least </w:t>
            </w:r>
            <w:r w:rsidRPr="00C87C8D">
              <w:rPr>
                <w:b w:val="0"/>
                <w:szCs w:val="22"/>
              </w:rPr>
              <w:lastRenderedPageBreak/>
              <w:t>£1.212 billion over RP1 on capital expenditure.</w:t>
            </w:r>
          </w:p>
        </w:tc>
      </w:tr>
      <w:tr w:rsidR="007A405A" w:rsidRPr="00C87C8D" w:rsidTr="00B1274C">
        <w:tc>
          <w:tcPr>
            <w:cnfStyle w:val="001000000000" w:firstRow="0" w:lastRow="0" w:firstColumn="1" w:lastColumn="0" w:oddVBand="0" w:evenVBand="0" w:oddHBand="0" w:evenHBand="0" w:firstRowFirstColumn="0" w:firstRowLastColumn="0" w:lastRowFirstColumn="0" w:lastRowLastColumn="0"/>
            <w:tcW w:w="2093" w:type="dxa"/>
            <w:vMerge/>
            <w:vAlign w:val="center"/>
          </w:tcPr>
          <w:p w:rsidR="007A405A" w:rsidRPr="00C87C8D" w:rsidRDefault="007A405A" w:rsidP="00E6505F">
            <w:pPr>
              <w:pStyle w:val="BodyText"/>
              <w:ind w:left="360"/>
              <w:jc w:val="center"/>
              <w:rPr>
                <w:b/>
                <w:szCs w:val="22"/>
              </w:rPr>
            </w:pPr>
          </w:p>
        </w:tc>
        <w:tc>
          <w:tcPr>
            <w:tcW w:w="1843" w:type="dxa"/>
            <w:vMerge/>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p>
        </w:tc>
        <w:tc>
          <w:tcPr>
            <w:tcW w:w="2693"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Delivery Plan Progress: progress of work, relative to forecasts set out in the Delivery Plan, and annual updates to that Plan, and expectations at the start of RP1.</w:t>
            </w:r>
          </w:p>
        </w:tc>
        <w:tc>
          <w:tcPr>
            <w:tcW w:w="2941" w:type="dxa"/>
            <w:vAlign w:val="center"/>
          </w:tcPr>
          <w:p w:rsidR="007A405A" w:rsidRPr="00C87C8D" w:rsidRDefault="007A405A" w:rsidP="00E6505F">
            <w:pPr>
              <w:pStyle w:val="BodyText"/>
              <w:ind w:left="360"/>
              <w:jc w:val="center"/>
              <w:cnfStyle w:val="000000000000" w:firstRow="0" w:lastRow="0" w:firstColumn="0" w:lastColumn="0" w:oddVBand="0" w:evenVBand="0" w:oddHBand="0" w:evenHBand="0" w:firstRowFirstColumn="0" w:firstRowLastColumn="0" w:lastRowFirstColumn="0" w:lastRowLastColumn="0"/>
              <w:rPr>
                <w:b w:val="0"/>
                <w:szCs w:val="22"/>
              </w:rPr>
            </w:pPr>
            <w:r w:rsidRPr="00C87C8D">
              <w:rPr>
                <w:b w:val="0"/>
                <w:szCs w:val="22"/>
              </w:rPr>
              <w:t>Meet or exceed forecasts.</w:t>
            </w:r>
          </w:p>
        </w:tc>
      </w:tr>
    </w:tbl>
    <w:p w:rsidR="005D040A" w:rsidRDefault="005D040A" w:rsidP="00CF3938">
      <w:r>
        <w:br w:type="page"/>
      </w:r>
    </w:p>
    <w:p w:rsidR="005D040A" w:rsidRDefault="005D040A" w:rsidP="005D040A">
      <w:pPr>
        <w:pStyle w:val="Heading1"/>
        <w:spacing w:before="120" w:after="120"/>
      </w:pPr>
      <w:r>
        <w:lastRenderedPageBreak/>
        <w:t>Annex C: Risk Appetite Statements</w:t>
      </w:r>
    </w:p>
    <w:p w:rsidR="005D040A" w:rsidRDefault="005D040A" w:rsidP="005D040A">
      <w:r>
        <w:t>The following table provides Highways England’s risk appetite in line with its 3 key imperatives.</w:t>
      </w:r>
    </w:p>
    <w:p w:rsidR="005D040A" w:rsidRPr="005D040A" w:rsidRDefault="005D040A" w:rsidP="005D040A"/>
    <w:tbl>
      <w:tblPr>
        <w:tblStyle w:val="TableGrid"/>
        <w:tblW w:w="0" w:type="auto"/>
        <w:tblLook w:val="04A0" w:firstRow="1" w:lastRow="0" w:firstColumn="1" w:lastColumn="0" w:noHBand="0" w:noVBand="1"/>
      </w:tblPr>
      <w:tblGrid>
        <w:gridCol w:w="2660"/>
        <w:gridCol w:w="6910"/>
      </w:tblGrid>
      <w:tr w:rsidR="005D040A" w:rsidRPr="005D040A" w:rsidTr="005D040A">
        <w:tc>
          <w:tcPr>
            <w:tcW w:w="2660" w:type="dxa"/>
            <w:tcBorders>
              <w:bottom w:val="single" w:sz="4" w:space="0" w:color="auto"/>
            </w:tcBorders>
            <w:shd w:val="clear" w:color="auto" w:fill="0070C0"/>
          </w:tcPr>
          <w:p w:rsidR="005D040A" w:rsidRPr="005D040A" w:rsidRDefault="005D040A" w:rsidP="00CF3938">
            <w:pPr>
              <w:rPr>
                <w:b/>
                <w:color w:val="FFFFFF" w:themeColor="background1"/>
                <w:sz w:val="24"/>
              </w:rPr>
            </w:pPr>
            <w:r w:rsidRPr="005D040A">
              <w:rPr>
                <w:b/>
                <w:color w:val="FFFFFF" w:themeColor="background1"/>
                <w:sz w:val="24"/>
              </w:rPr>
              <w:t xml:space="preserve">Imperative </w:t>
            </w:r>
          </w:p>
        </w:tc>
        <w:tc>
          <w:tcPr>
            <w:tcW w:w="6910" w:type="dxa"/>
            <w:shd w:val="clear" w:color="auto" w:fill="0070C0"/>
          </w:tcPr>
          <w:p w:rsidR="005D040A" w:rsidRPr="005D040A" w:rsidRDefault="005D040A" w:rsidP="00CF3938">
            <w:pPr>
              <w:rPr>
                <w:b/>
                <w:color w:val="FFFFFF" w:themeColor="background1"/>
                <w:sz w:val="24"/>
              </w:rPr>
            </w:pPr>
            <w:r w:rsidRPr="005D040A">
              <w:rPr>
                <w:b/>
                <w:color w:val="FFFFFF" w:themeColor="background1"/>
                <w:sz w:val="24"/>
              </w:rPr>
              <w:t xml:space="preserve">Statement </w:t>
            </w:r>
          </w:p>
        </w:tc>
      </w:tr>
      <w:tr w:rsidR="005D040A" w:rsidTr="005D040A">
        <w:tc>
          <w:tcPr>
            <w:tcW w:w="2660" w:type="dxa"/>
            <w:shd w:val="clear" w:color="auto" w:fill="BFBFBF" w:themeFill="background1" w:themeFillShade="BF"/>
          </w:tcPr>
          <w:p w:rsidR="005D040A" w:rsidRDefault="005D040A" w:rsidP="00CF3938">
            <w:pPr>
              <w:rPr>
                <w:b/>
              </w:rPr>
            </w:pPr>
            <w:r w:rsidRPr="005D040A">
              <w:rPr>
                <w:b/>
              </w:rPr>
              <w:t xml:space="preserve">Safety </w:t>
            </w:r>
          </w:p>
          <w:p w:rsidR="005D040A" w:rsidRPr="005D040A" w:rsidRDefault="005D040A" w:rsidP="00CF3938">
            <w:pPr>
              <w:rPr>
                <w:b/>
              </w:rPr>
            </w:pPr>
          </w:p>
        </w:tc>
        <w:tc>
          <w:tcPr>
            <w:tcW w:w="6910" w:type="dxa"/>
          </w:tcPr>
          <w:p w:rsidR="003B15F7" w:rsidRPr="003B15F7" w:rsidRDefault="003B15F7" w:rsidP="003B15F7">
            <w:pPr>
              <w:autoSpaceDE w:val="0"/>
              <w:autoSpaceDN w:val="0"/>
              <w:adjustRightInd w:val="0"/>
              <w:rPr>
                <w:rFonts w:ascii="HelveticaLTStd-Roman" w:hAnsi="HelveticaLTStd-Roman" w:cs="HelveticaLTStd-Roman"/>
                <w:color w:val="4A4A49"/>
                <w:szCs w:val="22"/>
                <w:lang w:eastAsia="en-GB"/>
              </w:rPr>
            </w:pPr>
            <w:r w:rsidRPr="003B15F7">
              <w:rPr>
                <w:rFonts w:ascii="HelveticaLTStd-Roman" w:hAnsi="HelveticaLTStd-Roman" w:cs="HelveticaLTStd-Roman"/>
                <w:color w:val="4A4A49"/>
                <w:szCs w:val="22"/>
                <w:lang w:eastAsia="en-GB"/>
              </w:rPr>
              <w:t>We face various risks in the operation of</w:t>
            </w:r>
            <w:r>
              <w:rPr>
                <w:rFonts w:ascii="HelveticaLTStd-Roman" w:hAnsi="HelveticaLTStd-Roman" w:cs="HelveticaLTStd-Roman"/>
                <w:color w:val="4A4A49"/>
                <w:szCs w:val="22"/>
                <w:lang w:eastAsia="en-GB"/>
              </w:rPr>
              <w:t xml:space="preserve"> </w:t>
            </w:r>
            <w:r w:rsidRPr="003B15F7">
              <w:rPr>
                <w:rFonts w:ascii="HelveticaLTStd-Roman" w:hAnsi="HelveticaLTStd-Roman" w:cs="HelveticaLTStd-Roman"/>
                <w:color w:val="4A4A49"/>
                <w:szCs w:val="22"/>
                <w:lang w:eastAsia="en-GB"/>
              </w:rPr>
              <w:t>our high-speed road network, and with our</w:t>
            </w:r>
            <w:r>
              <w:rPr>
                <w:rFonts w:ascii="HelveticaLTStd-Roman" w:hAnsi="HelveticaLTStd-Roman" w:cs="HelveticaLTStd-Roman"/>
                <w:color w:val="4A4A49"/>
                <w:szCs w:val="22"/>
                <w:lang w:eastAsia="en-GB"/>
              </w:rPr>
              <w:t xml:space="preserve"> </w:t>
            </w:r>
            <w:r w:rsidRPr="003B15F7">
              <w:rPr>
                <w:rFonts w:ascii="HelveticaLTStd-Roman" w:hAnsi="HelveticaLTStd-Roman" w:cs="HelveticaLTStd-Roman"/>
                <w:color w:val="4A4A49"/>
                <w:szCs w:val="22"/>
                <w:lang w:eastAsia="en-GB"/>
              </w:rPr>
              <w:t>construction and maintenance activities.</w:t>
            </w:r>
          </w:p>
          <w:p w:rsidR="003B15F7" w:rsidRPr="003B15F7" w:rsidRDefault="003B15F7" w:rsidP="003B15F7">
            <w:pPr>
              <w:autoSpaceDE w:val="0"/>
              <w:autoSpaceDN w:val="0"/>
              <w:adjustRightInd w:val="0"/>
              <w:rPr>
                <w:rFonts w:ascii="HelveticaLTStd-Roman" w:hAnsi="HelveticaLTStd-Roman" w:cs="HelveticaLTStd-Roman"/>
                <w:color w:val="4A4A49"/>
                <w:szCs w:val="22"/>
                <w:lang w:eastAsia="en-GB"/>
              </w:rPr>
            </w:pPr>
            <w:r w:rsidRPr="003B15F7">
              <w:rPr>
                <w:rFonts w:ascii="HelveticaLTStd-Roman" w:hAnsi="HelveticaLTStd-Roman" w:cs="HelveticaLTStd-Roman"/>
                <w:color w:val="4A4A49"/>
                <w:szCs w:val="22"/>
                <w:lang w:eastAsia="en-GB"/>
              </w:rPr>
              <w:t>Where it is not appropriate to eliminate all</w:t>
            </w:r>
            <w:r>
              <w:rPr>
                <w:rFonts w:ascii="HelveticaLTStd-Roman" w:hAnsi="HelveticaLTStd-Roman" w:cs="HelveticaLTStd-Roman"/>
                <w:color w:val="4A4A49"/>
                <w:szCs w:val="22"/>
                <w:lang w:eastAsia="en-GB"/>
              </w:rPr>
              <w:t xml:space="preserve"> </w:t>
            </w:r>
            <w:r w:rsidRPr="003B15F7">
              <w:rPr>
                <w:rFonts w:ascii="HelveticaLTStd-Roman" w:hAnsi="HelveticaLTStd-Roman" w:cs="HelveticaLTStd-Roman"/>
                <w:color w:val="4A4A49"/>
                <w:szCs w:val="22"/>
                <w:lang w:eastAsia="en-GB"/>
              </w:rPr>
              <w:t>risk inherent in our activities, we will take</w:t>
            </w:r>
            <w:r>
              <w:rPr>
                <w:rFonts w:ascii="HelveticaLTStd-Roman" w:hAnsi="HelveticaLTStd-Roman" w:cs="HelveticaLTStd-Roman"/>
                <w:color w:val="4A4A49"/>
                <w:szCs w:val="22"/>
                <w:lang w:eastAsia="en-GB"/>
              </w:rPr>
              <w:t xml:space="preserve"> </w:t>
            </w:r>
            <w:r w:rsidRPr="003B15F7">
              <w:rPr>
                <w:rFonts w:ascii="HelveticaLTStd-Roman" w:hAnsi="HelveticaLTStd-Roman" w:cs="HelveticaLTStd-Roman"/>
                <w:color w:val="4A4A49"/>
                <w:szCs w:val="22"/>
                <w:lang w:eastAsia="en-GB"/>
              </w:rPr>
              <w:t>reasonable measures to minimise the</w:t>
            </w:r>
          </w:p>
          <w:p w:rsidR="005D040A" w:rsidRDefault="003B15F7" w:rsidP="003B15F7">
            <w:pPr>
              <w:autoSpaceDE w:val="0"/>
              <w:autoSpaceDN w:val="0"/>
              <w:adjustRightInd w:val="0"/>
            </w:pPr>
            <w:proofErr w:type="gramStart"/>
            <w:r w:rsidRPr="003B15F7">
              <w:rPr>
                <w:rFonts w:ascii="HelveticaLTStd-Roman" w:hAnsi="HelveticaLTStd-Roman" w:cs="HelveticaLTStd-Roman"/>
                <w:color w:val="4A4A49"/>
                <w:szCs w:val="22"/>
                <w:lang w:eastAsia="en-GB"/>
              </w:rPr>
              <w:t>potential</w:t>
            </w:r>
            <w:proofErr w:type="gramEnd"/>
            <w:r w:rsidRPr="003B15F7">
              <w:rPr>
                <w:rFonts w:ascii="HelveticaLTStd-Roman" w:hAnsi="HelveticaLTStd-Roman" w:cs="HelveticaLTStd-Roman"/>
                <w:color w:val="4A4A49"/>
                <w:szCs w:val="22"/>
                <w:lang w:eastAsia="en-GB"/>
              </w:rPr>
              <w:t xml:space="preserve"> for harm, or loss of life, for the</w:t>
            </w:r>
            <w:r>
              <w:rPr>
                <w:rFonts w:ascii="HelveticaLTStd-Roman" w:hAnsi="HelveticaLTStd-Roman" w:cs="HelveticaLTStd-Roman"/>
                <w:color w:val="4A4A49"/>
                <w:szCs w:val="22"/>
                <w:lang w:eastAsia="en-GB"/>
              </w:rPr>
              <w:t xml:space="preserve"> </w:t>
            </w:r>
            <w:r w:rsidRPr="003B15F7">
              <w:rPr>
                <w:rFonts w:ascii="HelveticaLTStd-Roman" w:hAnsi="HelveticaLTStd-Roman" w:cs="HelveticaLTStd-Roman"/>
                <w:color w:val="4A4A49"/>
                <w:szCs w:val="22"/>
                <w:lang w:eastAsia="en-GB"/>
              </w:rPr>
              <w:t>public, road users, road workers or our staff.</w:t>
            </w:r>
          </w:p>
        </w:tc>
      </w:tr>
      <w:tr w:rsidR="005D040A" w:rsidTr="005D040A">
        <w:tc>
          <w:tcPr>
            <w:tcW w:w="2660" w:type="dxa"/>
            <w:shd w:val="clear" w:color="auto" w:fill="BFBFBF" w:themeFill="background1" w:themeFillShade="BF"/>
          </w:tcPr>
          <w:p w:rsidR="005D040A" w:rsidRPr="005D040A" w:rsidRDefault="005D040A" w:rsidP="000033DC">
            <w:pPr>
              <w:rPr>
                <w:b/>
              </w:rPr>
            </w:pPr>
            <w:r w:rsidRPr="005D040A">
              <w:rPr>
                <w:b/>
              </w:rPr>
              <w:t>Customer</w:t>
            </w:r>
          </w:p>
        </w:tc>
        <w:tc>
          <w:tcPr>
            <w:tcW w:w="6910" w:type="dxa"/>
          </w:tcPr>
          <w:p w:rsidR="005D040A" w:rsidRDefault="003B15F7" w:rsidP="003B15F7">
            <w:pPr>
              <w:autoSpaceDE w:val="0"/>
              <w:autoSpaceDN w:val="0"/>
              <w:adjustRightInd w:val="0"/>
            </w:pPr>
            <w:r w:rsidRPr="003B15F7">
              <w:rPr>
                <w:rFonts w:ascii="HelveticaLTStd-Roman" w:hAnsi="HelveticaLTStd-Roman" w:cs="HelveticaLTStd-Roman"/>
                <w:color w:val="4A4A49"/>
                <w:szCs w:val="22"/>
                <w:lang w:eastAsia="en-GB"/>
              </w:rPr>
              <w:t>We want to be trusted that we can deliver</w:t>
            </w:r>
            <w:r>
              <w:rPr>
                <w:rFonts w:ascii="HelveticaLTStd-Roman" w:hAnsi="HelveticaLTStd-Roman" w:cs="HelveticaLTStd-Roman"/>
                <w:color w:val="4A4A49"/>
                <w:szCs w:val="22"/>
                <w:lang w:eastAsia="en-GB"/>
              </w:rPr>
              <w:t xml:space="preserve"> </w:t>
            </w:r>
            <w:r w:rsidRPr="003B15F7">
              <w:rPr>
                <w:rFonts w:ascii="HelveticaLTStd-Roman" w:hAnsi="HelveticaLTStd-Roman" w:cs="HelveticaLTStd-Roman"/>
                <w:color w:val="4A4A49"/>
                <w:szCs w:val="22"/>
                <w:lang w:eastAsia="en-GB"/>
              </w:rPr>
              <w:t>our commitments and be respected by</w:t>
            </w:r>
            <w:r>
              <w:rPr>
                <w:rFonts w:ascii="HelveticaLTStd-Roman" w:hAnsi="HelveticaLTStd-Roman" w:cs="HelveticaLTStd-Roman"/>
                <w:color w:val="4A4A49"/>
                <w:szCs w:val="22"/>
                <w:lang w:eastAsia="en-GB"/>
              </w:rPr>
              <w:t xml:space="preserve"> </w:t>
            </w:r>
            <w:r w:rsidRPr="003B15F7">
              <w:rPr>
                <w:rFonts w:ascii="HelveticaLTStd-Roman" w:hAnsi="HelveticaLTStd-Roman" w:cs="HelveticaLTStd-Roman"/>
                <w:color w:val="4A4A49"/>
                <w:szCs w:val="22"/>
                <w:lang w:eastAsia="en-GB"/>
              </w:rPr>
              <w:t>those who use our services. In the pursuit</w:t>
            </w:r>
            <w:r>
              <w:rPr>
                <w:rFonts w:ascii="HelveticaLTStd-Roman" w:hAnsi="HelveticaLTStd-Roman" w:cs="HelveticaLTStd-Roman"/>
                <w:color w:val="4A4A49"/>
                <w:szCs w:val="22"/>
                <w:lang w:eastAsia="en-GB"/>
              </w:rPr>
              <w:t xml:space="preserve"> </w:t>
            </w:r>
            <w:r w:rsidRPr="003B15F7">
              <w:rPr>
                <w:rFonts w:ascii="HelveticaLTStd-Roman" w:hAnsi="HelveticaLTStd-Roman" w:cs="HelveticaLTStd-Roman"/>
                <w:color w:val="4A4A49"/>
                <w:szCs w:val="22"/>
                <w:lang w:eastAsia="en-GB"/>
              </w:rPr>
              <w:t>of our delivery objectives, we will work to</w:t>
            </w:r>
            <w:r>
              <w:rPr>
                <w:rFonts w:ascii="HelveticaLTStd-Roman" w:hAnsi="HelveticaLTStd-Roman" w:cs="HelveticaLTStd-Roman"/>
                <w:color w:val="4A4A49"/>
                <w:szCs w:val="22"/>
                <w:lang w:eastAsia="en-GB"/>
              </w:rPr>
              <w:t xml:space="preserve"> </w:t>
            </w:r>
            <w:r w:rsidRPr="003B15F7">
              <w:rPr>
                <w:rFonts w:ascii="HelveticaLTStd-Roman" w:hAnsi="HelveticaLTStd-Roman" w:cs="HelveticaLTStd-Roman"/>
                <w:color w:val="4A4A49"/>
                <w:szCs w:val="22"/>
                <w:lang w:eastAsia="en-GB"/>
              </w:rPr>
              <w:t>ensure risk outcomes have only potential</w:t>
            </w:r>
            <w:r>
              <w:rPr>
                <w:rFonts w:ascii="HelveticaLTStd-Roman" w:hAnsi="HelveticaLTStd-Roman" w:cs="HelveticaLTStd-Roman"/>
                <w:color w:val="4A4A49"/>
                <w:szCs w:val="22"/>
                <w:lang w:eastAsia="en-GB"/>
              </w:rPr>
              <w:t xml:space="preserve"> </w:t>
            </w:r>
            <w:r w:rsidRPr="003B15F7">
              <w:rPr>
                <w:rFonts w:ascii="HelveticaLTStd-Roman" w:hAnsi="HelveticaLTStd-Roman" w:cs="HelveticaLTStd-Roman"/>
                <w:color w:val="4A4A49"/>
                <w:szCs w:val="22"/>
                <w:lang w:eastAsia="en-GB"/>
              </w:rPr>
              <w:t>for low-to-medium impact on our customers</w:t>
            </w:r>
            <w:r>
              <w:rPr>
                <w:rFonts w:ascii="HelveticaLTStd-Roman" w:hAnsi="HelveticaLTStd-Roman" w:cs="HelveticaLTStd-Roman"/>
                <w:color w:val="4A4A49"/>
                <w:szCs w:val="22"/>
                <w:lang w:eastAsia="en-GB"/>
              </w:rPr>
              <w:t xml:space="preserve"> </w:t>
            </w:r>
            <w:r w:rsidRPr="003B15F7">
              <w:rPr>
                <w:rFonts w:ascii="HelveticaLTStd-Roman" w:hAnsi="HelveticaLTStd-Roman" w:cs="HelveticaLTStd-Roman"/>
                <w:color w:val="4A4A49"/>
                <w:szCs w:val="22"/>
                <w:lang w:eastAsia="en-GB"/>
              </w:rPr>
              <w:t>and stakeholders.</w:t>
            </w:r>
          </w:p>
        </w:tc>
      </w:tr>
      <w:tr w:rsidR="005D040A" w:rsidTr="005D040A">
        <w:tc>
          <w:tcPr>
            <w:tcW w:w="2660" w:type="dxa"/>
            <w:shd w:val="clear" w:color="auto" w:fill="BFBFBF" w:themeFill="background1" w:themeFillShade="BF"/>
          </w:tcPr>
          <w:p w:rsidR="005D040A" w:rsidRPr="005D040A" w:rsidRDefault="005D040A" w:rsidP="000033DC">
            <w:pPr>
              <w:rPr>
                <w:b/>
              </w:rPr>
            </w:pPr>
            <w:r w:rsidRPr="005D040A">
              <w:rPr>
                <w:b/>
              </w:rPr>
              <w:t>Deliver</w:t>
            </w:r>
            <w:r w:rsidR="000033DC">
              <w:rPr>
                <w:b/>
              </w:rPr>
              <w:t>y</w:t>
            </w:r>
          </w:p>
        </w:tc>
        <w:tc>
          <w:tcPr>
            <w:tcW w:w="6910" w:type="dxa"/>
          </w:tcPr>
          <w:p w:rsidR="005D040A" w:rsidRPr="003B15F7" w:rsidRDefault="003B15F7" w:rsidP="003B15F7">
            <w:pPr>
              <w:autoSpaceDE w:val="0"/>
              <w:autoSpaceDN w:val="0"/>
              <w:adjustRightInd w:val="0"/>
              <w:rPr>
                <w:rFonts w:ascii="HelveticaLTStd-Roman" w:hAnsi="HelveticaLTStd-Roman" w:cs="HelveticaLTStd-Roman"/>
                <w:color w:val="4D4D4F"/>
                <w:szCs w:val="22"/>
                <w:lang w:eastAsia="en-GB"/>
              </w:rPr>
            </w:pPr>
            <w:r>
              <w:rPr>
                <w:rFonts w:ascii="HelveticaLTStd-Roman" w:hAnsi="HelveticaLTStd-Roman" w:cs="HelveticaLTStd-Roman"/>
                <w:color w:val="4D4D4F"/>
                <w:szCs w:val="22"/>
                <w:lang w:eastAsia="en-GB"/>
              </w:rPr>
              <w:t>We will identify risks which might impact</w:t>
            </w:r>
            <w:r>
              <w:rPr>
                <w:rFonts w:ascii="HelveticaLTStd-Roman" w:hAnsi="HelveticaLTStd-Roman" w:cs="HelveticaLTStd-Roman"/>
                <w:color w:val="4D4D4F"/>
                <w:szCs w:val="22"/>
                <w:lang w:eastAsia="en-GB"/>
              </w:rPr>
              <w:t xml:space="preserve"> </w:t>
            </w:r>
            <w:r>
              <w:rPr>
                <w:rFonts w:ascii="HelveticaLTStd-Roman" w:hAnsi="HelveticaLTStd-Roman" w:cs="HelveticaLTStd-Roman"/>
                <w:color w:val="4D4D4F"/>
                <w:szCs w:val="22"/>
                <w:lang w:eastAsia="en-GB"/>
              </w:rPr>
              <w:t>our ability to meet key</w:t>
            </w:r>
            <w:r>
              <w:rPr>
                <w:rFonts w:ascii="HelveticaLTStd-Roman" w:hAnsi="HelveticaLTStd-Roman" w:cs="HelveticaLTStd-Roman"/>
                <w:color w:val="4D4D4F"/>
                <w:szCs w:val="22"/>
                <w:lang w:eastAsia="en-GB"/>
              </w:rPr>
              <w:t xml:space="preserve"> </w:t>
            </w:r>
            <w:r>
              <w:rPr>
                <w:rFonts w:ascii="HelveticaLTStd-Roman" w:hAnsi="HelveticaLTStd-Roman" w:cs="HelveticaLTStd-Roman"/>
                <w:color w:val="4D4D4F"/>
                <w:szCs w:val="22"/>
                <w:lang w:eastAsia="en-GB"/>
              </w:rPr>
              <w:t>performance goals</w:t>
            </w:r>
            <w:r>
              <w:rPr>
                <w:rFonts w:ascii="HelveticaLTStd-Roman" w:hAnsi="HelveticaLTStd-Roman" w:cs="HelveticaLTStd-Roman"/>
                <w:color w:val="4D4D4F"/>
                <w:szCs w:val="22"/>
                <w:lang w:eastAsia="en-GB"/>
              </w:rPr>
              <w:t xml:space="preserve"> </w:t>
            </w:r>
            <w:r>
              <w:rPr>
                <w:rFonts w:ascii="HelveticaLTStd-Roman" w:hAnsi="HelveticaLTStd-Roman" w:cs="HelveticaLTStd-Roman"/>
                <w:color w:val="4D4D4F"/>
                <w:szCs w:val="22"/>
                <w:lang w:eastAsia="en-GB"/>
              </w:rPr>
              <w:t>and capital outcomes. We will adapt our</w:t>
            </w:r>
            <w:r>
              <w:rPr>
                <w:rFonts w:ascii="HelveticaLTStd-Roman" w:hAnsi="HelveticaLTStd-Roman" w:cs="HelveticaLTStd-Roman"/>
                <w:color w:val="4D4D4F"/>
                <w:szCs w:val="22"/>
                <w:lang w:eastAsia="en-GB"/>
              </w:rPr>
              <w:t xml:space="preserve"> </w:t>
            </w:r>
            <w:r>
              <w:rPr>
                <w:rFonts w:ascii="HelveticaLTStd-Roman" w:hAnsi="HelveticaLTStd-Roman" w:cs="HelveticaLTStd-Roman"/>
                <w:color w:val="4D4D4F"/>
                <w:szCs w:val="22"/>
                <w:lang w:eastAsia="en-GB"/>
              </w:rPr>
              <w:t>approach to optimise our ability to meet our</w:t>
            </w:r>
            <w:r>
              <w:rPr>
                <w:rFonts w:ascii="HelveticaLTStd-Roman" w:hAnsi="HelveticaLTStd-Roman" w:cs="HelveticaLTStd-Roman"/>
                <w:color w:val="4D4D4F"/>
                <w:szCs w:val="22"/>
                <w:lang w:eastAsia="en-GB"/>
              </w:rPr>
              <w:t xml:space="preserve"> </w:t>
            </w:r>
            <w:r>
              <w:rPr>
                <w:rFonts w:ascii="HelveticaLTStd-Roman" w:hAnsi="HelveticaLTStd-Roman" w:cs="HelveticaLTStd-Roman"/>
                <w:color w:val="4D4D4F"/>
                <w:szCs w:val="22"/>
                <w:lang w:eastAsia="en-GB"/>
              </w:rPr>
              <w:t>short-term and long-term targets.</w:t>
            </w:r>
          </w:p>
        </w:tc>
      </w:tr>
      <w:tr w:rsidR="000033DC" w:rsidTr="005D040A">
        <w:tc>
          <w:tcPr>
            <w:tcW w:w="2660" w:type="dxa"/>
            <w:shd w:val="clear" w:color="auto" w:fill="BFBFBF" w:themeFill="background1" w:themeFillShade="BF"/>
          </w:tcPr>
          <w:p w:rsidR="000033DC" w:rsidRPr="005D040A" w:rsidRDefault="000033DC" w:rsidP="000033DC">
            <w:pPr>
              <w:rPr>
                <w:b/>
              </w:rPr>
            </w:pPr>
            <w:r w:rsidRPr="000033DC">
              <w:rPr>
                <w:b/>
              </w:rPr>
              <w:t>Financial governance</w:t>
            </w:r>
          </w:p>
        </w:tc>
        <w:tc>
          <w:tcPr>
            <w:tcW w:w="6910" w:type="dxa"/>
          </w:tcPr>
          <w:p w:rsidR="003B15F7" w:rsidRDefault="003B15F7" w:rsidP="003B15F7">
            <w:pPr>
              <w:autoSpaceDE w:val="0"/>
              <w:autoSpaceDN w:val="0"/>
              <w:adjustRightInd w:val="0"/>
              <w:rPr>
                <w:rFonts w:ascii="HelveticaLTStd-Roman" w:hAnsi="HelveticaLTStd-Roman" w:cs="HelveticaLTStd-Roman"/>
                <w:color w:val="4D4D4F"/>
                <w:szCs w:val="22"/>
                <w:lang w:eastAsia="en-GB"/>
              </w:rPr>
            </w:pPr>
            <w:r>
              <w:rPr>
                <w:rFonts w:ascii="HelveticaLTStd-Roman" w:hAnsi="HelveticaLTStd-Roman" w:cs="HelveticaLTStd-Roman"/>
                <w:color w:val="4D4D4F"/>
                <w:szCs w:val="22"/>
                <w:lang w:eastAsia="en-GB"/>
              </w:rPr>
              <w:t>We are willing to accept some</w:t>
            </w:r>
            <w:r>
              <w:rPr>
                <w:rFonts w:ascii="HelveticaLTStd-Roman" w:hAnsi="HelveticaLTStd-Roman" w:cs="HelveticaLTStd-Roman"/>
                <w:color w:val="4D4D4F"/>
                <w:szCs w:val="22"/>
                <w:lang w:eastAsia="en-GB"/>
              </w:rPr>
              <w:t xml:space="preserve"> </w:t>
            </w:r>
            <w:r>
              <w:rPr>
                <w:rFonts w:ascii="HelveticaLTStd-Roman" w:hAnsi="HelveticaLTStd-Roman" w:cs="HelveticaLTStd-Roman"/>
                <w:color w:val="4D4D4F"/>
                <w:szCs w:val="22"/>
                <w:lang w:eastAsia="en-GB"/>
              </w:rPr>
              <w:t>circumstances where we will actively</w:t>
            </w:r>
          </w:p>
          <w:p w:rsidR="000033DC" w:rsidRDefault="003B15F7" w:rsidP="003B15F7">
            <w:pPr>
              <w:autoSpaceDE w:val="0"/>
              <w:autoSpaceDN w:val="0"/>
              <w:adjustRightInd w:val="0"/>
              <w:rPr>
                <w:rFonts w:ascii="HelveticaLTStd-Roman" w:hAnsi="HelveticaLTStd-Roman" w:cs="HelveticaLTStd-Roman"/>
                <w:color w:val="4A4A49"/>
                <w:szCs w:val="22"/>
                <w:lang w:eastAsia="en-GB"/>
              </w:rPr>
            </w:pPr>
            <w:proofErr w:type="gramStart"/>
            <w:r>
              <w:rPr>
                <w:rFonts w:ascii="HelveticaLTStd-Roman" w:hAnsi="HelveticaLTStd-Roman" w:cs="HelveticaLTStd-Roman"/>
                <w:color w:val="4D4D4F"/>
                <w:szCs w:val="22"/>
                <w:lang w:eastAsia="en-GB"/>
              </w:rPr>
              <w:t>manage</w:t>
            </w:r>
            <w:proofErr w:type="gramEnd"/>
            <w:r>
              <w:rPr>
                <w:rFonts w:ascii="HelveticaLTStd-Roman" w:hAnsi="HelveticaLTStd-Roman" w:cs="HelveticaLTStd-Roman"/>
                <w:color w:val="4D4D4F"/>
                <w:szCs w:val="22"/>
                <w:lang w:eastAsia="en-GB"/>
              </w:rPr>
              <w:t xml:space="preserve"> financial risk to optimise our</w:t>
            </w:r>
            <w:r>
              <w:rPr>
                <w:rFonts w:ascii="HelveticaLTStd-Roman" w:hAnsi="HelveticaLTStd-Roman" w:cs="HelveticaLTStd-Roman"/>
                <w:color w:val="4D4D4F"/>
                <w:szCs w:val="22"/>
                <w:lang w:eastAsia="en-GB"/>
              </w:rPr>
              <w:t xml:space="preserve"> </w:t>
            </w:r>
            <w:r>
              <w:rPr>
                <w:rFonts w:ascii="HelveticaLTStd-Roman" w:hAnsi="HelveticaLTStd-Roman" w:cs="HelveticaLTStd-Roman"/>
                <w:color w:val="4D4D4F"/>
                <w:szCs w:val="22"/>
                <w:lang w:eastAsia="en-GB"/>
              </w:rPr>
              <w:t>long-term financial performance and</w:t>
            </w:r>
            <w:r>
              <w:rPr>
                <w:rFonts w:ascii="HelveticaLTStd-Roman" w:hAnsi="HelveticaLTStd-Roman" w:cs="HelveticaLTStd-Roman"/>
                <w:color w:val="4D4D4F"/>
                <w:szCs w:val="22"/>
                <w:lang w:eastAsia="en-GB"/>
              </w:rPr>
              <w:t xml:space="preserve"> </w:t>
            </w:r>
            <w:r>
              <w:rPr>
                <w:rFonts w:ascii="HelveticaLTStd-Roman" w:hAnsi="HelveticaLTStd-Roman" w:cs="HelveticaLTStd-Roman"/>
                <w:color w:val="4D4D4F"/>
                <w:szCs w:val="22"/>
                <w:lang w:eastAsia="en-GB"/>
              </w:rPr>
              <w:t>our portfolio of performance and capital</w:t>
            </w:r>
            <w:r>
              <w:rPr>
                <w:rFonts w:ascii="HelveticaLTStd-Roman" w:hAnsi="HelveticaLTStd-Roman" w:cs="HelveticaLTStd-Roman"/>
                <w:color w:val="4D4D4F"/>
                <w:szCs w:val="22"/>
                <w:lang w:eastAsia="en-GB"/>
              </w:rPr>
              <w:t xml:space="preserve"> </w:t>
            </w:r>
            <w:r>
              <w:rPr>
                <w:rFonts w:ascii="HelveticaLTStd-Roman" w:hAnsi="HelveticaLTStd-Roman" w:cs="HelveticaLTStd-Roman"/>
                <w:color w:val="4D4D4F"/>
                <w:szCs w:val="22"/>
                <w:lang w:eastAsia="en-GB"/>
              </w:rPr>
              <w:t>outputs. Decisions on these will be taken in</w:t>
            </w:r>
            <w:r>
              <w:rPr>
                <w:rFonts w:ascii="HelveticaLTStd-Roman" w:hAnsi="HelveticaLTStd-Roman" w:cs="HelveticaLTStd-Roman"/>
                <w:color w:val="4D4D4F"/>
                <w:szCs w:val="22"/>
                <w:lang w:eastAsia="en-GB"/>
              </w:rPr>
              <w:t xml:space="preserve"> </w:t>
            </w:r>
            <w:r>
              <w:rPr>
                <w:rFonts w:ascii="HelveticaLTStd-Roman" w:hAnsi="HelveticaLTStd-Roman" w:cs="HelveticaLTStd-Roman"/>
                <w:color w:val="4D4D4F"/>
                <w:szCs w:val="22"/>
                <w:lang w:eastAsia="en-GB"/>
              </w:rPr>
              <w:t>accordance with our internal governance</w:t>
            </w:r>
            <w:r>
              <w:rPr>
                <w:rFonts w:ascii="HelveticaLTStd-Roman" w:hAnsi="HelveticaLTStd-Roman" w:cs="HelveticaLTStd-Roman"/>
                <w:color w:val="4D4D4F"/>
                <w:szCs w:val="22"/>
                <w:lang w:eastAsia="en-GB"/>
              </w:rPr>
              <w:t xml:space="preserve"> </w:t>
            </w:r>
            <w:bookmarkStart w:id="23" w:name="_GoBack"/>
            <w:bookmarkEnd w:id="23"/>
            <w:r>
              <w:rPr>
                <w:rFonts w:ascii="HelveticaLTStd-Roman" w:hAnsi="HelveticaLTStd-Roman" w:cs="HelveticaLTStd-Roman"/>
                <w:color w:val="4D4D4F"/>
                <w:szCs w:val="22"/>
                <w:lang w:eastAsia="en-GB"/>
              </w:rPr>
              <w:t>arrangements.</w:t>
            </w:r>
          </w:p>
        </w:tc>
      </w:tr>
    </w:tbl>
    <w:p w:rsidR="007A405A" w:rsidRPr="00E17DE0" w:rsidRDefault="007A405A" w:rsidP="00CF3938"/>
    <w:sectPr w:rsidR="007A405A" w:rsidRPr="00E17DE0">
      <w:headerReference w:type="default" r:id="rId10"/>
      <w:footerReference w:type="default" r:id="rId11"/>
      <w:headerReference w:type="first" r:id="rId12"/>
      <w:footerReference w:type="first" r:id="rId13"/>
      <w:pgSz w:w="11906" w:h="16838" w:code="9"/>
      <w:pgMar w:top="1440" w:right="1134" w:bottom="851"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605" w:rsidRDefault="00FA4605">
      <w:r>
        <w:separator/>
      </w:r>
    </w:p>
  </w:endnote>
  <w:endnote w:type="continuationSeparator" w:id="0">
    <w:p w:rsidR="00FA4605" w:rsidRDefault="00FA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LTStd-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221" w:rsidRDefault="00DA7221">
    <w:pPr>
      <w:pStyle w:val="Footer"/>
      <w:tabs>
        <w:tab w:val="clear" w:pos="4153"/>
        <w:tab w:val="clear" w:pos="8306"/>
        <w:tab w:val="center" w:pos="4860"/>
        <w:tab w:val="right" w:pos="10080"/>
      </w:tabs>
      <w:ind w:right="-56"/>
      <w:rPr>
        <w:rStyle w:val="PageNumber"/>
      </w:rPr>
    </w:pPr>
    <w:r>
      <w:rPr>
        <w:noProof/>
        <w:sz w:val="20"/>
        <w:lang w:eastAsia="en-GB"/>
      </w:rPr>
      <mc:AlternateContent>
        <mc:Choice Requires="wps">
          <w:drawing>
            <wp:anchor distT="0" distB="0" distL="114300" distR="114300" simplePos="0" relativeHeight="251655680" behindDoc="0" locked="0" layoutInCell="1" allowOverlap="1" wp14:anchorId="3336C427" wp14:editId="570FD67F">
              <wp:simplePos x="0" y="0"/>
              <wp:positionH relativeFrom="column">
                <wp:posOffset>-342900</wp:posOffset>
              </wp:positionH>
              <wp:positionV relativeFrom="paragraph">
                <wp:posOffset>-20320</wp:posOffset>
              </wp:positionV>
              <wp:extent cx="6480175" cy="0"/>
              <wp:effectExtent l="9525" t="8255" r="6350" b="10795"/>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6pt" to="483.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A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"/>
          </w:pict>
        </mc:Fallback>
      </mc:AlternateContent>
    </w:r>
  </w:p>
  <w:p w:rsidR="00DA7221" w:rsidRDefault="00DA7221">
    <w:pPr>
      <w:pStyle w:val="Footer"/>
      <w:tabs>
        <w:tab w:val="clear" w:pos="4153"/>
        <w:tab w:val="clear" w:pos="8306"/>
        <w:tab w:val="center" w:pos="4763"/>
        <w:tab w:val="right" w:pos="9360"/>
      </w:tabs>
      <w:ind w:right="-56"/>
      <w:rPr>
        <w:rStyle w:val="PageNumber"/>
      </w:rPr>
    </w:pPr>
    <w:r>
      <w:rPr>
        <w:rStyle w:val="PageNumber"/>
      </w:rPr>
      <w:fldChar w:fldCharType="begin"/>
    </w:r>
    <w:r>
      <w:rPr>
        <w:rStyle w:val="PageNumber"/>
      </w:rPr>
      <w:instrText xml:space="preserve"> FILENAME  \* MERGEFORMAT </w:instrText>
    </w:r>
    <w:r>
      <w:rPr>
        <w:rStyle w:val="PageNumber"/>
      </w:rPr>
      <w:fldChar w:fldCharType="end"/>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3B15F7">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B15F7">
      <w:rPr>
        <w:rStyle w:val="PageNumber"/>
        <w:noProof/>
      </w:rPr>
      <w:t>8</w:t>
    </w:r>
    <w:r>
      <w:rPr>
        <w:rStyle w:val="PageNumber"/>
      </w:rPr>
      <w:fldChar w:fldCharType="end"/>
    </w:r>
    <w:r>
      <w:rPr>
        <w:rStyle w:val="PageNumber"/>
      </w:rPr>
      <w:tab/>
    </w:r>
    <w:r w:rsidR="007741A2">
      <w:rPr>
        <w:rStyle w:val="PageNumber"/>
      </w:rPr>
      <w:t>Approved by Board</w:t>
    </w:r>
    <w:r w:rsidR="007642F1">
      <w:rPr>
        <w:rStyle w:val="PageNumber"/>
      </w:rPr>
      <w:t xml:space="preserve">: </w:t>
    </w:r>
    <w:r w:rsidR="003B15F7">
      <w:rPr>
        <w:rStyle w:val="PageNumber"/>
      </w:rPr>
      <w:t>January 2018</w:t>
    </w:r>
  </w:p>
  <w:p w:rsidR="007642F1" w:rsidRDefault="007642F1" w:rsidP="007642F1">
    <w:pPr>
      <w:pStyle w:val="Footer"/>
      <w:tabs>
        <w:tab w:val="clear" w:pos="4153"/>
        <w:tab w:val="clear" w:pos="8306"/>
        <w:tab w:val="center" w:pos="4763"/>
        <w:tab w:val="right" w:pos="9360"/>
      </w:tabs>
      <w:ind w:right="-56"/>
      <w:jc w:val="right"/>
      <w:rPr>
        <w:rStyle w:val="PageNumber"/>
      </w:rPr>
    </w:pPr>
    <w:r>
      <w:rPr>
        <w:rStyle w:val="PageNumber"/>
      </w:rPr>
      <w:t xml:space="preserve">Next Review Date: </w:t>
    </w:r>
    <w:r w:rsidR="00FB2F83">
      <w:rPr>
        <w:rStyle w:val="PageNumber"/>
      </w:rPr>
      <w:t>January</w:t>
    </w:r>
    <w:r w:rsidR="003B15F7">
      <w:rPr>
        <w:rStyle w:val="PageNumber"/>
      </w:rPr>
      <w:t xml:space="preserve"> 2019</w:t>
    </w:r>
  </w:p>
  <w:p w:rsidR="00DA7221" w:rsidRDefault="00DA7221">
    <w:pPr>
      <w:pStyle w:val="Footer"/>
      <w:tabs>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221" w:rsidRDefault="00DA7221" w:rsidP="00464B25">
    <w:pPr>
      <w:pStyle w:val="Footer"/>
    </w:pPr>
    <w:r>
      <w:rPr>
        <w:noProof/>
        <w:lang w:eastAsia="en-GB"/>
      </w:rPr>
      <mc:AlternateContent>
        <mc:Choice Requires="wps">
          <w:drawing>
            <wp:anchor distT="0" distB="0" distL="114300" distR="114300" simplePos="0" relativeHeight="251665920" behindDoc="0" locked="0" layoutInCell="1" allowOverlap="1" wp14:anchorId="47729E1F" wp14:editId="1328DD29">
              <wp:simplePos x="0" y="0"/>
              <wp:positionH relativeFrom="column">
                <wp:posOffset>-230505</wp:posOffset>
              </wp:positionH>
              <wp:positionV relativeFrom="paragraph">
                <wp:posOffset>1270</wp:posOffset>
              </wp:positionV>
              <wp:extent cx="3474720" cy="4343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DA7221" w:rsidRPr="006D362A" w:rsidRDefault="00DA7221" w:rsidP="00464B25">
                          <w:pPr>
                            <w:suppressAutoHyphens/>
                            <w:autoSpaceDE w:val="0"/>
                            <w:autoSpaceDN w:val="0"/>
                            <w:adjustRightInd w:val="0"/>
                            <w:spacing w:line="288" w:lineRule="auto"/>
                            <w:textAlignment w:val="center"/>
                            <w:rPr>
                              <w:sz w:val="12"/>
                              <w:szCs w:val="12"/>
                              <w:lang w:eastAsia="en-GB"/>
                            </w:rPr>
                          </w:pPr>
                          <w:r w:rsidRPr="006D362A">
                            <w:rPr>
                              <w:sz w:val="12"/>
                              <w:szCs w:val="12"/>
                              <w:lang w:eastAsia="en-GB"/>
                            </w:rPr>
                            <w:t>Registered office Bridge House, 1 Walnut Tree Close, Guildford GU1 4LZ</w:t>
                          </w:r>
                        </w:p>
                        <w:p w:rsidR="00DA7221" w:rsidRPr="006D362A" w:rsidRDefault="00DA7221" w:rsidP="00464B25">
                          <w:pPr>
                            <w:suppressAutoHyphens/>
                            <w:autoSpaceDE w:val="0"/>
                            <w:autoSpaceDN w:val="0"/>
                            <w:adjustRightInd w:val="0"/>
                            <w:spacing w:line="288" w:lineRule="auto"/>
                            <w:textAlignment w:val="center"/>
                            <w:rPr>
                              <w:sz w:val="12"/>
                              <w:szCs w:val="12"/>
                              <w:lang w:eastAsia="en-GB"/>
                            </w:rPr>
                          </w:pPr>
                          <w:r w:rsidRPr="006D362A">
                            <w:rPr>
                              <w:sz w:val="12"/>
                              <w:szCs w:val="12"/>
                              <w:lang w:eastAsia="en-GB"/>
                            </w:rPr>
                            <w:t>Highways England Company Limited registered in England and Wales number 09346363</w:t>
                          </w:r>
                        </w:p>
                        <w:p w:rsidR="00DA7221" w:rsidRPr="006D362A" w:rsidRDefault="00DA7221" w:rsidP="00464B25">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15pt;margin-top:.1pt;width:273.6pt;height:3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" filled="f" stroked="f" strokeweight=".5pt">
              <v:textbox>
                <w:txbxContent>
                  <w:p w:rsidR="00DA7221" w:rsidRPr="006D362A" w:rsidRDefault="00DA7221" w:rsidP="00464B25">
                    <w:pPr>
                      <w:suppressAutoHyphens/>
                      <w:autoSpaceDE w:val="0"/>
                      <w:autoSpaceDN w:val="0"/>
                      <w:adjustRightInd w:val="0"/>
                      <w:spacing w:line="288" w:lineRule="auto"/>
                      <w:textAlignment w:val="center"/>
                      <w:rPr>
                        <w:sz w:val="12"/>
                        <w:szCs w:val="12"/>
                        <w:lang w:eastAsia="en-GB"/>
                      </w:rPr>
                    </w:pPr>
                    <w:r w:rsidRPr="006D362A">
                      <w:rPr>
                        <w:sz w:val="12"/>
                        <w:szCs w:val="12"/>
                        <w:lang w:eastAsia="en-GB"/>
                      </w:rPr>
                      <w:t>Registered office Bridge House, 1 Walnut Tree Close, Guildford GU1 4LZ</w:t>
                    </w:r>
                  </w:p>
                  <w:p w:rsidR="00DA7221" w:rsidRPr="006D362A" w:rsidRDefault="00DA7221" w:rsidP="00464B25">
                    <w:pPr>
                      <w:suppressAutoHyphens/>
                      <w:autoSpaceDE w:val="0"/>
                      <w:autoSpaceDN w:val="0"/>
                      <w:adjustRightInd w:val="0"/>
                      <w:spacing w:line="288" w:lineRule="auto"/>
                      <w:textAlignment w:val="center"/>
                      <w:rPr>
                        <w:sz w:val="12"/>
                        <w:szCs w:val="12"/>
                        <w:lang w:eastAsia="en-GB"/>
                      </w:rPr>
                    </w:pPr>
                    <w:r w:rsidRPr="006D362A">
                      <w:rPr>
                        <w:sz w:val="12"/>
                        <w:szCs w:val="12"/>
                        <w:lang w:eastAsia="en-GB"/>
                      </w:rPr>
                      <w:t>Highways England Company Limited registered in England and Wales number 09346363</w:t>
                    </w:r>
                  </w:p>
                  <w:p w:rsidR="00DA7221" w:rsidRPr="006D362A" w:rsidRDefault="00DA7221" w:rsidP="00464B25">
                    <w:pPr>
                      <w:pStyle w:val="Footer"/>
                      <w:tabs>
                        <w:tab w:val="center" w:pos="4680"/>
                        <w:tab w:val="right" w:pos="9360"/>
                      </w:tabs>
                      <w:ind w:right="-6"/>
                      <w:rPr>
                        <w:noProof/>
                      </w:rPr>
                    </w:pP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605" w:rsidRDefault="00FA4605">
      <w:r>
        <w:separator/>
      </w:r>
    </w:p>
  </w:footnote>
  <w:footnote w:type="continuationSeparator" w:id="0">
    <w:p w:rsidR="00FA4605" w:rsidRDefault="00FA4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tblLayout w:type="fixed"/>
      <w:tblLook w:val="0000" w:firstRow="0" w:lastRow="0" w:firstColumn="0" w:lastColumn="0" w:noHBand="0" w:noVBand="0"/>
    </w:tblPr>
    <w:tblGrid>
      <w:gridCol w:w="9468"/>
    </w:tblGrid>
    <w:tr w:rsidR="00DA7221" w:rsidTr="00746C6F">
      <w:trPr>
        <w:trHeight w:val="524"/>
      </w:trPr>
      <w:tc>
        <w:tcPr>
          <w:tcW w:w="9468" w:type="dxa"/>
        </w:tcPr>
        <w:p w:rsidR="00DA7221" w:rsidRPr="00A56110" w:rsidRDefault="00DA7221" w:rsidP="00BC6262">
          <w:pPr>
            <w:pStyle w:val="Header"/>
            <w:jc w:val="right"/>
            <w:rPr>
              <w:noProof/>
              <w:sz w:val="16"/>
              <w:lang w:val="en-US"/>
            </w:rPr>
          </w:pPr>
          <w:r w:rsidRPr="00A56110">
            <w:rPr>
              <w:sz w:val="16"/>
            </w:rPr>
            <w:t>Highways England Risk Management Policy</w:t>
          </w:r>
          <w:r>
            <w:rPr>
              <w:sz w:val="16"/>
            </w:rPr>
            <w:t xml:space="preserve"> and Strategy</w:t>
          </w:r>
        </w:p>
      </w:tc>
    </w:tr>
  </w:tbl>
  <w:p w:rsidR="00DA7221" w:rsidRDefault="00DA7221">
    <w:r>
      <w:rPr>
        <w:noProof/>
        <w:sz w:val="20"/>
        <w:lang w:eastAsia="en-GB"/>
      </w:rPr>
      <mc:AlternateContent>
        <mc:Choice Requires="wps">
          <w:drawing>
            <wp:anchor distT="0" distB="0" distL="114300" distR="114300" simplePos="0" relativeHeight="251656704" behindDoc="0" locked="0" layoutInCell="1" allowOverlap="1" wp14:anchorId="69DA62B2" wp14:editId="7A094105">
              <wp:simplePos x="0" y="0"/>
              <wp:positionH relativeFrom="column">
                <wp:posOffset>-457200</wp:posOffset>
              </wp:positionH>
              <wp:positionV relativeFrom="paragraph">
                <wp:posOffset>17145</wp:posOffset>
              </wp:positionV>
              <wp:extent cx="6515100" cy="0"/>
              <wp:effectExtent l="9525" t="7620" r="9525" b="1143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5pt" to="47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221" w:rsidRDefault="00DA7221">
    <w:pPr>
      <w:pStyle w:val="Header"/>
      <w:rPr>
        <w:b/>
        <w:bCs/>
        <w:sz w:val="20"/>
      </w:rPr>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491"/>
    <w:multiLevelType w:val="multilevel"/>
    <w:tmpl w:val="C7163764"/>
    <w:lvl w:ilvl="0">
      <w:start w:val="1"/>
      <w:numFmt w:val="bullet"/>
      <w:pStyle w:val="HS2BulletList"/>
      <w:lvlText w:val=""/>
      <w:lvlJc w:val="left"/>
      <w:pPr>
        <w:tabs>
          <w:tab w:val="num" w:pos="1418"/>
        </w:tabs>
        <w:ind w:left="1418" w:hanging="284"/>
      </w:pPr>
      <w:rPr>
        <w:rFonts w:ascii="Symbol" w:hAnsi="Symbol" w:hint="default"/>
      </w:rPr>
    </w:lvl>
    <w:lvl w:ilvl="1">
      <w:start w:val="1"/>
      <w:numFmt w:val="bullet"/>
      <w:pStyle w:val="HS2DashList"/>
      <w:lvlText w:val="­"/>
      <w:lvlJc w:val="left"/>
      <w:pPr>
        <w:tabs>
          <w:tab w:val="num" w:pos="1701"/>
        </w:tabs>
        <w:ind w:left="1701" w:hanging="283"/>
      </w:pPr>
      <w:rPr>
        <w:rFonts w:ascii="Ebrima" w:hAnsi="Ebri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227109"/>
    <w:multiLevelType w:val="hybridMultilevel"/>
    <w:tmpl w:val="30382630"/>
    <w:lvl w:ilvl="0" w:tplc="6774281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237009"/>
    <w:multiLevelType w:val="hybridMultilevel"/>
    <w:tmpl w:val="54501768"/>
    <w:lvl w:ilvl="0" w:tplc="50BEF9AE">
      <w:start w:val="1"/>
      <w:numFmt w:val="decimal"/>
      <w:lvlText w:val="%1."/>
      <w:lvlJc w:val="left"/>
      <w:pPr>
        <w:tabs>
          <w:tab w:val="num" w:pos="720"/>
        </w:tabs>
        <w:ind w:left="720" w:hanging="360"/>
      </w:pPr>
      <w:rPr>
        <w:b w:val="0"/>
      </w:rPr>
    </w:lvl>
    <w:lvl w:ilvl="1" w:tplc="08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160"/>
        </w:tabs>
        <w:ind w:left="2160" w:hanging="18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E632372"/>
    <w:multiLevelType w:val="hybridMultilevel"/>
    <w:tmpl w:val="99389EB0"/>
    <w:lvl w:ilvl="0" w:tplc="50BEF9AE">
      <w:start w:val="1"/>
      <w:numFmt w:val="decimal"/>
      <w:lvlText w:val="%1."/>
      <w:lvlJc w:val="left"/>
      <w:pPr>
        <w:tabs>
          <w:tab w:val="num" w:pos="720"/>
        </w:tabs>
        <w:ind w:left="720" w:hanging="360"/>
      </w:pPr>
      <w:rPr>
        <w:b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4D738AB"/>
    <w:multiLevelType w:val="hybridMultilevel"/>
    <w:tmpl w:val="813444B8"/>
    <w:lvl w:ilvl="0" w:tplc="B2F6167A">
      <w:start w:val="1"/>
      <w:numFmt w:val="decimal"/>
      <w:lvlText w:val="%1."/>
      <w:lvlJc w:val="left"/>
      <w:pPr>
        <w:ind w:left="786" w:hanging="360"/>
      </w:pPr>
      <w:rPr>
        <w:rFonts w:ascii="Arial" w:hAnsi="Arial" w:cs="Arial" w:hint="default"/>
        <w:b w:val="0"/>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5">
    <w:nsid w:val="1DC66D1D"/>
    <w:multiLevelType w:val="hybridMultilevel"/>
    <w:tmpl w:val="90D25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05492F"/>
    <w:multiLevelType w:val="hybridMultilevel"/>
    <w:tmpl w:val="20E2CB32"/>
    <w:lvl w:ilvl="0" w:tplc="ECF881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3B45C2B"/>
    <w:multiLevelType w:val="hybridMultilevel"/>
    <w:tmpl w:val="5D5ADB20"/>
    <w:lvl w:ilvl="0" w:tplc="7FF2FFA0">
      <w:start w:val="21"/>
      <w:numFmt w:val="decimal"/>
      <w:lvlText w:val="%1."/>
      <w:lvlJc w:val="left"/>
      <w:pPr>
        <w:ind w:left="788" w:hanging="360"/>
      </w:pPr>
      <w:rPr>
        <w:rFonts w:hint="default"/>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8">
    <w:nsid w:val="50602AEE"/>
    <w:multiLevelType w:val="hybridMultilevel"/>
    <w:tmpl w:val="99389EB0"/>
    <w:lvl w:ilvl="0" w:tplc="50BEF9AE">
      <w:start w:val="1"/>
      <w:numFmt w:val="decimal"/>
      <w:lvlText w:val="%1."/>
      <w:lvlJc w:val="left"/>
      <w:pPr>
        <w:tabs>
          <w:tab w:val="num" w:pos="720"/>
        </w:tabs>
        <w:ind w:left="720" w:hanging="360"/>
      </w:pPr>
      <w:rPr>
        <w:b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63B01415"/>
    <w:multiLevelType w:val="hybridMultilevel"/>
    <w:tmpl w:val="30CED0C0"/>
    <w:lvl w:ilvl="0" w:tplc="2D00B8FE">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7113965"/>
    <w:multiLevelType w:val="hybridMultilevel"/>
    <w:tmpl w:val="25208CE2"/>
    <w:lvl w:ilvl="0" w:tplc="7408E136">
      <w:start w:val="1"/>
      <w:numFmt w:val="bullet"/>
      <w:pStyle w:val="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7130284"/>
    <w:multiLevelType w:val="hybridMultilevel"/>
    <w:tmpl w:val="751404EC"/>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2">
    <w:nsid w:val="68AD7071"/>
    <w:multiLevelType w:val="hybridMultilevel"/>
    <w:tmpl w:val="E72C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5D3763B"/>
    <w:multiLevelType w:val="hybridMultilevel"/>
    <w:tmpl w:val="86BC595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nsid w:val="779A2F0A"/>
    <w:multiLevelType w:val="hybridMultilevel"/>
    <w:tmpl w:val="61068924"/>
    <w:lvl w:ilvl="0" w:tplc="10DE861C">
      <w:start w:val="1"/>
      <w:numFmt w:val="decimal"/>
      <w:lvlText w:val="%1."/>
      <w:lvlJc w:val="left"/>
      <w:pPr>
        <w:ind w:left="788" w:hanging="360"/>
      </w:pPr>
      <w:rPr>
        <w:rFonts w:ascii="Arial" w:hAnsi="Arial" w:cs="Arial" w:hint="default"/>
        <w:b w:val="0"/>
        <w:sz w:val="22"/>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5">
    <w:nsid w:val="7DF612C3"/>
    <w:multiLevelType w:val="hybridMultilevel"/>
    <w:tmpl w:val="E44E3B3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abstractNumId w:val="2"/>
  </w:num>
  <w:num w:numId="2">
    <w:abstractNumId w:val="10"/>
  </w:num>
  <w:num w:numId="3">
    <w:abstractNumId w:val="6"/>
  </w:num>
  <w:num w:numId="4">
    <w:abstractNumId w:val="8"/>
  </w:num>
  <w:num w:numId="5">
    <w:abstractNumId w:val="3"/>
  </w:num>
  <w:num w:numId="6">
    <w:abstractNumId w:val="0"/>
  </w:num>
  <w:num w:numId="7">
    <w:abstractNumId w:val="1"/>
  </w:num>
  <w:num w:numId="8">
    <w:abstractNumId w:val="15"/>
  </w:num>
  <w:num w:numId="9">
    <w:abstractNumId w:val="14"/>
  </w:num>
  <w:num w:numId="10">
    <w:abstractNumId w:val="12"/>
  </w:num>
  <w:num w:numId="11">
    <w:abstractNumId w:val="5"/>
  </w:num>
  <w:num w:numId="12">
    <w:abstractNumId w:val="13"/>
  </w:num>
  <w:num w:numId="13">
    <w:abstractNumId w:val="4"/>
  </w:num>
  <w:num w:numId="14">
    <w:abstractNumId w:val="11"/>
  </w:num>
  <w:num w:numId="15">
    <w:abstractNumId w:val="7"/>
  </w:num>
  <w:num w:numId="1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10"/>
    <w:rsid w:val="000033DC"/>
    <w:rsid w:val="00007AD5"/>
    <w:rsid w:val="00007BDF"/>
    <w:rsid w:val="00010377"/>
    <w:rsid w:val="00022C34"/>
    <w:rsid w:val="00031C8F"/>
    <w:rsid w:val="00044C95"/>
    <w:rsid w:val="00060D9D"/>
    <w:rsid w:val="00061268"/>
    <w:rsid w:val="000655D5"/>
    <w:rsid w:val="00070475"/>
    <w:rsid w:val="0007575B"/>
    <w:rsid w:val="0007595A"/>
    <w:rsid w:val="0008636E"/>
    <w:rsid w:val="00087740"/>
    <w:rsid w:val="000A1A37"/>
    <w:rsid w:val="000A576E"/>
    <w:rsid w:val="000C6F95"/>
    <w:rsid w:val="000D324D"/>
    <w:rsid w:val="000D75B2"/>
    <w:rsid w:val="000F0712"/>
    <w:rsid w:val="0011165D"/>
    <w:rsid w:val="00124CE9"/>
    <w:rsid w:val="001328A4"/>
    <w:rsid w:val="001356A0"/>
    <w:rsid w:val="001417C6"/>
    <w:rsid w:val="00167D68"/>
    <w:rsid w:val="001756AA"/>
    <w:rsid w:val="00180EFC"/>
    <w:rsid w:val="00194396"/>
    <w:rsid w:val="001B7270"/>
    <w:rsid w:val="001C1697"/>
    <w:rsid w:val="001D51DF"/>
    <w:rsid w:val="001D6031"/>
    <w:rsid w:val="001D7762"/>
    <w:rsid w:val="001E295F"/>
    <w:rsid w:val="001F522E"/>
    <w:rsid w:val="00205000"/>
    <w:rsid w:val="0020671B"/>
    <w:rsid w:val="002458C2"/>
    <w:rsid w:val="0027003D"/>
    <w:rsid w:val="00274AC4"/>
    <w:rsid w:val="0028074A"/>
    <w:rsid w:val="002977EF"/>
    <w:rsid w:val="002B7845"/>
    <w:rsid w:val="002C4421"/>
    <w:rsid w:val="002D12B4"/>
    <w:rsid w:val="0030515E"/>
    <w:rsid w:val="003108DD"/>
    <w:rsid w:val="0031601A"/>
    <w:rsid w:val="0031628C"/>
    <w:rsid w:val="00326720"/>
    <w:rsid w:val="003715B8"/>
    <w:rsid w:val="00376C36"/>
    <w:rsid w:val="00390CE5"/>
    <w:rsid w:val="003B15F7"/>
    <w:rsid w:val="003E6C4A"/>
    <w:rsid w:val="003E7BD9"/>
    <w:rsid w:val="004227A3"/>
    <w:rsid w:val="00427AB6"/>
    <w:rsid w:val="0044698E"/>
    <w:rsid w:val="00460A02"/>
    <w:rsid w:val="00463C87"/>
    <w:rsid w:val="00464B25"/>
    <w:rsid w:val="00482024"/>
    <w:rsid w:val="00493A63"/>
    <w:rsid w:val="004A21E0"/>
    <w:rsid w:val="004B0051"/>
    <w:rsid w:val="004B5C46"/>
    <w:rsid w:val="004B68D6"/>
    <w:rsid w:val="004B6AC3"/>
    <w:rsid w:val="004D609C"/>
    <w:rsid w:val="004E2826"/>
    <w:rsid w:val="004E6584"/>
    <w:rsid w:val="005152B8"/>
    <w:rsid w:val="00521F52"/>
    <w:rsid w:val="005526E1"/>
    <w:rsid w:val="005761DA"/>
    <w:rsid w:val="00576BED"/>
    <w:rsid w:val="00583A47"/>
    <w:rsid w:val="005951F2"/>
    <w:rsid w:val="005A3F77"/>
    <w:rsid w:val="005A45D1"/>
    <w:rsid w:val="005A6DCF"/>
    <w:rsid w:val="005B0260"/>
    <w:rsid w:val="005C7CF4"/>
    <w:rsid w:val="005D040A"/>
    <w:rsid w:val="005D3AB1"/>
    <w:rsid w:val="005D4009"/>
    <w:rsid w:val="005F57AB"/>
    <w:rsid w:val="006214EE"/>
    <w:rsid w:val="006370AC"/>
    <w:rsid w:val="00644B0E"/>
    <w:rsid w:val="006468FF"/>
    <w:rsid w:val="00654B3B"/>
    <w:rsid w:val="00664CD4"/>
    <w:rsid w:val="006820D1"/>
    <w:rsid w:val="006A70CD"/>
    <w:rsid w:val="0070756C"/>
    <w:rsid w:val="007116DC"/>
    <w:rsid w:val="00717596"/>
    <w:rsid w:val="00746C6F"/>
    <w:rsid w:val="00747C5A"/>
    <w:rsid w:val="007642F1"/>
    <w:rsid w:val="00765020"/>
    <w:rsid w:val="007741A2"/>
    <w:rsid w:val="007757DC"/>
    <w:rsid w:val="00795C25"/>
    <w:rsid w:val="007A405A"/>
    <w:rsid w:val="007B283C"/>
    <w:rsid w:val="007C407A"/>
    <w:rsid w:val="007D70B4"/>
    <w:rsid w:val="007E0D8E"/>
    <w:rsid w:val="007F22B5"/>
    <w:rsid w:val="008274BE"/>
    <w:rsid w:val="0083498C"/>
    <w:rsid w:val="00861961"/>
    <w:rsid w:val="00865E97"/>
    <w:rsid w:val="00887AC2"/>
    <w:rsid w:val="008C0A1A"/>
    <w:rsid w:val="008C5E82"/>
    <w:rsid w:val="008D4605"/>
    <w:rsid w:val="008F7755"/>
    <w:rsid w:val="00907E52"/>
    <w:rsid w:val="00914C8F"/>
    <w:rsid w:val="009177A7"/>
    <w:rsid w:val="00924603"/>
    <w:rsid w:val="00935693"/>
    <w:rsid w:val="00952C66"/>
    <w:rsid w:val="00994201"/>
    <w:rsid w:val="009A00ED"/>
    <w:rsid w:val="009A42D4"/>
    <w:rsid w:val="009E1199"/>
    <w:rsid w:val="009E1AE8"/>
    <w:rsid w:val="009E2631"/>
    <w:rsid w:val="009E5989"/>
    <w:rsid w:val="009F3857"/>
    <w:rsid w:val="00A0149D"/>
    <w:rsid w:val="00A16B1F"/>
    <w:rsid w:val="00A278A9"/>
    <w:rsid w:val="00A46D76"/>
    <w:rsid w:val="00A5266C"/>
    <w:rsid w:val="00A56110"/>
    <w:rsid w:val="00A579AC"/>
    <w:rsid w:val="00A71AC7"/>
    <w:rsid w:val="00A803E0"/>
    <w:rsid w:val="00A87AE4"/>
    <w:rsid w:val="00A90E33"/>
    <w:rsid w:val="00A97810"/>
    <w:rsid w:val="00AB6A3B"/>
    <w:rsid w:val="00AC0BDD"/>
    <w:rsid w:val="00AC0CFB"/>
    <w:rsid w:val="00AD7F64"/>
    <w:rsid w:val="00AE1578"/>
    <w:rsid w:val="00AE4A76"/>
    <w:rsid w:val="00AF5350"/>
    <w:rsid w:val="00B1011D"/>
    <w:rsid w:val="00B1274C"/>
    <w:rsid w:val="00B216E0"/>
    <w:rsid w:val="00B22BDE"/>
    <w:rsid w:val="00B422AC"/>
    <w:rsid w:val="00B42C35"/>
    <w:rsid w:val="00B46941"/>
    <w:rsid w:val="00B761C9"/>
    <w:rsid w:val="00B95E33"/>
    <w:rsid w:val="00BC4893"/>
    <w:rsid w:val="00BC6262"/>
    <w:rsid w:val="00BD5A74"/>
    <w:rsid w:val="00BE55FE"/>
    <w:rsid w:val="00BE7FCB"/>
    <w:rsid w:val="00BF0B00"/>
    <w:rsid w:val="00BF1741"/>
    <w:rsid w:val="00C34EE3"/>
    <w:rsid w:val="00C62AA8"/>
    <w:rsid w:val="00C660DD"/>
    <w:rsid w:val="00C707D9"/>
    <w:rsid w:val="00C716D5"/>
    <w:rsid w:val="00C76C0B"/>
    <w:rsid w:val="00C83518"/>
    <w:rsid w:val="00C941ED"/>
    <w:rsid w:val="00C950A6"/>
    <w:rsid w:val="00CA54AB"/>
    <w:rsid w:val="00CE00E4"/>
    <w:rsid w:val="00CF3938"/>
    <w:rsid w:val="00D0521C"/>
    <w:rsid w:val="00D40C12"/>
    <w:rsid w:val="00D40C8B"/>
    <w:rsid w:val="00D44D0F"/>
    <w:rsid w:val="00D50377"/>
    <w:rsid w:val="00D62745"/>
    <w:rsid w:val="00D80C43"/>
    <w:rsid w:val="00D9247F"/>
    <w:rsid w:val="00DA0606"/>
    <w:rsid w:val="00DA2F3E"/>
    <w:rsid w:val="00DA7221"/>
    <w:rsid w:val="00DC7700"/>
    <w:rsid w:val="00DD06A1"/>
    <w:rsid w:val="00DE0041"/>
    <w:rsid w:val="00DE080D"/>
    <w:rsid w:val="00DF1FBD"/>
    <w:rsid w:val="00DF32B6"/>
    <w:rsid w:val="00E13923"/>
    <w:rsid w:val="00E13DEE"/>
    <w:rsid w:val="00E17DE0"/>
    <w:rsid w:val="00E52A76"/>
    <w:rsid w:val="00E56ACA"/>
    <w:rsid w:val="00E6279B"/>
    <w:rsid w:val="00E724D5"/>
    <w:rsid w:val="00E93C45"/>
    <w:rsid w:val="00EB0B71"/>
    <w:rsid w:val="00EC06F1"/>
    <w:rsid w:val="00EE36EA"/>
    <w:rsid w:val="00EE6DDB"/>
    <w:rsid w:val="00EF7D7E"/>
    <w:rsid w:val="00F053E1"/>
    <w:rsid w:val="00F21F09"/>
    <w:rsid w:val="00F23DB4"/>
    <w:rsid w:val="00F26172"/>
    <w:rsid w:val="00F3509E"/>
    <w:rsid w:val="00F46CE5"/>
    <w:rsid w:val="00F648BE"/>
    <w:rsid w:val="00F7668E"/>
    <w:rsid w:val="00F84998"/>
    <w:rsid w:val="00FA40B7"/>
    <w:rsid w:val="00FA4276"/>
    <w:rsid w:val="00FA4605"/>
    <w:rsid w:val="00FB2F83"/>
    <w:rsid w:val="00FC534F"/>
    <w:rsid w:val="00FD0922"/>
    <w:rsid w:val="00FD1919"/>
    <w:rsid w:val="00FE1AC4"/>
    <w:rsid w:val="00FE1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link w:val="Heading1Char"/>
    <w:qFormat/>
    <w:pPr>
      <w:keepNext/>
      <w:outlineLvl w:val="0"/>
    </w:pPr>
    <w:rPr>
      <w:b/>
      <w:bCs/>
      <w:sz w:val="24"/>
    </w:rPr>
  </w:style>
  <w:style w:type="paragraph" w:styleId="Heading2">
    <w:name w:val="heading 2"/>
    <w:basedOn w:val="Normal"/>
    <w:next w:val="Normal"/>
    <w:qFormat/>
    <w:pPr>
      <w:keepNext/>
      <w:outlineLvl w:val="1"/>
    </w:pPr>
    <w:rPr>
      <w:b/>
      <w:bCs/>
      <w:sz w:val="24"/>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spacing w:before="240" w:after="60"/>
      <w:outlineLvl w:val="3"/>
    </w:pPr>
    <w:rPr>
      <w:rFonts w:cs="Times New Roman"/>
      <w:b/>
      <w:bCs/>
      <w:sz w:val="24"/>
      <w:szCs w:val="28"/>
    </w:rPr>
  </w:style>
  <w:style w:type="paragraph" w:styleId="Heading5">
    <w:name w:val="heading 5"/>
    <w:basedOn w:val="Normal"/>
    <w:next w:val="Normal"/>
    <w:qFormat/>
    <w:pPr>
      <w:spacing w:before="240" w:after="60"/>
      <w:outlineLvl w:val="4"/>
    </w:pPr>
    <w:rPr>
      <w:b/>
      <w:bCs/>
      <w:iCs/>
      <w:sz w:val="24"/>
      <w:szCs w:val="26"/>
    </w:rPr>
  </w:style>
  <w:style w:type="paragraph" w:styleId="Heading6">
    <w:name w:val="heading 6"/>
    <w:basedOn w:val="Normal"/>
    <w:next w:val="Normal"/>
    <w:qFormat/>
    <w:pPr>
      <w:spacing w:before="240" w:after="60"/>
      <w:outlineLvl w:val="5"/>
    </w:pPr>
    <w:rPr>
      <w:rFonts w:cs="Times New Roman"/>
      <w:b/>
      <w:bCs/>
      <w:sz w:val="24"/>
      <w:szCs w:val="22"/>
    </w:rPr>
  </w:style>
  <w:style w:type="paragraph" w:styleId="Heading7">
    <w:name w:val="heading 7"/>
    <w:basedOn w:val="Normal"/>
    <w:next w:val="Normal"/>
    <w:qFormat/>
    <w:pPr>
      <w:spacing w:before="240" w:after="60"/>
      <w:outlineLvl w:val="6"/>
    </w:pPr>
    <w:rPr>
      <w:rFonts w:cs="Times New Roman"/>
      <w:b/>
      <w:sz w:val="24"/>
    </w:rPr>
  </w:style>
  <w:style w:type="paragraph" w:styleId="Heading8">
    <w:name w:val="heading 8"/>
    <w:basedOn w:val="Normal"/>
    <w:next w:val="Normal"/>
    <w:qFormat/>
    <w:pPr>
      <w:spacing w:before="240" w:after="60"/>
      <w:outlineLvl w:val="7"/>
    </w:pPr>
    <w:rPr>
      <w:rFonts w:cs="Times New Roman"/>
      <w:b/>
      <w:iCs/>
      <w:sz w:val="24"/>
    </w:rPr>
  </w:style>
  <w:style w:type="paragraph" w:styleId="Heading9">
    <w:name w:val="heading 9"/>
    <w:basedOn w:val="Normal"/>
    <w:next w:val="Normal"/>
    <w:qFormat/>
    <w:pPr>
      <w:spacing w:before="240" w:after="60"/>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b/>
      <w:bCs/>
    </w:rPr>
  </w:style>
  <w:style w:type="paragraph" w:styleId="TOC2">
    <w:name w:val="toc 2"/>
    <w:basedOn w:val="Normal"/>
    <w:next w:val="Normal"/>
    <w:autoRedefine/>
    <w:uiPriority w:val="39"/>
    <w:pPr>
      <w:ind w:left="240"/>
    </w:pPr>
    <w:rPr>
      <w:b/>
      <w:sz w:val="24"/>
    </w:rPr>
  </w:style>
  <w:style w:type="paragraph" w:styleId="TOC1">
    <w:name w:val="toc 1"/>
    <w:basedOn w:val="Normal"/>
    <w:next w:val="Heading3"/>
    <w:autoRedefine/>
    <w:uiPriority w:val="39"/>
    <w:pPr>
      <w:tabs>
        <w:tab w:val="right" w:pos="9344"/>
      </w:tabs>
    </w:pPr>
    <w:rPr>
      <w:b/>
      <w:noProof/>
      <w:sz w:val="24"/>
    </w:rPr>
  </w:style>
  <w:style w:type="paragraph" w:styleId="TOC3">
    <w:name w:val="toc 3"/>
    <w:basedOn w:val="Normal"/>
    <w:next w:val="Normal"/>
    <w:autoRedefine/>
    <w:uiPriority w:val="39"/>
    <w:pPr>
      <w:ind w:left="480"/>
    </w:pPr>
    <w:rPr>
      <w:b/>
      <w:sz w:val="24"/>
    </w:rPr>
  </w:style>
  <w:style w:type="paragraph" w:styleId="TOC4">
    <w:name w:val="toc 4"/>
    <w:basedOn w:val="Normal"/>
    <w:next w:val="Normal"/>
    <w:autoRedefine/>
    <w:semiHidden/>
    <w:pPr>
      <w:ind w:left="720"/>
    </w:pPr>
    <w:rPr>
      <w:b/>
      <w:sz w:val="24"/>
    </w:rPr>
  </w:style>
  <w:style w:type="paragraph" w:styleId="TOC5">
    <w:name w:val="toc 5"/>
    <w:basedOn w:val="Normal"/>
    <w:next w:val="Normal"/>
    <w:autoRedefine/>
    <w:semiHidden/>
    <w:pPr>
      <w:ind w:left="960"/>
    </w:pPr>
    <w:rPr>
      <w:b/>
      <w:sz w:val="24"/>
    </w:rPr>
  </w:style>
  <w:style w:type="paragraph" w:styleId="TOC6">
    <w:name w:val="toc 6"/>
    <w:basedOn w:val="Normal"/>
    <w:next w:val="Normal"/>
    <w:autoRedefine/>
    <w:semiHidden/>
    <w:pPr>
      <w:ind w:left="1200"/>
    </w:pPr>
    <w:rPr>
      <w:b/>
      <w:sz w:val="24"/>
    </w:rPr>
  </w:style>
  <w:style w:type="paragraph" w:styleId="TOC7">
    <w:name w:val="toc 7"/>
    <w:basedOn w:val="Normal"/>
    <w:next w:val="Normal"/>
    <w:autoRedefine/>
    <w:semiHidden/>
    <w:pPr>
      <w:ind w:left="1440"/>
    </w:pPr>
    <w:rPr>
      <w:b/>
      <w:sz w:val="24"/>
    </w:rPr>
  </w:style>
  <w:style w:type="paragraph" w:styleId="TOC8">
    <w:name w:val="toc 8"/>
    <w:basedOn w:val="Normal"/>
    <w:next w:val="Normal"/>
    <w:autoRedefine/>
    <w:semiHidden/>
    <w:pPr>
      <w:ind w:left="1680"/>
    </w:pPr>
    <w:rPr>
      <w:b/>
      <w:sz w:val="24"/>
    </w:rPr>
  </w:style>
  <w:style w:type="paragraph" w:styleId="TOC9">
    <w:name w:val="toc 9"/>
    <w:basedOn w:val="Normal"/>
    <w:next w:val="Normal"/>
    <w:autoRedefine/>
    <w:semiHidden/>
    <w:pPr>
      <w:ind w:left="1920"/>
    </w:pPr>
    <w:rPr>
      <w:b/>
      <w:sz w:val="24"/>
    </w:rPr>
  </w:style>
  <w:style w:type="character" w:styleId="Hyperlink">
    <w:name w:val="Hyperlink"/>
    <w:basedOn w:val="DefaultParagraphFont"/>
    <w:uiPriority w:val="99"/>
    <w:rPr>
      <w:color w:val="0000FF"/>
      <w:u w:val="single"/>
    </w:rPr>
  </w:style>
  <w:style w:type="character" w:customStyle="1" w:styleId="FooterChar">
    <w:name w:val="Footer Char"/>
    <w:basedOn w:val="DefaultParagraphFont"/>
    <w:link w:val="Footer"/>
    <w:rsid w:val="00464B25"/>
    <w:rPr>
      <w:rFonts w:ascii="Arial" w:hAnsi="Arial" w:cs="Arial"/>
      <w:sz w:val="22"/>
      <w:szCs w:val="24"/>
      <w:lang w:eastAsia="en-US"/>
    </w:rPr>
  </w:style>
  <w:style w:type="paragraph" w:styleId="BalloonText">
    <w:name w:val="Balloon Text"/>
    <w:basedOn w:val="Normal"/>
    <w:link w:val="BalloonTextChar"/>
    <w:rsid w:val="00E13923"/>
    <w:rPr>
      <w:rFonts w:ascii="Tahoma" w:hAnsi="Tahoma" w:cs="Tahoma"/>
      <w:sz w:val="16"/>
      <w:szCs w:val="16"/>
    </w:rPr>
  </w:style>
  <w:style w:type="character" w:customStyle="1" w:styleId="BalloonTextChar">
    <w:name w:val="Balloon Text Char"/>
    <w:basedOn w:val="DefaultParagraphFont"/>
    <w:link w:val="BalloonText"/>
    <w:rsid w:val="00E13923"/>
    <w:rPr>
      <w:rFonts w:ascii="Tahoma" w:hAnsi="Tahoma" w:cs="Tahoma"/>
      <w:sz w:val="16"/>
      <w:szCs w:val="16"/>
      <w:lang w:eastAsia="en-US"/>
    </w:rPr>
  </w:style>
  <w:style w:type="table" w:styleId="TableGrid">
    <w:name w:val="Table Grid"/>
    <w:basedOn w:val="TableNormal"/>
    <w:rsid w:val="00A56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aliases w:val="p,Paragraph"/>
    <w:basedOn w:val="Normal"/>
    <w:link w:val="paragraphChar"/>
    <w:rsid w:val="00A56110"/>
    <w:pPr>
      <w:keepLines/>
      <w:tabs>
        <w:tab w:val="left" w:pos="2420"/>
      </w:tabs>
      <w:spacing w:before="140" w:line="260" w:lineRule="exact"/>
      <w:ind w:left="851"/>
      <w:jc w:val="both"/>
    </w:pPr>
    <w:rPr>
      <w:rFonts w:cs="Times New Roman"/>
      <w:szCs w:val="20"/>
    </w:rPr>
  </w:style>
  <w:style w:type="character" w:customStyle="1" w:styleId="paragraphChar">
    <w:name w:val="paragraph Char"/>
    <w:aliases w:val="p Char"/>
    <w:link w:val="paragraph"/>
    <w:rsid w:val="00A56110"/>
    <w:rPr>
      <w:rFonts w:ascii="Arial" w:hAnsi="Arial"/>
      <w:sz w:val="22"/>
      <w:lang w:eastAsia="en-US"/>
    </w:rPr>
  </w:style>
  <w:style w:type="character" w:styleId="HTMLCite">
    <w:name w:val="HTML Cite"/>
    <w:rsid w:val="00A56110"/>
    <w:rPr>
      <w:i w:val="0"/>
      <w:iCs w:val="0"/>
      <w:color w:val="008000"/>
    </w:rPr>
  </w:style>
  <w:style w:type="paragraph" w:styleId="NormalWeb">
    <w:name w:val="Normal (Web)"/>
    <w:basedOn w:val="Normal"/>
    <w:rsid w:val="00A56110"/>
    <w:pPr>
      <w:spacing w:before="100" w:beforeAutospacing="1" w:after="100" w:afterAutospacing="1"/>
    </w:pPr>
    <w:rPr>
      <w:rFonts w:ascii="Times New Roman" w:hAnsi="Times New Roman" w:cs="Times New Roman"/>
      <w:sz w:val="24"/>
      <w:lang w:eastAsia="en-GB"/>
    </w:rPr>
  </w:style>
  <w:style w:type="character" w:styleId="Strong">
    <w:name w:val="Strong"/>
    <w:qFormat/>
    <w:rsid w:val="00A56110"/>
    <w:rPr>
      <w:b/>
      <w:bCs/>
    </w:rPr>
  </w:style>
  <w:style w:type="paragraph" w:styleId="DocumentMap">
    <w:name w:val="Document Map"/>
    <w:basedOn w:val="Normal"/>
    <w:link w:val="DocumentMapChar"/>
    <w:rsid w:val="00A5611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A56110"/>
    <w:rPr>
      <w:rFonts w:ascii="Tahoma" w:hAnsi="Tahoma" w:cs="Tahoma"/>
      <w:shd w:val="clear" w:color="auto" w:fill="000080"/>
      <w:lang w:eastAsia="en-US"/>
    </w:rPr>
  </w:style>
  <w:style w:type="paragraph" w:customStyle="1" w:styleId="Default">
    <w:name w:val="Default"/>
    <w:rsid w:val="00A56110"/>
    <w:pPr>
      <w:autoSpaceDE w:val="0"/>
      <w:autoSpaceDN w:val="0"/>
      <w:adjustRightInd w:val="0"/>
    </w:pPr>
    <w:rPr>
      <w:rFonts w:ascii="Tahoma" w:hAnsi="Tahoma" w:cs="Tahoma"/>
      <w:color w:val="000000"/>
      <w:sz w:val="24"/>
      <w:szCs w:val="24"/>
    </w:rPr>
  </w:style>
  <w:style w:type="paragraph" w:customStyle="1" w:styleId="Bullet">
    <w:name w:val="Bullet"/>
    <w:basedOn w:val="Normal"/>
    <w:link w:val="BulletChar"/>
    <w:autoRedefine/>
    <w:rsid w:val="0028074A"/>
    <w:pPr>
      <w:numPr>
        <w:numId w:val="7"/>
      </w:numPr>
      <w:spacing w:before="120" w:after="120"/>
    </w:pPr>
    <w:rPr>
      <w:szCs w:val="22"/>
      <w:lang w:eastAsia="en-GB"/>
    </w:rPr>
  </w:style>
  <w:style w:type="character" w:styleId="FollowedHyperlink">
    <w:name w:val="FollowedHyperlink"/>
    <w:rsid w:val="00A56110"/>
    <w:rPr>
      <w:color w:val="800080"/>
      <w:u w:val="single"/>
    </w:rPr>
  </w:style>
  <w:style w:type="character" w:customStyle="1" w:styleId="BodyTextChar">
    <w:name w:val="Body Text Char"/>
    <w:link w:val="BodyText"/>
    <w:rsid w:val="00A56110"/>
    <w:rPr>
      <w:rFonts w:ascii="Arial" w:hAnsi="Arial" w:cs="Arial"/>
      <w:b/>
      <w:bCs/>
      <w:sz w:val="22"/>
      <w:szCs w:val="24"/>
      <w:lang w:eastAsia="en-US"/>
    </w:rPr>
  </w:style>
  <w:style w:type="paragraph" w:styleId="CommentText">
    <w:name w:val="annotation text"/>
    <w:basedOn w:val="Normal"/>
    <w:link w:val="CommentTextChar"/>
    <w:rsid w:val="00A56110"/>
    <w:rPr>
      <w:rFonts w:ascii="Times New Roman" w:hAnsi="Times New Roman" w:cs="Times New Roman"/>
      <w:sz w:val="20"/>
      <w:szCs w:val="20"/>
    </w:rPr>
  </w:style>
  <w:style w:type="character" w:customStyle="1" w:styleId="CommentTextChar">
    <w:name w:val="Comment Text Char"/>
    <w:basedOn w:val="DefaultParagraphFont"/>
    <w:link w:val="CommentText"/>
    <w:rsid w:val="00A56110"/>
    <w:rPr>
      <w:lang w:eastAsia="en-US"/>
    </w:rPr>
  </w:style>
  <w:style w:type="character" w:styleId="Emphasis">
    <w:name w:val="Emphasis"/>
    <w:qFormat/>
    <w:rsid w:val="00A56110"/>
    <w:rPr>
      <w:i/>
      <w:iCs/>
    </w:rPr>
  </w:style>
  <w:style w:type="paragraph" w:customStyle="1" w:styleId="StyleBulletBold">
    <w:name w:val="Style Bullet + Bold"/>
    <w:basedOn w:val="Bullet"/>
    <w:next w:val="Bullet"/>
    <w:link w:val="StyleBulletBoldChar"/>
    <w:autoRedefine/>
    <w:rsid w:val="00A56110"/>
    <w:rPr>
      <w:b/>
      <w:bCs/>
    </w:rPr>
  </w:style>
  <w:style w:type="character" w:customStyle="1" w:styleId="BulletChar">
    <w:name w:val="Bullet Char"/>
    <w:link w:val="Bullet"/>
    <w:rsid w:val="0028074A"/>
    <w:rPr>
      <w:rFonts w:ascii="Arial" w:hAnsi="Arial" w:cs="Arial"/>
      <w:sz w:val="22"/>
      <w:szCs w:val="22"/>
    </w:rPr>
  </w:style>
  <w:style w:type="character" w:customStyle="1" w:styleId="StyleBulletBoldChar">
    <w:name w:val="Style Bullet + Bold Char"/>
    <w:link w:val="StyleBulletBold"/>
    <w:rsid w:val="00A56110"/>
    <w:rPr>
      <w:rFonts w:ascii="Arial" w:hAnsi="Arial" w:cs="Arial"/>
      <w:b/>
      <w:bCs/>
      <w:sz w:val="22"/>
      <w:szCs w:val="22"/>
      <w:lang w:eastAsia="en-US"/>
    </w:rPr>
  </w:style>
  <w:style w:type="character" w:customStyle="1" w:styleId="Heading1Char">
    <w:name w:val="Heading 1 Char"/>
    <w:link w:val="Heading1"/>
    <w:rsid w:val="00A56110"/>
    <w:rPr>
      <w:rFonts w:ascii="Arial" w:hAnsi="Arial" w:cs="Arial"/>
      <w:b/>
      <w:bCs/>
      <w:sz w:val="24"/>
      <w:szCs w:val="24"/>
      <w:lang w:eastAsia="en-US"/>
    </w:rPr>
  </w:style>
  <w:style w:type="paragraph" w:customStyle="1" w:styleId="Table">
    <w:name w:val="Table"/>
    <w:basedOn w:val="paragraph"/>
    <w:autoRedefine/>
    <w:rsid w:val="00A56110"/>
    <w:pPr>
      <w:spacing w:before="0" w:line="240" w:lineRule="auto"/>
      <w:ind w:left="0"/>
      <w:jc w:val="left"/>
    </w:pPr>
    <w:rPr>
      <w:sz w:val="20"/>
      <w:szCs w:val="22"/>
    </w:rPr>
  </w:style>
  <w:style w:type="paragraph" w:customStyle="1" w:styleId="Bullets">
    <w:name w:val="Bullets"/>
    <w:basedOn w:val="Normal"/>
    <w:rsid w:val="00A56110"/>
    <w:pPr>
      <w:numPr>
        <w:numId w:val="2"/>
      </w:numPr>
    </w:pPr>
  </w:style>
  <w:style w:type="table" w:styleId="TableClassic2">
    <w:name w:val="Table Classic 2"/>
    <w:basedOn w:val="TableNormal"/>
    <w:rsid w:val="00C707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basedOn w:val="Normal"/>
    <w:uiPriority w:val="34"/>
    <w:qFormat/>
    <w:rsid w:val="00C707D9"/>
    <w:pPr>
      <w:ind w:left="720"/>
      <w:contextualSpacing/>
    </w:pPr>
  </w:style>
  <w:style w:type="character" w:styleId="CommentReference">
    <w:name w:val="annotation reference"/>
    <w:basedOn w:val="DefaultParagraphFont"/>
    <w:rsid w:val="005F57AB"/>
    <w:rPr>
      <w:sz w:val="16"/>
      <w:szCs w:val="16"/>
    </w:rPr>
  </w:style>
  <w:style w:type="paragraph" w:styleId="CommentSubject">
    <w:name w:val="annotation subject"/>
    <w:basedOn w:val="CommentText"/>
    <w:next w:val="CommentText"/>
    <w:link w:val="CommentSubjectChar"/>
    <w:rsid w:val="005F57AB"/>
    <w:rPr>
      <w:rFonts w:ascii="Arial" w:hAnsi="Arial" w:cs="Arial"/>
      <w:b/>
      <w:bCs/>
    </w:rPr>
  </w:style>
  <w:style w:type="character" w:customStyle="1" w:styleId="CommentSubjectChar">
    <w:name w:val="Comment Subject Char"/>
    <w:basedOn w:val="CommentTextChar"/>
    <w:link w:val="CommentSubject"/>
    <w:rsid w:val="005F57AB"/>
    <w:rPr>
      <w:rFonts w:ascii="Arial" w:hAnsi="Arial" w:cs="Arial"/>
      <w:b/>
      <w:bCs/>
      <w:lang w:eastAsia="en-US"/>
    </w:rPr>
  </w:style>
  <w:style w:type="paragraph" w:customStyle="1" w:styleId="DocReference">
    <w:name w:val="Doc Reference"/>
    <w:basedOn w:val="Normal"/>
    <w:rsid w:val="00576BED"/>
    <w:pPr>
      <w:widowControl w:val="0"/>
      <w:tabs>
        <w:tab w:val="left" w:pos="1406"/>
      </w:tabs>
      <w:autoSpaceDE w:val="0"/>
      <w:autoSpaceDN w:val="0"/>
      <w:adjustRightInd w:val="0"/>
      <w:spacing w:after="120"/>
      <w:ind w:left="1134"/>
    </w:pPr>
    <w:rPr>
      <w:rFonts w:ascii="Corbel" w:eastAsia="Arial Unicode MS" w:hAnsi="Corbel" w:cs="Times New Roman"/>
      <w:sz w:val="16"/>
      <w:szCs w:val="16"/>
    </w:rPr>
  </w:style>
  <w:style w:type="paragraph" w:customStyle="1" w:styleId="HS2BulletList">
    <w:name w:val="HS2 Bullet List"/>
    <w:uiPriority w:val="3"/>
    <w:qFormat/>
    <w:rsid w:val="00576BED"/>
    <w:pPr>
      <w:widowControl w:val="0"/>
      <w:numPr>
        <w:numId w:val="6"/>
      </w:numPr>
      <w:autoSpaceDE w:val="0"/>
      <w:autoSpaceDN w:val="0"/>
      <w:adjustRightInd w:val="0"/>
      <w:spacing w:after="170" w:line="300" w:lineRule="atLeast"/>
      <w:ind w:right="442"/>
    </w:pPr>
    <w:rPr>
      <w:rFonts w:ascii="Corbel" w:hAnsi="Corbel"/>
      <w:color w:val="000000"/>
      <w:sz w:val="22"/>
      <w:szCs w:val="22"/>
      <w:lang w:eastAsia="en-US"/>
    </w:rPr>
  </w:style>
  <w:style w:type="paragraph" w:customStyle="1" w:styleId="HS2DashList">
    <w:name w:val="HS2 Dash List"/>
    <w:uiPriority w:val="3"/>
    <w:qFormat/>
    <w:rsid w:val="00576BED"/>
    <w:pPr>
      <w:widowControl w:val="0"/>
      <w:numPr>
        <w:ilvl w:val="1"/>
        <w:numId w:val="6"/>
      </w:numPr>
      <w:autoSpaceDE w:val="0"/>
      <w:autoSpaceDN w:val="0"/>
      <w:adjustRightInd w:val="0"/>
      <w:spacing w:after="170" w:line="300" w:lineRule="atLeast"/>
      <w:ind w:left="1702" w:hanging="284"/>
    </w:pPr>
    <w:rPr>
      <w:rFonts w:ascii="Corbel" w:hAnsi="Corbel"/>
      <w:color w:val="000000"/>
      <w:spacing w:val="-4"/>
      <w:sz w:val="22"/>
      <w:szCs w:val="22"/>
      <w:lang w:eastAsia="en-US"/>
    </w:rPr>
  </w:style>
  <w:style w:type="paragraph" w:styleId="Revision">
    <w:name w:val="Revision"/>
    <w:hidden/>
    <w:uiPriority w:val="99"/>
    <w:semiHidden/>
    <w:rsid w:val="00CA54AB"/>
    <w:rPr>
      <w:rFonts w:ascii="Arial" w:hAnsi="Arial" w:cs="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link w:val="Heading1Char"/>
    <w:qFormat/>
    <w:pPr>
      <w:keepNext/>
      <w:outlineLvl w:val="0"/>
    </w:pPr>
    <w:rPr>
      <w:b/>
      <w:bCs/>
      <w:sz w:val="24"/>
    </w:rPr>
  </w:style>
  <w:style w:type="paragraph" w:styleId="Heading2">
    <w:name w:val="heading 2"/>
    <w:basedOn w:val="Normal"/>
    <w:next w:val="Normal"/>
    <w:qFormat/>
    <w:pPr>
      <w:keepNext/>
      <w:outlineLvl w:val="1"/>
    </w:pPr>
    <w:rPr>
      <w:b/>
      <w:bCs/>
      <w:sz w:val="24"/>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spacing w:before="240" w:after="60"/>
      <w:outlineLvl w:val="3"/>
    </w:pPr>
    <w:rPr>
      <w:rFonts w:cs="Times New Roman"/>
      <w:b/>
      <w:bCs/>
      <w:sz w:val="24"/>
      <w:szCs w:val="28"/>
    </w:rPr>
  </w:style>
  <w:style w:type="paragraph" w:styleId="Heading5">
    <w:name w:val="heading 5"/>
    <w:basedOn w:val="Normal"/>
    <w:next w:val="Normal"/>
    <w:qFormat/>
    <w:pPr>
      <w:spacing w:before="240" w:after="60"/>
      <w:outlineLvl w:val="4"/>
    </w:pPr>
    <w:rPr>
      <w:b/>
      <w:bCs/>
      <w:iCs/>
      <w:sz w:val="24"/>
      <w:szCs w:val="26"/>
    </w:rPr>
  </w:style>
  <w:style w:type="paragraph" w:styleId="Heading6">
    <w:name w:val="heading 6"/>
    <w:basedOn w:val="Normal"/>
    <w:next w:val="Normal"/>
    <w:qFormat/>
    <w:pPr>
      <w:spacing w:before="240" w:after="60"/>
      <w:outlineLvl w:val="5"/>
    </w:pPr>
    <w:rPr>
      <w:rFonts w:cs="Times New Roman"/>
      <w:b/>
      <w:bCs/>
      <w:sz w:val="24"/>
      <w:szCs w:val="22"/>
    </w:rPr>
  </w:style>
  <w:style w:type="paragraph" w:styleId="Heading7">
    <w:name w:val="heading 7"/>
    <w:basedOn w:val="Normal"/>
    <w:next w:val="Normal"/>
    <w:qFormat/>
    <w:pPr>
      <w:spacing w:before="240" w:after="60"/>
      <w:outlineLvl w:val="6"/>
    </w:pPr>
    <w:rPr>
      <w:rFonts w:cs="Times New Roman"/>
      <w:b/>
      <w:sz w:val="24"/>
    </w:rPr>
  </w:style>
  <w:style w:type="paragraph" w:styleId="Heading8">
    <w:name w:val="heading 8"/>
    <w:basedOn w:val="Normal"/>
    <w:next w:val="Normal"/>
    <w:qFormat/>
    <w:pPr>
      <w:spacing w:before="240" w:after="60"/>
      <w:outlineLvl w:val="7"/>
    </w:pPr>
    <w:rPr>
      <w:rFonts w:cs="Times New Roman"/>
      <w:b/>
      <w:iCs/>
      <w:sz w:val="24"/>
    </w:rPr>
  </w:style>
  <w:style w:type="paragraph" w:styleId="Heading9">
    <w:name w:val="heading 9"/>
    <w:basedOn w:val="Normal"/>
    <w:next w:val="Normal"/>
    <w:qFormat/>
    <w:pPr>
      <w:spacing w:before="240" w:after="60"/>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b/>
      <w:bCs/>
    </w:rPr>
  </w:style>
  <w:style w:type="paragraph" w:styleId="TOC2">
    <w:name w:val="toc 2"/>
    <w:basedOn w:val="Normal"/>
    <w:next w:val="Normal"/>
    <w:autoRedefine/>
    <w:uiPriority w:val="39"/>
    <w:pPr>
      <w:ind w:left="240"/>
    </w:pPr>
    <w:rPr>
      <w:b/>
      <w:sz w:val="24"/>
    </w:rPr>
  </w:style>
  <w:style w:type="paragraph" w:styleId="TOC1">
    <w:name w:val="toc 1"/>
    <w:basedOn w:val="Normal"/>
    <w:next w:val="Heading3"/>
    <w:autoRedefine/>
    <w:uiPriority w:val="39"/>
    <w:pPr>
      <w:tabs>
        <w:tab w:val="right" w:pos="9344"/>
      </w:tabs>
    </w:pPr>
    <w:rPr>
      <w:b/>
      <w:noProof/>
      <w:sz w:val="24"/>
    </w:rPr>
  </w:style>
  <w:style w:type="paragraph" w:styleId="TOC3">
    <w:name w:val="toc 3"/>
    <w:basedOn w:val="Normal"/>
    <w:next w:val="Normal"/>
    <w:autoRedefine/>
    <w:uiPriority w:val="39"/>
    <w:pPr>
      <w:ind w:left="480"/>
    </w:pPr>
    <w:rPr>
      <w:b/>
      <w:sz w:val="24"/>
    </w:rPr>
  </w:style>
  <w:style w:type="paragraph" w:styleId="TOC4">
    <w:name w:val="toc 4"/>
    <w:basedOn w:val="Normal"/>
    <w:next w:val="Normal"/>
    <w:autoRedefine/>
    <w:semiHidden/>
    <w:pPr>
      <w:ind w:left="720"/>
    </w:pPr>
    <w:rPr>
      <w:b/>
      <w:sz w:val="24"/>
    </w:rPr>
  </w:style>
  <w:style w:type="paragraph" w:styleId="TOC5">
    <w:name w:val="toc 5"/>
    <w:basedOn w:val="Normal"/>
    <w:next w:val="Normal"/>
    <w:autoRedefine/>
    <w:semiHidden/>
    <w:pPr>
      <w:ind w:left="960"/>
    </w:pPr>
    <w:rPr>
      <w:b/>
      <w:sz w:val="24"/>
    </w:rPr>
  </w:style>
  <w:style w:type="paragraph" w:styleId="TOC6">
    <w:name w:val="toc 6"/>
    <w:basedOn w:val="Normal"/>
    <w:next w:val="Normal"/>
    <w:autoRedefine/>
    <w:semiHidden/>
    <w:pPr>
      <w:ind w:left="1200"/>
    </w:pPr>
    <w:rPr>
      <w:b/>
      <w:sz w:val="24"/>
    </w:rPr>
  </w:style>
  <w:style w:type="paragraph" w:styleId="TOC7">
    <w:name w:val="toc 7"/>
    <w:basedOn w:val="Normal"/>
    <w:next w:val="Normal"/>
    <w:autoRedefine/>
    <w:semiHidden/>
    <w:pPr>
      <w:ind w:left="1440"/>
    </w:pPr>
    <w:rPr>
      <w:b/>
      <w:sz w:val="24"/>
    </w:rPr>
  </w:style>
  <w:style w:type="paragraph" w:styleId="TOC8">
    <w:name w:val="toc 8"/>
    <w:basedOn w:val="Normal"/>
    <w:next w:val="Normal"/>
    <w:autoRedefine/>
    <w:semiHidden/>
    <w:pPr>
      <w:ind w:left="1680"/>
    </w:pPr>
    <w:rPr>
      <w:b/>
      <w:sz w:val="24"/>
    </w:rPr>
  </w:style>
  <w:style w:type="paragraph" w:styleId="TOC9">
    <w:name w:val="toc 9"/>
    <w:basedOn w:val="Normal"/>
    <w:next w:val="Normal"/>
    <w:autoRedefine/>
    <w:semiHidden/>
    <w:pPr>
      <w:ind w:left="1920"/>
    </w:pPr>
    <w:rPr>
      <w:b/>
      <w:sz w:val="24"/>
    </w:rPr>
  </w:style>
  <w:style w:type="character" w:styleId="Hyperlink">
    <w:name w:val="Hyperlink"/>
    <w:basedOn w:val="DefaultParagraphFont"/>
    <w:uiPriority w:val="99"/>
    <w:rPr>
      <w:color w:val="0000FF"/>
      <w:u w:val="single"/>
    </w:rPr>
  </w:style>
  <w:style w:type="character" w:customStyle="1" w:styleId="FooterChar">
    <w:name w:val="Footer Char"/>
    <w:basedOn w:val="DefaultParagraphFont"/>
    <w:link w:val="Footer"/>
    <w:rsid w:val="00464B25"/>
    <w:rPr>
      <w:rFonts w:ascii="Arial" w:hAnsi="Arial" w:cs="Arial"/>
      <w:sz w:val="22"/>
      <w:szCs w:val="24"/>
      <w:lang w:eastAsia="en-US"/>
    </w:rPr>
  </w:style>
  <w:style w:type="paragraph" w:styleId="BalloonText">
    <w:name w:val="Balloon Text"/>
    <w:basedOn w:val="Normal"/>
    <w:link w:val="BalloonTextChar"/>
    <w:rsid w:val="00E13923"/>
    <w:rPr>
      <w:rFonts w:ascii="Tahoma" w:hAnsi="Tahoma" w:cs="Tahoma"/>
      <w:sz w:val="16"/>
      <w:szCs w:val="16"/>
    </w:rPr>
  </w:style>
  <w:style w:type="character" w:customStyle="1" w:styleId="BalloonTextChar">
    <w:name w:val="Balloon Text Char"/>
    <w:basedOn w:val="DefaultParagraphFont"/>
    <w:link w:val="BalloonText"/>
    <w:rsid w:val="00E13923"/>
    <w:rPr>
      <w:rFonts w:ascii="Tahoma" w:hAnsi="Tahoma" w:cs="Tahoma"/>
      <w:sz w:val="16"/>
      <w:szCs w:val="16"/>
      <w:lang w:eastAsia="en-US"/>
    </w:rPr>
  </w:style>
  <w:style w:type="table" w:styleId="TableGrid">
    <w:name w:val="Table Grid"/>
    <w:basedOn w:val="TableNormal"/>
    <w:rsid w:val="00A56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aliases w:val="p,Paragraph"/>
    <w:basedOn w:val="Normal"/>
    <w:link w:val="paragraphChar"/>
    <w:rsid w:val="00A56110"/>
    <w:pPr>
      <w:keepLines/>
      <w:tabs>
        <w:tab w:val="left" w:pos="2420"/>
      </w:tabs>
      <w:spacing w:before="140" w:line="260" w:lineRule="exact"/>
      <w:ind w:left="851"/>
      <w:jc w:val="both"/>
    </w:pPr>
    <w:rPr>
      <w:rFonts w:cs="Times New Roman"/>
      <w:szCs w:val="20"/>
    </w:rPr>
  </w:style>
  <w:style w:type="character" w:customStyle="1" w:styleId="paragraphChar">
    <w:name w:val="paragraph Char"/>
    <w:aliases w:val="p Char"/>
    <w:link w:val="paragraph"/>
    <w:rsid w:val="00A56110"/>
    <w:rPr>
      <w:rFonts w:ascii="Arial" w:hAnsi="Arial"/>
      <w:sz w:val="22"/>
      <w:lang w:eastAsia="en-US"/>
    </w:rPr>
  </w:style>
  <w:style w:type="character" w:styleId="HTMLCite">
    <w:name w:val="HTML Cite"/>
    <w:rsid w:val="00A56110"/>
    <w:rPr>
      <w:i w:val="0"/>
      <w:iCs w:val="0"/>
      <w:color w:val="008000"/>
    </w:rPr>
  </w:style>
  <w:style w:type="paragraph" w:styleId="NormalWeb">
    <w:name w:val="Normal (Web)"/>
    <w:basedOn w:val="Normal"/>
    <w:rsid w:val="00A56110"/>
    <w:pPr>
      <w:spacing w:before="100" w:beforeAutospacing="1" w:after="100" w:afterAutospacing="1"/>
    </w:pPr>
    <w:rPr>
      <w:rFonts w:ascii="Times New Roman" w:hAnsi="Times New Roman" w:cs="Times New Roman"/>
      <w:sz w:val="24"/>
      <w:lang w:eastAsia="en-GB"/>
    </w:rPr>
  </w:style>
  <w:style w:type="character" w:styleId="Strong">
    <w:name w:val="Strong"/>
    <w:qFormat/>
    <w:rsid w:val="00A56110"/>
    <w:rPr>
      <w:b/>
      <w:bCs/>
    </w:rPr>
  </w:style>
  <w:style w:type="paragraph" w:styleId="DocumentMap">
    <w:name w:val="Document Map"/>
    <w:basedOn w:val="Normal"/>
    <w:link w:val="DocumentMapChar"/>
    <w:rsid w:val="00A5611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A56110"/>
    <w:rPr>
      <w:rFonts w:ascii="Tahoma" w:hAnsi="Tahoma" w:cs="Tahoma"/>
      <w:shd w:val="clear" w:color="auto" w:fill="000080"/>
      <w:lang w:eastAsia="en-US"/>
    </w:rPr>
  </w:style>
  <w:style w:type="paragraph" w:customStyle="1" w:styleId="Default">
    <w:name w:val="Default"/>
    <w:rsid w:val="00A56110"/>
    <w:pPr>
      <w:autoSpaceDE w:val="0"/>
      <w:autoSpaceDN w:val="0"/>
      <w:adjustRightInd w:val="0"/>
    </w:pPr>
    <w:rPr>
      <w:rFonts w:ascii="Tahoma" w:hAnsi="Tahoma" w:cs="Tahoma"/>
      <w:color w:val="000000"/>
      <w:sz w:val="24"/>
      <w:szCs w:val="24"/>
    </w:rPr>
  </w:style>
  <w:style w:type="paragraph" w:customStyle="1" w:styleId="Bullet">
    <w:name w:val="Bullet"/>
    <w:basedOn w:val="Normal"/>
    <w:link w:val="BulletChar"/>
    <w:autoRedefine/>
    <w:rsid w:val="0028074A"/>
    <w:pPr>
      <w:numPr>
        <w:numId w:val="7"/>
      </w:numPr>
      <w:spacing w:before="120" w:after="120"/>
    </w:pPr>
    <w:rPr>
      <w:szCs w:val="22"/>
      <w:lang w:eastAsia="en-GB"/>
    </w:rPr>
  </w:style>
  <w:style w:type="character" w:styleId="FollowedHyperlink">
    <w:name w:val="FollowedHyperlink"/>
    <w:rsid w:val="00A56110"/>
    <w:rPr>
      <w:color w:val="800080"/>
      <w:u w:val="single"/>
    </w:rPr>
  </w:style>
  <w:style w:type="character" w:customStyle="1" w:styleId="BodyTextChar">
    <w:name w:val="Body Text Char"/>
    <w:link w:val="BodyText"/>
    <w:rsid w:val="00A56110"/>
    <w:rPr>
      <w:rFonts w:ascii="Arial" w:hAnsi="Arial" w:cs="Arial"/>
      <w:b/>
      <w:bCs/>
      <w:sz w:val="22"/>
      <w:szCs w:val="24"/>
      <w:lang w:eastAsia="en-US"/>
    </w:rPr>
  </w:style>
  <w:style w:type="paragraph" w:styleId="CommentText">
    <w:name w:val="annotation text"/>
    <w:basedOn w:val="Normal"/>
    <w:link w:val="CommentTextChar"/>
    <w:rsid w:val="00A56110"/>
    <w:rPr>
      <w:rFonts w:ascii="Times New Roman" w:hAnsi="Times New Roman" w:cs="Times New Roman"/>
      <w:sz w:val="20"/>
      <w:szCs w:val="20"/>
    </w:rPr>
  </w:style>
  <w:style w:type="character" w:customStyle="1" w:styleId="CommentTextChar">
    <w:name w:val="Comment Text Char"/>
    <w:basedOn w:val="DefaultParagraphFont"/>
    <w:link w:val="CommentText"/>
    <w:rsid w:val="00A56110"/>
    <w:rPr>
      <w:lang w:eastAsia="en-US"/>
    </w:rPr>
  </w:style>
  <w:style w:type="character" w:styleId="Emphasis">
    <w:name w:val="Emphasis"/>
    <w:qFormat/>
    <w:rsid w:val="00A56110"/>
    <w:rPr>
      <w:i/>
      <w:iCs/>
    </w:rPr>
  </w:style>
  <w:style w:type="paragraph" w:customStyle="1" w:styleId="StyleBulletBold">
    <w:name w:val="Style Bullet + Bold"/>
    <w:basedOn w:val="Bullet"/>
    <w:next w:val="Bullet"/>
    <w:link w:val="StyleBulletBoldChar"/>
    <w:autoRedefine/>
    <w:rsid w:val="00A56110"/>
    <w:rPr>
      <w:b/>
      <w:bCs/>
    </w:rPr>
  </w:style>
  <w:style w:type="character" w:customStyle="1" w:styleId="BulletChar">
    <w:name w:val="Bullet Char"/>
    <w:link w:val="Bullet"/>
    <w:rsid w:val="0028074A"/>
    <w:rPr>
      <w:rFonts w:ascii="Arial" w:hAnsi="Arial" w:cs="Arial"/>
      <w:sz w:val="22"/>
      <w:szCs w:val="22"/>
    </w:rPr>
  </w:style>
  <w:style w:type="character" w:customStyle="1" w:styleId="StyleBulletBoldChar">
    <w:name w:val="Style Bullet + Bold Char"/>
    <w:link w:val="StyleBulletBold"/>
    <w:rsid w:val="00A56110"/>
    <w:rPr>
      <w:rFonts w:ascii="Arial" w:hAnsi="Arial" w:cs="Arial"/>
      <w:b/>
      <w:bCs/>
      <w:sz w:val="22"/>
      <w:szCs w:val="22"/>
      <w:lang w:eastAsia="en-US"/>
    </w:rPr>
  </w:style>
  <w:style w:type="character" w:customStyle="1" w:styleId="Heading1Char">
    <w:name w:val="Heading 1 Char"/>
    <w:link w:val="Heading1"/>
    <w:rsid w:val="00A56110"/>
    <w:rPr>
      <w:rFonts w:ascii="Arial" w:hAnsi="Arial" w:cs="Arial"/>
      <w:b/>
      <w:bCs/>
      <w:sz w:val="24"/>
      <w:szCs w:val="24"/>
      <w:lang w:eastAsia="en-US"/>
    </w:rPr>
  </w:style>
  <w:style w:type="paragraph" w:customStyle="1" w:styleId="Table">
    <w:name w:val="Table"/>
    <w:basedOn w:val="paragraph"/>
    <w:autoRedefine/>
    <w:rsid w:val="00A56110"/>
    <w:pPr>
      <w:spacing w:before="0" w:line="240" w:lineRule="auto"/>
      <w:ind w:left="0"/>
      <w:jc w:val="left"/>
    </w:pPr>
    <w:rPr>
      <w:sz w:val="20"/>
      <w:szCs w:val="22"/>
    </w:rPr>
  </w:style>
  <w:style w:type="paragraph" w:customStyle="1" w:styleId="Bullets">
    <w:name w:val="Bullets"/>
    <w:basedOn w:val="Normal"/>
    <w:rsid w:val="00A56110"/>
    <w:pPr>
      <w:numPr>
        <w:numId w:val="2"/>
      </w:numPr>
    </w:pPr>
  </w:style>
  <w:style w:type="table" w:styleId="TableClassic2">
    <w:name w:val="Table Classic 2"/>
    <w:basedOn w:val="TableNormal"/>
    <w:rsid w:val="00C707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basedOn w:val="Normal"/>
    <w:uiPriority w:val="34"/>
    <w:qFormat/>
    <w:rsid w:val="00C707D9"/>
    <w:pPr>
      <w:ind w:left="720"/>
      <w:contextualSpacing/>
    </w:pPr>
  </w:style>
  <w:style w:type="character" w:styleId="CommentReference">
    <w:name w:val="annotation reference"/>
    <w:basedOn w:val="DefaultParagraphFont"/>
    <w:rsid w:val="005F57AB"/>
    <w:rPr>
      <w:sz w:val="16"/>
      <w:szCs w:val="16"/>
    </w:rPr>
  </w:style>
  <w:style w:type="paragraph" w:styleId="CommentSubject">
    <w:name w:val="annotation subject"/>
    <w:basedOn w:val="CommentText"/>
    <w:next w:val="CommentText"/>
    <w:link w:val="CommentSubjectChar"/>
    <w:rsid w:val="005F57AB"/>
    <w:rPr>
      <w:rFonts w:ascii="Arial" w:hAnsi="Arial" w:cs="Arial"/>
      <w:b/>
      <w:bCs/>
    </w:rPr>
  </w:style>
  <w:style w:type="character" w:customStyle="1" w:styleId="CommentSubjectChar">
    <w:name w:val="Comment Subject Char"/>
    <w:basedOn w:val="CommentTextChar"/>
    <w:link w:val="CommentSubject"/>
    <w:rsid w:val="005F57AB"/>
    <w:rPr>
      <w:rFonts w:ascii="Arial" w:hAnsi="Arial" w:cs="Arial"/>
      <w:b/>
      <w:bCs/>
      <w:lang w:eastAsia="en-US"/>
    </w:rPr>
  </w:style>
  <w:style w:type="paragraph" w:customStyle="1" w:styleId="DocReference">
    <w:name w:val="Doc Reference"/>
    <w:basedOn w:val="Normal"/>
    <w:rsid w:val="00576BED"/>
    <w:pPr>
      <w:widowControl w:val="0"/>
      <w:tabs>
        <w:tab w:val="left" w:pos="1406"/>
      </w:tabs>
      <w:autoSpaceDE w:val="0"/>
      <w:autoSpaceDN w:val="0"/>
      <w:adjustRightInd w:val="0"/>
      <w:spacing w:after="120"/>
      <w:ind w:left="1134"/>
    </w:pPr>
    <w:rPr>
      <w:rFonts w:ascii="Corbel" w:eastAsia="Arial Unicode MS" w:hAnsi="Corbel" w:cs="Times New Roman"/>
      <w:sz w:val="16"/>
      <w:szCs w:val="16"/>
    </w:rPr>
  </w:style>
  <w:style w:type="paragraph" w:customStyle="1" w:styleId="HS2BulletList">
    <w:name w:val="HS2 Bullet List"/>
    <w:uiPriority w:val="3"/>
    <w:qFormat/>
    <w:rsid w:val="00576BED"/>
    <w:pPr>
      <w:widowControl w:val="0"/>
      <w:numPr>
        <w:numId w:val="6"/>
      </w:numPr>
      <w:autoSpaceDE w:val="0"/>
      <w:autoSpaceDN w:val="0"/>
      <w:adjustRightInd w:val="0"/>
      <w:spacing w:after="170" w:line="300" w:lineRule="atLeast"/>
      <w:ind w:right="442"/>
    </w:pPr>
    <w:rPr>
      <w:rFonts w:ascii="Corbel" w:hAnsi="Corbel"/>
      <w:color w:val="000000"/>
      <w:sz w:val="22"/>
      <w:szCs w:val="22"/>
      <w:lang w:eastAsia="en-US"/>
    </w:rPr>
  </w:style>
  <w:style w:type="paragraph" w:customStyle="1" w:styleId="HS2DashList">
    <w:name w:val="HS2 Dash List"/>
    <w:uiPriority w:val="3"/>
    <w:qFormat/>
    <w:rsid w:val="00576BED"/>
    <w:pPr>
      <w:widowControl w:val="0"/>
      <w:numPr>
        <w:ilvl w:val="1"/>
        <w:numId w:val="6"/>
      </w:numPr>
      <w:autoSpaceDE w:val="0"/>
      <w:autoSpaceDN w:val="0"/>
      <w:adjustRightInd w:val="0"/>
      <w:spacing w:after="170" w:line="300" w:lineRule="atLeast"/>
      <w:ind w:left="1702" w:hanging="284"/>
    </w:pPr>
    <w:rPr>
      <w:rFonts w:ascii="Corbel" w:hAnsi="Corbel"/>
      <w:color w:val="000000"/>
      <w:spacing w:val="-4"/>
      <w:sz w:val="22"/>
      <w:szCs w:val="22"/>
      <w:lang w:eastAsia="en-US"/>
    </w:rPr>
  </w:style>
  <w:style w:type="paragraph" w:styleId="Revision">
    <w:name w:val="Revision"/>
    <w:hidden/>
    <w:uiPriority w:val="99"/>
    <w:semiHidden/>
    <w:rsid w:val="00CA54AB"/>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HAMacro\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2177262A02314D8A16D1D325A8BB13" ma:contentTypeVersion="9" ma:contentTypeDescription="Create a new document." ma:contentTypeScope="" ma:versionID="7c2fedb4b35665d18f4eab27f163d533">
  <xsd:schema xmlns:xsd="http://www.w3.org/2001/XMLSchema" xmlns:xs="http://www.w3.org/2001/XMLSchema" xmlns:p="http://schemas.microsoft.com/office/2006/metadata/properties" xmlns:ns2="ddbb025e-1292-4d74-ae7c-e5107db424bf" xmlns:ns3="79d0d1b4-0864-4436-81ae-4a6da36e3371" targetNamespace="http://schemas.microsoft.com/office/2006/metadata/properties" ma:root="true" ma:fieldsID="0e65eeb58a8d28b16f14097ccecbf9d7" ns2:_="" ns3:_="">
    <xsd:import namespace="ddbb025e-1292-4d74-ae7c-e5107db424bf"/>
    <xsd:import namespace="79d0d1b4-0864-4436-81ae-4a6da36e33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b025e-1292-4d74-ae7c-e5107db42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0d1b4-0864-4436-81ae-4a6da36e33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95C69-67B8-42F1-B9FF-8CD1D75DE6D8}">
  <ds:schemaRefs>
    <ds:schemaRef ds:uri="http://schemas.openxmlformats.org/officeDocument/2006/bibliography"/>
  </ds:schemaRefs>
</ds:datastoreItem>
</file>

<file path=customXml/itemProps2.xml><?xml version="1.0" encoding="utf-8"?>
<ds:datastoreItem xmlns:ds="http://schemas.openxmlformats.org/officeDocument/2006/customXml" ds:itemID="{0E3FD4DC-7242-4477-9449-16331166435B}"/>
</file>

<file path=customXml/itemProps3.xml><?xml version="1.0" encoding="utf-8"?>
<ds:datastoreItem xmlns:ds="http://schemas.openxmlformats.org/officeDocument/2006/customXml" ds:itemID="{AA06B366-4B31-4DA5-884D-8F49E944DD14}"/>
</file>

<file path=customXml/itemProps4.xml><?xml version="1.0" encoding="utf-8"?>
<ds:datastoreItem xmlns:ds="http://schemas.openxmlformats.org/officeDocument/2006/customXml" ds:itemID="{932684AC-8FF3-4ABC-960A-B5358BB5FC38}"/>
</file>

<file path=docProps/app.xml><?xml version="1.0" encoding="utf-8"?>
<Properties xmlns="http://schemas.openxmlformats.org/officeDocument/2006/extended-properties" xmlns:vt="http://schemas.openxmlformats.org/officeDocument/2006/docPropsVTypes">
  <Template>Report.dotx</Template>
  <TotalTime>12</TotalTime>
  <Pages>8</Pages>
  <Words>2365</Words>
  <Characters>13484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Highways England Risk Management Policy</vt:lpstr>
    </vt:vector>
  </TitlesOfParts>
  <Manager>Jake Richmond</Manager>
  <Company>Highways Agency</Company>
  <LinksUpToDate>false</LinksUpToDate>
  <CharactersWithSpaces>15818</CharactersWithSpaces>
  <SharedDoc>false</SharedDoc>
  <HLinks>
    <vt:vector size="6" baseType="variant">
      <vt:variant>
        <vt:i4>1310768</vt:i4>
      </vt:variant>
      <vt:variant>
        <vt:i4>8</vt:i4>
      </vt:variant>
      <vt:variant>
        <vt:i4>0</vt:i4>
      </vt:variant>
      <vt:variant>
        <vt:i4>5</vt:i4>
      </vt:variant>
      <vt:variant>
        <vt:lpwstr/>
      </vt:variant>
      <vt:variant>
        <vt:lpwstr>_Toc63505363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Risk Management Policy</dc:title>
  <dc:subject>Highways England Risk Management Policy</dc:subject>
  <dc:creator>Richmond</dc:creator>
  <cp:lastModifiedBy>Richmond</cp:lastModifiedBy>
  <cp:revision>3</cp:revision>
  <cp:lastPrinted>2003-08-15T08:03:00Z</cp:lastPrinted>
  <dcterms:created xsi:type="dcterms:W3CDTF">2018-08-13T08:54:00Z</dcterms:created>
  <dcterms:modified xsi:type="dcterms:W3CDTF">2018-08-13T09:02:00Z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linkTarget="Owner">
    <vt:lpwstr/>
  </property>
  <property fmtid="{D5CDD505-2E9C-101B-9397-08002B2CF9AE}" pid="3" name="ContentTypeId">
    <vt:lpwstr>0x0101000F2177262A02314D8A16D1D325A8BB13</vt:lpwstr>
  </property>
</Properties>
</file>