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613A73">
        <w:rPr>
          <w:rFonts w:ascii="Arial" w:hAnsi="Arial" w:cs="Arial"/>
          <w:b/>
          <w:color w:val="auto"/>
        </w:rPr>
      </w:r>
      <w:r w:rsidR="00613A7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613A73">
        <w:rPr>
          <w:rFonts w:ascii="Arial" w:hAnsi="Arial" w:cs="Arial"/>
          <w:b/>
          <w:color w:val="auto"/>
        </w:rPr>
      </w:r>
      <w:r w:rsidR="00613A7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613A73">
        <w:rPr>
          <w:rFonts w:ascii="Arial" w:hAnsi="Arial" w:cs="Arial"/>
          <w:b/>
          <w:color w:val="auto"/>
        </w:rPr>
      </w:r>
      <w:r w:rsidR="00613A7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613A73">
        <w:rPr>
          <w:rFonts w:ascii="Arial" w:hAnsi="Arial" w:cs="Arial"/>
          <w:b/>
          <w:color w:val="auto"/>
        </w:rPr>
      </w:r>
      <w:r w:rsidR="00613A73">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613A73">
        <w:rPr>
          <w:rFonts w:ascii="Arial" w:hAnsi="Arial" w:cs="Arial"/>
          <w:b/>
          <w:color w:val="auto"/>
        </w:rPr>
      </w:r>
      <w:r w:rsidR="00613A7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13A73">
        <w:rPr>
          <w:rFonts w:ascii="Arial" w:hAnsi="Arial" w:cs="Arial"/>
          <w:b/>
          <w:color w:val="auto"/>
          <w:lang w:val="en-US"/>
        </w:rPr>
      </w:r>
      <w:r w:rsidR="00613A7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13A73">
        <w:rPr>
          <w:rFonts w:ascii="Arial" w:hAnsi="Arial" w:cs="Arial"/>
          <w:b/>
          <w:color w:val="auto"/>
          <w:lang w:val="en-US"/>
        </w:rPr>
      </w:r>
      <w:r w:rsidR="00613A7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13A73">
        <w:rPr>
          <w:rFonts w:ascii="Arial" w:hAnsi="Arial" w:cs="Arial"/>
          <w:b/>
          <w:color w:val="auto"/>
          <w:lang w:val="en-US"/>
        </w:rPr>
      </w:r>
      <w:r w:rsidR="00613A7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13A73">
        <w:rPr>
          <w:rFonts w:ascii="Arial" w:hAnsi="Arial" w:cs="Arial"/>
          <w:b/>
          <w:color w:val="auto"/>
          <w:lang w:val="en-US"/>
        </w:rPr>
      </w:r>
      <w:r w:rsidR="00613A7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613A73">
        <w:rPr>
          <w:rFonts w:ascii="Arial" w:hAnsi="Arial" w:cs="Arial"/>
          <w:b/>
          <w:color w:val="auto"/>
          <w:lang w:val="en-US"/>
        </w:rPr>
      </w:r>
      <w:r w:rsidR="00613A7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13A73">
        <w:rPr>
          <w:rFonts w:ascii="Arial" w:hAnsi="Arial"/>
          <w:b/>
          <w:color w:val="auto"/>
          <w:lang w:val="en-US"/>
        </w:rPr>
      </w:r>
      <w:r w:rsidR="00613A7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13A73">
        <w:rPr>
          <w:rFonts w:ascii="Arial" w:hAnsi="Arial"/>
          <w:b/>
          <w:color w:val="auto"/>
          <w:lang w:val="en-US"/>
        </w:rPr>
      </w:r>
      <w:r w:rsidR="00613A7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13A73">
        <w:rPr>
          <w:rFonts w:ascii="Arial" w:hAnsi="Arial"/>
          <w:b/>
          <w:color w:val="auto"/>
          <w:lang w:val="en-US"/>
        </w:rPr>
      </w:r>
      <w:r w:rsidR="00613A7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13A73">
        <w:rPr>
          <w:rFonts w:ascii="Arial" w:hAnsi="Arial"/>
          <w:b/>
          <w:color w:val="auto"/>
          <w:lang w:val="en-US"/>
        </w:rPr>
      </w:r>
      <w:r w:rsidR="00613A7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613A73">
        <w:rPr>
          <w:rFonts w:ascii="Arial" w:hAnsi="Arial"/>
          <w:b/>
          <w:color w:val="auto"/>
          <w:lang w:val="en-US"/>
        </w:rPr>
      </w:r>
      <w:r w:rsidR="00613A7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613A73">
        <w:rPr>
          <w:rFonts w:ascii="Arial" w:hAnsi="Arial" w:cs="Arial"/>
          <w:b/>
          <w:color w:val="auto"/>
          <w:lang w:val="en-US"/>
        </w:rPr>
      </w:r>
      <w:r w:rsidR="00613A73">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613A73">
        <w:rPr>
          <w:b/>
          <w:color w:val="auto"/>
          <w:lang w:val="en-US"/>
        </w:rPr>
      </w:r>
      <w:r w:rsidR="00613A73">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613A73">
        <w:rPr>
          <w:rFonts w:ascii="Arial" w:hAnsi="Arial" w:cs="Calibri"/>
          <w:color w:val="auto"/>
          <w:w w:val="0"/>
          <w:szCs w:val="24"/>
        </w:rPr>
      </w:r>
      <w:r w:rsidR="00613A73">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613A73">
        <w:rPr>
          <w:rFonts w:cs="Arial"/>
          <w:b/>
          <w:sz w:val="22"/>
          <w:szCs w:val="20"/>
          <w:lang w:val="en-US"/>
        </w:rPr>
      </w:r>
      <w:r w:rsidR="00613A73">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the Supplier will, within seven (7) days of becoming aware of that fact, give notice in writing to the Authority;</w:t>
      </w:r>
      <w:bookmarkStart w:id="1361" w:name="_Ref327289555"/>
      <w:bookmarkEnd w:id="1360"/>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the Authority or Third Party may offer employment to such person within twenty-eight (28) days of the notification by the Supplier;</w:t>
      </w:r>
      <w:bookmarkEnd w:id="1361"/>
      <w:bookmarkEnd w:id="1362"/>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if such offer of employment is accepted, the Supplier or a Sub-contractor shall immediately release the person from their employment;</w:t>
      </w:r>
      <w:bookmarkEnd w:id="1363"/>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613A73">
        <w:rPr>
          <w:rFonts w:cs="Arial"/>
          <w:b/>
          <w:sz w:val="22"/>
          <w:szCs w:val="22"/>
          <w:lang w:val="en-US"/>
        </w:rPr>
      </w:r>
      <w:r w:rsidR="00613A7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procure that any loans or advances made to the Transferring Employees before the Transfer Date are repaid to it;</w:t>
      </w:r>
      <w:bookmarkEnd w:id="1380"/>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93"/>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the Supplier will, within seven (7) days of becoming aware of that fact, give notice in writing to the Authority;</w:t>
      </w:r>
      <w:bookmarkEnd w:id="1397"/>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the Authority may offer employment to such person within twenty eight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613A73">
        <w:rPr>
          <w:rFonts w:cs="Arial"/>
          <w:b/>
          <w:sz w:val="22"/>
          <w:szCs w:val="22"/>
          <w:lang w:val="en-US"/>
        </w:rPr>
      </w:r>
      <w:r w:rsidR="00613A7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613A73">
        <w:rPr>
          <w:rFonts w:cs="Arial"/>
          <w:b/>
          <w:sz w:val="22"/>
          <w:szCs w:val="22"/>
          <w:lang w:val="en-US"/>
        </w:rPr>
      </w:r>
      <w:r w:rsidR="00613A7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613A73">
        <w:rPr>
          <w:rFonts w:cs="Arial"/>
          <w:b/>
          <w:sz w:val="22"/>
          <w:szCs w:val="22"/>
          <w:lang w:val="en-US"/>
        </w:rPr>
      </w:r>
      <w:r w:rsidR="00613A7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28"/>
  </w:num>
  <w:num w:numId="4">
    <w:abstractNumId w:val="30"/>
  </w:num>
  <w:num w:numId="5">
    <w:abstractNumId w:val="5"/>
  </w:num>
  <w:num w:numId="6">
    <w:abstractNumId w:val="25"/>
  </w:num>
  <w:num w:numId="7">
    <w:abstractNumId w:val="26"/>
  </w:num>
  <w:num w:numId="8">
    <w:abstractNumId w:val="27"/>
  </w:num>
  <w:num w:numId="9">
    <w:abstractNumId w:val="19"/>
  </w:num>
  <w:num w:numId="10">
    <w:abstractNumId w:val="11"/>
  </w:num>
  <w:num w:numId="11">
    <w:abstractNumId w:val="17"/>
  </w:num>
  <w:num w:numId="12">
    <w:abstractNumId w:val="6"/>
  </w:num>
  <w:num w:numId="13">
    <w:abstractNumId w:val="4"/>
  </w:num>
  <w:num w:numId="14">
    <w:abstractNumId w:val="12"/>
  </w:num>
  <w:num w:numId="15">
    <w:abstractNumId w:val="18"/>
  </w:num>
  <w:num w:numId="16">
    <w:abstractNumId w:val="15"/>
  </w:num>
  <w:num w:numId="17">
    <w:abstractNumId w:val="22"/>
  </w:num>
  <w:num w:numId="18">
    <w:abstractNumId w:val="31"/>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8"/>
  </w:num>
  <w:num w:numId="32">
    <w:abstractNumId w:val="23"/>
  </w:num>
  <w:num w:numId="33">
    <w:abstractNumId w:val="1"/>
  </w:num>
  <w:num w:numId="34">
    <w:abstractNumId w:val="21"/>
  </w:num>
  <w:num w:numId="35">
    <w:abstractNumId w:val="2"/>
  </w:num>
  <w:num w:numId="36">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abstractNumId w:val="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3A73"/>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38821</Words>
  <Characters>221282</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259584</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Alex McLoughlin</cp:lastModifiedBy>
  <cp:revision>2</cp:revision>
  <cp:lastPrinted>2022-05-24T17:19:00Z</cp:lastPrinted>
  <dcterms:created xsi:type="dcterms:W3CDTF">2022-10-03T12:23:00Z</dcterms:created>
  <dcterms:modified xsi:type="dcterms:W3CDTF">2022-10-03T12:23:00Z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