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A4AA" w14:textId="48D47FE2" w:rsidR="00E1240B" w:rsidRPr="00E1240B" w:rsidRDefault="00E1240B" w:rsidP="00E1240B">
      <w:pPr>
        <w:pStyle w:val="Heading1"/>
      </w:pPr>
      <w:bookmarkStart w:id="0" w:name="_Toc52786074"/>
      <w:r w:rsidRPr="00E1240B">
        <w:t>Digital Outcomes and Specialists 5</w:t>
      </w:r>
      <w:bookmarkEnd w:id="0"/>
      <w:r w:rsidR="00774E4C">
        <w:t xml:space="preserve">, </w:t>
      </w:r>
      <w:r w:rsidR="00610353">
        <w:t>RM1043.7</w:t>
      </w:r>
    </w:p>
    <w:p w14:paraId="261147BA" w14:textId="3D4711B4" w:rsidR="00BB1138" w:rsidRPr="00E1240B" w:rsidRDefault="00BB1138" w:rsidP="00E1240B">
      <w:pPr>
        <w:pStyle w:val="Heading2"/>
        <w:spacing w:line="480" w:lineRule="auto"/>
      </w:pPr>
      <w:r w:rsidRPr="00E1240B">
        <w:t xml:space="preserve">Key </w:t>
      </w:r>
      <w:r w:rsidR="00774E4C">
        <w:t>c</w:t>
      </w:r>
      <w:bookmarkStart w:id="1" w:name="_GoBack"/>
      <w:bookmarkEnd w:id="1"/>
      <w:r w:rsidRPr="00E1240B">
        <w:t>hanges between DOS</w:t>
      </w:r>
      <w:r w:rsidR="00610353">
        <w:t xml:space="preserve"> </w:t>
      </w:r>
      <w:r w:rsidRPr="00E1240B">
        <w:t>4 and DOS 5</w:t>
      </w:r>
    </w:p>
    <w:tbl>
      <w:tblPr>
        <w:tblW w:w="14712" w:type="dxa"/>
        <w:tblInd w:w="-150" w:type="dxa"/>
        <w:tblLayout w:type="fixed"/>
        <w:tblCellMar>
          <w:left w:w="0" w:type="dxa"/>
          <w:right w:w="0" w:type="dxa"/>
        </w:tblCellMar>
        <w:tblLook w:val="04A0" w:firstRow="1" w:lastRow="0" w:firstColumn="1" w:lastColumn="0" w:noHBand="0" w:noVBand="1"/>
      </w:tblPr>
      <w:tblGrid>
        <w:gridCol w:w="4253"/>
        <w:gridCol w:w="5103"/>
        <w:gridCol w:w="5356"/>
      </w:tblGrid>
      <w:tr w:rsidR="00BB1138" w:rsidRPr="00BB1138" w14:paraId="08FA1590" w14:textId="77777777" w:rsidTr="00C85A95">
        <w:trPr>
          <w:trHeight w:val="315"/>
        </w:trPr>
        <w:tc>
          <w:tcPr>
            <w:tcW w:w="42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F97712" w14:textId="77777777" w:rsidR="00BB1138" w:rsidRPr="00BB1138" w:rsidRDefault="00BB1138" w:rsidP="00BB1138">
            <w:pPr>
              <w:spacing w:after="0" w:line="240" w:lineRule="auto"/>
              <w:rPr>
                <w:rFonts w:eastAsia="Times New Roman" w:cs="Arial"/>
                <w:b/>
                <w:bCs/>
                <w:lang w:eastAsia="en-GB"/>
              </w:rPr>
            </w:pPr>
            <w:r w:rsidRPr="00BB1138">
              <w:rPr>
                <w:rFonts w:eastAsia="Times New Roman" w:cs="Arial"/>
                <w:b/>
                <w:bCs/>
                <w:lang w:eastAsia="en-GB"/>
              </w:rPr>
              <w:t>Item</w:t>
            </w:r>
          </w:p>
        </w:tc>
        <w:tc>
          <w:tcPr>
            <w:tcW w:w="510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9D8D7" w14:textId="77777777" w:rsidR="00BB1138" w:rsidRPr="00BB1138" w:rsidRDefault="00BB1138" w:rsidP="00BB1138">
            <w:pPr>
              <w:spacing w:after="0" w:line="240" w:lineRule="auto"/>
              <w:rPr>
                <w:rFonts w:eastAsia="Times New Roman" w:cs="Arial"/>
                <w:b/>
                <w:bCs/>
                <w:lang w:eastAsia="en-GB"/>
              </w:rPr>
            </w:pPr>
            <w:r w:rsidRPr="00BB1138">
              <w:rPr>
                <w:rFonts w:eastAsia="Times New Roman" w:cs="Arial"/>
                <w:b/>
                <w:bCs/>
                <w:lang w:eastAsia="en-GB"/>
              </w:rPr>
              <w:t>DOS 4</w:t>
            </w:r>
          </w:p>
        </w:tc>
        <w:tc>
          <w:tcPr>
            <w:tcW w:w="535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067C7" w14:textId="77777777" w:rsidR="00BB1138" w:rsidRPr="00BB1138" w:rsidRDefault="00BB1138" w:rsidP="00BB1138">
            <w:pPr>
              <w:spacing w:after="0" w:line="240" w:lineRule="auto"/>
              <w:rPr>
                <w:rFonts w:eastAsia="Times New Roman" w:cs="Arial"/>
                <w:b/>
                <w:bCs/>
                <w:lang w:eastAsia="en-GB"/>
              </w:rPr>
            </w:pPr>
            <w:r w:rsidRPr="00BB1138">
              <w:rPr>
                <w:rFonts w:eastAsia="Times New Roman" w:cs="Arial"/>
                <w:b/>
                <w:bCs/>
                <w:lang w:eastAsia="en-GB"/>
              </w:rPr>
              <w:t>DOS 5</w:t>
            </w:r>
          </w:p>
        </w:tc>
      </w:tr>
      <w:tr w:rsidR="00BB1138" w:rsidRPr="00BB1138" w14:paraId="2DDE34B5"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19E7BC" w14:textId="77777777" w:rsidR="00BB1138" w:rsidRPr="00BB1138" w:rsidRDefault="00BB1138" w:rsidP="005D6FF7">
            <w:pPr>
              <w:rPr>
                <w:lang w:eastAsia="en-GB"/>
              </w:rPr>
            </w:pPr>
            <w:r w:rsidRPr="00BB1138">
              <w:rPr>
                <w:lang w:eastAsia="en-GB"/>
              </w:rPr>
              <w:t>Structure of contract documentation</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C20DD" w14:textId="77777777" w:rsidR="00BB1138" w:rsidRPr="00BB1138" w:rsidRDefault="00BB1138" w:rsidP="005D6FF7">
            <w:pPr>
              <w:rPr>
                <w:lang w:eastAsia="en-GB"/>
              </w:rPr>
            </w:pPr>
            <w:r w:rsidRPr="00BB1138">
              <w:rPr>
                <w:lang w:eastAsia="en-GB"/>
              </w:rPr>
              <w:t>Framework Agreement and Call-Off Contract</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5AB02" w14:textId="77777777" w:rsidR="00BB1138" w:rsidRPr="00BB1138" w:rsidRDefault="00BB1138" w:rsidP="005D6FF7">
            <w:pPr>
              <w:rPr>
                <w:lang w:eastAsia="en-GB"/>
              </w:rPr>
            </w:pPr>
            <w:r w:rsidRPr="00BB1138">
              <w:rPr>
                <w:lang w:eastAsia="en-GB"/>
              </w:rPr>
              <w:t>Follows the Public Sector Contract (PSC) format with standard Core Terms and relevant schedules (Framework; Joint and Call-Off) specific to the procurement. Given that the structure of the contract has changed, and therefore all section and paragraph numbering, it is not possible to detail all the individual changes. Suppliers applying to join the framework will be expected to complete their own checks and seek legal advice as appropriate. All the key defined terms are available in the Joint Schedule 1 (Definitions).</w:t>
            </w:r>
          </w:p>
        </w:tc>
      </w:tr>
      <w:tr w:rsidR="00BB1138" w:rsidRPr="00BB1138" w14:paraId="400B270E"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98DA72" w14:textId="77777777" w:rsidR="00BB1138" w:rsidRPr="00BB1138" w:rsidRDefault="00BB1138" w:rsidP="005D6FF7">
            <w:pPr>
              <w:rPr>
                <w:lang w:eastAsia="en-GB"/>
              </w:rPr>
            </w:pPr>
            <w:r w:rsidRPr="00BB1138">
              <w:rPr>
                <w:lang w:eastAsia="en-GB"/>
              </w:rPr>
              <w:t>Limit on supplier's total liability</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012753" w14:textId="77777777" w:rsidR="00BB1138" w:rsidRPr="00BB1138" w:rsidRDefault="00BB1138" w:rsidP="005D6FF7">
            <w:pPr>
              <w:rPr>
                <w:lang w:eastAsia="en-GB"/>
              </w:rPr>
            </w:pPr>
            <w:r w:rsidRPr="00BB1138">
              <w:rPr>
                <w:lang w:eastAsia="en-GB"/>
              </w:rPr>
              <w:t>Unlimited - Call-Off Contract para 34.2</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E61D0" w14:textId="77777777" w:rsidR="00BB1138" w:rsidRPr="00BB1138" w:rsidRDefault="00BB1138" w:rsidP="005D6FF7">
            <w:pPr>
              <w:rPr>
                <w:lang w:eastAsia="en-GB"/>
              </w:rPr>
            </w:pPr>
            <w:r w:rsidRPr="00BB1138">
              <w:rPr>
                <w:lang w:eastAsia="en-GB"/>
              </w:rPr>
              <w:t>Capped at £5M - Core Terms Clause11.2 except for any indemnity given under Clauses 7.5, 8.3, 9.5, 31.3 or Call-Off Schedule 2 as provided in Clause 11.5</w:t>
            </w:r>
            <w:r w:rsidRPr="00BB1138">
              <w:rPr>
                <w:lang w:eastAsia="en-GB"/>
              </w:rPr>
              <w:br/>
              <w:t>Data Protection Liability Cap at £10M - Core Terms Clause 11.6 and Framework Award Form 15</w:t>
            </w:r>
          </w:p>
        </w:tc>
      </w:tr>
      <w:tr w:rsidR="00BB1138" w:rsidRPr="00BB1138" w14:paraId="29CD3BEE"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5CA59A" w14:textId="244A1DE3" w:rsidR="00BB1138" w:rsidRPr="00BB1138" w:rsidRDefault="00BB1138" w:rsidP="00C85A95">
            <w:pPr>
              <w:rPr>
                <w:rFonts w:eastAsia="Times New Roman" w:cs="Arial"/>
                <w:lang w:eastAsia="en-GB"/>
              </w:rPr>
            </w:pPr>
            <w:r w:rsidRPr="00BB1138">
              <w:rPr>
                <w:lang w:eastAsia="en-GB"/>
              </w:rPr>
              <w:t>Compliance with Prompt Payment regulations (</w:t>
            </w:r>
            <w:hyperlink r:id="rId6" w:history="1">
              <w:r w:rsidR="00E1240B" w:rsidRPr="000E1708">
                <w:rPr>
                  <w:rStyle w:val="Hyperlink"/>
                  <w:rFonts w:eastAsia="Times New Roman" w:cs="Arial"/>
                  <w:lang w:eastAsia="en-GB"/>
                </w:rPr>
                <w:t>https://www.legislation.gov.uk/uksi/2015/102/regulation/113/made</w:t>
              </w:r>
            </w:hyperlink>
            <w:r w:rsidR="00E1240B">
              <w:rPr>
                <w:lang w:eastAsia="en-GB"/>
              </w:rPr>
              <w:t>)</w:t>
            </w:r>
            <w:r w:rsidRPr="00BB1138">
              <w:rPr>
                <w:lang w:eastAsia="en-GB"/>
              </w:rPr>
              <w:br/>
              <w:t>Suppliers, under specific criteria, are required to provide CCS with a Prompt Payment certificate; and CCS has the right to audit such suppliers</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49E41B" w14:textId="77777777" w:rsidR="00BB1138" w:rsidRPr="00BB1138" w:rsidRDefault="00BB1138" w:rsidP="005D6FF7">
            <w:pPr>
              <w:rPr>
                <w:lang w:eastAsia="en-GB"/>
              </w:rPr>
            </w:pPr>
            <w:r w:rsidRPr="00BB1138">
              <w:rPr>
                <w:lang w:eastAsia="en-GB"/>
              </w:rPr>
              <w:t>Not specified</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C0AD82" w14:textId="77777777" w:rsidR="00BB1138" w:rsidRPr="00BB1138" w:rsidRDefault="00BB1138" w:rsidP="005D6FF7">
            <w:pPr>
              <w:rPr>
                <w:lang w:eastAsia="en-GB"/>
              </w:rPr>
            </w:pPr>
            <w:r w:rsidRPr="00BB1138">
              <w:rPr>
                <w:lang w:eastAsia="en-GB"/>
              </w:rPr>
              <w:t>Framework Award Form - Special Term 1 (1.1 to 1.9)</w:t>
            </w:r>
          </w:p>
        </w:tc>
      </w:tr>
      <w:tr w:rsidR="00BB1138" w:rsidRPr="00BB1138" w14:paraId="30987070"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81CAFF" w14:textId="77777777" w:rsidR="00BB1138" w:rsidRPr="00BB1138" w:rsidRDefault="00BB1138" w:rsidP="005D6FF7">
            <w:pPr>
              <w:rPr>
                <w:lang w:eastAsia="en-GB"/>
              </w:rPr>
            </w:pPr>
            <w:r w:rsidRPr="00BB1138">
              <w:rPr>
                <w:lang w:eastAsia="en-GB"/>
              </w:rPr>
              <w:t>Off-payroll worker legislation and the HMRC requirement for Status Determination Statements (April 2021).</w:t>
            </w:r>
            <w:r w:rsidRPr="00BB1138">
              <w:rPr>
                <w:lang w:eastAsia="en-GB"/>
              </w:rPr>
              <w:br/>
            </w:r>
            <w:r w:rsidRPr="00BB1138">
              <w:rPr>
                <w:lang w:eastAsia="en-GB"/>
              </w:rPr>
              <w:lastRenderedPageBreak/>
              <w:t>Provide buyers with the right to request; and suppliers with the obligation to supply; the necessary level of information on individual workers to enable buyers to their meet their obligations under the off-payroll working rules where the procurement is determined as being inside IR35</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555F72" w14:textId="77777777" w:rsidR="00BB1138" w:rsidRPr="00BB1138" w:rsidRDefault="00BB1138" w:rsidP="005D6FF7">
            <w:pPr>
              <w:rPr>
                <w:lang w:eastAsia="en-GB"/>
              </w:rPr>
            </w:pPr>
            <w:r w:rsidRPr="00BB1138">
              <w:rPr>
                <w:lang w:eastAsia="en-GB"/>
              </w:rPr>
              <w:lastRenderedPageBreak/>
              <w:t>Not specified</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3B64D6" w14:textId="77777777" w:rsidR="00BB1138" w:rsidRPr="00BB1138" w:rsidRDefault="00BB1138" w:rsidP="005D6FF7">
            <w:pPr>
              <w:rPr>
                <w:lang w:eastAsia="en-GB"/>
              </w:rPr>
            </w:pPr>
            <w:r w:rsidRPr="00BB1138">
              <w:rPr>
                <w:lang w:eastAsia="en-GB"/>
              </w:rPr>
              <w:t>Framework Schedule 6 (Order Form Template, Statement of Work Template and Call-Off Schedules)</w:t>
            </w:r>
            <w:r w:rsidRPr="00BB1138">
              <w:rPr>
                <w:lang w:eastAsia="en-GB"/>
              </w:rPr>
              <w:br/>
              <w:t xml:space="preserve">Framework Schedule 7 (Call-Off Award Procedure) - </w:t>
            </w:r>
            <w:r w:rsidRPr="00BB1138">
              <w:rPr>
                <w:lang w:eastAsia="en-GB"/>
              </w:rPr>
              <w:lastRenderedPageBreak/>
              <w:t>para 2.1.2</w:t>
            </w:r>
            <w:r w:rsidRPr="00BB1138">
              <w:rPr>
                <w:lang w:eastAsia="en-GB"/>
              </w:rPr>
              <w:br/>
              <w:t>Joint Schedule 1 (Definitions) - para 1.4</w:t>
            </w:r>
            <w:r w:rsidRPr="00BB1138">
              <w:rPr>
                <w:lang w:eastAsia="en-GB"/>
              </w:rPr>
              <w:br/>
              <w:t>Joint Schedule 6 (Key Subcontractors) - para 1.4.2</w:t>
            </w:r>
            <w:r w:rsidRPr="00BB1138">
              <w:rPr>
                <w:lang w:eastAsia="en-GB"/>
              </w:rPr>
              <w:br/>
              <w:t>Call-Off Schedule 7 (Key Supplier Staff) - para 1.5.7</w:t>
            </w:r>
            <w:r w:rsidRPr="00BB1138">
              <w:rPr>
                <w:lang w:eastAsia="en-GB"/>
              </w:rPr>
              <w:br/>
              <w:t xml:space="preserve">Call-Off Schedule 20 (Call-Off Specification) - in body </w:t>
            </w:r>
          </w:p>
        </w:tc>
      </w:tr>
      <w:tr w:rsidR="00BB1138" w:rsidRPr="00BB1138" w14:paraId="20597C51"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1E348E"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lastRenderedPageBreak/>
              <w:t>Default warranty period in call-off contract</w:t>
            </w:r>
          </w:p>
          <w:p w14:paraId="18D30A73" w14:textId="77777777" w:rsidR="00BB1138" w:rsidRPr="00BB1138" w:rsidRDefault="00BB1138" w:rsidP="00BB1138">
            <w:pPr>
              <w:spacing w:after="0" w:line="240" w:lineRule="auto"/>
              <w:rPr>
                <w:rFonts w:eastAsia="Times New Roman" w:cs="Arial"/>
                <w:lang w:eastAsia="en-GB"/>
              </w:rPr>
            </w:pP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48F9A"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t>Not specified</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45FF22"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t>Core Terms Clause 3.1.2</w:t>
            </w:r>
          </w:p>
        </w:tc>
      </w:tr>
      <w:tr w:rsidR="00BB1138" w:rsidRPr="00BB1138" w14:paraId="52868432"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02F569" w14:textId="77777777" w:rsidR="00BB1138" w:rsidRPr="00BB1138" w:rsidRDefault="00BB1138" w:rsidP="00E1240B">
            <w:pPr>
              <w:spacing w:after="0" w:line="240" w:lineRule="auto"/>
              <w:rPr>
                <w:rFonts w:eastAsia="Times New Roman" w:cs="Arial"/>
                <w:lang w:eastAsia="en-GB"/>
              </w:rPr>
            </w:pPr>
            <w:r w:rsidRPr="00BB1138">
              <w:rPr>
                <w:rFonts w:eastAsia="Times New Roman" w:cs="Arial"/>
                <w:lang w:eastAsia="en-GB"/>
              </w:rPr>
              <w:t>Refinement to charging methods</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D89A6"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t>Referenced in Call-Off Contract Schedule 3 (Statement of Work (SOW), including pricing arrangements and Key Staff):</w:t>
            </w:r>
            <w:r w:rsidRPr="00BB1138">
              <w:rPr>
                <w:rFonts w:eastAsia="Times New Roman" w:cs="Arial"/>
                <w:lang w:eastAsia="en-GB"/>
              </w:rPr>
              <w:br/>
            </w:r>
            <w:r w:rsidRPr="00BB1138">
              <w:rPr>
                <w:rFonts w:eastAsia="Times New Roman" w:cs="Arial"/>
                <w:lang w:eastAsia="en-GB"/>
              </w:rPr>
              <w:br/>
              <w:t xml:space="preserve">- Capped time and materials (CTM) </w:t>
            </w:r>
            <w:r w:rsidRPr="00BB1138">
              <w:rPr>
                <w:rFonts w:eastAsia="Times New Roman" w:cs="Arial"/>
                <w:lang w:eastAsia="en-GB"/>
              </w:rPr>
              <w:br/>
              <w:t>- Price per story</w:t>
            </w:r>
            <w:r w:rsidRPr="00BB1138">
              <w:rPr>
                <w:rFonts w:eastAsia="Times New Roman" w:cs="Arial"/>
                <w:lang w:eastAsia="en-GB"/>
              </w:rPr>
              <w:br/>
              <w:t>- Time and materials (T&amp;M)</w:t>
            </w:r>
            <w:r w:rsidRPr="00BB1138">
              <w:rPr>
                <w:rFonts w:eastAsia="Times New Roman" w:cs="Arial"/>
                <w:lang w:eastAsia="en-GB"/>
              </w:rPr>
              <w:br/>
              <w:t>- Fixed Price</w:t>
            </w:r>
            <w:r w:rsidRPr="00BB1138">
              <w:rPr>
                <w:rFonts w:eastAsia="Times New Roman" w:cs="Arial"/>
                <w:lang w:eastAsia="en-GB"/>
              </w:rPr>
              <w:br/>
              <w:t>- Other pricing method or a combination of pricing methods agreed by the Parties</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E66A3C" w14:textId="77777777" w:rsidR="00BB1138" w:rsidRPr="00BB1138" w:rsidRDefault="00BB1138" w:rsidP="00E1240B">
            <w:pPr>
              <w:spacing w:after="0" w:line="240" w:lineRule="auto"/>
              <w:rPr>
                <w:rFonts w:eastAsia="Times New Roman" w:cs="Arial"/>
                <w:lang w:eastAsia="en-GB"/>
              </w:rPr>
            </w:pPr>
            <w:r w:rsidRPr="00BB1138">
              <w:rPr>
                <w:rFonts w:eastAsia="Times New Roman" w:cs="Arial"/>
                <w:lang w:eastAsia="en-GB"/>
              </w:rPr>
              <w:t>Defined in Framework Schedule 3 (Framework Prices) and referenced in Framework Schedule 6 (Order Form Template, Statement of Work Template and Call-Off Schedules):</w:t>
            </w:r>
            <w:r w:rsidRPr="00BB1138">
              <w:rPr>
                <w:rFonts w:eastAsia="Times New Roman" w:cs="Arial"/>
                <w:lang w:eastAsia="en-GB"/>
              </w:rPr>
              <w:br/>
            </w:r>
            <w:r w:rsidRPr="00BB1138">
              <w:rPr>
                <w:rFonts w:eastAsia="Times New Roman" w:cs="Arial"/>
                <w:lang w:eastAsia="en-GB"/>
              </w:rPr>
              <w:br/>
              <w:t>- Fixed Price</w:t>
            </w:r>
            <w:r w:rsidRPr="00BB1138">
              <w:rPr>
                <w:rFonts w:eastAsia="Times New Roman" w:cs="Arial"/>
                <w:lang w:eastAsia="en-GB"/>
              </w:rPr>
              <w:br/>
              <w:t>- Incremental Fixed Price</w:t>
            </w:r>
            <w:r w:rsidRPr="00BB1138">
              <w:rPr>
                <w:rFonts w:eastAsia="Times New Roman" w:cs="Arial"/>
                <w:lang w:eastAsia="en-GB"/>
              </w:rPr>
              <w:br/>
              <w:t>- Time and Materials</w:t>
            </w:r>
            <w:r w:rsidRPr="00BB1138">
              <w:rPr>
                <w:rFonts w:eastAsia="Times New Roman" w:cs="Arial"/>
                <w:lang w:eastAsia="en-GB"/>
              </w:rPr>
              <w:br/>
              <w:t>- Capped Time and Materials</w:t>
            </w:r>
            <w:r w:rsidRPr="00BB1138">
              <w:rPr>
                <w:rFonts w:eastAsia="Times New Roman" w:cs="Arial"/>
                <w:lang w:eastAsia="en-GB"/>
              </w:rPr>
              <w:br/>
              <w:t>- 2 or more of the above charging methods</w:t>
            </w:r>
          </w:p>
        </w:tc>
      </w:tr>
      <w:tr w:rsidR="00BB1138" w:rsidRPr="00BB1138" w14:paraId="141E3B91"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8A4A82"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t>Termination period for SOW provided for</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916A0"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t>Not specified</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C5B0D9" w14:textId="77777777" w:rsidR="00BB1138" w:rsidRPr="00BB1138" w:rsidRDefault="00BB1138" w:rsidP="00E1240B">
            <w:pPr>
              <w:spacing w:after="0" w:line="240" w:lineRule="auto"/>
              <w:rPr>
                <w:rFonts w:eastAsia="Times New Roman" w:cs="Arial"/>
                <w:lang w:eastAsia="en-GB"/>
              </w:rPr>
            </w:pPr>
            <w:r w:rsidRPr="00BB1138">
              <w:rPr>
                <w:rFonts w:eastAsia="Times New Roman" w:cs="Arial"/>
                <w:lang w:eastAsia="en-GB"/>
              </w:rPr>
              <w:t>Framework Award Form Special Term 2 Clause 10.2.2</w:t>
            </w:r>
          </w:p>
        </w:tc>
      </w:tr>
      <w:tr w:rsidR="00BB1138" w:rsidRPr="00BB1138" w14:paraId="70033606"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DFEF22" w14:textId="77777777" w:rsidR="00BB1138" w:rsidRPr="00BB1138" w:rsidRDefault="00BB1138" w:rsidP="00BB1138">
            <w:pPr>
              <w:spacing w:after="0" w:line="240" w:lineRule="auto"/>
              <w:rPr>
                <w:rFonts w:eastAsia="Times New Roman" w:cs="Arial"/>
                <w:lang w:eastAsia="en-GB"/>
              </w:rPr>
            </w:pPr>
            <w:r w:rsidRPr="00BB1138">
              <w:rPr>
                <w:rFonts w:eastAsia="Times New Roman" w:cs="Arial"/>
                <w:lang w:eastAsia="en-GB"/>
              </w:rPr>
              <w:t>Specialist role day rates are maximums and cannot be amended for the duration of the framework period</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E5D3CD" w14:textId="77777777" w:rsidR="00BB1138" w:rsidRPr="00BB1138" w:rsidRDefault="00BB1138" w:rsidP="00E1240B">
            <w:pPr>
              <w:spacing w:after="0" w:line="240" w:lineRule="auto"/>
              <w:rPr>
                <w:rFonts w:eastAsia="Times New Roman" w:cs="Arial"/>
                <w:lang w:eastAsia="en-GB"/>
              </w:rPr>
            </w:pPr>
            <w:r w:rsidRPr="00BB1138">
              <w:rPr>
                <w:rFonts w:eastAsia="Times New Roman" w:cs="Arial"/>
                <w:lang w:eastAsia="en-GB"/>
              </w:rPr>
              <w:t>Framework Agreement Clause 8.3 allowed for proposed changes to rates, with approval from CCS</w:t>
            </w:r>
          </w:p>
        </w:tc>
        <w:tc>
          <w:tcPr>
            <w:tcW w:w="53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FB4142" w14:textId="77777777" w:rsidR="00BB1138" w:rsidRPr="00BB1138" w:rsidRDefault="00BB1138" w:rsidP="00E1240B">
            <w:pPr>
              <w:spacing w:after="0" w:line="240" w:lineRule="auto"/>
              <w:rPr>
                <w:rFonts w:eastAsia="Times New Roman" w:cs="Arial"/>
                <w:color w:val="000000"/>
                <w:lang w:eastAsia="en-GB"/>
              </w:rPr>
            </w:pPr>
            <w:r w:rsidRPr="00BB1138">
              <w:rPr>
                <w:rFonts w:eastAsia="Times New Roman" w:cs="Arial"/>
                <w:color w:val="000000"/>
                <w:lang w:eastAsia="en-GB"/>
              </w:rPr>
              <w:t>Framework Schedule 3 (Framework Prices) Clause 3.2 states the maximum rates are fixed for the duration of the framework agreement</w:t>
            </w:r>
          </w:p>
        </w:tc>
      </w:tr>
      <w:tr w:rsidR="00BB1138" w:rsidRPr="00BB1138" w14:paraId="7F04E209" w14:textId="77777777" w:rsidTr="00C85A95">
        <w:trPr>
          <w:trHeight w:val="315"/>
        </w:trPr>
        <w:tc>
          <w:tcPr>
            <w:tcW w:w="42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3C7519" w14:textId="77777777" w:rsidR="00BB1138" w:rsidRPr="00BB1138" w:rsidRDefault="00BB1138" w:rsidP="00E1240B">
            <w:pPr>
              <w:spacing w:after="0" w:line="240" w:lineRule="auto"/>
              <w:rPr>
                <w:rFonts w:eastAsia="Times New Roman" w:cs="Arial"/>
                <w:lang w:eastAsia="en-GB"/>
              </w:rPr>
            </w:pPr>
            <w:r w:rsidRPr="00BB1138">
              <w:rPr>
                <w:rFonts w:eastAsia="Times New Roman" w:cs="Arial"/>
                <w:lang w:eastAsia="en-GB"/>
              </w:rPr>
              <w:t>Additional contract schedules (optional) which can be applied at call-off contract level by buyers</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650FBC" w14:textId="77777777" w:rsidR="00BB1138" w:rsidRPr="00BB1138" w:rsidRDefault="00BB1138" w:rsidP="00E1240B">
            <w:pPr>
              <w:spacing w:after="0" w:line="240" w:lineRule="auto"/>
              <w:rPr>
                <w:rFonts w:eastAsia="Times New Roman" w:cs="Arial"/>
                <w:lang w:eastAsia="en-GB"/>
              </w:rPr>
            </w:pPr>
            <w:r w:rsidRPr="00BB1138">
              <w:rPr>
                <w:rFonts w:eastAsia="Times New Roman" w:cs="Arial"/>
                <w:lang w:eastAsia="en-GB"/>
              </w:rPr>
              <w:t>Not specified</w:t>
            </w:r>
          </w:p>
        </w:tc>
        <w:tc>
          <w:tcPr>
            <w:tcW w:w="53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955FE" w14:textId="77777777" w:rsidR="00BB1138" w:rsidRPr="00BB1138" w:rsidRDefault="00BB1138" w:rsidP="00BB1138">
            <w:pPr>
              <w:spacing w:after="240" w:line="240" w:lineRule="auto"/>
              <w:rPr>
                <w:rFonts w:eastAsia="Times New Roman" w:cs="Arial"/>
                <w:lang w:eastAsia="en-GB"/>
              </w:rPr>
            </w:pPr>
            <w:r w:rsidRPr="00BB1138">
              <w:rPr>
                <w:rFonts w:eastAsia="Times New Roman" w:cs="Arial"/>
                <w:lang w:eastAsia="en-GB"/>
              </w:rPr>
              <w:t>Call-Off Schedule 3 (Continuous Improvement)</w:t>
            </w:r>
            <w:r w:rsidRPr="00BB1138">
              <w:rPr>
                <w:rFonts w:eastAsia="Times New Roman" w:cs="Arial"/>
                <w:lang w:eastAsia="en-GB"/>
              </w:rPr>
              <w:br/>
              <w:t>Call-Off Schedule 13 (Implementation Plan and</w:t>
            </w:r>
            <w:r w:rsidRPr="00BB1138">
              <w:rPr>
                <w:rFonts w:eastAsia="Times New Roman" w:cs="Arial"/>
                <w:lang w:eastAsia="en-GB"/>
              </w:rPr>
              <w:br/>
              <w:t>Testing)</w:t>
            </w:r>
            <w:r w:rsidRPr="00BB1138">
              <w:rPr>
                <w:rFonts w:eastAsia="Times New Roman" w:cs="Arial"/>
                <w:lang w:eastAsia="en-GB"/>
              </w:rPr>
              <w:br/>
              <w:t>Call-Off Schedule 14 (Service Levels and Balanced</w:t>
            </w:r>
            <w:r w:rsidRPr="00BB1138">
              <w:rPr>
                <w:rFonts w:eastAsia="Times New Roman" w:cs="Arial"/>
                <w:lang w:eastAsia="en-GB"/>
              </w:rPr>
              <w:br/>
              <w:t>Scorecard) - [Balanced Scorecard already in place with DOS 4]</w:t>
            </w:r>
            <w:r w:rsidRPr="00BB1138">
              <w:rPr>
                <w:rFonts w:eastAsia="Times New Roman" w:cs="Arial"/>
                <w:lang w:eastAsia="en-GB"/>
              </w:rPr>
              <w:br/>
              <w:t>Call-Off Schedule 25 (Ethical Walls Agreement)</w:t>
            </w:r>
          </w:p>
        </w:tc>
      </w:tr>
    </w:tbl>
    <w:p w14:paraId="796081B4" w14:textId="7759D893" w:rsidR="00BB1138" w:rsidRPr="00BB1138" w:rsidRDefault="00BB1138" w:rsidP="00E1240B">
      <w:pPr>
        <w:rPr>
          <w:rFonts w:cs="Arial"/>
        </w:rPr>
      </w:pPr>
    </w:p>
    <w:sectPr w:rsidR="00BB1138" w:rsidRPr="00BB1138" w:rsidSect="00E1240B">
      <w:footerReference w:type="even" r:id="rId7"/>
      <w:footerReference w:type="default" r:id="rId8"/>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13CDA" w14:textId="77777777" w:rsidR="0065002D" w:rsidRDefault="0065002D" w:rsidP="00E1240B">
      <w:pPr>
        <w:spacing w:after="0" w:line="240" w:lineRule="auto"/>
      </w:pPr>
      <w:r>
        <w:separator/>
      </w:r>
    </w:p>
  </w:endnote>
  <w:endnote w:type="continuationSeparator" w:id="0">
    <w:p w14:paraId="020C1665" w14:textId="77777777" w:rsidR="0065002D" w:rsidRDefault="0065002D" w:rsidP="00E1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6737675"/>
      <w:docPartObj>
        <w:docPartGallery w:val="Page Numbers (Bottom of Page)"/>
        <w:docPartUnique/>
      </w:docPartObj>
    </w:sdtPr>
    <w:sdtEndPr>
      <w:rPr>
        <w:rStyle w:val="PageNumber"/>
      </w:rPr>
    </w:sdtEndPr>
    <w:sdtContent>
      <w:p w14:paraId="076F8ABA" w14:textId="24EDD534" w:rsidR="00E1240B" w:rsidRDefault="00E1240B" w:rsidP="000E17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77EFE" w14:textId="77777777" w:rsidR="00E1240B" w:rsidRDefault="00E1240B" w:rsidP="00E12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3522129"/>
      <w:docPartObj>
        <w:docPartGallery w:val="Page Numbers (Bottom of Page)"/>
        <w:docPartUnique/>
      </w:docPartObj>
    </w:sdtPr>
    <w:sdtEndPr>
      <w:rPr>
        <w:rStyle w:val="PageNumber"/>
      </w:rPr>
    </w:sdtEndPr>
    <w:sdtContent>
      <w:p w14:paraId="51648D9F" w14:textId="0DB8B29E" w:rsidR="00E1240B" w:rsidRDefault="00E1240B" w:rsidP="000E17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713E01" w14:textId="77777777" w:rsidR="00E1240B" w:rsidRDefault="00E1240B" w:rsidP="00E124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E85BA" w14:textId="77777777" w:rsidR="0065002D" w:rsidRDefault="0065002D" w:rsidP="00E1240B">
      <w:pPr>
        <w:spacing w:after="0" w:line="240" w:lineRule="auto"/>
      </w:pPr>
      <w:r>
        <w:separator/>
      </w:r>
    </w:p>
  </w:footnote>
  <w:footnote w:type="continuationSeparator" w:id="0">
    <w:p w14:paraId="0BC3A1D0" w14:textId="77777777" w:rsidR="0065002D" w:rsidRDefault="0065002D" w:rsidP="00E12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38"/>
    <w:rsid w:val="003651AC"/>
    <w:rsid w:val="003652CB"/>
    <w:rsid w:val="003A78F2"/>
    <w:rsid w:val="005D6FF7"/>
    <w:rsid w:val="00610353"/>
    <w:rsid w:val="0065002D"/>
    <w:rsid w:val="007153F6"/>
    <w:rsid w:val="00774E4C"/>
    <w:rsid w:val="00BB1138"/>
    <w:rsid w:val="00BE0632"/>
    <w:rsid w:val="00C85A95"/>
    <w:rsid w:val="00E1240B"/>
    <w:rsid w:val="00E2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030D"/>
  <w15:chartTrackingRefBased/>
  <w15:docId w15:val="{DC2667D8-2C5F-49F8-8515-9F1A50CB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FF7"/>
    <w:rPr>
      <w:rFonts w:ascii="Arial" w:hAnsi="Arial"/>
    </w:rPr>
  </w:style>
  <w:style w:type="paragraph" w:styleId="Heading1">
    <w:name w:val="heading 1"/>
    <w:basedOn w:val="Normal"/>
    <w:next w:val="Normal"/>
    <w:link w:val="Heading1Char"/>
    <w:rsid w:val="00E1240B"/>
    <w:pPr>
      <w:keepNext/>
      <w:keepLines/>
      <w:spacing w:after="200" w:line="276" w:lineRule="auto"/>
      <w:outlineLvl w:val="0"/>
    </w:pPr>
    <w:rPr>
      <w:rFonts w:eastAsia="Helvetica Neue" w:cs="Helvetica Neue"/>
      <w:b/>
      <w:sz w:val="36"/>
      <w:szCs w:val="24"/>
      <w:lang w:val="en" w:eastAsia="en-GB"/>
    </w:rPr>
  </w:style>
  <w:style w:type="paragraph" w:styleId="Heading2">
    <w:name w:val="heading 2"/>
    <w:basedOn w:val="Normal"/>
    <w:next w:val="Normal"/>
    <w:link w:val="Heading2Char"/>
    <w:uiPriority w:val="9"/>
    <w:unhideWhenUsed/>
    <w:qFormat/>
    <w:rsid w:val="00E1240B"/>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2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0B"/>
  </w:style>
  <w:style w:type="character" w:styleId="PageNumber">
    <w:name w:val="page number"/>
    <w:basedOn w:val="DefaultParagraphFont"/>
    <w:uiPriority w:val="99"/>
    <w:semiHidden/>
    <w:unhideWhenUsed/>
    <w:rsid w:val="00E1240B"/>
  </w:style>
  <w:style w:type="character" w:customStyle="1" w:styleId="Heading1Char">
    <w:name w:val="Heading 1 Char"/>
    <w:basedOn w:val="DefaultParagraphFont"/>
    <w:link w:val="Heading1"/>
    <w:rsid w:val="00E1240B"/>
    <w:rPr>
      <w:rFonts w:ascii="Arial" w:eastAsia="Helvetica Neue" w:hAnsi="Arial" w:cs="Helvetica Neue"/>
      <w:b/>
      <w:sz w:val="36"/>
      <w:szCs w:val="24"/>
      <w:lang w:val="en" w:eastAsia="en-GB"/>
    </w:rPr>
  </w:style>
  <w:style w:type="character" w:styleId="Hyperlink">
    <w:name w:val="Hyperlink"/>
    <w:basedOn w:val="DefaultParagraphFont"/>
    <w:uiPriority w:val="99"/>
    <w:unhideWhenUsed/>
    <w:rsid w:val="00E1240B"/>
    <w:rPr>
      <w:color w:val="0563C1" w:themeColor="hyperlink"/>
      <w:u w:val="single"/>
    </w:rPr>
  </w:style>
  <w:style w:type="character" w:styleId="UnresolvedMention">
    <w:name w:val="Unresolved Mention"/>
    <w:basedOn w:val="DefaultParagraphFont"/>
    <w:uiPriority w:val="99"/>
    <w:semiHidden/>
    <w:unhideWhenUsed/>
    <w:rsid w:val="00E1240B"/>
    <w:rPr>
      <w:color w:val="605E5C"/>
      <w:shd w:val="clear" w:color="auto" w:fill="E1DFDD"/>
    </w:rPr>
  </w:style>
  <w:style w:type="character" w:customStyle="1" w:styleId="Heading2Char">
    <w:name w:val="Heading 2 Char"/>
    <w:basedOn w:val="DefaultParagraphFont"/>
    <w:link w:val="Heading2"/>
    <w:uiPriority w:val="9"/>
    <w:rsid w:val="00E1240B"/>
    <w:rPr>
      <w:rFonts w:ascii="Arial" w:eastAsiaTheme="majorEastAsia" w:hAnsi="Arial" w:cstheme="majorBidi"/>
      <w:b/>
      <w:sz w:val="28"/>
      <w:szCs w:val="26"/>
    </w:rPr>
  </w:style>
  <w:style w:type="character" w:styleId="FollowedHyperlink">
    <w:name w:val="FollowedHyperlink"/>
    <w:basedOn w:val="DefaultParagraphFont"/>
    <w:uiPriority w:val="99"/>
    <w:semiHidden/>
    <w:unhideWhenUsed/>
    <w:rsid w:val="00E1240B"/>
    <w:rPr>
      <w:color w:val="954F72" w:themeColor="followedHyperlink"/>
      <w:u w:val="single"/>
    </w:rPr>
  </w:style>
  <w:style w:type="paragraph" w:styleId="BalloonText">
    <w:name w:val="Balloon Text"/>
    <w:basedOn w:val="Normal"/>
    <w:link w:val="BalloonTextChar"/>
    <w:uiPriority w:val="99"/>
    <w:semiHidden/>
    <w:unhideWhenUsed/>
    <w:rsid w:val="006103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0353"/>
    <w:rPr>
      <w:rFonts w:ascii="Times New Roman" w:hAnsi="Times New Roman" w:cs="Times New Roman"/>
      <w:sz w:val="18"/>
      <w:szCs w:val="18"/>
    </w:rPr>
  </w:style>
  <w:style w:type="paragraph" w:styleId="Header">
    <w:name w:val="header"/>
    <w:basedOn w:val="Normal"/>
    <w:link w:val="HeaderChar"/>
    <w:uiPriority w:val="99"/>
    <w:unhideWhenUsed/>
    <w:rsid w:val="0061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35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65879">
      <w:bodyDiv w:val="1"/>
      <w:marLeft w:val="0"/>
      <w:marRight w:val="0"/>
      <w:marTop w:val="0"/>
      <w:marBottom w:val="0"/>
      <w:divBdr>
        <w:top w:val="none" w:sz="0" w:space="0" w:color="auto"/>
        <w:left w:val="none" w:sz="0" w:space="0" w:color="auto"/>
        <w:bottom w:val="none" w:sz="0" w:space="0" w:color="auto"/>
        <w:right w:val="none" w:sz="0" w:space="0" w:color="auto"/>
      </w:divBdr>
    </w:div>
    <w:div w:id="12604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uk/uksi/2015/102/regulation/113/ma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Sergison</dc:creator>
  <cp:keywords/>
  <dc:description/>
  <cp:lastModifiedBy>Microsoft Office User</cp:lastModifiedBy>
  <cp:revision>4</cp:revision>
  <dcterms:created xsi:type="dcterms:W3CDTF">2020-10-06T13:34:00Z</dcterms:created>
  <dcterms:modified xsi:type="dcterms:W3CDTF">2020-10-06T14:30:00Z</dcterms:modified>
</cp:coreProperties>
</file>