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2A74" w14:textId="77777777" w:rsidR="0098143C" w:rsidRDefault="001861AF" w:rsidP="001861AF">
      <w:pPr>
        <w:spacing w:before="240"/>
        <w:rPr>
          <w:b/>
          <w:caps/>
          <w:sz w:val="24"/>
          <w:szCs w:val="24"/>
        </w:rPr>
      </w:pPr>
      <w:bookmarkStart w:id="0" w:name="_Hlk114839069"/>
      <w:bookmarkStart w:id="1" w:name="_Hlk114838098"/>
      <w:r>
        <w:rPr>
          <w:noProof/>
        </w:rPr>
        <w:drawing>
          <wp:inline distT="0" distB="0" distL="0" distR="0" wp14:anchorId="5C330019" wp14:editId="2B97B4B9">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98143C">
        <w:rPr>
          <w:noProof/>
        </w:rPr>
        <w:drawing>
          <wp:anchor distT="0" distB="0" distL="114300" distR="114300" simplePos="0" relativeHeight="251659264" behindDoc="0" locked="0" layoutInCell="1" allowOverlap="1" wp14:anchorId="75FCD76C" wp14:editId="7FE14F9A">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62118219" w14:textId="77777777" w:rsidR="0098143C" w:rsidRDefault="0098143C" w:rsidP="0098143C">
      <w:pPr>
        <w:spacing w:before="240"/>
        <w:jc w:val="center"/>
        <w:rPr>
          <w:b/>
          <w:caps/>
          <w:sz w:val="24"/>
          <w:szCs w:val="24"/>
        </w:rPr>
      </w:pPr>
    </w:p>
    <w:bookmarkEnd w:id="0"/>
    <w:p w14:paraId="54B8F0BE" w14:textId="77777777" w:rsidR="0098143C" w:rsidRDefault="0098143C" w:rsidP="0098143C">
      <w:pPr>
        <w:spacing w:before="240"/>
        <w:jc w:val="center"/>
        <w:rPr>
          <w:b/>
          <w:caps/>
          <w:sz w:val="24"/>
          <w:szCs w:val="24"/>
        </w:rPr>
      </w:pPr>
    </w:p>
    <w:p w14:paraId="55F885EF" w14:textId="77777777" w:rsidR="0098143C" w:rsidRPr="002D0ED3" w:rsidRDefault="0098143C" w:rsidP="0098143C">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3A3704A8" w14:textId="77777777" w:rsidR="0098143C" w:rsidRPr="002D0ED3" w:rsidRDefault="0098143C" w:rsidP="0098143C">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6BBA6AE9" w14:textId="77777777" w:rsidR="0098143C" w:rsidRPr="002D0ED3" w:rsidRDefault="0098143C" w:rsidP="0098143C">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69A44A3A" w14:textId="77777777" w:rsidR="0098143C" w:rsidRPr="00A33E00" w:rsidRDefault="0098143C" w:rsidP="0098143C">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5EC08E53" w14:textId="77777777" w:rsidR="0098143C" w:rsidRPr="002D0ED3" w:rsidRDefault="0098143C" w:rsidP="0098143C">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1C20FEA4" w14:textId="77777777" w:rsidR="0098143C" w:rsidRPr="002D0ED3" w:rsidRDefault="0098143C" w:rsidP="0098143C">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1"/>
    <w:p w14:paraId="38D5900D" w14:textId="77777777" w:rsidR="00B12B69" w:rsidRDefault="00B12B69">
      <w:pPr>
        <w:rPr>
          <w:rFonts w:ascii="Arial" w:eastAsia="Arial" w:hAnsi="Arial" w:cs="Arial"/>
          <w:b/>
          <w:sz w:val="36"/>
          <w:szCs w:val="36"/>
        </w:rPr>
      </w:pPr>
    </w:p>
    <w:p w14:paraId="74041E95" w14:textId="77777777" w:rsidR="00B12B69" w:rsidRDefault="00B12B69">
      <w:pPr>
        <w:rPr>
          <w:rFonts w:ascii="Arial" w:eastAsia="Arial" w:hAnsi="Arial" w:cs="Arial"/>
          <w:b/>
          <w:sz w:val="36"/>
          <w:szCs w:val="36"/>
        </w:rPr>
      </w:pPr>
      <w:r>
        <w:rPr>
          <w:rFonts w:ascii="Arial" w:eastAsia="Arial" w:hAnsi="Arial" w:cs="Arial"/>
          <w:b/>
          <w:sz w:val="36"/>
          <w:szCs w:val="36"/>
        </w:rPr>
        <w:br w:type="page"/>
      </w:r>
    </w:p>
    <w:p w14:paraId="5D162E7E" w14:textId="77777777" w:rsidR="00A15725" w:rsidRDefault="00955D58">
      <w:pPr>
        <w:rPr>
          <w:rFonts w:ascii="Arial" w:eastAsia="Arial" w:hAnsi="Arial" w:cs="Arial"/>
          <w:b/>
          <w:sz w:val="36"/>
          <w:szCs w:val="36"/>
        </w:rPr>
      </w:pPr>
      <w:r>
        <w:rPr>
          <w:rFonts w:ascii="Arial" w:eastAsia="Arial" w:hAnsi="Arial" w:cs="Arial"/>
          <w:b/>
          <w:sz w:val="36"/>
          <w:szCs w:val="36"/>
        </w:rPr>
        <w:lastRenderedPageBreak/>
        <w:t>Joint Schedule 1 (Definitions)</w:t>
      </w:r>
    </w:p>
    <w:p w14:paraId="3702750F" w14:textId="77777777" w:rsidR="00A15725" w:rsidRDefault="00955D58">
      <w:pPr>
        <w:rPr>
          <w:rFonts w:ascii="Arial" w:eastAsia="Arial" w:hAnsi="Arial" w:cs="Arial"/>
          <w:color w:val="000000"/>
          <w:sz w:val="24"/>
          <w:szCs w:val="24"/>
        </w:rPr>
      </w:pPr>
      <w:r>
        <w:rPr>
          <w:rFonts w:ascii="Arial" w:eastAsia="Arial" w:hAnsi="Arial" w:cs="Arial"/>
          <w:color w:val="000000"/>
          <w:sz w:val="24"/>
          <w:szCs w:val="24"/>
        </w:rPr>
        <w:t xml:space="preserve">In </w:t>
      </w:r>
      <w:bookmarkStart w:id="2" w:name="bookmark=id.gjdgxs" w:colFirst="0" w:colLast="0"/>
      <w:bookmarkEnd w:id="2"/>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coin which that capitalised expression appears.</w:t>
      </w:r>
    </w:p>
    <w:p w14:paraId="74519FC1" w14:textId="77777777" w:rsidR="00A15725" w:rsidRDefault="00955D58">
      <w:pPr>
        <w:numPr>
          <w:ilvl w:val="1"/>
          <w:numId w:val="14"/>
        </w:numPr>
        <w:pBdr>
          <w:top w:val="nil"/>
          <w:left w:val="nil"/>
          <w:bottom w:val="nil"/>
          <w:right w:val="nil"/>
          <w:between w:val="nil"/>
        </w:pBdr>
        <w:spacing w:before="120" w:after="120" w:line="240" w:lineRule="auto"/>
        <w:ind w:left="141" w:hanging="850"/>
        <w:jc w:val="both"/>
        <w:rPr>
          <w:rFonts w:ascii="Arial" w:eastAsia="Arial" w:hAnsi="Arial" w:cs="Arial"/>
          <w:color w:val="000000"/>
          <w:sz w:val="24"/>
          <w:szCs w:val="24"/>
        </w:rPr>
      </w:pPr>
      <w:bookmarkStart w:id="3" w:name="_heading=h.30j0zll" w:colFirst="0" w:colLast="0"/>
      <w:bookmarkEnd w:id="3"/>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7A6AB11C" w14:textId="77777777" w:rsidR="00A15725" w:rsidRDefault="00955D58">
      <w:pPr>
        <w:numPr>
          <w:ilvl w:val="1"/>
          <w:numId w:val="14"/>
        </w:numPr>
        <w:pBdr>
          <w:top w:val="nil"/>
          <w:left w:val="nil"/>
          <w:bottom w:val="nil"/>
          <w:right w:val="nil"/>
          <w:between w:val="nil"/>
        </w:pBdr>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6A198511"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7012CDCA"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1C6DBED0"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393DF1ED"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1876EC10"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254AE8EC"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5D667AC"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4D540554"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2B5D4B2C"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3519A0CA"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333A3C00"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5C1CA4F0"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t>in entering into a Contract the Relevant Authority is acting as part of the Crown; and</w:t>
      </w:r>
    </w:p>
    <w:p w14:paraId="51F07C54" w14:textId="77777777" w:rsidR="00A15725" w:rsidRDefault="00A15725">
      <w:p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p>
    <w:p w14:paraId="11DE86FF"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lastRenderedPageBreak/>
        <w:t>any reference in a Contract which immediately before Exit Day was a reference to (as it has effect from time to time):</w:t>
      </w:r>
    </w:p>
    <w:p w14:paraId="20EDAE5E" w14:textId="77777777" w:rsidR="00A15725" w:rsidRDefault="00955D58">
      <w:pPr>
        <w:numPr>
          <w:ilvl w:val="3"/>
          <w:numId w:val="14"/>
        </w:numPr>
        <w:pBdr>
          <w:top w:val="nil"/>
          <w:left w:val="nil"/>
          <w:bottom w:val="nil"/>
          <w:right w:val="nil"/>
          <w:between w:val="nil"/>
        </w:pBdr>
        <w:tabs>
          <w:tab w:val="left" w:pos="1985"/>
          <w:tab w:val="left" w:pos="2127"/>
        </w:tabs>
        <w:spacing w:before="120" w:after="120" w:line="240" w:lineRule="auto"/>
        <w:ind w:left="1417" w:hanging="840"/>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59471BCC" w14:textId="77777777" w:rsidR="00A15725" w:rsidRDefault="00955D58">
      <w:pPr>
        <w:numPr>
          <w:ilvl w:val="3"/>
          <w:numId w:val="14"/>
        </w:numPr>
        <w:pBdr>
          <w:top w:val="nil"/>
          <w:left w:val="nil"/>
          <w:bottom w:val="nil"/>
          <w:right w:val="nil"/>
          <w:between w:val="nil"/>
        </w:pBdr>
        <w:tabs>
          <w:tab w:val="left" w:pos="1985"/>
          <w:tab w:val="left" w:pos="2127"/>
        </w:tabs>
        <w:spacing w:before="120" w:after="120" w:line="240" w:lineRule="auto"/>
        <w:ind w:left="1417" w:hanging="840"/>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18023E2C"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2917E864"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153B05F8" w14:textId="77777777" w:rsidR="00A15725" w:rsidRDefault="00955D58">
      <w:pPr>
        <w:numPr>
          <w:ilvl w:val="2"/>
          <w:numId w:val="14"/>
        </w:numPr>
        <w:pBdr>
          <w:top w:val="nil"/>
          <w:left w:val="nil"/>
          <w:bottom w:val="nil"/>
          <w:right w:val="nil"/>
          <w:between w:val="nil"/>
        </w:pBdr>
        <w:tabs>
          <w:tab w:val="left" w:pos="1985"/>
          <w:tab w:val="left" w:pos="2127"/>
        </w:tabs>
        <w:spacing w:before="120" w:after="120" w:line="240" w:lineRule="auto"/>
        <w:ind w:left="141" w:hanging="850"/>
        <w:jc w:val="both"/>
        <w:rPr>
          <w:rFonts w:ascii="Arial" w:eastAsia="Arial" w:hAnsi="Arial" w:cs="Arial"/>
          <w:sz w:val="24"/>
          <w:szCs w:val="24"/>
        </w:rPr>
      </w:pPr>
      <w:r>
        <w:rPr>
          <w:rFonts w:ascii="Arial" w:eastAsia="Arial" w:hAnsi="Arial" w:cs="Arial"/>
          <w:color w:val="000000"/>
          <w:sz w:val="24"/>
          <w:szCs w:val="24"/>
        </w:rPr>
        <w:t>In each Contract, unless the context otherwise requires, the following words shall have the following meanings:</w:t>
      </w:r>
    </w:p>
    <w:p w14:paraId="1460B311" w14:textId="77777777" w:rsidR="00A15725" w:rsidRDefault="00A15725">
      <w:pPr>
        <w:keepNext/>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p>
    <w:tbl>
      <w:tblPr>
        <w:tblStyle w:val="afa"/>
        <w:tblW w:w="10033" w:type="dxa"/>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1"/>
        <w:gridCol w:w="7342"/>
      </w:tblGrid>
      <w:tr w:rsidR="00A15725" w14:paraId="44AB809E" w14:textId="77777777">
        <w:trPr>
          <w:trHeight w:val="1161"/>
        </w:trPr>
        <w:tc>
          <w:tcPr>
            <w:tcW w:w="2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C260F3" w14:textId="77777777" w:rsidR="00A15725" w:rsidRDefault="00955D58">
            <w:pPr>
              <w:spacing w:before="240" w:after="240"/>
              <w:rPr>
                <w:rFonts w:ascii="Arial" w:eastAsia="Arial" w:hAnsi="Arial" w:cs="Arial"/>
                <w:b/>
                <w:sz w:val="24"/>
                <w:szCs w:val="24"/>
              </w:rPr>
            </w:pPr>
            <w:r>
              <w:rPr>
                <w:rFonts w:ascii="Arial" w:eastAsia="Arial" w:hAnsi="Arial" w:cs="Arial"/>
                <w:b/>
                <w:sz w:val="24"/>
                <w:szCs w:val="24"/>
              </w:rPr>
              <w:t>“Accelerated Further Competition”</w:t>
            </w:r>
          </w:p>
        </w:tc>
        <w:tc>
          <w:tcPr>
            <w:tcW w:w="73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80E38F3" w14:textId="77777777" w:rsidR="00A15725" w:rsidRDefault="00955D58">
            <w:pPr>
              <w:tabs>
                <w:tab w:val="left" w:pos="-179"/>
              </w:tabs>
              <w:spacing w:before="240" w:after="240"/>
              <w:ind w:left="184" w:right="242"/>
              <w:jc w:val="both"/>
              <w:rPr>
                <w:rFonts w:ascii="Arial" w:eastAsia="Arial" w:hAnsi="Arial" w:cs="Arial"/>
                <w:sz w:val="24"/>
                <w:szCs w:val="24"/>
              </w:rPr>
            </w:pPr>
            <w:r>
              <w:rPr>
                <w:rFonts w:ascii="Arial" w:eastAsia="Arial" w:hAnsi="Arial" w:cs="Arial"/>
                <w:sz w:val="24"/>
                <w:szCs w:val="24"/>
              </w:rPr>
              <w:t>the accelerated award of a Contract, using the Further Competition process described in Framework Schedule 7 – Call Off Award Procedure.</w:t>
            </w:r>
          </w:p>
        </w:tc>
      </w:tr>
      <w:tr w:rsidR="00A15725" w14:paraId="19D1BDC7" w14:textId="77777777">
        <w:tc>
          <w:tcPr>
            <w:tcW w:w="2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720C09" w14:textId="77777777" w:rsidR="00A15725" w:rsidRDefault="00955D58">
            <w:pPr>
              <w:spacing w:before="240" w:after="240"/>
              <w:rPr>
                <w:rFonts w:ascii="Arial" w:eastAsia="Arial" w:hAnsi="Arial" w:cs="Arial"/>
                <w:b/>
                <w:sz w:val="24"/>
                <w:szCs w:val="24"/>
              </w:rPr>
            </w:pPr>
            <w:r>
              <w:rPr>
                <w:rFonts w:ascii="Arial" w:eastAsia="Arial" w:hAnsi="Arial" w:cs="Arial"/>
                <w:b/>
                <w:sz w:val="24"/>
                <w:szCs w:val="24"/>
              </w:rPr>
              <w:t>“Accessed Contracts”</w:t>
            </w:r>
          </w:p>
        </w:tc>
        <w:tc>
          <w:tcPr>
            <w:tcW w:w="73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C44788E" w14:textId="77777777" w:rsidR="00A15725" w:rsidRDefault="00955D58">
            <w:pPr>
              <w:tabs>
                <w:tab w:val="left" w:pos="-179"/>
              </w:tabs>
              <w:spacing w:before="240" w:after="240"/>
              <w:ind w:left="184" w:right="242"/>
              <w:jc w:val="both"/>
              <w:rPr>
                <w:rFonts w:ascii="Arial" w:eastAsia="Arial" w:hAnsi="Arial" w:cs="Arial"/>
                <w:sz w:val="24"/>
                <w:szCs w:val="24"/>
              </w:rPr>
            </w:pPr>
            <w:r>
              <w:rPr>
                <w:rFonts w:ascii="Arial" w:eastAsia="Arial" w:hAnsi="Arial" w:cs="Arial"/>
                <w:sz w:val="24"/>
                <w:szCs w:val="24"/>
              </w:rPr>
              <w:t>Government Frameworks which are available to the Buyer and which the Buyer can grant access to the Supplier, as per Call Off Schedule 27 Accessed Contracts and Construction Contracts</w:t>
            </w:r>
          </w:p>
        </w:tc>
      </w:tr>
      <w:tr w:rsidR="00A15725" w14:paraId="1EB52AED" w14:textId="77777777">
        <w:tc>
          <w:tcPr>
            <w:tcW w:w="2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A2BC6" w14:textId="77777777" w:rsidR="00A15725" w:rsidRDefault="00955D58">
            <w:pPr>
              <w:spacing w:before="240" w:after="240"/>
              <w:rPr>
                <w:rFonts w:ascii="Arial" w:eastAsia="Arial" w:hAnsi="Arial" w:cs="Arial"/>
                <w:b/>
                <w:sz w:val="24"/>
                <w:szCs w:val="24"/>
              </w:rPr>
            </w:pPr>
            <w:bookmarkStart w:id="4" w:name="_heading=h.1fob9te" w:colFirst="0" w:colLast="0"/>
            <w:bookmarkEnd w:id="4"/>
            <w:r>
              <w:rPr>
                <w:rFonts w:ascii="Arial" w:eastAsia="Arial" w:hAnsi="Arial" w:cs="Arial"/>
                <w:b/>
                <w:sz w:val="24"/>
                <w:szCs w:val="24"/>
              </w:rPr>
              <w:t>“Accounting Reference Date”</w:t>
            </w:r>
          </w:p>
        </w:tc>
        <w:tc>
          <w:tcPr>
            <w:tcW w:w="73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1E1269" w14:textId="77777777" w:rsidR="00A15725" w:rsidRDefault="00955D58">
            <w:pPr>
              <w:tabs>
                <w:tab w:val="left" w:pos="-179"/>
              </w:tabs>
              <w:spacing w:before="240" w:after="240"/>
              <w:ind w:left="184" w:right="242"/>
              <w:jc w:val="both"/>
              <w:rPr>
                <w:rFonts w:ascii="Arial" w:eastAsia="Arial" w:hAnsi="Arial" w:cs="Arial"/>
                <w:sz w:val="24"/>
                <w:szCs w:val="24"/>
              </w:rPr>
            </w:pPr>
            <w:r>
              <w:rPr>
                <w:rFonts w:ascii="Arial" w:eastAsia="Arial" w:hAnsi="Arial" w:cs="Arial"/>
                <w:sz w:val="24"/>
                <w:szCs w:val="24"/>
              </w:rPr>
              <w:t>in each year the date to which the Supplier prepares its annual audited financial statements;</w:t>
            </w:r>
          </w:p>
        </w:tc>
      </w:tr>
      <w:tr w:rsidR="00A15725" w14:paraId="7EED791F" w14:textId="77777777">
        <w:tc>
          <w:tcPr>
            <w:tcW w:w="2691" w:type="dxa"/>
          </w:tcPr>
          <w:p w14:paraId="273C855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bookmarkStart w:id="5" w:name="_heading=h.efem3jhdrn5" w:colFirst="0" w:colLast="0"/>
            <w:bookmarkEnd w:id="5"/>
            <w:r>
              <w:rPr>
                <w:rFonts w:ascii="Arial" w:eastAsia="Arial" w:hAnsi="Arial" w:cs="Arial"/>
                <w:b/>
                <w:color w:val="000000"/>
                <w:sz w:val="24"/>
                <w:szCs w:val="24"/>
              </w:rPr>
              <w:t>"Achieve"</w:t>
            </w:r>
          </w:p>
        </w:tc>
        <w:tc>
          <w:tcPr>
            <w:tcW w:w="7342" w:type="dxa"/>
          </w:tcPr>
          <w:p w14:paraId="57D419C5"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A15725" w14:paraId="75445E59" w14:textId="77777777">
        <w:tc>
          <w:tcPr>
            <w:tcW w:w="2691" w:type="dxa"/>
          </w:tcPr>
          <w:p w14:paraId="774CA34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7342" w:type="dxa"/>
          </w:tcPr>
          <w:p w14:paraId="5221C9B7"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A15725" w14:paraId="6E184A27" w14:textId="77777777">
        <w:tc>
          <w:tcPr>
            <w:tcW w:w="2691" w:type="dxa"/>
            <w:vAlign w:val="center"/>
          </w:tcPr>
          <w:p w14:paraId="5AE4799C" w14:textId="77777777" w:rsidR="00A15725" w:rsidRDefault="00955D58">
            <w:pPr>
              <w:spacing w:after="120"/>
              <w:rPr>
                <w:rFonts w:ascii="Arial" w:eastAsia="Arial" w:hAnsi="Arial" w:cs="Arial"/>
                <w:b/>
                <w:sz w:val="24"/>
                <w:szCs w:val="24"/>
              </w:rPr>
            </w:pPr>
            <w:r>
              <w:rPr>
                <w:rFonts w:ascii="Arial" w:eastAsia="Arial" w:hAnsi="Arial" w:cs="Arial"/>
                <w:b/>
                <w:sz w:val="24"/>
                <w:szCs w:val="24"/>
              </w:rPr>
              <w:lastRenderedPageBreak/>
              <w:t>“Additional Service</w:t>
            </w:r>
          </w:p>
          <w:p w14:paraId="0A1A4A7D" w14:textId="77777777" w:rsidR="00A15725" w:rsidRDefault="00955D58">
            <w:pPr>
              <w:spacing w:after="120"/>
              <w:jc w:val="center"/>
              <w:rPr>
                <w:rFonts w:ascii="Arial" w:eastAsia="Arial" w:hAnsi="Arial" w:cs="Arial"/>
                <w:b/>
                <w:sz w:val="24"/>
                <w:szCs w:val="24"/>
              </w:rPr>
            </w:pPr>
            <w:r>
              <w:rPr>
                <w:rFonts w:ascii="Arial" w:eastAsia="Arial" w:hAnsi="Arial" w:cs="Arial"/>
                <w:b/>
                <w:sz w:val="24"/>
                <w:szCs w:val="24"/>
              </w:rPr>
              <w:t>Or</w:t>
            </w:r>
          </w:p>
          <w:p w14:paraId="2DA857B5" w14:textId="77777777" w:rsidR="00A15725" w:rsidRDefault="00955D58">
            <w:pPr>
              <w:spacing w:after="120"/>
              <w:rPr>
                <w:rFonts w:ascii="Arial" w:eastAsia="Arial" w:hAnsi="Arial" w:cs="Arial"/>
                <w:b/>
                <w:sz w:val="24"/>
                <w:szCs w:val="24"/>
              </w:rPr>
            </w:pPr>
            <w:r>
              <w:rPr>
                <w:rFonts w:ascii="Arial" w:eastAsia="Arial" w:hAnsi="Arial" w:cs="Arial"/>
                <w:b/>
                <w:sz w:val="24"/>
                <w:szCs w:val="24"/>
              </w:rPr>
              <w:t>Additional Deliverable”</w:t>
            </w:r>
          </w:p>
        </w:tc>
        <w:tc>
          <w:tcPr>
            <w:tcW w:w="7342" w:type="dxa"/>
            <w:vAlign w:val="center"/>
          </w:tcPr>
          <w:p w14:paraId="2E397A5F" w14:textId="77777777" w:rsidR="00A15725" w:rsidRDefault="00955D58">
            <w:pPr>
              <w:ind w:left="284" w:right="242"/>
              <w:rPr>
                <w:rFonts w:ascii="Arial" w:eastAsia="Arial" w:hAnsi="Arial" w:cs="Arial"/>
                <w:sz w:val="24"/>
                <w:szCs w:val="24"/>
              </w:rPr>
            </w:pPr>
            <w:r>
              <w:rPr>
                <w:rFonts w:ascii="Arial" w:eastAsia="Arial" w:hAnsi="Arial" w:cs="Arial"/>
                <w:sz w:val="24"/>
                <w:szCs w:val="24"/>
              </w:rPr>
              <w:t>the Services as defined in Framework Schedule 1 – Specification that Suppliers may elect to provide under this Framework.</w:t>
            </w:r>
          </w:p>
        </w:tc>
      </w:tr>
      <w:tr w:rsidR="00A15725" w14:paraId="173C3384" w14:textId="77777777">
        <w:tc>
          <w:tcPr>
            <w:tcW w:w="2691" w:type="dxa"/>
          </w:tcPr>
          <w:p w14:paraId="34E1AA7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"Admin Fee”</w:t>
            </w:r>
          </w:p>
        </w:tc>
        <w:tc>
          <w:tcPr>
            <w:tcW w:w="7342" w:type="dxa"/>
          </w:tcPr>
          <w:p w14:paraId="50563BAD" w14:textId="77777777" w:rsidR="00A15725" w:rsidRDefault="00955D58">
            <w:pPr>
              <w:pBdr>
                <w:top w:val="nil"/>
                <w:left w:val="nil"/>
                <w:bottom w:val="nil"/>
                <w:right w:val="nil"/>
                <w:between w:val="nil"/>
              </w:pBdr>
              <w:tabs>
                <w:tab w:val="left" w:pos="-179"/>
                <w:tab w:val="left" w:pos="284"/>
              </w:tabs>
              <w:spacing w:after="120"/>
              <w:ind w:left="284" w:right="242"/>
              <w:rPr>
                <w:rFonts w:ascii="Arial" w:eastAsia="Arial" w:hAnsi="Arial" w:cs="Arial"/>
                <w:color w:val="000000"/>
                <w:sz w:val="24"/>
                <w:szCs w:val="24"/>
              </w:rPr>
            </w:pPr>
            <w:r>
              <w:rPr>
                <w:rFonts w:ascii="Arial" w:eastAsia="Arial" w:hAnsi="Arial" w:cs="Arial"/>
                <w:color w:val="000000"/>
                <w:sz w:val="24"/>
                <w:szCs w:val="24"/>
              </w:rPr>
              <w:t>the costs incurred by CCS in dealing with MI Failures calculated in accordance with the tariff of administration charges published by the CCS on: http://CCS.cabinetoffice.gov.uk/i-am-supplier/management-information/admin-fees;</w:t>
            </w:r>
          </w:p>
        </w:tc>
      </w:tr>
      <w:tr w:rsidR="00A15725" w14:paraId="74B6B228" w14:textId="77777777">
        <w:tc>
          <w:tcPr>
            <w:tcW w:w="2691" w:type="dxa"/>
          </w:tcPr>
          <w:p w14:paraId="7B91165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"Affected Party"</w:t>
            </w:r>
          </w:p>
        </w:tc>
        <w:tc>
          <w:tcPr>
            <w:tcW w:w="7342" w:type="dxa"/>
          </w:tcPr>
          <w:p w14:paraId="0813A53C"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A15725" w14:paraId="0F6F41B3" w14:textId="77777777">
        <w:tc>
          <w:tcPr>
            <w:tcW w:w="2691" w:type="dxa"/>
          </w:tcPr>
          <w:p w14:paraId="1FDD8DB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"Affiliates"</w:t>
            </w:r>
          </w:p>
        </w:tc>
        <w:tc>
          <w:tcPr>
            <w:tcW w:w="7342" w:type="dxa"/>
          </w:tcPr>
          <w:p w14:paraId="119154CF"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A15725" w14:paraId="06509091" w14:textId="77777777">
        <w:tc>
          <w:tcPr>
            <w:tcW w:w="2691" w:type="dxa"/>
          </w:tcPr>
          <w:p w14:paraId="3A3821D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“Agent(s)”</w:t>
            </w:r>
          </w:p>
        </w:tc>
        <w:tc>
          <w:tcPr>
            <w:tcW w:w="7342" w:type="dxa"/>
          </w:tcPr>
          <w:p w14:paraId="1677A062" w14:textId="77777777" w:rsidR="00A15725" w:rsidRDefault="00955D58">
            <w:pPr>
              <w:tabs>
                <w:tab w:val="left" w:pos="284"/>
              </w:tabs>
              <w:spacing w:line="276" w:lineRule="auto"/>
              <w:ind w:left="284" w:right="242"/>
              <w:rPr>
                <w:rFonts w:ascii="Arial" w:eastAsia="Arial" w:hAnsi="Arial" w:cs="Arial"/>
                <w:color w:val="000000"/>
                <w:sz w:val="24"/>
                <w:szCs w:val="24"/>
              </w:rPr>
            </w:pPr>
            <w:r>
              <w:rPr>
                <w:rFonts w:ascii="Arial" w:eastAsia="Arial" w:hAnsi="Arial" w:cs="Arial"/>
                <w:sz w:val="24"/>
                <w:szCs w:val="24"/>
              </w:rPr>
              <w:t>means the individual (s) delivering the service</w:t>
            </w:r>
          </w:p>
        </w:tc>
      </w:tr>
      <w:tr w:rsidR="00A15725" w14:paraId="274BCF7E" w14:textId="77777777">
        <w:tc>
          <w:tcPr>
            <w:tcW w:w="2691" w:type="dxa"/>
          </w:tcPr>
          <w:p w14:paraId="5BC6D0A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“AI”</w:t>
            </w:r>
          </w:p>
        </w:tc>
        <w:tc>
          <w:tcPr>
            <w:tcW w:w="7342" w:type="dxa"/>
          </w:tcPr>
          <w:p w14:paraId="753FAFE5"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sz w:val="24"/>
                <w:szCs w:val="24"/>
              </w:rPr>
              <w:t>Artificial Intelligence;</w:t>
            </w:r>
          </w:p>
        </w:tc>
      </w:tr>
      <w:tr w:rsidR="00A15725" w14:paraId="482B3100" w14:textId="77777777">
        <w:tc>
          <w:tcPr>
            <w:tcW w:w="2691" w:type="dxa"/>
          </w:tcPr>
          <w:p w14:paraId="2263CC7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“Annex”</w:t>
            </w:r>
          </w:p>
        </w:tc>
        <w:tc>
          <w:tcPr>
            <w:tcW w:w="7342" w:type="dxa"/>
          </w:tcPr>
          <w:p w14:paraId="69A709AD"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A15725" w14:paraId="2CA9FB04" w14:textId="77777777">
        <w:tc>
          <w:tcPr>
            <w:tcW w:w="2691" w:type="dxa"/>
          </w:tcPr>
          <w:p w14:paraId="3C03B03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"Approval"</w:t>
            </w:r>
          </w:p>
        </w:tc>
        <w:tc>
          <w:tcPr>
            <w:tcW w:w="7342" w:type="dxa"/>
          </w:tcPr>
          <w:p w14:paraId="748BA79C"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A15725" w14:paraId="4EE0CD22" w14:textId="77777777">
        <w:tc>
          <w:tcPr>
            <w:tcW w:w="2691" w:type="dxa"/>
            <w:vAlign w:val="center"/>
          </w:tcPr>
          <w:p w14:paraId="100F9F4C"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“Asset”</w:t>
            </w:r>
          </w:p>
        </w:tc>
        <w:tc>
          <w:tcPr>
            <w:tcW w:w="7342" w:type="dxa"/>
            <w:vAlign w:val="center"/>
          </w:tcPr>
          <w:p w14:paraId="425EEE17"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sz w:val="24"/>
                <w:szCs w:val="24"/>
              </w:rPr>
            </w:pPr>
            <w:r>
              <w:rPr>
                <w:rFonts w:ascii="Arial" w:eastAsia="Arial" w:hAnsi="Arial" w:cs="Arial"/>
                <w:sz w:val="24"/>
                <w:szCs w:val="24"/>
              </w:rPr>
              <w:t>any item or equipment owned by the Buyer which is maintained by the Supplier as part of the required Services.</w:t>
            </w:r>
          </w:p>
        </w:tc>
      </w:tr>
      <w:tr w:rsidR="00A15725" w14:paraId="4103D42E" w14:textId="77777777">
        <w:tc>
          <w:tcPr>
            <w:tcW w:w="2691" w:type="dxa"/>
          </w:tcPr>
          <w:p w14:paraId="212A76F5"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“Asset Verification”</w:t>
            </w:r>
          </w:p>
        </w:tc>
        <w:tc>
          <w:tcPr>
            <w:tcW w:w="7342" w:type="dxa"/>
          </w:tcPr>
          <w:p w14:paraId="7522542A" w14:textId="77777777" w:rsidR="00A15725" w:rsidRDefault="00955D58">
            <w:pPr>
              <w:pBdr>
                <w:top w:val="nil"/>
                <w:left w:val="nil"/>
                <w:bottom w:val="nil"/>
                <w:right w:val="nil"/>
                <w:between w:val="nil"/>
              </w:pBdr>
              <w:tabs>
                <w:tab w:val="left" w:pos="-179"/>
                <w:tab w:val="left" w:pos="-9"/>
              </w:tabs>
              <w:spacing w:after="120"/>
              <w:ind w:left="284" w:right="242"/>
              <w:jc w:val="both"/>
              <w:rPr>
                <w:rFonts w:ascii="Arial" w:eastAsia="Arial" w:hAnsi="Arial" w:cs="Arial"/>
                <w:sz w:val="24"/>
                <w:szCs w:val="24"/>
              </w:rPr>
            </w:pPr>
            <w:r>
              <w:rPr>
                <w:rFonts w:ascii="Arial" w:eastAsia="Arial" w:hAnsi="Arial" w:cs="Arial"/>
                <w:sz w:val="24"/>
                <w:szCs w:val="24"/>
              </w:rPr>
              <w:t>Is the process that the Supplier undertakes to verify the Assets as detailed in the Specification;</w:t>
            </w:r>
          </w:p>
        </w:tc>
      </w:tr>
      <w:tr w:rsidR="00A15725" w14:paraId="47EB0976" w14:textId="77777777">
        <w:tc>
          <w:tcPr>
            <w:tcW w:w="2691" w:type="dxa"/>
          </w:tcPr>
          <w:p w14:paraId="4AEFCB8A"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“Asset Verification Audit”</w:t>
            </w:r>
          </w:p>
        </w:tc>
        <w:tc>
          <w:tcPr>
            <w:tcW w:w="7342" w:type="dxa"/>
          </w:tcPr>
          <w:p w14:paraId="6C605D5F" w14:textId="77777777" w:rsidR="00A15725" w:rsidRDefault="00955D58">
            <w:pPr>
              <w:tabs>
                <w:tab w:val="left" w:pos="-179"/>
                <w:tab w:val="left" w:pos="-9"/>
              </w:tabs>
              <w:spacing w:before="240" w:after="240" w:line="276" w:lineRule="auto"/>
              <w:ind w:left="283" w:right="248" w:hanging="135"/>
              <w:rPr>
                <w:rFonts w:ascii="Arial" w:eastAsia="Arial" w:hAnsi="Arial" w:cs="Arial"/>
                <w:sz w:val="24"/>
                <w:szCs w:val="24"/>
              </w:rPr>
            </w:pPr>
            <w:r>
              <w:rPr>
                <w:rFonts w:ascii="Arial" w:eastAsia="Arial" w:hAnsi="Arial" w:cs="Arial"/>
                <w:sz w:val="16"/>
                <w:szCs w:val="16"/>
              </w:rPr>
              <w:t>·</w:t>
            </w:r>
            <w:r>
              <w:rPr>
                <w:rFonts w:ascii="Times New Roman" w:eastAsia="Times New Roman" w:hAnsi="Times New Roman" w:cs="Times New Roman"/>
                <w:sz w:val="14"/>
                <w:szCs w:val="14"/>
              </w:rPr>
              <w:t xml:space="preserve"> </w:t>
            </w:r>
            <w:r>
              <w:rPr>
                <w:rFonts w:ascii="Arial" w:eastAsia="Arial" w:hAnsi="Arial" w:cs="Arial"/>
                <w:sz w:val="24"/>
                <w:szCs w:val="24"/>
              </w:rPr>
              <w:t>An audit on the due diligence data provided by the Buyer to ensure potential errors, inaccuracies or omissions in the Asset</w:t>
            </w:r>
            <w:r>
              <w:rPr>
                <w:rFonts w:ascii="Arial" w:eastAsia="Arial" w:hAnsi="Arial" w:cs="Arial"/>
                <w:b/>
                <w:sz w:val="24"/>
                <w:szCs w:val="24"/>
              </w:rPr>
              <w:t xml:space="preserve"> </w:t>
            </w:r>
            <w:r>
              <w:rPr>
                <w:rFonts w:ascii="Arial" w:eastAsia="Arial" w:hAnsi="Arial" w:cs="Arial"/>
                <w:sz w:val="24"/>
                <w:szCs w:val="24"/>
              </w:rPr>
              <w:t>Data are identified and included in the Asset Verification Report;</w:t>
            </w:r>
          </w:p>
        </w:tc>
      </w:tr>
      <w:tr w:rsidR="00A15725" w14:paraId="373E6434" w14:textId="77777777">
        <w:tc>
          <w:tcPr>
            <w:tcW w:w="2691" w:type="dxa"/>
          </w:tcPr>
          <w:p w14:paraId="1ED6C8C3"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“Asset Verification Report”</w:t>
            </w:r>
          </w:p>
        </w:tc>
        <w:tc>
          <w:tcPr>
            <w:tcW w:w="7342" w:type="dxa"/>
          </w:tcPr>
          <w:p w14:paraId="30E0B2F6" w14:textId="77777777" w:rsidR="00A15725" w:rsidRDefault="00955D58">
            <w:pPr>
              <w:pBdr>
                <w:top w:val="nil"/>
                <w:left w:val="nil"/>
                <w:bottom w:val="nil"/>
                <w:right w:val="nil"/>
                <w:between w:val="nil"/>
              </w:pBdr>
              <w:tabs>
                <w:tab w:val="left" w:pos="-179"/>
                <w:tab w:val="left" w:pos="-9"/>
              </w:tabs>
              <w:spacing w:after="120"/>
              <w:ind w:left="284" w:right="242"/>
              <w:jc w:val="both"/>
              <w:rPr>
                <w:rFonts w:ascii="Arial" w:eastAsia="Arial" w:hAnsi="Arial" w:cs="Arial"/>
                <w:sz w:val="32"/>
                <w:szCs w:val="32"/>
              </w:rPr>
            </w:pPr>
            <w:r>
              <w:rPr>
                <w:rFonts w:ascii="Arial" w:eastAsia="Arial" w:hAnsi="Arial" w:cs="Arial"/>
                <w:sz w:val="24"/>
                <w:szCs w:val="24"/>
              </w:rPr>
              <w:t>Is the report that the Supplier will produce to detail the findings and remedial action required to address any errors, inaccuracies or omissions identified in the “Asset Verification Audit” where revisions to the “Asset” information may, where agreed with the Buyer, necessitate revisions to the “Services” and/or “Charges” to ensure compliance with the Buyer’s statutory and/or insurance obligations</w:t>
            </w:r>
          </w:p>
        </w:tc>
      </w:tr>
      <w:tr w:rsidR="00A15725" w14:paraId="44F211D2" w14:textId="77777777">
        <w:tc>
          <w:tcPr>
            <w:tcW w:w="2691" w:type="dxa"/>
          </w:tcPr>
          <w:p w14:paraId="6F96FAC0"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“Asset Verification Rectification Plan”</w:t>
            </w:r>
          </w:p>
        </w:tc>
        <w:tc>
          <w:tcPr>
            <w:tcW w:w="7342" w:type="dxa"/>
          </w:tcPr>
          <w:p w14:paraId="0E1E8C1E" w14:textId="77777777" w:rsidR="00A15725" w:rsidRDefault="00955D58">
            <w:pPr>
              <w:pBdr>
                <w:top w:val="nil"/>
                <w:left w:val="nil"/>
                <w:bottom w:val="nil"/>
                <w:right w:val="nil"/>
                <w:between w:val="nil"/>
              </w:pBdr>
              <w:tabs>
                <w:tab w:val="left" w:pos="-179"/>
                <w:tab w:val="left" w:pos="-9"/>
              </w:tabs>
              <w:spacing w:after="120"/>
              <w:ind w:left="284" w:right="242"/>
              <w:jc w:val="both"/>
              <w:rPr>
                <w:rFonts w:ascii="Arial" w:eastAsia="Arial" w:hAnsi="Arial" w:cs="Arial"/>
                <w:sz w:val="24"/>
                <w:szCs w:val="24"/>
              </w:rPr>
            </w:pPr>
            <w:r>
              <w:rPr>
                <w:rFonts w:ascii="Arial" w:eastAsia="Arial" w:hAnsi="Arial" w:cs="Arial"/>
                <w:sz w:val="24"/>
                <w:szCs w:val="24"/>
              </w:rPr>
              <w:t>A plan produced by the Supplier once the content of the Asset Verification Report has been agreed by the Buyer, that will include rectifications and the costs associated with the delivery of the PPM and reactive maintenance works;</w:t>
            </w:r>
          </w:p>
        </w:tc>
      </w:tr>
      <w:tr w:rsidR="00A15725" w14:paraId="7AA15E0B" w14:textId="77777777">
        <w:tc>
          <w:tcPr>
            <w:tcW w:w="2691" w:type="dxa"/>
          </w:tcPr>
          <w:p w14:paraId="15A2849A"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“Asset Verification Non Compliance Report”</w:t>
            </w:r>
          </w:p>
          <w:p w14:paraId="16C5BD39" w14:textId="77777777" w:rsidR="00A15725" w:rsidRDefault="00A15725">
            <w:pPr>
              <w:rPr>
                <w:rFonts w:ascii="Arial" w:eastAsia="Arial" w:hAnsi="Arial" w:cs="Arial"/>
                <w:sz w:val="24"/>
                <w:szCs w:val="24"/>
              </w:rPr>
            </w:pPr>
          </w:p>
        </w:tc>
        <w:tc>
          <w:tcPr>
            <w:tcW w:w="7342" w:type="dxa"/>
          </w:tcPr>
          <w:p w14:paraId="3AF8ECCE" w14:textId="77777777" w:rsidR="00A15725" w:rsidRDefault="00955D58">
            <w:pPr>
              <w:pBdr>
                <w:top w:val="nil"/>
                <w:left w:val="nil"/>
                <w:bottom w:val="nil"/>
                <w:right w:val="nil"/>
                <w:between w:val="nil"/>
              </w:pBdr>
              <w:tabs>
                <w:tab w:val="left" w:pos="-179"/>
                <w:tab w:val="left" w:pos="-9"/>
              </w:tabs>
              <w:spacing w:after="120"/>
              <w:ind w:left="284" w:right="242"/>
              <w:jc w:val="both"/>
              <w:rPr>
                <w:rFonts w:ascii="Arial" w:eastAsia="Arial" w:hAnsi="Arial" w:cs="Arial"/>
                <w:sz w:val="24"/>
                <w:szCs w:val="24"/>
              </w:rPr>
            </w:pPr>
            <w:r>
              <w:rPr>
                <w:rFonts w:ascii="Arial" w:eastAsia="Arial" w:hAnsi="Arial" w:cs="Arial"/>
                <w:sz w:val="24"/>
                <w:szCs w:val="24"/>
              </w:rPr>
              <w:t>Asset Verification Non-Compliance Report is the report produced that shall include written evidence of findings, photographs, recommendations and associated costs to the Buyer to rectify the risks of non-compliance;</w:t>
            </w:r>
          </w:p>
        </w:tc>
      </w:tr>
      <w:tr w:rsidR="00A15725" w14:paraId="410C0DBE" w14:textId="77777777">
        <w:tc>
          <w:tcPr>
            <w:tcW w:w="2691" w:type="dxa"/>
          </w:tcPr>
          <w:p w14:paraId="1BA1C99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lastRenderedPageBreak/>
              <w:t>“Assistive Technologies”</w:t>
            </w:r>
          </w:p>
        </w:tc>
        <w:tc>
          <w:tcPr>
            <w:tcW w:w="7342" w:type="dxa"/>
          </w:tcPr>
          <w:p w14:paraId="28BEF6BA" w14:textId="77777777" w:rsidR="00A15725" w:rsidRDefault="00955D58">
            <w:pPr>
              <w:pBdr>
                <w:top w:val="nil"/>
                <w:left w:val="nil"/>
                <w:bottom w:val="nil"/>
                <w:right w:val="nil"/>
                <w:between w:val="nil"/>
              </w:pBdr>
              <w:tabs>
                <w:tab w:val="left" w:pos="-179"/>
                <w:tab w:val="left" w:pos="-9"/>
              </w:tabs>
              <w:spacing w:after="120"/>
              <w:ind w:left="284" w:right="242"/>
              <w:jc w:val="both"/>
              <w:rPr>
                <w:rFonts w:ascii="Arial" w:eastAsia="Arial" w:hAnsi="Arial" w:cs="Arial"/>
                <w:sz w:val="24"/>
                <w:szCs w:val="24"/>
              </w:rPr>
            </w:pPr>
            <w:r>
              <w:rPr>
                <w:rFonts w:ascii="Arial" w:eastAsia="Arial" w:hAnsi="Arial" w:cs="Arial"/>
                <w:sz w:val="24"/>
                <w:szCs w:val="24"/>
              </w:rPr>
              <w:t>describes products or systems that support and assist individuals with disabilities, restricted mobility or other impairments to perform functions that might otherwise be difficult or impossible;</w:t>
            </w:r>
          </w:p>
        </w:tc>
      </w:tr>
      <w:tr w:rsidR="00A15725" w14:paraId="6B2EF610" w14:textId="77777777">
        <w:tc>
          <w:tcPr>
            <w:tcW w:w="2691" w:type="dxa"/>
          </w:tcPr>
          <w:p w14:paraId="0678198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"Audit"</w:t>
            </w:r>
          </w:p>
        </w:tc>
        <w:tc>
          <w:tcPr>
            <w:tcW w:w="7342" w:type="dxa"/>
          </w:tcPr>
          <w:p w14:paraId="4877176B" w14:textId="77777777" w:rsidR="00A15725" w:rsidRDefault="00955D58">
            <w:pPr>
              <w:pBdr>
                <w:top w:val="nil"/>
                <w:left w:val="nil"/>
                <w:bottom w:val="nil"/>
                <w:right w:val="nil"/>
                <w:between w:val="nil"/>
              </w:pBdr>
              <w:tabs>
                <w:tab w:val="left" w:pos="-179"/>
                <w:tab w:val="left" w:pos="-9"/>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1BCA4E7F" w14:textId="77777777" w:rsidR="00A15725" w:rsidRDefault="00955D58">
            <w:pPr>
              <w:numPr>
                <w:ilvl w:val="0"/>
                <w:numId w:val="6"/>
              </w:numPr>
              <w:pBdr>
                <w:top w:val="nil"/>
                <w:left w:val="nil"/>
                <w:bottom w:val="nil"/>
                <w:right w:val="nil"/>
                <w:between w:val="nil"/>
              </w:pBdr>
              <w:tabs>
                <w:tab w:val="left" w:pos="-179"/>
                <w:tab w:val="left" w:pos="0"/>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3B3223D2" w14:textId="77777777" w:rsidR="00A15725" w:rsidRDefault="00955D58">
            <w:pPr>
              <w:numPr>
                <w:ilvl w:val="0"/>
                <w:numId w:val="6"/>
              </w:numPr>
              <w:pBdr>
                <w:top w:val="nil"/>
                <w:left w:val="nil"/>
                <w:bottom w:val="nil"/>
                <w:right w:val="nil"/>
                <w:between w:val="nil"/>
              </w:pBdr>
              <w:tabs>
                <w:tab w:val="left" w:pos="-179"/>
                <w:tab w:val="left" w:pos="0"/>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 xml:space="preserve">verify the costs of the Supplier (including the costs of all Subcontractors and any third party </w:t>
            </w:r>
            <w:r>
              <w:rPr>
                <w:rFonts w:ascii="Arial" w:eastAsia="Arial" w:hAnsi="Arial" w:cs="Arial"/>
                <w:sz w:val="24"/>
                <w:szCs w:val="24"/>
              </w:rPr>
              <w:t>S</w:t>
            </w:r>
            <w:r>
              <w:rPr>
                <w:rFonts w:ascii="Arial" w:eastAsia="Arial" w:hAnsi="Arial" w:cs="Arial"/>
                <w:color w:val="000000"/>
                <w:sz w:val="24"/>
                <w:szCs w:val="24"/>
              </w:rPr>
              <w:t>uppliers) in connection with the provision of the Deliverables;</w:t>
            </w:r>
          </w:p>
          <w:p w14:paraId="0D950649" w14:textId="77777777" w:rsidR="00A15725" w:rsidRDefault="00955D58">
            <w:pPr>
              <w:numPr>
                <w:ilvl w:val="0"/>
                <w:numId w:val="6"/>
              </w:numPr>
              <w:pBdr>
                <w:top w:val="nil"/>
                <w:left w:val="nil"/>
                <w:bottom w:val="nil"/>
                <w:right w:val="nil"/>
                <w:between w:val="nil"/>
              </w:pBdr>
              <w:tabs>
                <w:tab w:val="left" w:pos="-179"/>
                <w:tab w:val="left" w:pos="0"/>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verify the Open Book Data;</w:t>
            </w:r>
          </w:p>
          <w:p w14:paraId="291ECD94" w14:textId="77777777" w:rsidR="00A15725" w:rsidRDefault="00955D58">
            <w:pPr>
              <w:numPr>
                <w:ilvl w:val="0"/>
                <w:numId w:val="6"/>
              </w:numPr>
              <w:pBdr>
                <w:top w:val="nil"/>
                <w:left w:val="nil"/>
                <w:bottom w:val="nil"/>
                <w:right w:val="nil"/>
                <w:between w:val="nil"/>
              </w:pBdr>
              <w:tabs>
                <w:tab w:val="left" w:pos="-179"/>
                <w:tab w:val="left" w:pos="0"/>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14:paraId="1DC15CF1" w14:textId="77777777" w:rsidR="00A15725" w:rsidRDefault="00955D58">
            <w:pPr>
              <w:numPr>
                <w:ilvl w:val="0"/>
                <w:numId w:val="6"/>
              </w:numPr>
              <w:pBdr>
                <w:top w:val="nil"/>
                <w:left w:val="nil"/>
                <w:bottom w:val="nil"/>
                <w:right w:val="nil"/>
                <w:between w:val="nil"/>
              </w:pBdr>
              <w:tabs>
                <w:tab w:val="left" w:pos="-179"/>
                <w:tab w:val="left" w:pos="0"/>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E17498B" w14:textId="77777777" w:rsidR="00A15725" w:rsidRDefault="00955D58">
            <w:pPr>
              <w:numPr>
                <w:ilvl w:val="0"/>
                <w:numId w:val="6"/>
              </w:numPr>
              <w:pBdr>
                <w:top w:val="nil"/>
                <w:left w:val="nil"/>
                <w:bottom w:val="nil"/>
                <w:right w:val="nil"/>
                <w:between w:val="nil"/>
              </w:pBdr>
              <w:tabs>
                <w:tab w:val="left" w:pos="-179"/>
                <w:tab w:val="left" w:pos="0"/>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7E6D119D" w14:textId="77777777" w:rsidR="00A15725" w:rsidRDefault="00955D58">
            <w:pPr>
              <w:numPr>
                <w:ilvl w:val="0"/>
                <w:numId w:val="6"/>
              </w:numPr>
              <w:pBdr>
                <w:top w:val="nil"/>
                <w:left w:val="nil"/>
                <w:bottom w:val="nil"/>
                <w:right w:val="nil"/>
                <w:between w:val="nil"/>
              </w:pBdr>
              <w:tabs>
                <w:tab w:val="left" w:pos="-179"/>
                <w:tab w:val="left" w:pos="0"/>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3949B61D" w14:textId="77777777" w:rsidR="00A15725" w:rsidRDefault="00955D58">
            <w:pPr>
              <w:numPr>
                <w:ilvl w:val="0"/>
                <w:numId w:val="6"/>
              </w:numPr>
              <w:pBdr>
                <w:top w:val="nil"/>
                <w:left w:val="nil"/>
                <w:bottom w:val="nil"/>
                <w:right w:val="nil"/>
                <w:between w:val="nil"/>
              </w:pBdr>
              <w:tabs>
                <w:tab w:val="left" w:pos="-179"/>
                <w:tab w:val="left" w:pos="0"/>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5BDC3699" w14:textId="77777777" w:rsidR="00A15725" w:rsidRDefault="00955D58">
            <w:pPr>
              <w:numPr>
                <w:ilvl w:val="0"/>
                <w:numId w:val="6"/>
              </w:numPr>
              <w:pBdr>
                <w:top w:val="nil"/>
                <w:left w:val="nil"/>
                <w:bottom w:val="nil"/>
                <w:right w:val="nil"/>
                <w:between w:val="nil"/>
              </w:pBdr>
              <w:tabs>
                <w:tab w:val="left" w:pos="-179"/>
                <w:tab w:val="left" w:pos="0"/>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2A277109" w14:textId="77777777" w:rsidR="00A15725" w:rsidRDefault="00955D58">
            <w:pPr>
              <w:numPr>
                <w:ilvl w:val="0"/>
                <w:numId w:val="6"/>
              </w:numPr>
              <w:pBdr>
                <w:top w:val="nil"/>
                <w:left w:val="nil"/>
                <w:bottom w:val="nil"/>
                <w:right w:val="nil"/>
                <w:between w:val="nil"/>
              </w:pBdr>
              <w:tabs>
                <w:tab w:val="left" w:pos="-179"/>
                <w:tab w:val="left" w:pos="0"/>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46283DDC" w14:textId="77777777" w:rsidR="00A15725" w:rsidRDefault="00955D58">
            <w:pPr>
              <w:numPr>
                <w:ilvl w:val="0"/>
                <w:numId w:val="6"/>
              </w:numPr>
              <w:pBdr>
                <w:top w:val="nil"/>
                <w:left w:val="nil"/>
                <w:bottom w:val="nil"/>
                <w:right w:val="nil"/>
                <w:between w:val="nil"/>
              </w:pBdr>
              <w:tabs>
                <w:tab w:val="left" w:pos="-179"/>
                <w:tab w:val="left" w:pos="0"/>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w:t>
            </w:r>
          </w:p>
          <w:p w14:paraId="10DA07BA" w14:textId="77777777" w:rsidR="00A15725" w:rsidRDefault="00955D58">
            <w:pPr>
              <w:numPr>
                <w:ilvl w:val="2"/>
                <w:numId w:val="6"/>
              </w:numPr>
              <w:pBdr>
                <w:top w:val="nil"/>
                <w:left w:val="nil"/>
                <w:bottom w:val="nil"/>
                <w:right w:val="nil"/>
                <w:between w:val="nil"/>
              </w:pBdr>
              <w:tabs>
                <w:tab w:val="left" w:pos="-179"/>
                <w:tab w:val="left" w:pos="0"/>
              </w:tabs>
              <w:spacing w:after="120"/>
              <w:ind w:left="1417" w:right="242" w:hanging="708"/>
              <w:jc w:val="both"/>
              <w:rPr>
                <w:rFonts w:ascii="Arial" w:eastAsia="Arial" w:hAnsi="Arial" w:cs="Arial"/>
                <w:color w:val="000000"/>
                <w:sz w:val="24"/>
                <w:szCs w:val="24"/>
              </w:rPr>
            </w:pPr>
            <w:r>
              <w:rPr>
                <w:rFonts w:ascii="Arial" w:eastAsia="Arial" w:hAnsi="Arial" w:cs="Arial"/>
                <w:color w:val="000000"/>
                <w:sz w:val="24"/>
                <w:szCs w:val="24"/>
              </w:rPr>
              <w:t>Management Information delivered or required by the Framework Contract; or</w:t>
            </w:r>
          </w:p>
          <w:p w14:paraId="17672624" w14:textId="77777777" w:rsidR="00A15725" w:rsidRDefault="00955D58">
            <w:pPr>
              <w:numPr>
                <w:ilvl w:val="2"/>
                <w:numId w:val="6"/>
              </w:numPr>
              <w:pBdr>
                <w:top w:val="nil"/>
                <w:left w:val="nil"/>
                <w:bottom w:val="nil"/>
                <w:right w:val="nil"/>
                <w:between w:val="nil"/>
              </w:pBdr>
              <w:tabs>
                <w:tab w:val="left" w:pos="-179"/>
                <w:tab w:val="left" w:pos="0"/>
              </w:tabs>
              <w:spacing w:after="120"/>
              <w:ind w:left="1417" w:right="242" w:hanging="708"/>
              <w:jc w:val="both"/>
              <w:rPr>
                <w:rFonts w:ascii="Arial" w:eastAsia="Arial" w:hAnsi="Arial" w:cs="Arial"/>
                <w:color w:val="000000"/>
                <w:sz w:val="24"/>
                <w:szCs w:val="24"/>
              </w:rPr>
            </w:pPr>
            <w:r>
              <w:rPr>
                <w:rFonts w:ascii="Arial" w:eastAsia="Arial" w:hAnsi="Arial" w:cs="Arial"/>
                <w:color w:val="000000"/>
                <w:sz w:val="24"/>
                <w:szCs w:val="24"/>
              </w:rPr>
              <w:lastRenderedPageBreak/>
              <w:t>Financial Report and compliance with Financial Transparency Objectives as specified by the Buyer in the Order Form;</w:t>
            </w:r>
          </w:p>
        </w:tc>
      </w:tr>
      <w:tr w:rsidR="00A15725" w14:paraId="73EE743C" w14:textId="77777777">
        <w:tc>
          <w:tcPr>
            <w:tcW w:w="2691" w:type="dxa"/>
          </w:tcPr>
          <w:p w14:paraId="03A2AC7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7342" w:type="dxa"/>
          </w:tcPr>
          <w:p w14:paraId="12C007D0" w14:textId="77777777" w:rsidR="00A15725" w:rsidRDefault="00955D58">
            <w:pPr>
              <w:numPr>
                <w:ilvl w:val="0"/>
                <w:numId w:val="19"/>
              </w:numPr>
              <w:pBdr>
                <w:top w:val="nil"/>
                <w:left w:val="nil"/>
                <w:bottom w:val="nil"/>
                <w:right w:val="nil"/>
                <w:between w:val="nil"/>
              </w:pBdr>
              <w:tabs>
                <w:tab w:val="left" w:pos="-179"/>
                <w:tab w:val="left" w:pos="284"/>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14:paraId="6BF86637" w14:textId="77777777" w:rsidR="00A15725" w:rsidRDefault="00955D58">
            <w:pPr>
              <w:numPr>
                <w:ilvl w:val="0"/>
                <w:numId w:val="19"/>
              </w:numPr>
              <w:pBdr>
                <w:top w:val="nil"/>
                <w:left w:val="nil"/>
                <w:bottom w:val="nil"/>
                <w:right w:val="nil"/>
                <w:between w:val="nil"/>
              </w:pBdr>
              <w:tabs>
                <w:tab w:val="left" w:pos="-179"/>
                <w:tab w:val="left" w:pos="284"/>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14:paraId="337639E7" w14:textId="77777777" w:rsidR="00A15725" w:rsidRDefault="00955D58">
            <w:pPr>
              <w:numPr>
                <w:ilvl w:val="0"/>
                <w:numId w:val="19"/>
              </w:numPr>
              <w:pBdr>
                <w:top w:val="nil"/>
                <w:left w:val="nil"/>
                <w:bottom w:val="nil"/>
                <w:right w:val="nil"/>
                <w:between w:val="nil"/>
              </w:pBdr>
              <w:tabs>
                <w:tab w:val="left" w:pos="-179"/>
                <w:tab w:val="left" w:pos="284"/>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59981860" w14:textId="77777777" w:rsidR="00A15725" w:rsidRDefault="00955D58">
            <w:pPr>
              <w:numPr>
                <w:ilvl w:val="0"/>
                <w:numId w:val="19"/>
              </w:numPr>
              <w:pBdr>
                <w:top w:val="nil"/>
                <w:left w:val="nil"/>
                <w:bottom w:val="nil"/>
                <w:right w:val="nil"/>
                <w:between w:val="nil"/>
              </w:pBdr>
              <w:tabs>
                <w:tab w:val="left" w:pos="-179"/>
                <w:tab w:val="left" w:pos="284"/>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3AEC0353" w14:textId="77777777" w:rsidR="00A15725" w:rsidRDefault="00955D58">
            <w:pPr>
              <w:numPr>
                <w:ilvl w:val="0"/>
                <w:numId w:val="19"/>
              </w:numPr>
              <w:pBdr>
                <w:top w:val="nil"/>
                <w:left w:val="nil"/>
                <w:bottom w:val="nil"/>
                <w:right w:val="nil"/>
                <w:between w:val="nil"/>
              </w:pBdr>
              <w:tabs>
                <w:tab w:val="left" w:pos="-179"/>
                <w:tab w:val="left" w:pos="284"/>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0B4868F0" w14:textId="77777777" w:rsidR="00A15725" w:rsidRDefault="00955D58">
            <w:pPr>
              <w:numPr>
                <w:ilvl w:val="0"/>
                <w:numId w:val="19"/>
              </w:numPr>
              <w:pBdr>
                <w:top w:val="nil"/>
                <w:left w:val="nil"/>
                <w:bottom w:val="nil"/>
                <w:right w:val="nil"/>
                <w:between w:val="nil"/>
              </w:pBdr>
              <w:tabs>
                <w:tab w:val="left" w:pos="-179"/>
                <w:tab w:val="left" w:pos="284"/>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A15725" w14:paraId="22CDBD0D" w14:textId="77777777">
        <w:trPr>
          <w:trHeight w:val="601"/>
        </w:trPr>
        <w:tc>
          <w:tcPr>
            <w:tcW w:w="2691" w:type="dxa"/>
          </w:tcPr>
          <w:p w14:paraId="1DEE12B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"Authority"</w:t>
            </w:r>
          </w:p>
        </w:tc>
        <w:tc>
          <w:tcPr>
            <w:tcW w:w="7342" w:type="dxa"/>
          </w:tcPr>
          <w:p w14:paraId="5150C621" w14:textId="77777777" w:rsidR="00A15725" w:rsidRDefault="00955D58">
            <w:pPr>
              <w:tabs>
                <w:tab w:val="left" w:pos="284"/>
              </w:tabs>
              <w:ind w:left="142" w:right="242"/>
              <w:rPr>
                <w:rFonts w:ascii="Arial" w:eastAsia="Arial" w:hAnsi="Arial" w:cs="Arial"/>
                <w:sz w:val="24"/>
                <w:szCs w:val="24"/>
              </w:rPr>
            </w:pPr>
            <w:r>
              <w:rPr>
                <w:rFonts w:ascii="Arial" w:eastAsia="Arial" w:hAnsi="Arial" w:cs="Arial"/>
                <w:sz w:val="24"/>
                <w:szCs w:val="24"/>
              </w:rPr>
              <w:t>CCS and each Buyer;</w:t>
            </w:r>
          </w:p>
        </w:tc>
      </w:tr>
      <w:tr w:rsidR="00A15725" w14:paraId="64ECF575" w14:textId="77777777">
        <w:tc>
          <w:tcPr>
            <w:tcW w:w="2691" w:type="dxa"/>
          </w:tcPr>
          <w:p w14:paraId="49DA6620" w14:textId="77777777" w:rsidR="00A15725" w:rsidRDefault="00955D58">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"Authority Cause"</w:t>
            </w:r>
          </w:p>
        </w:tc>
        <w:tc>
          <w:tcPr>
            <w:tcW w:w="7342" w:type="dxa"/>
          </w:tcPr>
          <w:p w14:paraId="5A8CC1A0"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A15725" w14:paraId="6086B4AA" w14:textId="77777777">
        <w:tc>
          <w:tcPr>
            <w:tcW w:w="2691" w:type="dxa"/>
          </w:tcPr>
          <w:p w14:paraId="71917DA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“Back Office Processing”</w:t>
            </w:r>
          </w:p>
        </w:tc>
        <w:tc>
          <w:tcPr>
            <w:tcW w:w="7342" w:type="dxa"/>
          </w:tcPr>
          <w:p w14:paraId="758DEB3F" w14:textId="77777777" w:rsidR="00A15725" w:rsidRDefault="00955D58">
            <w:pPr>
              <w:tabs>
                <w:tab w:val="left" w:pos="284"/>
              </w:tabs>
              <w:spacing w:line="276" w:lineRule="auto"/>
              <w:ind w:left="142" w:right="242"/>
              <w:rPr>
                <w:rFonts w:ascii="Arial" w:eastAsia="Arial" w:hAnsi="Arial" w:cs="Arial"/>
                <w:sz w:val="24"/>
                <w:szCs w:val="24"/>
              </w:rPr>
            </w:pPr>
            <w:r>
              <w:rPr>
                <w:rFonts w:ascii="Arial" w:eastAsia="Arial" w:hAnsi="Arial" w:cs="Arial"/>
                <w:sz w:val="24"/>
                <w:szCs w:val="24"/>
              </w:rPr>
              <w:t>administrative functions carried out either manually or automated not requiring front line contact;</w:t>
            </w:r>
          </w:p>
        </w:tc>
      </w:tr>
      <w:tr w:rsidR="00A15725" w14:paraId="598203BA" w14:textId="77777777">
        <w:tc>
          <w:tcPr>
            <w:tcW w:w="2691" w:type="dxa"/>
          </w:tcPr>
          <w:p w14:paraId="2ACDC370"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“Back-pay”</w:t>
            </w:r>
          </w:p>
        </w:tc>
        <w:tc>
          <w:tcPr>
            <w:tcW w:w="7342" w:type="dxa"/>
          </w:tcPr>
          <w:p w14:paraId="32CF65D2" w14:textId="77777777" w:rsidR="00A15725" w:rsidRDefault="00955D58">
            <w:pPr>
              <w:tabs>
                <w:tab w:val="left" w:pos="284"/>
              </w:tabs>
              <w:spacing w:line="276" w:lineRule="auto"/>
              <w:ind w:left="142" w:right="242"/>
              <w:rPr>
                <w:rFonts w:ascii="Arial" w:eastAsia="Arial" w:hAnsi="Arial" w:cs="Arial"/>
                <w:sz w:val="24"/>
                <w:szCs w:val="24"/>
              </w:rPr>
            </w:pPr>
            <w:r>
              <w:rPr>
                <w:rFonts w:ascii="Arial" w:eastAsia="Arial" w:hAnsi="Arial" w:cs="Arial"/>
                <w:sz w:val="24"/>
                <w:szCs w:val="24"/>
              </w:rPr>
              <w:t>is the amount of salary and other benefits that an employee claims that they are owed after a wrongful termination;</w:t>
            </w:r>
          </w:p>
        </w:tc>
      </w:tr>
      <w:tr w:rsidR="00A15725" w14:paraId="62BE94F1" w14:textId="77777777">
        <w:tc>
          <w:tcPr>
            <w:tcW w:w="2691" w:type="dxa"/>
          </w:tcPr>
          <w:p w14:paraId="6BD5D9A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"BACS"</w:t>
            </w:r>
          </w:p>
        </w:tc>
        <w:tc>
          <w:tcPr>
            <w:tcW w:w="7342" w:type="dxa"/>
          </w:tcPr>
          <w:p w14:paraId="060AADEA"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A15725" w14:paraId="542777E8" w14:textId="77777777">
        <w:tc>
          <w:tcPr>
            <w:tcW w:w="2691" w:type="dxa"/>
          </w:tcPr>
          <w:p w14:paraId="4464BE7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"Beneficiary"</w:t>
            </w:r>
          </w:p>
        </w:tc>
        <w:tc>
          <w:tcPr>
            <w:tcW w:w="7342" w:type="dxa"/>
          </w:tcPr>
          <w:p w14:paraId="67EB97B2"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 xml:space="preserve">a Party having (or claiming to have) the benefit of an indemnity under </w:t>
            </w:r>
            <w:r>
              <w:rPr>
                <w:rFonts w:ascii="Arial" w:eastAsia="Arial" w:hAnsi="Arial" w:cs="Arial"/>
                <w:sz w:val="24"/>
                <w:szCs w:val="24"/>
              </w:rPr>
              <w:t>a Core Terms</w:t>
            </w:r>
            <w:r>
              <w:rPr>
                <w:rFonts w:ascii="Arial" w:eastAsia="Arial" w:hAnsi="Arial" w:cs="Arial"/>
                <w:color w:val="000000"/>
                <w:sz w:val="24"/>
                <w:szCs w:val="24"/>
              </w:rPr>
              <w:t xml:space="preserve"> Contract;</w:t>
            </w:r>
          </w:p>
        </w:tc>
      </w:tr>
      <w:tr w:rsidR="00A15725" w14:paraId="029397C0" w14:textId="77777777">
        <w:tc>
          <w:tcPr>
            <w:tcW w:w="2691" w:type="dxa"/>
            <w:vAlign w:val="center"/>
          </w:tcPr>
          <w:p w14:paraId="092FDCDF" w14:textId="77777777" w:rsidR="00A15725" w:rsidRDefault="00955D58">
            <w:pPr>
              <w:pBdr>
                <w:top w:val="nil"/>
                <w:left w:val="nil"/>
                <w:bottom w:val="nil"/>
                <w:right w:val="nil"/>
                <w:between w:val="nil"/>
              </w:pBdr>
              <w:tabs>
                <w:tab w:val="left" w:pos="1490"/>
              </w:tabs>
              <w:spacing w:after="120"/>
              <w:rPr>
                <w:rFonts w:ascii="Arial" w:eastAsia="Arial" w:hAnsi="Arial" w:cs="Arial"/>
                <w:b/>
                <w:color w:val="000000"/>
                <w:sz w:val="24"/>
                <w:szCs w:val="24"/>
              </w:rPr>
            </w:pPr>
            <w:r>
              <w:rPr>
                <w:rFonts w:ascii="Arial" w:eastAsia="Arial" w:hAnsi="Arial" w:cs="Arial"/>
                <w:b/>
                <w:sz w:val="24"/>
                <w:szCs w:val="24"/>
              </w:rPr>
              <w:t>“Beyond Economic Repair”</w:t>
            </w:r>
          </w:p>
        </w:tc>
        <w:tc>
          <w:tcPr>
            <w:tcW w:w="7342" w:type="dxa"/>
            <w:vAlign w:val="center"/>
          </w:tcPr>
          <w:p w14:paraId="0C390579"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sz w:val="24"/>
                <w:szCs w:val="24"/>
              </w:rPr>
              <w:t xml:space="preserve">means when the cost of repairing and/or maintaining an Asset outweighs the cost of replacing it and is likely to increase the risk of  unplanned downtime or pose potential health and safety risks </w:t>
            </w:r>
          </w:p>
        </w:tc>
      </w:tr>
      <w:tr w:rsidR="00A15725" w14:paraId="00836C4C" w14:textId="77777777">
        <w:tc>
          <w:tcPr>
            <w:tcW w:w="2691" w:type="dxa"/>
            <w:vAlign w:val="center"/>
          </w:tcPr>
          <w:p w14:paraId="73315B57" w14:textId="77777777" w:rsidR="00A15725" w:rsidRDefault="00955D58">
            <w:pPr>
              <w:pBdr>
                <w:top w:val="nil"/>
                <w:left w:val="nil"/>
                <w:bottom w:val="nil"/>
                <w:right w:val="nil"/>
                <w:between w:val="nil"/>
              </w:pBdr>
              <w:tabs>
                <w:tab w:val="left" w:pos="1490"/>
              </w:tabs>
              <w:spacing w:after="120"/>
              <w:rPr>
                <w:rFonts w:ascii="Arial" w:eastAsia="Arial" w:hAnsi="Arial" w:cs="Arial"/>
                <w:b/>
                <w:color w:val="000000"/>
                <w:sz w:val="24"/>
                <w:szCs w:val="24"/>
              </w:rPr>
            </w:pPr>
            <w:r>
              <w:rPr>
                <w:rFonts w:ascii="Arial" w:eastAsia="Arial" w:hAnsi="Arial" w:cs="Arial"/>
                <w:b/>
                <w:sz w:val="24"/>
                <w:szCs w:val="24"/>
              </w:rPr>
              <w:t>"Baseline Monthly Payment"</w:t>
            </w:r>
          </w:p>
        </w:tc>
        <w:tc>
          <w:tcPr>
            <w:tcW w:w="7342" w:type="dxa"/>
            <w:vAlign w:val="center"/>
          </w:tcPr>
          <w:p w14:paraId="478A1A75" w14:textId="77777777" w:rsidR="00A15725" w:rsidRDefault="00955D58">
            <w:pPr>
              <w:pBdr>
                <w:top w:val="nil"/>
                <w:left w:val="nil"/>
                <w:bottom w:val="nil"/>
                <w:right w:val="nil"/>
                <w:between w:val="nil"/>
              </w:pBdr>
              <w:tabs>
                <w:tab w:val="left" w:pos="284"/>
              </w:tabs>
              <w:spacing w:after="120"/>
              <w:ind w:left="142" w:right="242"/>
              <w:rPr>
                <w:rFonts w:ascii="Arial" w:eastAsia="Arial" w:hAnsi="Arial" w:cs="Arial"/>
                <w:color w:val="000000"/>
                <w:sz w:val="24"/>
                <w:szCs w:val="24"/>
              </w:rPr>
            </w:pPr>
            <w:r>
              <w:rPr>
                <w:rFonts w:ascii="Arial" w:eastAsia="Arial" w:hAnsi="Arial" w:cs="Arial"/>
                <w:color w:val="000000"/>
                <w:sz w:val="24"/>
                <w:szCs w:val="24"/>
              </w:rPr>
              <w:t>means the payment payable in respect of a Service Month as set by reference to the Pricing Matrix.</w:t>
            </w:r>
          </w:p>
          <w:p w14:paraId="1825E308" w14:textId="77777777" w:rsidR="00A15725" w:rsidRDefault="00A15725">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p>
        </w:tc>
      </w:tr>
      <w:tr w:rsidR="00A15725" w14:paraId="19CB0255" w14:textId="77777777">
        <w:tc>
          <w:tcPr>
            <w:tcW w:w="2691" w:type="dxa"/>
            <w:vAlign w:val="center"/>
          </w:tcPr>
          <w:p w14:paraId="4CDE5089" w14:textId="77777777" w:rsidR="00A15725" w:rsidRDefault="00955D58">
            <w:pPr>
              <w:pBdr>
                <w:top w:val="nil"/>
                <w:left w:val="nil"/>
                <w:bottom w:val="nil"/>
                <w:right w:val="nil"/>
                <w:between w:val="nil"/>
              </w:pBdr>
              <w:tabs>
                <w:tab w:val="left" w:pos="1490"/>
              </w:tabs>
              <w:spacing w:after="120"/>
              <w:rPr>
                <w:rFonts w:ascii="Arial" w:eastAsia="Arial" w:hAnsi="Arial" w:cs="Arial"/>
                <w:b/>
                <w:color w:val="000000"/>
                <w:sz w:val="24"/>
                <w:szCs w:val="24"/>
              </w:rPr>
            </w:pPr>
            <w:r>
              <w:rPr>
                <w:rFonts w:ascii="Arial" w:eastAsia="Arial" w:hAnsi="Arial" w:cs="Arial"/>
                <w:b/>
                <w:sz w:val="24"/>
                <w:szCs w:val="24"/>
              </w:rPr>
              <w:t>"Billable Works"</w:t>
            </w:r>
          </w:p>
        </w:tc>
        <w:tc>
          <w:tcPr>
            <w:tcW w:w="7342" w:type="dxa"/>
            <w:vAlign w:val="center"/>
          </w:tcPr>
          <w:p w14:paraId="07C48911"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sz w:val="24"/>
                <w:szCs w:val="24"/>
              </w:rPr>
              <w:t>means Deliverables that are not included in the Baseline Monthly Payment and are raised in accordance with the Billable Works and Approvals Process.</w:t>
            </w:r>
          </w:p>
        </w:tc>
      </w:tr>
      <w:tr w:rsidR="00A15725" w14:paraId="362E1494" w14:textId="77777777">
        <w:tc>
          <w:tcPr>
            <w:tcW w:w="2691" w:type="dxa"/>
            <w:vAlign w:val="center"/>
          </w:tcPr>
          <w:p w14:paraId="1C25305A" w14:textId="77777777" w:rsidR="00A15725" w:rsidRDefault="00955D58">
            <w:pPr>
              <w:pBdr>
                <w:top w:val="nil"/>
                <w:left w:val="nil"/>
                <w:bottom w:val="nil"/>
                <w:right w:val="nil"/>
                <w:between w:val="nil"/>
              </w:pBdr>
              <w:tabs>
                <w:tab w:val="left" w:pos="1490"/>
              </w:tabs>
              <w:spacing w:after="120"/>
              <w:rPr>
                <w:rFonts w:ascii="Arial" w:eastAsia="Arial" w:hAnsi="Arial" w:cs="Arial"/>
                <w:b/>
                <w:color w:val="000000"/>
                <w:sz w:val="24"/>
                <w:szCs w:val="24"/>
              </w:rPr>
            </w:pPr>
            <w:r>
              <w:rPr>
                <w:rFonts w:ascii="Arial" w:eastAsia="Arial" w:hAnsi="Arial" w:cs="Arial"/>
                <w:b/>
                <w:sz w:val="24"/>
                <w:szCs w:val="24"/>
              </w:rPr>
              <w:t>"Billable Works and Approval Process"</w:t>
            </w:r>
          </w:p>
        </w:tc>
        <w:tc>
          <w:tcPr>
            <w:tcW w:w="7342" w:type="dxa"/>
            <w:vAlign w:val="center"/>
          </w:tcPr>
          <w:p w14:paraId="59BCAC62"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sz w:val="24"/>
                <w:szCs w:val="24"/>
              </w:rPr>
              <w:t xml:space="preserve">means the process described as such in Framework Schedule 1 (Specification) - Appendix 3 – Billable Works and Approvals Process </w:t>
            </w:r>
          </w:p>
        </w:tc>
      </w:tr>
      <w:tr w:rsidR="00A15725" w14:paraId="3BADE7C4" w14:textId="77777777">
        <w:tc>
          <w:tcPr>
            <w:tcW w:w="2691" w:type="dxa"/>
            <w:vAlign w:val="center"/>
          </w:tcPr>
          <w:p w14:paraId="20D8379A" w14:textId="77777777" w:rsidR="00A15725" w:rsidRDefault="00955D58">
            <w:pPr>
              <w:pBdr>
                <w:top w:val="nil"/>
                <w:left w:val="nil"/>
                <w:bottom w:val="nil"/>
                <w:right w:val="nil"/>
                <w:between w:val="nil"/>
              </w:pBdr>
              <w:tabs>
                <w:tab w:val="left" w:pos="1490"/>
              </w:tabs>
              <w:spacing w:after="120"/>
              <w:rPr>
                <w:rFonts w:ascii="Arial" w:eastAsia="Arial" w:hAnsi="Arial" w:cs="Arial"/>
                <w:b/>
                <w:color w:val="000000"/>
                <w:sz w:val="24"/>
                <w:szCs w:val="24"/>
              </w:rPr>
            </w:pPr>
            <w:r>
              <w:rPr>
                <w:rFonts w:ascii="Arial" w:eastAsia="Arial" w:hAnsi="Arial" w:cs="Arial"/>
                <w:b/>
                <w:sz w:val="24"/>
                <w:szCs w:val="24"/>
              </w:rPr>
              <w:lastRenderedPageBreak/>
              <w:t>"Billable Works Management Uplift Percentage"</w:t>
            </w:r>
          </w:p>
        </w:tc>
        <w:tc>
          <w:tcPr>
            <w:tcW w:w="7342" w:type="dxa"/>
            <w:vAlign w:val="center"/>
          </w:tcPr>
          <w:p w14:paraId="21D9CD83" w14:textId="77777777" w:rsidR="00A15725" w:rsidRDefault="00955D58">
            <w:pPr>
              <w:pBdr>
                <w:top w:val="nil"/>
                <w:left w:val="nil"/>
                <w:bottom w:val="nil"/>
                <w:right w:val="nil"/>
                <w:between w:val="nil"/>
              </w:pBdr>
              <w:tabs>
                <w:tab w:val="left" w:pos="-179"/>
                <w:tab w:val="left" w:pos="284"/>
              </w:tabs>
              <w:spacing w:after="120"/>
              <w:ind w:left="142" w:right="242"/>
              <w:rPr>
                <w:rFonts w:ascii="Arial" w:eastAsia="Arial" w:hAnsi="Arial" w:cs="Arial"/>
                <w:color w:val="000000"/>
                <w:sz w:val="24"/>
                <w:szCs w:val="24"/>
              </w:rPr>
            </w:pPr>
            <w:bookmarkStart w:id="6" w:name="_heading=h.2s8eyo1" w:colFirst="0" w:colLast="0"/>
            <w:bookmarkEnd w:id="6"/>
            <w:r>
              <w:rPr>
                <w:rFonts w:ascii="Arial" w:eastAsia="Arial" w:hAnsi="Arial" w:cs="Arial"/>
                <w:color w:val="202124"/>
                <w:sz w:val="24"/>
                <w:szCs w:val="24"/>
              </w:rPr>
              <w:t>The % applied to the cost of the Billable Works as set out in the Pricing Matrix, to cover overhead costs as detailed in Call Off schedule 25 - Billable Works paragraph 2.2</w:t>
            </w:r>
          </w:p>
        </w:tc>
      </w:tr>
      <w:tr w:rsidR="00A15725" w14:paraId="58D1FF7B" w14:textId="77777777">
        <w:tc>
          <w:tcPr>
            <w:tcW w:w="2691" w:type="dxa"/>
            <w:vAlign w:val="center"/>
          </w:tcPr>
          <w:p w14:paraId="19A1277E" w14:textId="77777777" w:rsidR="00A15725" w:rsidRDefault="00955D58">
            <w:pPr>
              <w:pBdr>
                <w:top w:val="nil"/>
                <w:left w:val="nil"/>
                <w:bottom w:val="nil"/>
                <w:right w:val="nil"/>
                <w:between w:val="nil"/>
              </w:pBdr>
              <w:tabs>
                <w:tab w:val="left" w:pos="1490"/>
              </w:tabs>
              <w:spacing w:after="120"/>
              <w:rPr>
                <w:rFonts w:ascii="Arial" w:eastAsia="Arial" w:hAnsi="Arial" w:cs="Arial"/>
                <w:b/>
                <w:sz w:val="24"/>
                <w:szCs w:val="24"/>
              </w:rPr>
            </w:pPr>
            <w:r>
              <w:rPr>
                <w:rFonts w:ascii="Arial" w:eastAsia="Arial" w:hAnsi="Arial" w:cs="Arial"/>
                <w:b/>
                <w:sz w:val="24"/>
                <w:szCs w:val="24"/>
              </w:rPr>
              <w:t>“Bronze Contract”</w:t>
            </w:r>
          </w:p>
        </w:tc>
        <w:tc>
          <w:tcPr>
            <w:tcW w:w="7342" w:type="dxa"/>
            <w:vAlign w:val="center"/>
          </w:tcPr>
          <w:p w14:paraId="5674C5B8" w14:textId="77777777" w:rsidR="00A15725" w:rsidRDefault="00955D58">
            <w:pPr>
              <w:pBdr>
                <w:top w:val="nil"/>
                <w:left w:val="nil"/>
                <w:bottom w:val="nil"/>
                <w:right w:val="nil"/>
                <w:between w:val="nil"/>
              </w:pBdr>
              <w:tabs>
                <w:tab w:val="left" w:pos="-179"/>
                <w:tab w:val="left" w:pos="284"/>
              </w:tabs>
              <w:spacing w:after="120"/>
              <w:ind w:left="142" w:right="242"/>
              <w:rPr>
                <w:rFonts w:ascii="Arial" w:eastAsia="Arial" w:hAnsi="Arial" w:cs="Arial"/>
                <w:color w:val="000000"/>
                <w:sz w:val="24"/>
                <w:szCs w:val="24"/>
              </w:rPr>
            </w:pPr>
            <w:r>
              <w:rPr>
                <w:rFonts w:ascii="Arial" w:eastAsia="Arial" w:hAnsi="Arial" w:cs="Arial"/>
                <w:color w:val="000000"/>
                <w:sz w:val="24"/>
                <w:szCs w:val="24"/>
                <w:highlight w:val="white"/>
              </w:rPr>
              <w:t>A Call-Off Contract categorised as a Bronze contract using the Cabinet Office Contract Tiering Tool</w:t>
            </w:r>
          </w:p>
        </w:tc>
      </w:tr>
      <w:tr w:rsidR="00A15725" w14:paraId="354A046D" w14:textId="77777777">
        <w:tc>
          <w:tcPr>
            <w:tcW w:w="2691" w:type="dxa"/>
            <w:vAlign w:val="center"/>
          </w:tcPr>
          <w:p w14:paraId="0B42F125" w14:textId="77777777" w:rsidR="00A15725" w:rsidRDefault="00955D58">
            <w:pPr>
              <w:pBdr>
                <w:top w:val="nil"/>
                <w:left w:val="nil"/>
                <w:bottom w:val="nil"/>
                <w:right w:val="nil"/>
                <w:between w:val="nil"/>
              </w:pBdr>
              <w:tabs>
                <w:tab w:val="left" w:pos="1490"/>
              </w:tabs>
              <w:spacing w:after="120"/>
              <w:rPr>
                <w:rFonts w:ascii="Arial" w:eastAsia="Arial" w:hAnsi="Arial" w:cs="Arial"/>
                <w:b/>
                <w:color w:val="000000"/>
                <w:sz w:val="24"/>
                <w:szCs w:val="24"/>
              </w:rPr>
            </w:pPr>
            <w:r>
              <w:rPr>
                <w:rFonts w:ascii="Arial" w:eastAsia="Arial" w:hAnsi="Arial" w:cs="Arial"/>
                <w:b/>
                <w:sz w:val="24"/>
                <w:szCs w:val="24"/>
              </w:rPr>
              <w:t>"Business Critical Events"</w:t>
            </w:r>
          </w:p>
        </w:tc>
        <w:tc>
          <w:tcPr>
            <w:tcW w:w="7342" w:type="dxa"/>
            <w:vAlign w:val="center"/>
          </w:tcPr>
          <w:p w14:paraId="2229DBA7" w14:textId="77777777" w:rsidR="00A15725" w:rsidRDefault="00955D58">
            <w:pPr>
              <w:pBdr>
                <w:top w:val="nil"/>
                <w:left w:val="nil"/>
                <w:bottom w:val="nil"/>
                <w:right w:val="nil"/>
                <w:between w:val="nil"/>
              </w:pBdr>
              <w:tabs>
                <w:tab w:val="left" w:pos="-179"/>
                <w:tab w:val="left" w:pos="284"/>
              </w:tabs>
              <w:spacing w:after="120"/>
              <w:ind w:left="142" w:right="242"/>
              <w:rPr>
                <w:rFonts w:ascii="Arial" w:eastAsia="Arial" w:hAnsi="Arial" w:cs="Arial"/>
                <w:color w:val="000000"/>
                <w:sz w:val="24"/>
                <w:szCs w:val="24"/>
              </w:rPr>
            </w:pPr>
            <w:r>
              <w:rPr>
                <w:rFonts w:ascii="Arial" w:eastAsia="Arial" w:hAnsi="Arial" w:cs="Arial"/>
                <w:color w:val="000000"/>
                <w:sz w:val="24"/>
                <w:szCs w:val="24"/>
              </w:rPr>
              <w:t>means any event: (i) described as such in the Order Form; (ii)  which relates to the immediate security</w:t>
            </w:r>
            <w:r>
              <w:rPr>
                <w:rFonts w:ascii="Arial" w:eastAsia="Arial" w:hAnsi="Arial" w:cs="Arial"/>
                <w:sz w:val="24"/>
                <w:szCs w:val="24"/>
              </w:rPr>
              <w:t xml:space="preserve"> </w:t>
            </w:r>
            <w:r>
              <w:rPr>
                <w:rFonts w:ascii="Arial" w:eastAsia="Arial" w:hAnsi="Arial" w:cs="Arial"/>
                <w:color w:val="000000"/>
                <w:sz w:val="24"/>
                <w:szCs w:val="24"/>
              </w:rPr>
              <w:t>or health and safety of Buyer Premises; or (iii) which triggers the invocation of the Business Continuity and Disaster Recovery Plan;</w:t>
            </w:r>
          </w:p>
          <w:p w14:paraId="3ADC6CE3" w14:textId="77777777" w:rsidR="00A15725" w:rsidRDefault="00A15725">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p>
        </w:tc>
      </w:tr>
      <w:tr w:rsidR="00A15725" w14:paraId="586B33FD" w14:textId="77777777">
        <w:tc>
          <w:tcPr>
            <w:tcW w:w="2691" w:type="dxa"/>
          </w:tcPr>
          <w:p w14:paraId="739899C5" w14:textId="77777777" w:rsidR="00A15725" w:rsidRDefault="00955D58">
            <w:pPr>
              <w:pBdr>
                <w:top w:val="nil"/>
                <w:left w:val="nil"/>
                <w:bottom w:val="nil"/>
                <w:right w:val="nil"/>
                <w:between w:val="nil"/>
              </w:pBdr>
              <w:tabs>
                <w:tab w:val="left" w:pos="1490"/>
              </w:tabs>
              <w:spacing w:after="120"/>
              <w:rPr>
                <w:rFonts w:ascii="Arial" w:eastAsia="Arial" w:hAnsi="Arial" w:cs="Arial"/>
                <w:b/>
                <w:color w:val="000000"/>
                <w:sz w:val="24"/>
                <w:szCs w:val="24"/>
              </w:rPr>
            </w:pPr>
            <w:r>
              <w:rPr>
                <w:rFonts w:ascii="Arial" w:eastAsia="Arial" w:hAnsi="Arial" w:cs="Arial"/>
                <w:b/>
                <w:color w:val="000000"/>
                <w:sz w:val="24"/>
                <w:szCs w:val="24"/>
              </w:rPr>
              <w:t>"Buyer"</w:t>
            </w:r>
            <w:r>
              <w:rPr>
                <w:rFonts w:ascii="Arial" w:eastAsia="Arial" w:hAnsi="Arial" w:cs="Arial"/>
                <w:b/>
                <w:color w:val="000000"/>
                <w:sz w:val="24"/>
                <w:szCs w:val="24"/>
              </w:rPr>
              <w:tab/>
            </w:r>
          </w:p>
        </w:tc>
        <w:tc>
          <w:tcPr>
            <w:tcW w:w="7342" w:type="dxa"/>
          </w:tcPr>
          <w:p w14:paraId="4050020B"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A15725" w14:paraId="07961CF8" w14:textId="77777777">
        <w:tc>
          <w:tcPr>
            <w:tcW w:w="2691" w:type="dxa"/>
          </w:tcPr>
          <w:p w14:paraId="23B66281"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"Buyer Assets"</w:t>
            </w:r>
          </w:p>
        </w:tc>
        <w:tc>
          <w:tcPr>
            <w:tcW w:w="7342" w:type="dxa"/>
          </w:tcPr>
          <w:p w14:paraId="26EDB06D"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A15725" w14:paraId="0125021A" w14:textId="77777777">
        <w:tc>
          <w:tcPr>
            <w:tcW w:w="2691" w:type="dxa"/>
          </w:tcPr>
          <w:p w14:paraId="24E201A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342" w:type="dxa"/>
          </w:tcPr>
          <w:p w14:paraId="0D65456C"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A15725" w14:paraId="1A8A6096" w14:textId="77777777">
        <w:trPr>
          <w:trHeight w:val="540"/>
        </w:trPr>
        <w:tc>
          <w:tcPr>
            <w:tcW w:w="2691" w:type="dxa"/>
            <w:vAlign w:val="center"/>
          </w:tcPr>
          <w:p w14:paraId="03CE45F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“Buyer Equipment”</w:t>
            </w:r>
          </w:p>
        </w:tc>
        <w:tc>
          <w:tcPr>
            <w:tcW w:w="7342" w:type="dxa"/>
            <w:vAlign w:val="center"/>
          </w:tcPr>
          <w:p w14:paraId="1B5EAFC9"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sz w:val="24"/>
                <w:szCs w:val="24"/>
              </w:rPr>
              <w:t>any Buyer Assets at any Site on the Start Date;</w:t>
            </w:r>
          </w:p>
        </w:tc>
      </w:tr>
      <w:tr w:rsidR="00A15725" w14:paraId="00F0F0E6" w14:textId="77777777">
        <w:tc>
          <w:tcPr>
            <w:tcW w:w="2691" w:type="dxa"/>
          </w:tcPr>
          <w:p w14:paraId="49A8154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"Buyer Premises"</w:t>
            </w:r>
          </w:p>
        </w:tc>
        <w:tc>
          <w:tcPr>
            <w:tcW w:w="7342" w:type="dxa"/>
          </w:tcPr>
          <w:p w14:paraId="5044F828"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A15725" w14:paraId="400F6257" w14:textId="77777777">
        <w:tc>
          <w:tcPr>
            <w:tcW w:w="2691" w:type="dxa"/>
          </w:tcPr>
          <w:p w14:paraId="36565D4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“Buyer Third Parties”</w:t>
            </w:r>
          </w:p>
        </w:tc>
        <w:tc>
          <w:tcPr>
            <w:tcW w:w="7342" w:type="dxa"/>
          </w:tcPr>
          <w:p w14:paraId="2A454FB3" w14:textId="77777777" w:rsidR="00A15725" w:rsidRDefault="00955D58">
            <w:pPr>
              <w:pBdr>
                <w:top w:val="nil"/>
                <w:left w:val="nil"/>
                <w:bottom w:val="nil"/>
                <w:right w:val="nil"/>
                <w:between w:val="nil"/>
              </w:pBdr>
              <w:tabs>
                <w:tab w:val="left" w:pos="-179"/>
                <w:tab w:val="left" w:pos="284"/>
              </w:tabs>
              <w:spacing w:after="120"/>
              <w:ind w:left="142" w:right="242" w:hanging="170"/>
              <w:jc w:val="both"/>
              <w:rPr>
                <w:rFonts w:ascii="Arial" w:eastAsia="Arial" w:hAnsi="Arial" w:cs="Arial"/>
                <w:color w:val="000000"/>
                <w:sz w:val="24"/>
                <w:szCs w:val="24"/>
              </w:rPr>
            </w:pPr>
            <w:r>
              <w:rPr>
                <w:rFonts w:ascii="Arial" w:eastAsia="Arial" w:hAnsi="Arial" w:cs="Arial"/>
                <w:sz w:val="24"/>
                <w:szCs w:val="24"/>
              </w:rPr>
              <w:t xml:space="preserve">   any third party Supplier providing deliverables to the Buyer</w:t>
            </w:r>
          </w:p>
        </w:tc>
      </w:tr>
      <w:tr w:rsidR="00A15725" w14:paraId="722FE1A0" w14:textId="77777777">
        <w:tc>
          <w:tcPr>
            <w:tcW w:w="2691" w:type="dxa"/>
          </w:tcPr>
          <w:p w14:paraId="293C750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Contract"</w:t>
            </w:r>
          </w:p>
        </w:tc>
        <w:tc>
          <w:tcPr>
            <w:tcW w:w="7342" w:type="dxa"/>
          </w:tcPr>
          <w:p w14:paraId="0F635E93"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A15725" w14:paraId="7F3A8A05" w14:textId="77777777">
        <w:tc>
          <w:tcPr>
            <w:tcW w:w="2691" w:type="dxa"/>
          </w:tcPr>
          <w:p w14:paraId="31EFA81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7342" w:type="dxa"/>
          </w:tcPr>
          <w:p w14:paraId="52115D71"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A15725" w14:paraId="28EE2FA3" w14:textId="77777777">
        <w:tc>
          <w:tcPr>
            <w:tcW w:w="2691" w:type="dxa"/>
          </w:tcPr>
          <w:p w14:paraId="03CDD71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7342" w:type="dxa"/>
          </w:tcPr>
          <w:p w14:paraId="0AC0FE73"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A15725" w14:paraId="35A68EAA" w14:textId="77777777">
        <w:tc>
          <w:tcPr>
            <w:tcW w:w="2691" w:type="dxa"/>
          </w:tcPr>
          <w:p w14:paraId="54A639FC"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7342" w:type="dxa"/>
          </w:tcPr>
          <w:p w14:paraId="080B541D"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A15725" w14:paraId="1E0BC003" w14:textId="77777777">
        <w:tc>
          <w:tcPr>
            <w:tcW w:w="2691" w:type="dxa"/>
          </w:tcPr>
          <w:p w14:paraId="51BBD71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7342" w:type="dxa"/>
            <w:vAlign w:val="center"/>
          </w:tcPr>
          <w:p w14:paraId="2E376433" w14:textId="77777777" w:rsidR="00A15725" w:rsidRDefault="00955D58">
            <w:pPr>
              <w:pBdr>
                <w:top w:val="nil"/>
                <w:left w:val="nil"/>
                <w:bottom w:val="nil"/>
                <w:right w:val="nil"/>
                <w:between w:val="nil"/>
              </w:pBdr>
              <w:tabs>
                <w:tab w:val="left" w:pos="-179"/>
                <w:tab w:val="left" w:pos="284"/>
              </w:tabs>
              <w:spacing w:after="120"/>
              <w:ind w:left="142" w:right="242"/>
              <w:rPr>
                <w:rFonts w:ascii="Arial" w:eastAsia="Arial" w:hAnsi="Arial" w:cs="Arial"/>
                <w:color w:val="000000"/>
                <w:sz w:val="24"/>
                <w:szCs w:val="24"/>
              </w:rPr>
            </w:pPr>
            <w:r>
              <w:rPr>
                <w:rFonts w:ascii="Arial" w:eastAsia="Arial" w:hAnsi="Arial" w:cs="Arial"/>
                <w:sz w:val="24"/>
                <w:szCs w:val="24"/>
              </w:rPr>
              <w:t xml:space="preserve">the Initial Period of a Call-Off Contract specified in the Order Form for when the Services commence </w:t>
            </w:r>
            <w:r>
              <w:rPr>
                <w:rFonts w:ascii="Arial" w:eastAsia="Arial" w:hAnsi="Arial" w:cs="Arial"/>
                <w:color w:val="000000"/>
                <w:sz w:val="24"/>
                <w:szCs w:val="24"/>
                <w:highlight w:val="white"/>
              </w:rPr>
              <w:t xml:space="preserve"> following the Mobilisation Period;</w:t>
            </w:r>
          </w:p>
        </w:tc>
      </w:tr>
      <w:tr w:rsidR="00A15725" w14:paraId="4C3305C2" w14:textId="77777777">
        <w:tc>
          <w:tcPr>
            <w:tcW w:w="2691" w:type="dxa"/>
          </w:tcPr>
          <w:p w14:paraId="43D1F18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7342" w:type="dxa"/>
          </w:tcPr>
          <w:p w14:paraId="682AC777"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A15725" w14:paraId="1DE10D96" w14:textId="77777777">
        <w:tc>
          <w:tcPr>
            <w:tcW w:w="2691" w:type="dxa"/>
          </w:tcPr>
          <w:p w14:paraId="5C70C20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"Call-Off Procedure"</w:t>
            </w:r>
          </w:p>
        </w:tc>
        <w:tc>
          <w:tcPr>
            <w:tcW w:w="7342" w:type="dxa"/>
          </w:tcPr>
          <w:p w14:paraId="6CD0B5F3"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A15725" w14:paraId="4BFB2C19" w14:textId="77777777">
        <w:tc>
          <w:tcPr>
            <w:tcW w:w="2691" w:type="dxa"/>
          </w:tcPr>
          <w:p w14:paraId="5DD2F2F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7342" w:type="dxa"/>
          </w:tcPr>
          <w:p w14:paraId="00BF7514"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A15725" w14:paraId="516B85D7" w14:textId="77777777">
        <w:tc>
          <w:tcPr>
            <w:tcW w:w="2691" w:type="dxa"/>
          </w:tcPr>
          <w:p w14:paraId="7DD79EE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7342" w:type="dxa"/>
          </w:tcPr>
          <w:p w14:paraId="53F74DAB"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date of a start of a Call-Off Contract as stated in the Order Form;</w:t>
            </w:r>
          </w:p>
        </w:tc>
      </w:tr>
      <w:tr w:rsidR="00A15725" w14:paraId="66F79D80" w14:textId="77777777">
        <w:tc>
          <w:tcPr>
            <w:tcW w:w="2691" w:type="dxa"/>
          </w:tcPr>
          <w:p w14:paraId="24FA787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Tender"</w:t>
            </w:r>
          </w:p>
        </w:tc>
        <w:tc>
          <w:tcPr>
            <w:tcW w:w="7342" w:type="dxa"/>
          </w:tcPr>
          <w:p w14:paraId="37EBAA78"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A15725" w14:paraId="56F44931" w14:textId="77777777">
        <w:tc>
          <w:tcPr>
            <w:tcW w:w="2691" w:type="dxa"/>
          </w:tcPr>
          <w:p w14:paraId="4462248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“Carbon Reduction Plan”</w:t>
            </w:r>
          </w:p>
        </w:tc>
        <w:tc>
          <w:tcPr>
            <w:tcW w:w="7342" w:type="dxa"/>
          </w:tcPr>
          <w:p w14:paraId="041FE72D"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202124"/>
                <w:sz w:val="24"/>
                <w:szCs w:val="24"/>
                <w:highlight w:val="white"/>
              </w:rPr>
              <w:t>a plan which contains the details of  emissions across a single year against a range of emissions sources and greenhouse gasses, as per PPN 06/21.</w:t>
            </w:r>
          </w:p>
        </w:tc>
      </w:tr>
      <w:tr w:rsidR="00A15725" w14:paraId="7746CEAB" w14:textId="77777777">
        <w:tc>
          <w:tcPr>
            <w:tcW w:w="2691" w:type="dxa"/>
          </w:tcPr>
          <w:p w14:paraId="74A8BE3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"CCS"</w:t>
            </w:r>
          </w:p>
        </w:tc>
        <w:tc>
          <w:tcPr>
            <w:tcW w:w="7342" w:type="dxa"/>
          </w:tcPr>
          <w:p w14:paraId="0895D631"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A15725" w14:paraId="1ECFF068" w14:textId="77777777">
        <w:tc>
          <w:tcPr>
            <w:tcW w:w="2691" w:type="dxa"/>
          </w:tcPr>
          <w:p w14:paraId="7273712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7342" w:type="dxa"/>
          </w:tcPr>
          <w:p w14:paraId="51C8C8E6"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A15725" w14:paraId="3F1CBEEB" w14:textId="77777777">
        <w:tc>
          <w:tcPr>
            <w:tcW w:w="2691" w:type="dxa"/>
          </w:tcPr>
          <w:p w14:paraId="2A4678E2"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7342" w:type="dxa"/>
          </w:tcPr>
          <w:p w14:paraId="6C984B4B"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298D6A3E" w14:textId="77777777" w:rsidR="00A15725" w:rsidRDefault="00955D58">
            <w:pPr>
              <w:numPr>
                <w:ilvl w:val="1"/>
                <w:numId w:val="13"/>
              </w:numPr>
              <w:pBdr>
                <w:top w:val="nil"/>
                <w:left w:val="nil"/>
                <w:bottom w:val="nil"/>
                <w:right w:val="nil"/>
                <w:between w:val="nil"/>
              </w:pBdr>
              <w:tabs>
                <w:tab w:val="left" w:pos="-576"/>
                <w:tab w:val="left" w:pos="284"/>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Government Department;</w:t>
            </w:r>
          </w:p>
          <w:p w14:paraId="313198E0" w14:textId="77777777" w:rsidR="00A15725" w:rsidRDefault="00955D58">
            <w:pPr>
              <w:numPr>
                <w:ilvl w:val="1"/>
                <w:numId w:val="13"/>
              </w:numPr>
              <w:pBdr>
                <w:top w:val="nil"/>
                <w:left w:val="nil"/>
                <w:bottom w:val="nil"/>
                <w:right w:val="nil"/>
                <w:between w:val="nil"/>
              </w:pBdr>
              <w:tabs>
                <w:tab w:val="left" w:pos="-576"/>
                <w:tab w:val="left" w:pos="284"/>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56C2A6BC" w14:textId="77777777" w:rsidR="00A15725" w:rsidRDefault="00955D58">
            <w:pPr>
              <w:numPr>
                <w:ilvl w:val="1"/>
                <w:numId w:val="13"/>
              </w:numPr>
              <w:pBdr>
                <w:top w:val="nil"/>
                <w:left w:val="nil"/>
                <w:bottom w:val="nil"/>
                <w:right w:val="nil"/>
                <w:between w:val="nil"/>
              </w:pBdr>
              <w:tabs>
                <w:tab w:val="left" w:pos="-576"/>
                <w:tab w:val="left" w:pos="284"/>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04836094" w14:textId="77777777" w:rsidR="00A15725" w:rsidRDefault="00955D58">
            <w:pPr>
              <w:numPr>
                <w:ilvl w:val="1"/>
                <w:numId w:val="13"/>
              </w:numPr>
              <w:pBdr>
                <w:top w:val="nil"/>
                <w:left w:val="nil"/>
                <w:bottom w:val="nil"/>
                <w:right w:val="nil"/>
                <w:between w:val="nil"/>
              </w:pBdr>
              <w:tabs>
                <w:tab w:val="left" w:pos="-576"/>
                <w:tab w:val="left" w:pos="284"/>
              </w:tabs>
              <w:spacing w:after="120"/>
              <w:ind w:left="992" w:right="242" w:hanging="708"/>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A15725" w14:paraId="5091BB86" w14:textId="77777777">
        <w:tc>
          <w:tcPr>
            <w:tcW w:w="2691" w:type="dxa"/>
          </w:tcPr>
          <w:p w14:paraId="4CD51D3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"Change in Law"</w:t>
            </w:r>
          </w:p>
        </w:tc>
        <w:tc>
          <w:tcPr>
            <w:tcW w:w="7342" w:type="dxa"/>
          </w:tcPr>
          <w:p w14:paraId="26CE39F2"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A15725" w14:paraId="18570284" w14:textId="77777777">
        <w:tc>
          <w:tcPr>
            <w:tcW w:w="2691" w:type="dxa"/>
          </w:tcPr>
          <w:p w14:paraId="01D3EFE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7342" w:type="dxa"/>
          </w:tcPr>
          <w:p w14:paraId="3AA6494E"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A15725" w14:paraId="02E2B9A6" w14:textId="77777777">
        <w:tc>
          <w:tcPr>
            <w:tcW w:w="2691" w:type="dxa"/>
          </w:tcPr>
          <w:p w14:paraId="5D084FE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"Charges"</w:t>
            </w:r>
          </w:p>
        </w:tc>
        <w:tc>
          <w:tcPr>
            <w:tcW w:w="7342" w:type="dxa"/>
          </w:tcPr>
          <w:p w14:paraId="22ED40FC"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A15725" w14:paraId="18F88CD2" w14:textId="77777777">
        <w:tc>
          <w:tcPr>
            <w:tcW w:w="2691" w:type="dxa"/>
          </w:tcPr>
          <w:p w14:paraId="4EF8CE5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"Claim"</w:t>
            </w:r>
          </w:p>
        </w:tc>
        <w:tc>
          <w:tcPr>
            <w:tcW w:w="7342" w:type="dxa"/>
          </w:tcPr>
          <w:p w14:paraId="3A1028C3"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 xml:space="preserve">any claim which it appears that a Beneficiary is, or may become, entitled to indemnification under </w:t>
            </w:r>
            <w:r>
              <w:rPr>
                <w:rFonts w:ascii="Arial" w:eastAsia="Arial" w:hAnsi="Arial" w:cs="Arial"/>
                <w:sz w:val="24"/>
                <w:szCs w:val="24"/>
              </w:rPr>
              <w:t>a Core Terms</w:t>
            </w:r>
            <w:r>
              <w:rPr>
                <w:rFonts w:ascii="Arial" w:eastAsia="Arial" w:hAnsi="Arial" w:cs="Arial"/>
                <w:color w:val="000000"/>
                <w:sz w:val="24"/>
                <w:szCs w:val="24"/>
              </w:rPr>
              <w:t xml:space="preserve"> Contract;</w:t>
            </w:r>
          </w:p>
        </w:tc>
      </w:tr>
      <w:tr w:rsidR="00A15725" w14:paraId="77519A93" w14:textId="77777777">
        <w:tc>
          <w:tcPr>
            <w:tcW w:w="2691" w:type="dxa"/>
          </w:tcPr>
          <w:p w14:paraId="123F0ED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“Collaborative Working Principles”</w:t>
            </w:r>
          </w:p>
        </w:tc>
        <w:tc>
          <w:tcPr>
            <w:tcW w:w="7342" w:type="dxa"/>
          </w:tcPr>
          <w:p w14:paraId="1827EFB9"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sz w:val="24"/>
                <w:szCs w:val="24"/>
              </w:rPr>
            </w:pPr>
            <w:r>
              <w:rPr>
                <w:rFonts w:ascii="Arial" w:eastAsia="Arial" w:hAnsi="Arial" w:cs="Arial"/>
                <w:sz w:val="24"/>
                <w:szCs w:val="24"/>
              </w:rPr>
              <w:t>means the Supplier:</w:t>
            </w:r>
          </w:p>
          <w:p w14:paraId="4F243B7C"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sz w:val="24"/>
                <w:szCs w:val="24"/>
              </w:rPr>
            </w:pPr>
            <w:r>
              <w:rPr>
                <w:rFonts w:ascii="Arial" w:eastAsia="Arial" w:hAnsi="Arial" w:cs="Arial"/>
                <w:sz w:val="24"/>
                <w:szCs w:val="24"/>
              </w:rPr>
              <w:t>(a)       proactively leading on, mitigating and contributing to the resolution of problems or issues irrespective of its contractual obligations, acting in accordance with the principle of "fix first, settle later"</w:t>
            </w:r>
          </w:p>
          <w:p w14:paraId="3C0AF57D" w14:textId="77777777" w:rsidR="00A15725" w:rsidRDefault="00A15725">
            <w:pPr>
              <w:pBdr>
                <w:top w:val="nil"/>
                <w:left w:val="nil"/>
                <w:bottom w:val="nil"/>
                <w:right w:val="nil"/>
                <w:between w:val="nil"/>
              </w:pBdr>
              <w:tabs>
                <w:tab w:val="left" w:pos="-179"/>
                <w:tab w:val="left" w:pos="284"/>
              </w:tabs>
              <w:spacing w:after="120"/>
              <w:ind w:left="284" w:right="242"/>
              <w:jc w:val="both"/>
              <w:rPr>
                <w:rFonts w:ascii="Arial" w:eastAsia="Arial" w:hAnsi="Arial" w:cs="Arial"/>
                <w:sz w:val="24"/>
                <w:szCs w:val="24"/>
              </w:rPr>
            </w:pPr>
          </w:p>
          <w:p w14:paraId="0B789667"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sz w:val="24"/>
                <w:szCs w:val="24"/>
              </w:rPr>
            </w:pPr>
            <w:r>
              <w:rPr>
                <w:rFonts w:ascii="Arial" w:eastAsia="Arial" w:hAnsi="Arial" w:cs="Arial"/>
                <w:sz w:val="24"/>
                <w:szCs w:val="24"/>
              </w:rPr>
              <w:t>(b)       being open, transparent and responsive in sharing relevant and accurate information with Buyer Third Parties;</w:t>
            </w:r>
          </w:p>
          <w:p w14:paraId="2C2EA6AA" w14:textId="77777777" w:rsidR="00A15725" w:rsidRDefault="00A15725">
            <w:pPr>
              <w:pBdr>
                <w:top w:val="nil"/>
                <w:left w:val="nil"/>
                <w:bottom w:val="nil"/>
                <w:right w:val="nil"/>
                <w:between w:val="nil"/>
              </w:pBdr>
              <w:tabs>
                <w:tab w:val="left" w:pos="-179"/>
                <w:tab w:val="left" w:pos="284"/>
              </w:tabs>
              <w:spacing w:after="120"/>
              <w:ind w:left="284" w:right="242"/>
              <w:jc w:val="both"/>
              <w:rPr>
                <w:rFonts w:ascii="Arial" w:eastAsia="Arial" w:hAnsi="Arial" w:cs="Arial"/>
                <w:sz w:val="24"/>
                <w:szCs w:val="24"/>
              </w:rPr>
            </w:pPr>
          </w:p>
          <w:p w14:paraId="14BC98E8"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sz w:val="24"/>
                <w:szCs w:val="24"/>
              </w:rPr>
            </w:pPr>
            <w:r>
              <w:rPr>
                <w:rFonts w:ascii="Arial" w:eastAsia="Arial" w:hAnsi="Arial" w:cs="Arial"/>
                <w:sz w:val="24"/>
                <w:szCs w:val="24"/>
              </w:rPr>
              <w:t>(c)        adopting common working practices, terminology, standards and technology and a collaborative approach to service development and resourcing with Buyer Third Parties;</w:t>
            </w:r>
          </w:p>
          <w:p w14:paraId="2242CB42" w14:textId="77777777" w:rsidR="00A15725" w:rsidRDefault="00A15725">
            <w:pPr>
              <w:pBdr>
                <w:top w:val="nil"/>
                <w:left w:val="nil"/>
                <w:bottom w:val="nil"/>
                <w:right w:val="nil"/>
                <w:between w:val="nil"/>
              </w:pBdr>
              <w:tabs>
                <w:tab w:val="left" w:pos="-179"/>
                <w:tab w:val="left" w:pos="284"/>
              </w:tabs>
              <w:spacing w:after="120"/>
              <w:ind w:left="284" w:right="242"/>
              <w:jc w:val="both"/>
              <w:rPr>
                <w:rFonts w:ascii="Arial" w:eastAsia="Arial" w:hAnsi="Arial" w:cs="Arial"/>
                <w:sz w:val="24"/>
                <w:szCs w:val="24"/>
              </w:rPr>
            </w:pPr>
          </w:p>
          <w:p w14:paraId="777C67AF"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sz w:val="24"/>
                <w:szCs w:val="24"/>
              </w:rPr>
            </w:pPr>
            <w:r>
              <w:rPr>
                <w:rFonts w:ascii="Arial" w:eastAsia="Arial" w:hAnsi="Arial" w:cs="Arial"/>
                <w:sz w:val="24"/>
                <w:szCs w:val="24"/>
              </w:rPr>
              <w:t>(d)       providing cooperation, support, information and assistance to Buyer Third Parties in a proactive, transparent and open way and in a spirit of trust and mutual confidence; and</w:t>
            </w:r>
          </w:p>
          <w:p w14:paraId="7AA29410" w14:textId="77777777" w:rsidR="00A15725" w:rsidRDefault="00A15725">
            <w:pPr>
              <w:pBdr>
                <w:top w:val="nil"/>
                <w:left w:val="nil"/>
                <w:bottom w:val="nil"/>
                <w:right w:val="nil"/>
                <w:between w:val="nil"/>
              </w:pBdr>
              <w:tabs>
                <w:tab w:val="left" w:pos="-179"/>
                <w:tab w:val="left" w:pos="284"/>
              </w:tabs>
              <w:spacing w:after="120"/>
              <w:ind w:left="284" w:right="242"/>
              <w:jc w:val="both"/>
              <w:rPr>
                <w:rFonts w:ascii="Arial" w:eastAsia="Arial" w:hAnsi="Arial" w:cs="Arial"/>
                <w:sz w:val="24"/>
                <w:szCs w:val="24"/>
              </w:rPr>
            </w:pPr>
          </w:p>
          <w:p w14:paraId="4A1734CE"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sz w:val="24"/>
                <w:szCs w:val="24"/>
              </w:rPr>
            </w:pPr>
            <w:r>
              <w:rPr>
                <w:rFonts w:ascii="Arial" w:eastAsia="Arial" w:hAnsi="Arial" w:cs="Arial"/>
                <w:sz w:val="24"/>
                <w:szCs w:val="24"/>
              </w:rPr>
              <w:t>identifying, implementing and capitalising on opportunities to improve deliverables and deliver better soluti</w:t>
            </w:r>
            <w:r>
              <w:rPr>
                <w:rFonts w:ascii="Arial" w:eastAsia="Arial" w:hAnsi="Arial" w:cs="Arial"/>
              </w:rPr>
              <w:t xml:space="preserve">ons and performance throughout the relationship lifecycle"    </w:t>
            </w:r>
          </w:p>
        </w:tc>
      </w:tr>
      <w:tr w:rsidR="00A15725" w14:paraId="4F706D0B" w14:textId="77777777">
        <w:tc>
          <w:tcPr>
            <w:tcW w:w="2691" w:type="dxa"/>
          </w:tcPr>
          <w:p w14:paraId="10A3EE2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“Commercial Off-the-shelf (COTS)”</w:t>
            </w:r>
          </w:p>
        </w:tc>
        <w:tc>
          <w:tcPr>
            <w:tcW w:w="7342" w:type="dxa"/>
          </w:tcPr>
          <w:p w14:paraId="7BF3B4EA"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sz w:val="24"/>
                <w:szCs w:val="24"/>
              </w:rPr>
            </w:pPr>
            <w:r>
              <w:rPr>
                <w:rFonts w:ascii="Arial" w:eastAsia="Arial" w:hAnsi="Arial" w:cs="Arial"/>
                <w:sz w:val="24"/>
                <w:szCs w:val="24"/>
              </w:rPr>
              <w:t>products that are packaged solutions which are then adapted to satisfy the needs of the purchasing organization, rather than the commissioning of custom-made, or bespoke, solutions;</w:t>
            </w:r>
          </w:p>
        </w:tc>
      </w:tr>
      <w:tr w:rsidR="00A15725" w14:paraId="57826355" w14:textId="77777777">
        <w:tc>
          <w:tcPr>
            <w:tcW w:w="2691" w:type="dxa"/>
          </w:tcPr>
          <w:p w14:paraId="2714188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7342" w:type="dxa"/>
          </w:tcPr>
          <w:p w14:paraId="48FE1BEE"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A15725" w14:paraId="630F0F7F" w14:textId="77777777">
        <w:tc>
          <w:tcPr>
            <w:tcW w:w="2691" w:type="dxa"/>
          </w:tcPr>
          <w:p w14:paraId="4029A6F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7342" w:type="dxa"/>
          </w:tcPr>
          <w:p w14:paraId="18F751EF"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A15725" w14:paraId="21955BD2" w14:textId="77777777">
        <w:tc>
          <w:tcPr>
            <w:tcW w:w="2691" w:type="dxa"/>
          </w:tcPr>
          <w:p w14:paraId="53D2548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“Compliance Management Plan”</w:t>
            </w:r>
          </w:p>
        </w:tc>
        <w:tc>
          <w:tcPr>
            <w:tcW w:w="7342" w:type="dxa"/>
          </w:tcPr>
          <w:p w14:paraId="47018D45" w14:textId="77777777" w:rsidR="00A15725" w:rsidRDefault="00955D58">
            <w:pPr>
              <w:tabs>
                <w:tab w:val="left" w:pos="-179"/>
                <w:tab w:val="left" w:pos="284"/>
              </w:tabs>
              <w:spacing w:before="240" w:after="240" w:line="276" w:lineRule="auto"/>
              <w:ind w:left="360" w:right="248"/>
              <w:jc w:val="both"/>
              <w:rPr>
                <w:rFonts w:ascii="Arial" w:eastAsia="Arial" w:hAnsi="Arial" w:cs="Arial"/>
                <w:color w:val="000000"/>
                <w:sz w:val="24"/>
                <w:szCs w:val="24"/>
              </w:rPr>
            </w:pPr>
            <w:r>
              <w:rPr>
                <w:rFonts w:ascii="Arial" w:eastAsia="Arial" w:hAnsi="Arial" w:cs="Arial"/>
                <w:color w:val="000000"/>
                <w:sz w:val="24"/>
                <w:szCs w:val="24"/>
              </w:rPr>
              <w:t>The process by which a Supplier shall plan, organise, control, and lead activities that ensure compliance with all legal requirements and any Buyer specified Services outlined within the Call-Off Contract.</w:t>
            </w:r>
          </w:p>
        </w:tc>
      </w:tr>
      <w:tr w:rsidR="00A15725" w14:paraId="7702A715" w14:textId="77777777">
        <w:tc>
          <w:tcPr>
            <w:tcW w:w="2691" w:type="dxa"/>
          </w:tcPr>
          <w:p w14:paraId="79F0534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“Compliance Management System”</w:t>
            </w:r>
          </w:p>
        </w:tc>
        <w:tc>
          <w:tcPr>
            <w:tcW w:w="7342" w:type="dxa"/>
          </w:tcPr>
          <w:p w14:paraId="13B73897"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 xml:space="preserve">An integrated system of documents, processes, tools, controls, and functions designed to ensure compliance with all legal requirements and any Buyer specified Services outlined within the Call-Off Contract. </w:t>
            </w:r>
          </w:p>
        </w:tc>
      </w:tr>
      <w:tr w:rsidR="00A15725" w14:paraId="5F0E1311" w14:textId="77777777">
        <w:tc>
          <w:tcPr>
            <w:tcW w:w="2691" w:type="dxa"/>
          </w:tcPr>
          <w:p w14:paraId="3BD0D39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“Compliance Report”</w:t>
            </w:r>
          </w:p>
        </w:tc>
        <w:tc>
          <w:tcPr>
            <w:tcW w:w="7342" w:type="dxa"/>
          </w:tcPr>
          <w:p w14:paraId="5552A844"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 xml:space="preserve">Compliance Report is the report produced to highlight whether the Buyer Premises in its current condition and in the way it is currently used is fully </w:t>
            </w:r>
            <w:r>
              <w:rPr>
                <w:rFonts w:ascii="Arial" w:eastAsia="Arial" w:hAnsi="Arial" w:cs="Arial"/>
                <w:sz w:val="24"/>
                <w:szCs w:val="24"/>
              </w:rPr>
              <w:t>compliant</w:t>
            </w:r>
            <w:r>
              <w:rPr>
                <w:rFonts w:ascii="Arial" w:eastAsia="Arial" w:hAnsi="Arial" w:cs="Arial"/>
                <w:color w:val="000000"/>
                <w:sz w:val="24"/>
                <w:szCs w:val="24"/>
              </w:rPr>
              <w:t xml:space="preserve"> with all legislation and statutory requirements.</w:t>
            </w:r>
          </w:p>
        </w:tc>
      </w:tr>
      <w:tr w:rsidR="00A15725" w14:paraId="139761BD" w14:textId="77777777">
        <w:tc>
          <w:tcPr>
            <w:tcW w:w="2691" w:type="dxa"/>
          </w:tcPr>
          <w:p w14:paraId="39FE4F4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7342" w:type="dxa"/>
          </w:tcPr>
          <w:p w14:paraId="6C33A03E" w14:textId="77777777" w:rsidR="00A15725" w:rsidRDefault="00955D58">
            <w:pPr>
              <w:pBdr>
                <w:top w:val="nil"/>
                <w:left w:val="nil"/>
                <w:bottom w:val="nil"/>
                <w:right w:val="nil"/>
                <w:between w:val="nil"/>
              </w:pBdr>
              <w:tabs>
                <w:tab w:val="left" w:pos="-179"/>
                <w:tab w:val="left" w:pos="142"/>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A15725" w14:paraId="155272CB" w14:textId="77777777">
        <w:tc>
          <w:tcPr>
            <w:tcW w:w="2691" w:type="dxa"/>
            <w:vAlign w:val="center"/>
          </w:tcPr>
          <w:p w14:paraId="318D42D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“Condition Survey”</w:t>
            </w:r>
          </w:p>
        </w:tc>
        <w:tc>
          <w:tcPr>
            <w:tcW w:w="7342" w:type="dxa"/>
            <w:vAlign w:val="center"/>
          </w:tcPr>
          <w:p w14:paraId="1349E7E8" w14:textId="77777777" w:rsidR="00A15725" w:rsidRDefault="00955D58">
            <w:pPr>
              <w:pBdr>
                <w:top w:val="nil"/>
                <w:left w:val="nil"/>
                <w:bottom w:val="nil"/>
                <w:right w:val="nil"/>
                <w:between w:val="nil"/>
              </w:pBdr>
              <w:tabs>
                <w:tab w:val="left" w:pos="-179"/>
                <w:tab w:val="left" w:pos="142"/>
              </w:tabs>
              <w:spacing w:after="120"/>
              <w:ind w:left="142" w:right="242"/>
              <w:jc w:val="both"/>
              <w:rPr>
                <w:rFonts w:ascii="Arial" w:eastAsia="Arial" w:hAnsi="Arial" w:cs="Arial"/>
                <w:color w:val="000000"/>
                <w:sz w:val="24"/>
                <w:szCs w:val="24"/>
              </w:rPr>
            </w:pPr>
            <w:r>
              <w:rPr>
                <w:rFonts w:ascii="Arial" w:eastAsia="Arial" w:hAnsi="Arial" w:cs="Arial"/>
                <w:sz w:val="24"/>
                <w:szCs w:val="24"/>
              </w:rPr>
              <w:t>means a formal periodic survey carried out by the Supplier on the Buyer’s systems, Assets and building fabric, performed annually (or as otherwise specified by the Buyer);</w:t>
            </w:r>
          </w:p>
        </w:tc>
      </w:tr>
      <w:tr w:rsidR="00A15725" w14:paraId="5DA1C4C8" w14:textId="77777777">
        <w:tc>
          <w:tcPr>
            <w:tcW w:w="2691" w:type="dxa"/>
          </w:tcPr>
          <w:p w14:paraId="170AA27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7342" w:type="dxa"/>
          </w:tcPr>
          <w:p w14:paraId="0E07D5CD" w14:textId="77777777" w:rsidR="00A15725" w:rsidRDefault="00955D58">
            <w:pPr>
              <w:pBdr>
                <w:top w:val="nil"/>
                <w:left w:val="nil"/>
                <w:bottom w:val="nil"/>
                <w:right w:val="nil"/>
                <w:between w:val="nil"/>
              </w:pBdr>
              <w:tabs>
                <w:tab w:val="left" w:pos="-179"/>
                <w:tab w:val="left" w:pos="142"/>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w:t>
            </w:r>
            <w:r>
              <w:rPr>
                <w:rFonts w:ascii="Arial" w:eastAsia="Arial" w:hAnsi="Arial" w:cs="Arial"/>
                <w:sz w:val="24"/>
                <w:szCs w:val="24"/>
              </w:rPr>
              <w:t>S</w:t>
            </w:r>
            <w:r>
              <w:rPr>
                <w:rFonts w:ascii="Arial" w:eastAsia="Arial" w:hAnsi="Arial" w:cs="Arial"/>
                <w:color w:val="000000"/>
                <w:sz w:val="24"/>
                <w:szCs w:val="24"/>
              </w:rPr>
              <w:t xml:space="preserve">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A15725" w14:paraId="7B3EEE3E" w14:textId="77777777">
        <w:tc>
          <w:tcPr>
            <w:tcW w:w="2691" w:type="dxa"/>
          </w:tcPr>
          <w:p w14:paraId="2207060C"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7342" w:type="dxa"/>
          </w:tcPr>
          <w:p w14:paraId="027FC897" w14:textId="77777777" w:rsidR="00A15725" w:rsidRDefault="00955D58">
            <w:pPr>
              <w:pBdr>
                <w:top w:val="nil"/>
                <w:left w:val="nil"/>
                <w:bottom w:val="nil"/>
                <w:right w:val="nil"/>
                <w:between w:val="nil"/>
              </w:pBdr>
              <w:tabs>
                <w:tab w:val="left" w:pos="-179"/>
                <w:tab w:val="left" w:pos="142"/>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A15725" w14:paraId="01040350" w14:textId="77777777">
        <w:tc>
          <w:tcPr>
            <w:tcW w:w="2691" w:type="dxa"/>
          </w:tcPr>
          <w:p w14:paraId="3846B2DE"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“Continuous Improvement”</w:t>
            </w:r>
          </w:p>
        </w:tc>
        <w:tc>
          <w:tcPr>
            <w:tcW w:w="7342" w:type="dxa"/>
          </w:tcPr>
          <w:p w14:paraId="0B48C040" w14:textId="77777777" w:rsidR="00A15725" w:rsidRDefault="00955D58">
            <w:pPr>
              <w:pBdr>
                <w:top w:val="nil"/>
                <w:left w:val="nil"/>
                <w:bottom w:val="nil"/>
                <w:right w:val="nil"/>
                <w:between w:val="nil"/>
              </w:pBdr>
              <w:tabs>
                <w:tab w:val="left" w:pos="-179"/>
                <w:tab w:val="left" w:pos="142"/>
              </w:tabs>
              <w:spacing w:after="120"/>
              <w:ind w:left="142" w:right="242"/>
              <w:jc w:val="both"/>
              <w:rPr>
                <w:rFonts w:ascii="Arial" w:eastAsia="Arial" w:hAnsi="Arial" w:cs="Arial"/>
                <w:color w:val="000000"/>
                <w:sz w:val="24"/>
                <w:szCs w:val="24"/>
              </w:rPr>
            </w:pPr>
            <w:r>
              <w:rPr>
                <w:rFonts w:ascii="Arial" w:eastAsia="Arial" w:hAnsi="Arial" w:cs="Arial"/>
                <w:sz w:val="24"/>
                <w:szCs w:val="24"/>
              </w:rPr>
              <w:t>is an ongoing effort to improve products, services or processes;</w:t>
            </w:r>
          </w:p>
        </w:tc>
      </w:tr>
      <w:tr w:rsidR="00A15725" w14:paraId="4C6DC8A9" w14:textId="77777777">
        <w:tc>
          <w:tcPr>
            <w:tcW w:w="2691" w:type="dxa"/>
          </w:tcPr>
          <w:p w14:paraId="11FFC00C"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"Contract"</w:t>
            </w:r>
          </w:p>
        </w:tc>
        <w:tc>
          <w:tcPr>
            <w:tcW w:w="7342" w:type="dxa"/>
          </w:tcPr>
          <w:p w14:paraId="1B7757BE" w14:textId="77777777" w:rsidR="00A15725" w:rsidRDefault="00955D58">
            <w:pPr>
              <w:pBdr>
                <w:top w:val="nil"/>
                <w:left w:val="nil"/>
                <w:bottom w:val="nil"/>
                <w:right w:val="nil"/>
                <w:between w:val="nil"/>
              </w:pBdr>
              <w:tabs>
                <w:tab w:val="left" w:pos="-179"/>
                <w:tab w:val="left" w:pos="142"/>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A15725" w14:paraId="79CB8C4E" w14:textId="77777777">
        <w:tc>
          <w:tcPr>
            <w:tcW w:w="2691" w:type="dxa"/>
          </w:tcPr>
          <w:p w14:paraId="2AB7D92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“Contract Management”</w:t>
            </w:r>
          </w:p>
        </w:tc>
        <w:tc>
          <w:tcPr>
            <w:tcW w:w="7342" w:type="dxa"/>
          </w:tcPr>
          <w:p w14:paraId="6A1319A4" w14:textId="77777777" w:rsidR="00A15725" w:rsidRDefault="00955D58">
            <w:pPr>
              <w:pBdr>
                <w:top w:val="nil"/>
                <w:left w:val="nil"/>
                <w:bottom w:val="nil"/>
                <w:right w:val="nil"/>
                <w:between w:val="nil"/>
              </w:pBdr>
              <w:tabs>
                <w:tab w:val="left" w:pos="-179"/>
                <w:tab w:val="left" w:pos="142"/>
              </w:tabs>
              <w:spacing w:after="120"/>
              <w:ind w:left="142" w:right="242"/>
              <w:jc w:val="both"/>
              <w:rPr>
                <w:rFonts w:ascii="Arial" w:eastAsia="Arial" w:hAnsi="Arial" w:cs="Arial"/>
                <w:color w:val="000000"/>
                <w:sz w:val="24"/>
                <w:szCs w:val="24"/>
              </w:rPr>
            </w:pPr>
            <w:r>
              <w:rPr>
                <w:rFonts w:ascii="Arial" w:eastAsia="Arial" w:hAnsi="Arial" w:cs="Arial"/>
                <w:sz w:val="24"/>
                <w:szCs w:val="24"/>
              </w:rPr>
              <w:t>is the process that ensures Suppliers adhere to their agreed contractual obligations along with negotiating any future changes that need to take place;</w:t>
            </w:r>
          </w:p>
        </w:tc>
      </w:tr>
      <w:tr w:rsidR="00A15725" w14:paraId="3D9D25DC" w14:textId="77777777">
        <w:tc>
          <w:tcPr>
            <w:tcW w:w="2691" w:type="dxa"/>
          </w:tcPr>
          <w:p w14:paraId="10D2837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"Contract Period"</w:t>
            </w:r>
          </w:p>
        </w:tc>
        <w:tc>
          <w:tcPr>
            <w:tcW w:w="7342" w:type="dxa"/>
          </w:tcPr>
          <w:p w14:paraId="770A8B9A" w14:textId="77777777" w:rsidR="00A15725" w:rsidRDefault="00955D58">
            <w:pPr>
              <w:pBdr>
                <w:top w:val="nil"/>
                <w:left w:val="nil"/>
                <w:bottom w:val="nil"/>
                <w:right w:val="nil"/>
                <w:between w:val="nil"/>
              </w:pBdr>
              <w:tabs>
                <w:tab w:val="left" w:pos="-179"/>
                <w:tab w:val="left" w:pos="142"/>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6A9A7A32" w14:textId="77777777" w:rsidR="00A15725" w:rsidRDefault="00955D58">
            <w:pPr>
              <w:pBdr>
                <w:top w:val="nil"/>
                <w:left w:val="nil"/>
                <w:bottom w:val="nil"/>
                <w:right w:val="nil"/>
                <w:between w:val="nil"/>
              </w:pBdr>
              <w:tabs>
                <w:tab w:val="left" w:pos="-179"/>
                <w:tab w:val="left" w:pos="270"/>
              </w:tabs>
              <w:spacing w:after="120"/>
              <w:ind w:left="1700" w:right="242" w:hanging="1417"/>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434EB5B1" w14:textId="77777777" w:rsidR="00A15725" w:rsidRDefault="00955D58">
            <w:pPr>
              <w:pBdr>
                <w:top w:val="nil"/>
                <w:left w:val="nil"/>
                <w:bottom w:val="nil"/>
                <w:right w:val="nil"/>
                <w:between w:val="nil"/>
              </w:pBdr>
              <w:tabs>
                <w:tab w:val="left" w:pos="-179"/>
                <w:tab w:val="left" w:pos="270"/>
              </w:tabs>
              <w:spacing w:after="120"/>
              <w:ind w:left="1417" w:right="242" w:hanging="1133"/>
              <w:jc w:val="both"/>
              <w:rPr>
                <w:rFonts w:ascii="Arial" w:eastAsia="Arial" w:hAnsi="Arial" w:cs="Arial"/>
                <w:color w:val="000000"/>
                <w:sz w:val="24"/>
                <w:szCs w:val="24"/>
              </w:rPr>
            </w:pPr>
            <w:r>
              <w:rPr>
                <w:rFonts w:ascii="Arial" w:eastAsia="Arial" w:hAnsi="Arial" w:cs="Arial"/>
                <w:color w:val="000000"/>
                <w:sz w:val="24"/>
                <w:szCs w:val="24"/>
              </w:rPr>
              <w:t>b)           the Effective Date</w:t>
            </w:r>
            <w:r>
              <w:rPr>
                <w:rFonts w:ascii="Arial" w:eastAsia="Arial" w:hAnsi="Arial" w:cs="Arial"/>
                <w:sz w:val="24"/>
                <w:szCs w:val="24"/>
              </w:rPr>
              <w:t xml:space="preserve"> </w:t>
            </w:r>
            <w:r>
              <w:rPr>
                <w:rFonts w:ascii="Arial" w:eastAsia="Arial" w:hAnsi="Arial" w:cs="Arial"/>
                <w:color w:val="000000"/>
                <w:sz w:val="24"/>
                <w:szCs w:val="24"/>
              </w:rPr>
              <w:t xml:space="preserve">up to and including the applicable End Date; </w:t>
            </w:r>
          </w:p>
        </w:tc>
      </w:tr>
      <w:tr w:rsidR="00A15725" w14:paraId="1C96BE14" w14:textId="77777777">
        <w:tc>
          <w:tcPr>
            <w:tcW w:w="2691" w:type="dxa"/>
          </w:tcPr>
          <w:p w14:paraId="50C24B9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"Contract Value"</w:t>
            </w:r>
          </w:p>
        </w:tc>
        <w:tc>
          <w:tcPr>
            <w:tcW w:w="7342" w:type="dxa"/>
          </w:tcPr>
          <w:p w14:paraId="48DB3540" w14:textId="77777777" w:rsidR="00A15725" w:rsidRDefault="00955D58">
            <w:pPr>
              <w:pBdr>
                <w:top w:val="nil"/>
                <w:left w:val="nil"/>
                <w:bottom w:val="nil"/>
                <w:right w:val="nil"/>
                <w:between w:val="nil"/>
              </w:pBdr>
              <w:tabs>
                <w:tab w:val="left" w:pos="-179"/>
                <w:tab w:val="left" w:pos="142"/>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A15725" w14:paraId="0CE7CE7F" w14:textId="77777777">
        <w:tc>
          <w:tcPr>
            <w:tcW w:w="2691" w:type="dxa"/>
          </w:tcPr>
          <w:p w14:paraId="5E06D95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"Contract Year"</w:t>
            </w:r>
          </w:p>
        </w:tc>
        <w:tc>
          <w:tcPr>
            <w:tcW w:w="7342" w:type="dxa"/>
          </w:tcPr>
          <w:p w14:paraId="47CC8A70" w14:textId="77777777" w:rsidR="00A15725" w:rsidRDefault="00955D58">
            <w:pPr>
              <w:pBdr>
                <w:top w:val="nil"/>
                <w:left w:val="nil"/>
                <w:bottom w:val="nil"/>
                <w:right w:val="nil"/>
                <w:between w:val="nil"/>
              </w:pBdr>
              <w:tabs>
                <w:tab w:val="left" w:pos="-179"/>
                <w:tab w:val="left" w:pos="142"/>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at the start of the Call Off Initial Period, a consecutive period of twelve</w:t>
            </w:r>
            <w:r>
              <w:rPr>
                <w:rFonts w:ascii="Arial" w:eastAsia="Arial" w:hAnsi="Arial" w:cs="Arial"/>
                <w:sz w:val="24"/>
                <w:szCs w:val="24"/>
              </w:rPr>
              <w:t xml:space="preserve"> </w:t>
            </w:r>
            <w:r>
              <w:rPr>
                <w:rFonts w:ascii="Arial" w:eastAsia="Arial" w:hAnsi="Arial" w:cs="Arial"/>
                <w:color w:val="000000"/>
                <w:sz w:val="24"/>
                <w:szCs w:val="24"/>
              </w:rPr>
              <w:t>(12) Months commencing on the Start Date or each anniversary thereof;</w:t>
            </w:r>
          </w:p>
        </w:tc>
      </w:tr>
      <w:tr w:rsidR="00A15725" w14:paraId="2E283535" w14:textId="77777777">
        <w:tc>
          <w:tcPr>
            <w:tcW w:w="2691" w:type="dxa"/>
          </w:tcPr>
          <w:p w14:paraId="33E98F8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"Control"</w:t>
            </w:r>
          </w:p>
        </w:tc>
        <w:tc>
          <w:tcPr>
            <w:tcW w:w="7342" w:type="dxa"/>
          </w:tcPr>
          <w:p w14:paraId="22338955" w14:textId="77777777" w:rsidR="00A15725" w:rsidRDefault="00955D58">
            <w:pPr>
              <w:pBdr>
                <w:top w:val="nil"/>
                <w:left w:val="nil"/>
                <w:bottom w:val="nil"/>
                <w:right w:val="nil"/>
                <w:between w:val="nil"/>
              </w:pBdr>
              <w:tabs>
                <w:tab w:val="left" w:pos="-179"/>
                <w:tab w:val="left" w:pos="142"/>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A15725" w14:paraId="5E0DBDF8" w14:textId="77777777">
        <w:tc>
          <w:tcPr>
            <w:tcW w:w="2691" w:type="dxa"/>
          </w:tcPr>
          <w:p w14:paraId="578DF5F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“Controller”</w:t>
            </w:r>
          </w:p>
        </w:tc>
        <w:tc>
          <w:tcPr>
            <w:tcW w:w="7342" w:type="dxa"/>
          </w:tcPr>
          <w:p w14:paraId="7C22CC8A" w14:textId="77777777" w:rsidR="00A15725" w:rsidRDefault="00955D58">
            <w:pPr>
              <w:pBdr>
                <w:top w:val="nil"/>
                <w:left w:val="nil"/>
                <w:bottom w:val="nil"/>
                <w:right w:val="nil"/>
                <w:between w:val="nil"/>
              </w:pBdr>
              <w:tabs>
                <w:tab w:val="left" w:pos="-179"/>
                <w:tab w:val="left" w:pos="142"/>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15725" w14:paraId="5086DDBE" w14:textId="77777777">
        <w:tc>
          <w:tcPr>
            <w:tcW w:w="2691" w:type="dxa"/>
            <w:vAlign w:val="center"/>
          </w:tcPr>
          <w:p w14:paraId="503DCC67" w14:textId="77777777" w:rsidR="00A15725" w:rsidRDefault="00955D58">
            <w:pPr>
              <w:spacing w:after="120"/>
              <w:rPr>
                <w:rFonts w:ascii="Arial" w:eastAsia="Arial" w:hAnsi="Arial" w:cs="Arial"/>
                <w:b/>
                <w:sz w:val="24"/>
                <w:szCs w:val="24"/>
              </w:rPr>
            </w:pPr>
            <w:r>
              <w:rPr>
                <w:rFonts w:ascii="Arial" w:eastAsia="Arial" w:hAnsi="Arial" w:cs="Arial"/>
                <w:b/>
                <w:sz w:val="24"/>
                <w:szCs w:val="24"/>
              </w:rPr>
              <w:t>“Core Service or</w:t>
            </w:r>
          </w:p>
          <w:p w14:paraId="6DD7682D" w14:textId="77777777" w:rsidR="00A15725" w:rsidRDefault="00955D58">
            <w:pPr>
              <w:spacing w:after="120"/>
              <w:rPr>
                <w:rFonts w:ascii="Arial" w:eastAsia="Arial" w:hAnsi="Arial" w:cs="Arial"/>
                <w:b/>
                <w:sz w:val="24"/>
                <w:szCs w:val="24"/>
              </w:rPr>
            </w:pPr>
            <w:r>
              <w:rPr>
                <w:rFonts w:ascii="Arial" w:eastAsia="Arial" w:hAnsi="Arial" w:cs="Arial"/>
                <w:b/>
                <w:sz w:val="24"/>
                <w:szCs w:val="24"/>
              </w:rPr>
              <w:lastRenderedPageBreak/>
              <w:t>Core Deliverable”</w:t>
            </w:r>
          </w:p>
          <w:p w14:paraId="7BC4819A" w14:textId="77777777" w:rsidR="00A15725" w:rsidRDefault="00A15725">
            <w:pPr>
              <w:spacing w:after="120"/>
              <w:rPr>
                <w:rFonts w:ascii="Arial" w:eastAsia="Arial" w:hAnsi="Arial" w:cs="Arial"/>
                <w:b/>
                <w:sz w:val="24"/>
                <w:szCs w:val="24"/>
              </w:rPr>
            </w:pPr>
          </w:p>
        </w:tc>
        <w:tc>
          <w:tcPr>
            <w:tcW w:w="7342" w:type="dxa"/>
            <w:vAlign w:val="center"/>
          </w:tcPr>
          <w:p w14:paraId="3CACE981" w14:textId="77777777" w:rsidR="00A15725" w:rsidRDefault="00955D58">
            <w:pPr>
              <w:tabs>
                <w:tab w:val="left" w:pos="-179"/>
                <w:tab w:val="left" w:pos="142"/>
              </w:tabs>
              <w:spacing w:after="120"/>
              <w:ind w:left="142" w:right="242"/>
              <w:jc w:val="both"/>
              <w:rPr>
                <w:rFonts w:ascii="Arial" w:eastAsia="Arial" w:hAnsi="Arial" w:cs="Arial"/>
                <w:sz w:val="24"/>
                <w:szCs w:val="24"/>
              </w:rPr>
            </w:pPr>
            <w:r>
              <w:rPr>
                <w:rFonts w:ascii="Arial" w:eastAsia="Arial" w:hAnsi="Arial" w:cs="Arial"/>
                <w:sz w:val="24"/>
                <w:szCs w:val="24"/>
              </w:rPr>
              <w:lastRenderedPageBreak/>
              <w:t>the services as defined in Framework Schedule 1 – Specification that all Suppliers must be capable of providing on this Framework.</w:t>
            </w:r>
          </w:p>
        </w:tc>
      </w:tr>
      <w:tr w:rsidR="00A15725" w14:paraId="6581F949" w14:textId="77777777">
        <w:tc>
          <w:tcPr>
            <w:tcW w:w="2691" w:type="dxa"/>
          </w:tcPr>
          <w:p w14:paraId="60F5A0B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“Core Terms”</w:t>
            </w:r>
          </w:p>
        </w:tc>
        <w:tc>
          <w:tcPr>
            <w:tcW w:w="7342" w:type="dxa"/>
          </w:tcPr>
          <w:p w14:paraId="4A24168D"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A15725" w14:paraId="6E608985" w14:textId="77777777">
        <w:tc>
          <w:tcPr>
            <w:tcW w:w="2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54C19" w14:textId="77777777" w:rsidR="00A15725" w:rsidRDefault="00955D58">
            <w:pPr>
              <w:spacing w:after="120" w:line="276" w:lineRule="auto"/>
              <w:ind w:left="-100"/>
              <w:rPr>
                <w:rFonts w:ascii="Arial" w:eastAsia="Arial" w:hAnsi="Arial" w:cs="Arial"/>
                <w:b/>
                <w:sz w:val="24"/>
                <w:szCs w:val="24"/>
              </w:rPr>
            </w:pPr>
            <w:r>
              <w:rPr>
                <w:rFonts w:ascii="Arial" w:eastAsia="Arial" w:hAnsi="Arial" w:cs="Arial"/>
                <w:b/>
                <w:sz w:val="24"/>
                <w:szCs w:val="24"/>
              </w:rPr>
              <w:t>“Core Terms Contract”</w:t>
            </w:r>
          </w:p>
        </w:tc>
        <w:tc>
          <w:tcPr>
            <w:tcW w:w="73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85281B" w14:textId="77777777" w:rsidR="00A15725" w:rsidRDefault="00955D58">
            <w:pPr>
              <w:tabs>
                <w:tab w:val="left" w:pos="-179"/>
                <w:tab w:val="left" w:pos="284"/>
              </w:tabs>
              <w:spacing w:after="120" w:line="276" w:lineRule="auto"/>
              <w:jc w:val="both"/>
              <w:rPr>
                <w:rFonts w:ascii="Arial" w:eastAsia="Arial" w:hAnsi="Arial" w:cs="Arial"/>
                <w:sz w:val="24"/>
                <w:szCs w:val="24"/>
              </w:rPr>
            </w:pPr>
            <w:r>
              <w:rPr>
                <w:rFonts w:ascii="Arial" w:eastAsia="Arial" w:hAnsi="Arial" w:cs="Arial"/>
                <w:sz w:val="24"/>
                <w:szCs w:val="24"/>
              </w:rPr>
              <w:t>Any Contract which is not an Call Off Contract entered into using Annex B or C of the applicable Order Form. For the avoidance of doubt a Core Terms Call Off Contract shall be a Core Terms Contract;</w:t>
            </w:r>
          </w:p>
        </w:tc>
      </w:tr>
      <w:tr w:rsidR="00A15725" w14:paraId="34B8E509" w14:textId="77777777">
        <w:tc>
          <w:tcPr>
            <w:tcW w:w="26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889AF2" w14:textId="77777777" w:rsidR="00A15725" w:rsidRDefault="00955D58">
            <w:pPr>
              <w:spacing w:after="120" w:line="276" w:lineRule="auto"/>
              <w:ind w:left="-100"/>
              <w:rPr>
                <w:rFonts w:ascii="Arial" w:eastAsia="Arial" w:hAnsi="Arial" w:cs="Arial"/>
                <w:b/>
                <w:sz w:val="24"/>
                <w:szCs w:val="24"/>
              </w:rPr>
            </w:pPr>
            <w:r>
              <w:rPr>
                <w:rFonts w:ascii="Arial" w:eastAsia="Arial" w:hAnsi="Arial" w:cs="Arial"/>
                <w:b/>
                <w:sz w:val="24"/>
                <w:szCs w:val="24"/>
              </w:rPr>
              <w:t>“Core Terms Call Off Contract”</w:t>
            </w:r>
          </w:p>
        </w:tc>
        <w:tc>
          <w:tcPr>
            <w:tcW w:w="7342" w:type="dxa"/>
            <w:tcBorders>
              <w:top w:val="nil"/>
              <w:left w:val="nil"/>
              <w:bottom w:val="single" w:sz="8" w:space="0" w:color="000000"/>
              <w:right w:val="single" w:sz="8" w:space="0" w:color="000000"/>
            </w:tcBorders>
            <w:tcMar>
              <w:top w:w="100" w:type="dxa"/>
              <w:left w:w="100" w:type="dxa"/>
              <w:bottom w:w="100" w:type="dxa"/>
              <w:right w:w="100" w:type="dxa"/>
            </w:tcMar>
          </w:tcPr>
          <w:p w14:paraId="7BACF17B" w14:textId="77777777" w:rsidR="00A15725" w:rsidRDefault="00955D58">
            <w:pPr>
              <w:tabs>
                <w:tab w:val="left" w:pos="-179"/>
                <w:tab w:val="left" w:pos="284"/>
              </w:tabs>
              <w:spacing w:after="120" w:line="276" w:lineRule="auto"/>
              <w:jc w:val="both"/>
              <w:rPr>
                <w:rFonts w:ascii="Arial" w:eastAsia="Arial" w:hAnsi="Arial" w:cs="Arial"/>
                <w:sz w:val="24"/>
                <w:szCs w:val="24"/>
              </w:rPr>
            </w:pPr>
            <w:r>
              <w:rPr>
                <w:rFonts w:ascii="Arial" w:eastAsia="Arial" w:hAnsi="Arial" w:cs="Arial"/>
                <w:sz w:val="24"/>
                <w:szCs w:val="24"/>
              </w:rPr>
              <w:t>A Call Off Contract entered into using Annex A to the applicable Order Form, and excludes Call Off Contracts entered into using Annex B or C of the applicable Order Form;</w:t>
            </w:r>
          </w:p>
        </w:tc>
      </w:tr>
      <w:tr w:rsidR="00A15725" w14:paraId="6F8A50E2" w14:textId="77777777">
        <w:tc>
          <w:tcPr>
            <w:tcW w:w="2691" w:type="dxa"/>
            <w:vAlign w:val="center"/>
          </w:tcPr>
          <w:p w14:paraId="34374CBB"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 xml:space="preserve">“Corporate Overhead” </w:t>
            </w:r>
          </w:p>
        </w:tc>
        <w:tc>
          <w:tcPr>
            <w:tcW w:w="7342" w:type="dxa"/>
            <w:vAlign w:val="center"/>
          </w:tcPr>
          <w:p w14:paraId="48878031" w14:textId="77777777" w:rsidR="00A15725" w:rsidRDefault="00955D58">
            <w:pPr>
              <w:pBdr>
                <w:top w:val="nil"/>
                <w:left w:val="nil"/>
                <w:bottom w:val="nil"/>
                <w:right w:val="nil"/>
                <w:between w:val="nil"/>
              </w:pBdr>
              <w:tabs>
                <w:tab w:val="left" w:pos="-179"/>
                <w:tab w:val="left" w:pos="284"/>
              </w:tabs>
              <w:spacing w:after="120"/>
              <w:ind w:left="142" w:right="242"/>
              <w:rPr>
                <w:rFonts w:ascii="Arial" w:eastAsia="Arial" w:hAnsi="Arial" w:cs="Arial"/>
                <w:color w:val="000000"/>
                <w:sz w:val="24"/>
                <w:szCs w:val="24"/>
              </w:rPr>
            </w:pPr>
            <w:r>
              <w:rPr>
                <w:rFonts w:ascii="Arial" w:eastAsia="Arial" w:hAnsi="Arial" w:cs="Arial"/>
                <w:color w:val="000000"/>
                <w:sz w:val="24"/>
                <w:szCs w:val="24"/>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p w14:paraId="114DC4F9"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sz w:val="24"/>
                <w:szCs w:val="24"/>
              </w:rPr>
            </w:pPr>
            <w:r>
              <w:rPr>
                <w:rFonts w:ascii="Arial" w:eastAsia="Arial" w:hAnsi="Arial" w:cs="Arial"/>
                <w:sz w:val="24"/>
                <w:szCs w:val="24"/>
              </w:rPr>
              <w:t>Corporate Overhead is captured at Framework level in the form of a percentage uplift, and forms part of the price evaluation. At Further Competition the Framework rates are used as maximum rates, and bidders are invited to reduce the rates for each specific Further Competition.</w:t>
            </w:r>
          </w:p>
        </w:tc>
      </w:tr>
      <w:tr w:rsidR="00A15725" w14:paraId="17D73EAA" w14:textId="77777777">
        <w:tc>
          <w:tcPr>
            <w:tcW w:w="2691" w:type="dxa"/>
          </w:tcPr>
          <w:p w14:paraId="284DD26F"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“COSoP”</w:t>
            </w:r>
          </w:p>
        </w:tc>
        <w:tc>
          <w:tcPr>
            <w:tcW w:w="7342" w:type="dxa"/>
          </w:tcPr>
          <w:p w14:paraId="4C8EA831"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sz w:val="24"/>
                <w:szCs w:val="24"/>
              </w:rPr>
              <w:t>Cabinet Office Statement of Practice;</w:t>
            </w:r>
          </w:p>
        </w:tc>
      </w:tr>
      <w:tr w:rsidR="00A15725" w14:paraId="4F2C400F" w14:textId="77777777">
        <w:tc>
          <w:tcPr>
            <w:tcW w:w="2691" w:type="dxa"/>
          </w:tcPr>
          <w:p w14:paraId="378BB19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"Costs"</w:t>
            </w:r>
          </w:p>
        </w:tc>
        <w:tc>
          <w:tcPr>
            <w:tcW w:w="7342" w:type="dxa"/>
          </w:tcPr>
          <w:p w14:paraId="05289951" w14:textId="77777777" w:rsidR="00A15725" w:rsidRDefault="00955D58">
            <w:pPr>
              <w:pBdr>
                <w:top w:val="nil"/>
                <w:left w:val="nil"/>
                <w:bottom w:val="nil"/>
                <w:right w:val="nil"/>
                <w:between w:val="nil"/>
              </w:pBdr>
              <w:tabs>
                <w:tab w:val="left" w:pos="-179"/>
                <w:tab w:val="left" w:pos="284"/>
              </w:tabs>
              <w:spacing w:after="120"/>
              <w:ind w:left="142" w:right="242"/>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018E7965" w14:textId="77777777" w:rsidR="00A15725" w:rsidRDefault="00955D58">
            <w:pPr>
              <w:numPr>
                <w:ilvl w:val="1"/>
                <w:numId w:val="30"/>
              </w:numPr>
              <w:pBdr>
                <w:top w:val="nil"/>
                <w:left w:val="nil"/>
                <w:bottom w:val="nil"/>
                <w:right w:val="nil"/>
                <w:between w:val="nil"/>
              </w:pBdr>
              <w:tabs>
                <w:tab w:val="left" w:pos="-576"/>
                <w:tab w:val="left" w:pos="270"/>
                <w:tab w:val="left" w:pos="284"/>
              </w:tabs>
              <w:spacing w:after="120"/>
              <w:ind w:left="1133" w:right="242" w:hanging="708"/>
              <w:jc w:val="both"/>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14:paraId="51D3B74F" w14:textId="77777777" w:rsidR="00A15725" w:rsidRDefault="00955D58">
            <w:pPr>
              <w:numPr>
                <w:ilvl w:val="2"/>
                <w:numId w:val="30"/>
              </w:numPr>
              <w:pBdr>
                <w:top w:val="nil"/>
                <w:left w:val="nil"/>
                <w:bottom w:val="nil"/>
                <w:right w:val="nil"/>
                <w:between w:val="nil"/>
              </w:pBdr>
              <w:tabs>
                <w:tab w:val="left" w:pos="-576"/>
                <w:tab w:val="left" w:pos="144"/>
                <w:tab w:val="left" w:pos="284"/>
              </w:tabs>
              <w:spacing w:after="120"/>
              <w:ind w:left="850" w:right="242" w:firstLine="0"/>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422C4491" w14:textId="77777777" w:rsidR="00A15725" w:rsidRDefault="00955D58">
            <w:pPr>
              <w:numPr>
                <w:ilvl w:val="2"/>
                <w:numId w:val="30"/>
              </w:numPr>
              <w:pBdr>
                <w:top w:val="nil"/>
                <w:left w:val="nil"/>
                <w:bottom w:val="nil"/>
                <w:right w:val="nil"/>
                <w:between w:val="nil"/>
              </w:pBdr>
              <w:tabs>
                <w:tab w:val="left" w:pos="-576"/>
                <w:tab w:val="left" w:pos="144"/>
                <w:tab w:val="left" w:pos="284"/>
              </w:tabs>
              <w:spacing w:after="120"/>
              <w:ind w:left="850" w:right="242" w:firstLine="0"/>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14:paraId="374F3F13" w14:textId="77777777" w:rsidR="00A15725" w:rsidRDefault="00955D58">
            <w:pPr>
              <w:numPr>
                <w:ilvl w:val="2"/>
                <w:numId w:val="30"/>
              </w:numPr>
              <w:pBdr>
                <w:top w:val="nil"/>
                <w:left w:val="nil"/>
                <w:bottom w:val="nil"/>
                <w:right w:val="nil"/>
                <w:between w:val="nil"/>
              </w:pBdr>
              <w:tabs>
                <w:tab w:val="left" w:pos="-576"/>
                <w:tab w:val="left" w:pos="144"/>
                <w:tab w:val="left" w:pos="284"/>
              </w:tabs>
              <w:spacing w:after="120"/>
              <w:ind w:left="850" w:right="242" w:firstLine="0"/>
              <w:jc w:val="both"/>
              <w:rPr>
                <w:rFonts w:ascii="Arial" w:eastAsia="Arial" w:hAnsi="Arial" w:cs="Arial"/>
                <w:color w:val="000000"/>
                <w:sz w:val="24"/>
                <w:szCs w:val="24"/>
              </w:rPr>
            </w:pPr>
            <w:r>
              <w:rPr>
                <w:rFonts w:ascii="Arial" w:eastAsia="Arial" w:hAnsi="Arial" w:cs="Arial"/>
                <w:color w:val="000000"/>
                <w:sz w:val="24"/>
                <w:szCs w:val="24"/>
              </w:rPr>
              <w:t>pension contributions;</w:t>
            </w:r>
          </w:p>
          <w:p w14:paraId="763391EB" w14:textId="77777777" w:rsidR="00A15725" w:rsidRDefault="00955D58">
            <w:pPr>
              <w:numPr>
                <w:ilvl w:val="2"/>
                <w:numId w:val="30"/>
              </w:numPr>
              <w:pBdr>
                <w:top w:val="nil"/>
                <w:left w:val="nil"/>
                <w:bottom w:val="nil"/>
                <w:right w:val="nil"/>
                <w:between w:val="nil"/>
              </w:pBdr>
              <w:tabs>
                <w:tab w:val="left" w:pos="-576"/>
                <w:tab w:val="left" w:pos="144"/>
                <w:tab w:val="left" w:pos="284"/>
              </w:tabs>
              <w:spacing w:after="120"/>
              <w:ind w:left="850" w:right="242" w:firstLine="0"/>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14:paraId="3371D24B" w14:textId="77777777" w:rsidR="00A15725" w:rsidRDefault="00955D58">
            <w:pPr>
              <w:numPr>
                <w:ilvl w:val="2"/>
                <w:numId w:val="30"/>
              </w:numPr>
              <w:pBdr>
                <w:top w:val="nil"/>
                <w:left w:val="nil"/>
                <w:bottom w:val="nil"/>
                <w:right w:val="nil"/>
                <w:between w:val="nil"/>
              </w:pBdr>
              <w:tabs>
                <w:tab w:val="left" w:pos="-576"/>
                <w:tab w:val="left" w:pos="144"/>
                <w:tab w:val="left" w:pos="284"/>
              </w:tabs>
              <w:spacing w:after="120"/>
              <w:ind w:left="850" w:right="242" w:firstLine="0"/>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309D4CB5" w14:textId="77777777" w:rsidR="00A15725" w:rsidRDefault="00955D58">
            <w:pPr>
              <w:numPr>
                <w:ilvl w:val="2"/>
                <w:numId w:val="30"/>
              </w:numPr>
              <w:pBdr>
                <w:top w:val="nil"/>
                <w:left w:val="nil"/>
                <w:bottom w:val="nil"/>
                <w:right w:val="nil"/>
                <w:between w:val="nil"/>
              </w:pBdr>
              <w:tabs>
                <w:tab w:val="left" w:pos="-576"/>
                <w:tab w:val="left" w:pos="144"/>
                <w:tab w:val="left" w:pos="284"/>
              </w:tabs>
              <w:spacing w:after="120"/>
              <w:ind w:left="850" w:right="242" w:firstLine="0"/>
              <w:jc w:val="both"/>
              <w:rPr>
                <w:rFonts w:ascii="Arial" w:eastAsia="Arial" w:hAnsi="Arial" w:cs="Arial"/>
                <w:color w:val="000000"/>
                <w:sz w:val="24"/>
                <w:szCs w:val="24"/>
              </w:rPr>
            </w:pPr>
            <w:r>
              <w:rPr>
                <w:rFonts w:ascii="Arial" w:eastAsia="Arial" w:hAnsi="Arial" w:cs="Arial"/>
                <w:color w:val="000000"/>
                <w:sz w:val="24"/>
                <w:szCs w:val="24"/>
              </w:rPr>
              <w:t>staff training;</w:t>
            </w:r>
          </w:p>
          <w:p w14:paraId="1D947DD8" w14:textId="77777777" w:rsidR="00A15725" w:rsidRDefault="00955D58">
            <w:pPr>
              <w:numPr>
                <w:ilvl w:val="2"/>
                <w:numId w:val="30"/>
              </w:numPr>
              <w:pBdr>
                <w:top w:val="nil"/>
                <w:left w:val="nil"/>
                <w:bottom w:val="nil"/>
                <w:right w:val="nil"/>
                <w:between w:val="nil"/>
              </w:pBdr>
              <w:tabs>
                <w:tab w:val="left" w:pos="-576"/>
                <w:tab w:val="left" w:pos="144"/>
                <w:tab w:val="left" w:pos="284"/>
              </w:tabs>
              <w:spacing w:after="120"/>
              <w:ind w:left="850" w:right="242" w:firstLine="0"/>
              <w:jc w:val="both"/>
              <w:rPr>
                <w:rFonts w:ascii="Arial" w:eastAsia="Arial" w:hAnsi="Arial" w:cs="Arial"/>
                <w:color w:val="000000"/>
                <w:sz w:val="24"/>
                <w:szCs w:val="24"/>
              </w:rPr>
            </w:pPr>
            <w:r>
              <w:rPr>
                <w:rFonts w:ascii="Arial" w:eastAsia="Arial" w:hAnsi="Arial" w:cs="Arial"/>
                <w:color w:val="000000"/>
                <w:sz w:val="24"/>
                <w:szCs w:val="24"/>
              </w:rPr>
              <w:t>work place accommodation;</w:t>
            </w:r>
          </w:p>
          <w:p w14:paraId="64AC82E3" w14:textId="77777777" w:rsidR="00A15725" w:rsidRDefault="00955D58">
            <w:pPr>
              <w:numPr>
                <w:ilvl w:val="2"/>
                <w:numId w:val="30"/>
              </w:numPr>
              <w:pBdr>
                <w:top w:val="nil"/>
                <w:left w:val="nil"/>
                <w:bottom w:val="nil"/>
                <w:right w:val="nil"/>
                <w:between w:val="nil"/>
              </w:pBdr>
              <w:tabs>
                <w:tab w:val="left" w:pos="-576"/>
                <w:tab w:val="left" w:pos="144"/>
                <w:tab w:val="left" w:pos="285"/>
              </w:tabs>
              <w:spacing w:after="120"/>
              <w:ind w:left="1559" w:right="242" w:hanging="708"/>
              <w:jc w:val="both"/>
              <w:rPr>
                <w:rFonts w:ascii="Arial" w:eastAsia="Arial" w:hAnsi="Arial" w:cs="Arial"/>
                <w:color w:val="000000"/>
                <w:sz w:val="24"/>
                <w:szCs w:val="24"/>
              </w:rPr>
            </w:pPr>
            <w:r>
              <w:rPr>
                <w:rFonts w:ascii="Arial" w:eastAsia="Arial" w:hAnsi="Arial" w:cs="Arial"/>
                <w:color w:val="000000"/>
                <w:sz w:val="24"/>
                <w:szCs w:val="24"/>
              </w:rPr>
              <w:lastRenderedPageBreak/>
              <w:t>work place IT equipment and tools reasonably necessary to provide the Deliverables (but not including items included within limb (b) below); and</w:t>
            </w:r>
          </w:p>
          <w:p w14:paraId="492619E1" w14:textId="77777777" w:rsidR="00A15725" w:rsidRDefault="00955D58">
            <w:pPr>
              <w:numPr>
                <w:ilvl w:val="2"/>
                <w:numId w:val="30"/>
              </w:numPr>
              <w:pBdr>
                <w:top w:val="nil"/>
                <w:left w:val="nil"/>
                <w:bottom w:val="nil"/>
                <w:right w:val="nil"/>
                <w:between w:val="nil"/>
              </w:pBdr>
              <w:tabs>
                <w:tab w:val="left" w:pos="-576"/>
                <w:tab w:val="left" w:pos="144"/>
                <w:tab w:val="left" w:pos="284"/>
              </w:tabs>
              <w:spacing w:after="120"/>
              <w:ind w:left="1559" w:right="242" w:hanging="708"/>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14:paraId="55BB974A" w14:textId="77777777" w:rsidR="00A15725" w:rsidRDefault="00955D58">
            <w:pPr>
              <w:numPr>
                <w:ilvl w:val="1"/>
                <w:numId w:val="30"/>
              </w:numPr>
              <w:pBdr>
                <w:top w:val="nil"/>
                <w:left w:val="nil"/>
                <w:bottom w:val="nil"/>
                <w:right w:val="nil"/>
                <w:between w:val="nil"/>
              </w:pBdr>
              <w:tabs>
                <w:tab w:val="left" w:pos="-576"/>
                <w:tab w:val="left" w:pos="144"/>
                <w:tab w:val="left" w:pos="284"/>
              </w:tabs>
              <w:spacing w:after="120"/>
              <w:ind w:left="1133" w:right="242" w:hanging="708"/>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18A7E7D3" w14:textId="77777777" w:rsidR="00A15725" w:rsidRDefault="00955D58">
            <w:pPr>
              <w:numPr>
                <w:ilvl w:val="1"/>
                <w:numId w:val="30"/>
              </w:numPr>
              <w:pBdr>
                <w:top w:val="nil"/>
                <w:left w:val="nil"/>
                <w:bottom w:val="nil"/>
                <w:right w:val="nil"/>
                <w:between w:val="nil"/>
              </w:pBdr>
              <w:tabs>
                <w:tab w:val="left" w:pos="-576"/>
                <w:tab w:val="left" w:pos="144"/>
                <w:tab w:val="left" w:pos="284"/>
              </w:tabs>
              <w:spacing w:after="120"/>
              <w:ind w:left="1133" w:right="242" w:hanging="708"/>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7C753961" w14:textId="77777777" w:rsidR="00A15725" w:rsidRDefault="00955D58">
            <w:pPr>
              <w:numPr>
                <w:ilvl w:val="1"/>
                <w:numId w:val="30"/>
              </w:numPr>
              <w:pBdr>
                <w:top w:val="nil"/>
                <w:left w:val="nil"/>
                <w:bottom w:val="nil"/>
                <w:right w:val="nil"/>
                <w:between w:val="nil"/>
              </w:pBdr>
              <w:tabs>
                <w:tab w:val="left" w:pos="-576"/>
                <w:tab w:val="left" w:pos="144"/>
                <w:tab w:val="left" w:pos="284"/>
              </w:tabs>
              <w:spacing w:after="120"/>
              <w:ind w:left="1133" w:right="242" w:hanging="708"/>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38273321" w14:textId="77777777" w:rsidR="00A15725" w:rsidRDefault="00955D58">
            <w:pPr>
              <w:pBdr>
                <w:top w:val="nil"/>
                <w:left w:val="nil"/>
                <w:bottom w:val="nil"/>
                <w:right w:val="nil"/>
                <w:between w:val="nil"/>
              </w:pBdr>
              <w:tabs>
                <w:tab w:val="left" w:pos="-179"/>
                <w:tab w:val="left" w:pos="284"/>
                <w:tab w:val="left" w:pos="411"/>
              </w:tabs>
              <w:spacing w:after="120"/>
              <w:ind w:left="1133" w:right="242" w:hanging="708"/>
              <w:jc w:val="both"/>
              <w:rPr>
                <w:rFonts w:ascii="Arial" w:eastAsia="Arial" w:hAnsi="Arial" w:cs="Arial"/>
                <w:color w:val="000000"/>
                <w:sz w:val="24"/>
                <w:szCs w:val="24"/>
              </w:rPr>
            </w:pPr>
            <w:r>
              <w:rPr>
                <w:rFonts w:ascii="Arial" w:eastAsia="Arial" w:hAnsi="Arial" w:cs="Arial"/>
                <w:color w:val="000000"/>
                <w:sz w:val="24"/>
                <w:szCs w:val="24"/>
              </w:rPr>
              <w:tab/>
              <w:t>but excluding:</w:t>
            </w:r>
          </w:p>
          <w:p w14:paraId="52E13A40" w14:textId="77777777" w:rsidR="00A15725" w:rsidRDefault="00955D58">
            <w:pPr>
              <w:numPr>
                <w:ilvl w:val="1"/>
                <w:numId w:val="30"/>
              </w:numPr>
              <w:pBdr>
                <w:top w:val="nil"/>
                <w:left w:val="nil"/>
                <w:bottom w:val="nil"/>
                <w:right w:val="nil"/>
                <w:between w:val="nil"/>
              </w:pBdr>
              <w:tabs>
                <w:tab w:val="left" w:pos="-576"/>
                <w:tab w:val="left" w:pos="144"/>
                <w:tab w:val="left" w:pos="284"/>
              </w:tabs>
              <w:spacing w:after="120"/>
              <w:ind w:left="1133" w:right="242" w:hanging="708"/>
              <w:jc w:val="both"/>
              <w:rPr>
                <w:rFonts w:ascii="Arial" w:eastAsia="Arial" w:hAnsi="Arial" w:cs="Arial"/>
                <w:color w:val="000000"/>
                <w:sz w:val="24"/>
                <w:szCs w:val="24"/>
              </w:rPr>
            </w:pPr>
            <w:r>
              <w:rPr>
                <w:rFonts w:ascii="Arial" w:eastAsia="Arial" w:hAnsi="Arial" w:cs="Arial"/>
                <w:color w:val="000000"/>
                <w:sz w:val="24"/>
                <w:szCs w:val="24"/>
              </w:rPr>
              <w:t>Overhead;</w:t>
            </w:r>
          </w:p>
          <w:p w14:paraId="25848B1C" w14:textId="77777777" w:rsidR="00A15725" w:rsidRDefault="00955D58">
            <w:pPr>
              <w:numPr>
                <w:ilvl w:val="1"/>
                <w:numId w:val="30"/>
              </w:numPr>
              <w:pBdr>
                <w:top w:val="nil"/>
                <w:left w:val="nil"/>
                <w:bottom w:val="nil"/>
                <w:right w:val="nil"/>
                <w:between w:val="nil"/>
              </w:pBdr>
              <w:tabs>
                <w:tab w:val="left" w:pos="-576"/>
                <w:tab w:val="left" w:pos="144"/>
                <w:tab w:val="left" w:pos="284"/>
              </w:tabs>
              <w:spacing w:after="120"/>
              <w:ind w:left="1133" w:right="242" w:hanging="708"/>
              <w:jc w:val="both"/>
              <w:rPr>
                <w:rFonts w:ascii="Arial" w:eastAsia="Arial" w:hAnsi="Arial" w:cs="Arial"/>
                <w:color w:val="000000"/>
                <w:sz w:val="24"/>
                <w:szCs w:val="24"/>
              </w:rPr>
            </w:pPr>
            <w:r>
              <w:rPr>
                <w:rFonts w:ascii="Arial" w:eastAsia="Arial" w:hAnsi="Arial" w:cs="Arial"/>
                <w:color w:val="000000"/>
                <w:sz w:val="24"/>
                <w:szCs w:val="24"/>
              </w:rPr>
              <w:t>financing or similar costs;</w:t>
            </w:r>
          </w:p>
          <w:p w14:paraId="68D96D30" w14:textId="77777777" w:rsidR="00A15725" w:rsidRDefault="00955D58">
            <w:pPr>
              <w:numPr>
                <w:ilvl w:val="1"/>
                <w:numId w:val="30"/>
              </w:numPr>
              <w:pBdr>
                <w:top w:val="nil"/>
                <w:left w:val="nil"/>
                <w:bottom w:val="nil"/>
                <w:right w:val="nil"/>
                <w:between w:val="nil"/>
              </w:pBdr>
              <w:tabs>
                <w:tab w:val="left" w:pos="-576"/>
                <w:tab w:val="left" w:pos="144"/>
                <w:tab w:val="left" w:pos="284"/>
              </w:tabs>
              <w:spacing w:after="120"/>
              <w:ind w:left="1133" w:right="242" w:hanging="708"/>
              <w:jc w:val="both"/>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783EB73B" w14:textId="77777777" w:rsidR="00A15725" w:rsidRDefault="00955D58">
            <w:pPr>
              <w:numPr>
                <w:ilvl w:val="1"/>
                <w:numId w:val="30"/>
              </w:numPr>
              <w:pBdr>
                <w:top w:val="nil"/>
                <w:left w:val="nil"/>
                <w:bottom w:val="nil"/>
                <w:right w:val="nil"/>
                <w:between w:val="nil"/>
              </w:pBdr>
              <w:tabs>
                <w:tab w:val="left" w:pos="-576"/>
                <w:tab w:val="left" w:pos="144"/>
                <w:tab w:val="left" w:pos="284"/>
              </w:tabs>
              <w:spacing w:after="120"/>
              <w:ind w:left="1133" w:right="242" w:hanging="708"/>
              <w:jc w:val="both"/>
              <w:rPr>
                <w:rFonts w:ascii="Arial" w:eastAsia="Arial" w:hAnsi="Arial" w:cs="Arial"/>
                <w:color w:val="000000"/>
                <w:sz w:val="24"/>
                <w:szCs w:val="24"/>
              </w:rPr>
            </w:pPr>
            <w:r>
              <w:rPr>
                <w:rFonts w:ascii="Arial" w:eastAsia="Arial" w:hAnsi="Arial" w:cs="Arial"/>
                <w:color w:val="000000"/>
                <w:sz w:val="24"/>
                <w:szCs w:val="24"/>
              </w:rPr>
              <w:t>taxation;</w:t>
            </w:r>
          </w:p>
          <w:p w14:paraId="190848C0" w14:textId="77777777" w:rsidR="00A15725" w:rsidRDefault="00955D58">
            <w:pPr>
              <w:numPr>
                <w:ilvl w:val="1"/>
                <w:numId w:val="30"/>
              </w:numPr>
              <w:pBdr>
                <w:top w:val="nil"/>
                <w:left w:val="nil"/>
                <w:bottom w:val="nil"/>
                <w:right w:val="nil"/>
                <w:between w:val="nil"/>
              </w:pBdr>
              <w:tabs>
                <w:tab w:val="left" w:pos="-576"/>
                <w:tab w:val="left" w:pos="144"/>
                <w:tab w:val="left" w:pos="284"/>
              </w:tabs>
              <w:spacing w:after="120"/>
              <w:ind w:left="1133" w:right="242" w:hanging="708"/>
              <w:jc w:val="both"/>
              <w:rPr>
                <w:rFonts w:ascii="Arial" w:eastAsia="Arial" w:hAnsi="Arial" w:cs="Arial"/>
                <w:color w:val="000000"/>
                <w:sz w:val="24"/>
                <w:szCs w:val="24"/>
              </w:rPr>
            </w:pPr>
            <w:r>
              <w:rPr>
                <w:rFonts w:ascii="Arial" w:eastAsia="Arial" w:hAnsi="Arial" w:cs="Arial"/>
                <w:color w:val="000000"/>
                <w:sz w:val="24"/>
                <w:szCs w:val="24"/>
              </w:rPr>
              <w:t>fines and penalties;</w:t>
            </w:r>
          </w:p>
          <w:p w14:paraId="6DDB9A08" w14:textId="77777777" w:rsidR="00A15725" w:rsidRDefault="00955D58">
            <w:pPr>
              <w:numPr>
                <w:ilvl w:val="1"/>
                <w:numId w:val="30"/>
              </w:numPr>
              <w:pBdr>
                <w:top w:val="nil"/>
                <w:left w:val="nil"/>
                <w:bottom w:val="nil"/>
                <w:right w:val="nil"/>
                <w:between w:val="nil"/>
              </w:pBdr>
              <w:tabs>
                <w:tab w:val="left" w:pos="-576"/>
                <w:tab w:val="left" w:pos="144"/>
                <w:tab w:val="left" w:pos="284"/>
              </w:tabs>
              <w:spacing w:after="120"/>
              <w:ind w:left="1133" w:right="242" w:hanging="708"/>
              <w:jc w:val="both"/>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14:paraId="1CB10C29" w14:textId="77777777" w:rsidR="00A15725" w:rsidRDefault="00955D58">
            <w:pPr>
              <w:numPr>
                <w:ilvl w:val="1"/>
                <w:numId w:val="30"/>
              </w:numPr>
              <w:pBdr>
                <w:top w:val="nil"/>
                <w:left w:val="nil"/>
                <w:bottom w:val="nil"/>
                <w:right w:val="nil"/>
                <w:between w:val="nil"/>
              </w:pBdr>
              <w:tabs>
                <w:tab w:val="left" w:pos="-576"/>
                <w:tab w:val="left" w:pos="144"/>
                <w:tab w:val="left" w:pos="284"/>
              </w:tabs>
              <w:spacing w:after="120"/>
              <w:ind w:left="1133" w:right="242" w:hanging="708"/>
              <w:jc w:val="both"/>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A15725" w14:paraId="0BC2592A" w14:textId="77777777">
        <w:tc>
          <w:tcPr>
            <w:tcW w:w="2691" w:type="dxa"/>
          </w:tcPr>
          <w:p w14:paraId="6FA25E0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“Credit Rating Threshold”</w:t>
            </w:r>
          </w:p>
        </w:tc>
        <w:tc>
          <w:tcPr>
            <w:tcW w:w="7342" w:type="dxa"/>
          </w:tcPr>
          <w:p w14:paraId="42FD5568"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has the meaning given to it in the Framework Award Form or Order Form, as the context requires;</w:t>
            </w:r>
          </w:p>
        </w:tc>
      </w:tr>
      <w:tr w:rsidR="00A15725" w14:paraId="3EFDBDD2" w14:textId="77777777">
        <w:tc>
          <w:tcPr>
            <w:tcW w:w="2691" w:type="dxa"/>
          </w:tcPr>
          <w:p w14:paraId="39E366B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“CRM”</w:t>
            </w:r>
          </w:p>
        </w:tc>
        <w:tc>
          <w:tcPr>
            <w:tcW w:w="7342" w:type="dxa"/>
          </w:tcPr>
          <w:p w14:paraId="63E7643F" w14:textId="77777777" w:rsidR="00A15725" w:rsidRDefault="00955D58">
            <w:pPr>
              <w:tabs>
                <w:tab w:val="left" w:pos="284"/>
              </w:tabs>
              <w:spacing w:line="276" w:lineRule="auto"/>
              <w:ind w:left="284" w:right="242"/>
              <w:rPr>
                <w:rFonts w:ascii="Arial" w:eastAsia="Arial" w:hAnsi="Arial" w:cs="Arial"/>
                <w:sz w:val="24"/>
                <w:szCs w:val="24"/>
              </w:rPr>
            </w:pPr>
            <w:r>
              <w:rPr>
                <w:rFonts w:ascii="Arial" w:eastAsia="Arial" w:hAnsi="Arial" w:cs="Arial"/>
                <w:sz w:val="24"/>
                <w:szCs w:val="24"/>
              </w:rPr>
              <w:t>Customer Relationship Management;</w:t>
            </w:r>
          </w:p>
        </w:tc>
      </w:tr>
      <w:tr w:rsidR="00A15725" w14:paraId="1926A962" w14:textId="77777777">
        <w:tc>
          <w:tcPr>
            <w:tcW w:w="2691" w:type="dxa"/>
            <w:vAlign w:val="center"/>
          </w:tcPr>
          <w:p w14:paraId="2768019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"Crown Body</w:t>
            </w:r>
            <w:r>
              <w:rPr>
                <w:rFonts w:ascii="Arial" w:eastAsia="Arial" w:hAnsi="Arial" w:cs="Arial"/>
                <w:sz w:val="24"/>
                <w:szCs w:val="24"/>
              </w:rPr>
              <w:t>"</w:t>
            </w:r>
          </w:p>
        </w:tc>
        <w:tc>
          <w:tcPr>
            <w:tcW w:w="7342" w:type="dxa"/>
            <w:vAlign w:val="center"/>
          </w:tcPr>
          <w:p w14:paraId="5C112789"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A15725" w14:paraId="18D42896" w14:textId="77777777">
        <w:tc>
          <w:tcPr>
            <w:tcW w:w="2691" w:type="dxa"/>
          </w:tcPr>
          <w:p w14:paraId="7B3CDCA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7342" w:type="dxa"/>
          </w:tcPr>
          <w:p w14:paraId="68EAF55F"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A15725" w14:paraId="724E0EFE" w14:textId="77777777">
        <w:tc>
          <w:tcPr>
            <w:tcW w:w="2691" w:type="dxa"/>
          </w:tcPr>
          <w:p w14:paraId="1E25CBA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“Data Analytics Capability”</w:t>
            </w:r>
          </w:p>
        </w:tc>
        <w:tc>
          <w:tcPr>
            <w:tcW w:w="7342" w:type="dxa"/>
          </w:tcPr>
          <w:p w14:paraId="2B017764" w14:textId="77777777" w:rsidR="00A15725" w:rsidRDefault="00955D58">
            <w:pPr>
              <w:tabs>
                <w:tab w:val="left" w:pos="284"/>
              </w:tabs>
              <w:spacing w:line="276" w:lineRule="auto"/>
              <w:ind w:left="284" w:right="242"/>
              <w:rPr>
                <w:rFonts w:ascii="Arial" w:eastAsia="Arial" w:hAnsi="Arial" w:cs="Arial"/>
                <w:sz w:val="24"/>
                <w:szCs w:val="24"/>
              </w:rPr>
            </w:pPr>
            <w:r>
              <w:rPr>
                <w:rFonts w:ascii="Arial" w:eastAsia="Arial" w:hAnsi="Arial" w:cs="Arial"/>
                <w:color w:val="202124"/>
                <w:sz w:val="24"/>
                <w:szCs w:val="24"/>
                <w:highlight w:val="white"/>
              </w:rPr>
              <w:t>the application of advanced analysis to discover deep insights, make predictions and generate recommendations;</w:t>
            </w:r>
          </w:p>
        </w:tc>
      </w:tr>
      <w:tr w:rsidR="00A15725" w14:paraId="59EBF36E" w14:textId="77777777">
        <w:tc>
          <w:tcPr>
            <w:tcW w:w="2691" w:type="dxa"/>
          </w:tcPr>
          <w:p w14:paraId="37A2140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7342" w:type="dxa"/>
          </w:tcPr>
          <w:p w14:paraId="5FE7C7E1"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A15725" w14:paraId="0803B857" w14:textId="77777777">
        <w:tc>
          <w:tcPr>
            <w:tcW w:w="2691" w:type="dxa"/>
          </w:tcPr>
          <w:p w14:paraId="4BE6A3F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7342" w:type="dxa"/>
          </w:tcPr>
          <w:p w14:paraId="6A2E29BA"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A15725" w14:paraId="43B0C1CF" w14:textId="77777777">
        <w:tc>
          <w:tcPr>
            <w:tcW w:w="2691" w:type="dxa"/>
          </w:tcPr>
          <w:p w14:paraId="11C3871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7342" w:type="dxa"/>
          </w:tcPr>
          <w:p w14:paraId="1521907D"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A15725" w14:paraId="377B85F1" w14:textId="77777777">
        <w:tc>
          <w:tcPr>
            <w:tcW w:w="2691" w:type="dxa"/>
          </w:tcPr>
          <w:p w14:paraId="6F07F71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7342" w:type="dxa"/>
          </w:tcPr>
          <w:p w14:paraId="1F9F25D8"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15725" w14:paraId="33466270" w14:textId="77777777">
        <w:tc>
          <w:tcPr>
            <w:tcW w:w="2691" w:type="dxa"/>
          </w:tcPr>
          <w:p w14:paraId="18CE4A6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“Data Services”</w:t>
            </w:r>
          </w:p>
        </w:tc>
        <w:tc>
          <w:tcPr>
            <w:tcW w:w="7342" w:type="dxa"/>
          </w:tcPr>
          <w:p w14:paraId="3D099282" w14:textId="77777777" w:rsidR="00A15725" w:rsidRDefault="00955D58">
            <w:pPr>
              <w:tabs>
                <w:tab w:val="left" w:pos="284"/>
              </w:tabs>
              <w:spacing w:line="276" w:lineRule="auto"/>
              <w:ind w:left="284" w:right="242"/>
              <w:rPr>
                <w:rFonts w:ascii="Arial" w:eastAsia="Arial" w:hAnsi="Arial" w:cs="Arial"/>
                <w:color w:val="000000"/>
                <w:sz w:val="24"/>
                <w:szCs w:val="24"/>
              </w:rPr>
            </w:pPr>
            <w:r>
              <w:rPr>
                <w:rFonts w:ascii="Arial" w:eastAsia="Arial" w:hAnsi="Arial" w:cs="Arial"/>
                <w:color w:val="202124"/>
                <w:sz w:val="24"/>
                <w:szCs w:val="24"/>
                <w:highlight w:val="white"/>
              </w:rPr>
              <w:t xml:space="preserve"> third-party services that help to manage data for clients;</w:t>
            </w:r>
          </w:p>
        </w:tc>
      </w:tr>
      <w:tr w:rsidR="00A15725" w14:paraId="0C3F780F" w14:textId="77777777">
        <w:tc>
          <w:tcPr>
            <w:tcW w:w="2691" w:type="dxa"/>
          </w:tcPr>
          <w:p w14:paraId="2E3B3B0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"Data Subject"</w:t>
            </w:r>
          </w:p>
        </w:tc>
        <w:tc>
          <w:tcPr>
            <w:tcW w:w="7342" w:type="dxa"/>
          </w:tcPr>
          <w:p w14:paraId="31545B4D"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15725" w14:paraId="6D6AE7EE" w14:textId="77777777">
        <w:tc>
          <w:tcPr>
            <w:tcW w:w="2691" w:type="dxa"/>
          </w:tcPr>
          <w:p w14:paraId="79ED9E2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7342" w:type="dxa"/>
          </w:tcPr>
          <w:p w14:paraId="2BDA3689"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A15725" w14:paraId="7C5CD950" w14:textId="77777777">
        <w:tc>
          <w:tcPr>
            <w:tcW w:w="2691" w:type="dxa"/>
          </w:tcPr>
          <w:p w14:paraId="39507E3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“Data Validation Audit”</w:t>
            </w:r>
          </w:p>
        </w:tc>
        <w:tc>
          <w:tcPr>
            <w:tcW w:w="7342" w:type="dxa"/>
          </w:tcPr>
          <w:p w14:paraId="6006B50F" w14:textId="77777777" w:rsidR="00A15725" w:rsidRDefault="00955D58">
            <w:pPr>
              <w:tabs>
                <w:tab w:val="left" w:pos="284"/>
              </w:tabs>
              <w:spacing w:before="240" w:after="240" w:line="276" w:lineRule="auto"/>
              <w:ind w:left="360" w:right="248"/>
              <w:jc w:val="both"/>
              <w:rPr>
                <w:rFonts w:ascii="Arial" w:eastAsia="Arial" w:hAnsi="Arial" w:cs="Arial"/>
                <w:color w:val="000000"/>
                <w:sz w:val="24"/>
                <w:szCs w:val="24"/>
              </w:rPr>
            </w:pPr>
            <w:r>
              <w:rPr>
                <w:rFonts w:ascii="Arial" w:eastAsia="Arial" w:hAnsi="Arial" w:cs="Arial"/>
                <w:color w:val="000000"/>
                <w:sz w:val="24"/>
                <w:szCs w:val="24"/>
              </w:rPr>
              <w:t>an audit on the due diligence data provided by the Buyer to ensure that potential errors, inaccuracies or omissions in the Service data issued by the outgoing Supplier are identified.</w:t>
            </w:r>
          </w:p>
        </w:tc>
      </w:tr>
      <w:tr w:rsidR="00A15725" w14:paraId="06A81C49" w14:textId="77777777">
        <w:tc>
          <w:tcPr>
            <w:tcW w:w="2691" w:type="dxa"/>
          </w:tcPr>
          <w:p w14:paraId="1109BC3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“Data Validation Report”</w:t>
            </w:r>
          </w:p>
        </w:tc>
        <w:tc>
          <w:tcPr>
            <w:tcW w:w="7342" w:type="dxa"/>
          </w:tcPr>
          <w:p w14:paraId="3D873279" w14:textId="77777777" w:rsidR="00A15725" w:rsidRDefault="00955D58">
            <w:pPr>
              <w:tabs>
                <w:tab w:val="left" w:pos="284"/>
              </w:tabs>
              <w:spacing w:before="240" w:after="240" w:line="276" w:lineRule="auto"/>
              <w:ind w:left="284" w:right="248" w:hanging="142"/>
              <w:jc w:val="both"/>
              <w:rPr>
                <w:rFonts w:ascii="Arial" w:eastAsia="Arial" w:hAnsi="Arial" w:cs="Arial"/>
                <w:color w:val="000000"/>
                <w:sz w:val="24"/>
                <w:szCs w:val="24"/>
              </w:rPr>
            </w:pPr>
            <w:r>
              <w:rPr>
                <w:rFonts w:ascii="Arial" w:eastAsia="Arial" w:hAnsi="Arial" w:cs="Arial"/>
                <w:color w:val="000000"/>
                <w:sz w:val="24"/>
                <w:szCs w:val="24"/>
              </w:rPr>
              <w:t xml:space="preserve"> is the report that the Supplier will produce to detail the findings and remedial action required to address any errors, inaccuracies or omissions identified in the “Data Validation Audit” where revisions to the Service data may, where agreed with the Buyer, necessitate revisions to the “Services” and/or “Charges” to ensure compliance with the Buyer’s statutory and/or insurance obligations;</w:t>
            </w:r>
          </w:p>
        </w:tc>
      </w:tr>
      <w:tr w:rsidR="00A15725" w14:paraId="69458EFB" w14:textId="77777777">
        <w:tc>
          <w:tcPr>
            <w:tcW w:w="2691" w:type="dxa"/>
          </w:tcPr>
          <w:p w14:paraId="7A51C53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“DBS”</w:t>
            </w:r>
          </w:p>
        </w:tc>
        <w:tc>
          <w:tcPr>
            <w:tcW w:w="7342" w:type="dxa"/>
          </w:tcPr>
          <w:p w14:paraId="2E074DEF" w14:textId="77777777" w:rsidR="00A15725" w:rsidRDefault="00955D58">
            <w:pPr>
              <w:tabs>
                <w:tab w:val="left" w:pos="284"/>
              </w:tabs>
              <w:spacing w:line="276" w:lineRule="auto"/>
              <w:ind w:left="284" w:right="242"/>
              <w:rPr>
                <w:rFonts w:ascii="Arial" w:eastAsia="Arial" w:hAnsi="Arial" w:cs="Arial"/>
                <w:color w:val="000000"/>
                <w:sz w:val="24"/>
                <w:szCs w:val="24"/>
              </w:rPr>
            </w:pPr>
            <w:r>
              <w:rPr>
                <w:rFonts w:ascii="Arial" w:eastAsia="Arial" w:hAnsi="Arial" w:cs="Arial"/>
                <w:sz w:val="24"/>
                <w:szCs w:val="24"/>
              </w:rPr>
              <w:t>Disclosure and Barring Service;</w:t>
            </w:r>
          </w:p>
        </w:tc>
      </w:tr>
      <w:tr w:rsidR="00A15725" w14:paraId="1B3DC5F6" w14:textId="77777777">
        <w:tc>
          <w:tcPr>
            <w:tcW w:w="2691" w:type="dxa"/>
          </w:tcPr>
          <w:p w14:paraId="2C8B262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"Deductions"</w:t>
            </w:r>
          </w:p>
        </w:tc>
        <w:tc>
          <w:tcPr>
            <w:tcW w:w="7342" w:type="dxa"/>
          </w:tcPr>
          <w:p w14:paraId="71426586"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A15725" w14:paraId="558CF937" w14:textId="77777777">
        <w:tc>
          <w:tcPr>
            <w:tcW w:w="2691" w:type="dxa"/>
          </w:tcPr>
          <w:p w14:paraId="2BE020A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"Default"</w:t>
            </w:r>
          </w:p>
        </w:tc>
        <w:tc>
          <w:tcPr>
            <w:tcW w:w="7342" w:type="dxa"/>
          </w:tcPr>
          <w:p w14:paraId="50512F36"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w:t>
            </w:r>
            <w:r>
              <w:rPr>
                <w:rFonts w:ascii="Arial" w:eastAsia="Arial" w:hAnsi="Arial" w:cs="Arial"/>
                <w:color w:val="000000"/>
                <w:sz w:val="24"/>
                <w:szCs w:val="24"/>
              </w:rPr>
              <w:lastRenderedPageBreak/>
              <w:t>subject-matter of a Contract and in respect of which the Supplier is liable to the Relevant Authority;</w:t>
            </w:r>
          </w:p>
        </w:tc>
      </w:tr>
      <w:tr w:rsidR="00A15725" w14:paraId="6721BB78" w14:textId="77777777">
        <w:tc>
          <w:tcPr>
            <w:tcW w:w="2691" w:type="dxa"/>
          </w:tcPr>
          <w:p w14:paraId="1C41A19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"Default Management Charge"</w:t>
            </w:r>
          </w:p>
        </w:tc>
        <w:tc>
          <w:tcPr>
            <w:tcW w:w="7342" w:type="dxa"/>
          </w:tcPr>
          <w:p w14:paraId="1CE06224"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A15725" w14:paraId="08D7F082" w14:textId="77777777">
        <w:tc>
          <w:tcPr>
            <w:tcW w:w="2691" w:type="dxa"/>
          </w:tcPr>
          <w:p w14:paraId="1421D3DF"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"Delay Payments"</w:t>
            </w:r>
          </w:p>
        </w:tc>
        <w:tc>
          <w:tcPr>
            <w:tcW w:w="7342" w:type="dxa"/>
          </w:tcPr>
          <w:p w14:paraId="70C9CD5A"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Mobilisation Plan;</w:t>
            </w:r>
          </w:p>
        </w:tc>
      </w:tr>
      <w:tr w:rsidR="00A15725" w14:paraId="2FE29463" w14:textId="77777777">
        <w:tc>
          <w:tcPr>
            <w:tcW w:w="2691" w:type="dxa"/>
          </w:tcPr>
          <w:p w14:paraId="5F32539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"Deliverables"</w:t>
            </w:r>
          </w:p>
        </w:tc>
        <w:tc>
          <w:tcPr>
            <w:tcW w:w="7342" w:type="dxa"/>
          </w:tcPr>
          <w:p w14:paraId="28BE8434"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A15725" w14:paraId="33C3237E" w14:textId="77777777">
        <w:tc>
          <w:tcPr>
            <w:tcW w:w="2691" w:type="dxa"/>
          </w:tcPr>
          <w:p w14:paraId="2263571C"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"Delivery"</w:t>
            </w:r>
          </w:p>
        </w:tc>
        <w:tc>
          <w:tcPr>
            <w:tcW w:w="7342" w:type="dxa"/>
          </w:tcPr>
          <w:p w14:paraId="5811890A"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(Mobilisation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A15725" w14:paraId="6F7F598C" w14:textId="77777777">
        <w:tc>
          <w:tcPr>
            <w:tcW w:w="2691" w:type="dxa"/>
            <w:vAlign w:val="center"/>
          </w:tcPr>
          <w:p w14:paraId="603570F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bookmarkStart w:id="7" w:name="_heading=h.3dy6vkm" w:colFirst="0" w:colLast="0"/>
            <w:bookmarkEnd w:id="7"/>
            <w:r>
              <w:rPr>
                <w:rFonts w:ascii="Arial" w:eastAsia="Arial" w:hAnsi="Arial" w:cs="Arial"/>
                <w:b/>
                <w:color w:val="000000"/>
                <w:sz w:val="24"/>
                <w:szCs w:val="24"/>
              </w:rPr>
              <w:t>“Direct Award”</w:t>
            </w:r>
          </w:p>
        </w:tc>
        <w:tc>
          <w:tcPr>
            <w:tcW w:w="7342" w:type="dxa"/>
            <w:vAlign w:val="center"/>
          </w:tcPr>
          <w:p w14:paraId="7D3B858C"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 xml:space="preserve">means the award of a Contract directly to a </w:t>
            </w:r>
            <w:r>
              <w:rPr>
                <w:rFonts w:ascii="Arial" w:eastAsia="Arial" w:hAnsi="Arial" w:cs="Arial"/>
                <w:sz w:val="24"/>
                <w:szCs w:val="24"/>
              </w:rPr>
              <w:t>S</w:t>
            </w:r>
            <w:r>
              <w:rPr>
                <w:rFonts w:ascii="Arial" w:eastAsia="Arial" w:hAnsi="Arial" w:cs="Arial"/>
                <w:color w:val="000000"/>
                <w:sz w:val="24"/>
                <w:szCs w:val="24"/>
              </w:rPr>
              <w:t>upplier without the need for a Further Competition as per the process detailed in Framework Schedule 7</w:t>
            </w:r>
          </w:p>
        </w:tc>
      </w:tr>
      <w:tr w:rsidR="00A15725" w14:paraId="2837E62C" w14:textId="77777777">
        <w:tc>
          <w:tcPr>
            <w:tcW w:w="2691" w:type="dxa"/>
            <w:vAlign w:val="center"/>
          </w:tcPr>
          <w:p w14:paraId="039B3C4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“Direct Award Process”</w:t>
            </w:r>
          </w:p>
        </w:tc>
        <w:tc>
          <w:tcPr>
            <w:tcW w:w="7342" w:type="dxa"/>
            <w:vAlign w:val="center"/>
          </w:tcPr>
          <w:p w14:paraId="756469B3"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process as described in Framework Schedule 7 – Call Off Procedure and Award Criteria.</w:t>
            </w:r>
          </w:p>
        </w:tc>
      </w:tr>
      <w:tr w:rsidR="00A15725" w14:paraId="77897FAA" w14:textId="77777777">
        <w:tc>
          <w:tcPr>
            <w:tcW w:w="2691" w:type="dxa"/>
          </w:tcPr>
          <w:p w14:paraId="0386006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"Disclosing Party"</w:t>
            </w:r>
          </w:p>
        </w:tc>
        <w:tc>
          <w:tcPr>
            <w:tcW w:w="7342" w:type="dxa"/>
          </w:tcPr>
          <w:p w14:paraId="46CB124A"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A15725" w14:paraId="3FE4D6AC" w14:textId="77777777">
        <w:tc>
          <w:tcPr>
            <w:tcW w:w="2691" w:type="dxa"/>
          </w:tcPr>
          <w:p w14:paraId="70F39457"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"Dispute"</w:t>
            </w:r>
          </w:p>
        </w:tc>
        <w:tc>
          <w:tcPr>
            <w:tcW w:w="7342" w:type="dxa"/>
          </w:tcPr>
          <w:p w14:paraId="4B8EC9E9"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sz w:val="24"/>
                <w:szCs w:val="24"/>
              </w:rPr>
              <w:t>any claim, dispute or difference (whether contractual or non-contractual) arising out of or in connection with a Core Terms Contract or in connection with the negotiation, existence, legal validity, enforceability or termination of the Core Terms Contract, whether the alleged liability shall arise under English law or under the law of some other country and regardless of whether a particular cause of action may successfully be brought in the English courts;</w:t>
            </w:r>
          </w:p>
        </w:tc>
      </w:tr>
      <w:tr w:rsidR="00A15725" w14:paraId="78B92EB5" w14:textId="77777777">
        <w:tc>
          <w:tcPr>
            <w:tcW w:w="2691" w:type="dxa"/>
          </w:tcPr>
          <w:p w14:paraId="490C54F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7342" w:type="dxa"/>
          </w:tcPr>
          <w:p w14:paraId="792417FD"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A15725" w14:paraId="4AD41177" w14:textId="77777777">
        <w:tc>
          <w:tcPr>
            <w:tcW w:w="2691" w:type="dxa"/>
          </w:tcPr>
          <w:p w14:paraId="7341C1DF"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"Documentation"</w:t>
            </w:r>
          </w:p>
        </w:tc>
        <w:tc>
          <w:tcPr>
            <w:tcW w:w="7342" w:type="dxa"/>
          </w:tcPr>
          <w:p w14:paraId="3CB78C69" w14:textId="77777777" w:rsidR="00A15725" w:rsidRDefault="00955D58">
            <w:pPr>
              <w:pBdr>
                <w:top w:val="nil"/>
                <w:left w:val="nil"/>
                <w:bottom w:val="nil"/>
                <w:right w:val="nil"/>
                <w:between w:val="nil"/>
              </w:pBdr>
              <w:tabs>
                <w:tab w:val="left" w:pos="-576"/>
                <w:tab w:val="left" w:pos="144"/>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892707C" w14:textId="77777777" w:rsidR="00A15725" w:rsidRDefault="00955D58">
            <w:pPr>
              <w:numPr>
                <w:ilvl w:val="1"/>
                <w:numId w:val="30"/>
              </w:numPr>
              <w:pBdr>
                <w:top w:val="nil"/>
                <w:left w:val="nil"/>
                <w:bottom w:val="nil"/>
                <w:right w:val="nil"/>
                <w:between w:val="nil"/>
              </w:pBdr>
              <w:tabs>
                <w:tab w:val="left" w:pos="-576"/>
                <w:tab w:val="left" w:pos="144"/>
                <w:tab w:val="left" w:pos="284"/>
              </w:tabs>
              <w:spacing w:after="120"/>
              <w:ind w:left="850" w:right="242" w:hanging="566"/>
              <w:jc w:val="both"/>
              <w:rPr>
                <w:rFonts w:ascii="Arial" w:eastAsia="Arial" w:hAnsi="Arial" w:cs="Arial"/>
                <w:color w:val="000000"/>
                <w:sz w:val="24"/>
                <w:szCs w:val="24"/>
              </w:rPr>
            </w:pPr>
            <w:r>
              <w:rPr>
                <w:rFonts w:ascii="Arial" w:eastAsia="Arial" w:hAnsi="Arial" w:cs="Arial"/>
                <w:color w:val="000000"/>
                <w:sz w:val="24"/>
                <w:szCs w:val="24"/>
              </w:rPr>
              <w:t xml:space="preserve">would reasonably be required by a competent third party capable of Good Industry Practice contracted by the Buyer to develop, configure, build, deploy, run, maintain, upgrade </w:t>
            </w:r>
            <w:r>
              <w:rPr>
                <w:rFonts w:ascii="Arial" w:eastAsia="Arial" w:hAnsi="Arial" w:cs="Arial"/>
                <w:color w:val="000000"/>
                <w:sz w:val="24"/>
                <w:szCs w:val="24"/>
              </w:rPr>
              <w:lastRenderedPageBreak/>
              <w:t>and test the individual systems that provide the Deliverables</w:t>
            </w:r>
          </w:p>
          <w:p w14:paraId="54F224CE" w14:textId="77777777" w:rsidR="00A15725" w:rsidRDefault="00955D58">
            <w:pPr>
              <w:numPr>
                <w:ilvl w:val="1"/>
                <w:numId w:val="30"/>
              </w:numPr>
              <w:pBdr>
                <w:top w:val="nil"/>
                <w:left w:val="nil"/>
                <w:bottom w:val="nil"/>
                <w:right w:val="nil"/>
                <w:between w:val="nil"/>
              </w:pBdr>
              <w:tabs>
                <w:tab w:val="left" w:pos="-576"/>
                <w:tab w:val="left" w:pos="144"/>
                <w:tab w:val="left" w:pos="284"/>
              </w:tabs>
              <w:spacing w:after="120"/>
              <w:ind w:left="850" w:right="242" w:hanging="566"/>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687AD1EB" w14:textId="77777777" w:rsidR="00A15725" w:rsidRDefault="00955D58">
            <w:pPr>
              <w:numPr>
                <w:ilvl w:val="1"/>
                <w:numId w:val="30"/>
              </w:numPr>
              <w:pBdr>
                <w:top w:val="nil"/>
                <w:left w:val="nil"/>
                <w:bottom w:val="nil"/>
                <w:right w:val="nil"/>
                <w:between w:val="nil"/>
              </w:pBdr>
              <w:tabs>
                <w:tab w:val="left" w:pos="-576"/>
                <w:tab w:val="left" w:pos="144"/>
                <w:tab w:val="left" w:pos="284"/>
              </w:tabs>
              <w:spacing w:after="120"/>
              <w:ind w:left="850" w:right="242" w:hanging="566"/>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A15725" w14:paraId="4909E6C4" w14:textId="77777777">
        <w:tc>
          <w:tcPr>
            <w:tcW w:w="2691" w:type="dxa"/>
          </w:tcPr>
          <w:p w14:paraId="44AEEE0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"DOTAS"</w:t>
            </w:r>
          </w:p>
        </w:tc>
        <w:tc>
          <w:tcPr>
            <w:tcW w:w="7342" w:type="dxa"/>
          </w:tcPr>
          <w:p w14:paraId="05EF512D" w14:textId="77777777" w:rsidR="00A15725" w:rsidRDefault="00955D58">
            <w:pPr>
              <w:pBdr>
                <w:top w:val="nil"/>
                <w:left w:val="nil"/>
                <w:bottom w:val="nil"/>
                <w:right w:val="nil"/>
                <w:between w:val="nil"/>
              </w:pBdr>
              <w:tabs>
                <w:tab w:val="left" w:pos="-576"/>
                <w:tab w:val="left" w:pos="144"/>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A15725" w14:paraId="62F5A336" w14:textId="77777777">
        <w:tc>
          <w:tcPr>
            <w:tcW w:w="2691" w:type="dxa"/>
          </w:tcPr>
          <w:p w14:paraId="1BE6C89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“DPA 2018”</w:t>
            </w:r>
          </w:p>
        </w:tc>
        <w:tc>
          <w:tcPr>
            <w:tcW w:w="7342" w:type="dxa"/>
          </w:tcPr>
          <w:p w14:paraId="7FAB1FF3" w14:textId="77777777" w:rsidR="00A15725" w:rsidRDefault="00955D58">
            <w:pPr>
              <w:pBdr>
                <w:top w:val="nil"/>
                <w:left w:val="nil"/>
                <w:bottom w:val="nil"/>
                <w:right w:val="nil"/>
                <w:between w:val="nil"/>
              </w:pBdr>
              <w:tabs>
                <w:tab w:val="left" w:pos="-576"/>
                <w:tab w:val="left" w:pos="144"/>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A15725" w14:paraId="0D989F02" w14:textId="77777777">
        <w:tc>
          <w:tcPr>
            <w:tcW w:w="2691" w:type="dxa"/>
          </w:tcPr>
          <w:p w14:paraId="04834B3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7342" w:type="dxa"/>
          </w:tcPr>
          <w:p w14:paraId="3BE9A62B" w14:textId="77777777" w:rsidR="00A15725" w:rsidRDefault="00955D58">
            <w:pPr>
              <w:pBdr>
                <w:top w:val="nil"/>
                <w:left w:val="nil"/>
                <w:bottom w:val="nil"/>
                <w:right w:val="nil"/>
                <w:between w:val="nil"/>
              </w:pBdr>
              <w:tabs>
                <w:tab w:val="left" w:pos="-576"/>
                <w:tab w:val="left" w:pos="144"/>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A15725" w14:paraId="4A5D99E9" w14:textId="77777777">
        <w:tc>
          <w:tcPr>
            <w:tcW w:w="2691" w:type="dxa"/>
            <w:vAlign w:val="center"/>
          </w:tcPr>
          <w:p w14:paraId="3318CBF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"Earn Back Amount"</w:t>
            </w:r>
          </w:p>
        </w:tc>
        <w:tc>
          <w:tcPr>
            <w:tcW w:w="7342" w:type="dxa"/>
            <w:vAlign w:val="center"/>
          </w:tcPr>
          <w:p w14:paraId="5955C46E" w14:textId="77777777" w:rsidR="00A15725" w:rsidRDefault="00955D58">
            <w:pPr>
              <w:pBdr>
                <w:top w:val="nil"/>
                <w:left w:val="nil"/>
                <w:bottom w:val="nil"/>
                <w:right w:val="nil"/>
                <w:between w:val="nil"/>
              </w:pBdr>
              <w:tabs>
                <w:tab w:val="left" w:pos="-576"/>
                <w:tab w:val="left" w:pos="144"/>
                <w:tab w:val="left" w:pos="284"/>
              </w:tabs>
              <w:spacing w:after="120"/>
              <w:ind w:left="284" w:right="242"/>
              <w:jc w:val="both"/>
              <w:rPr>
                <w:rFonts w:ascii="Arial" w:eastAsia="Arial" w:hAnsi="Arial" w:cs="Arial"/>
                <w:color w:val="000000"/>
                <w:sz w:val="24"/>
                <w:szCs w:val="24"/>
              </w:rPr>
            </w:pPr>
            <w:r>
              <w:rPr>
                <w:rFonts w:ascii="Arial" w:eastAsia="Arial" w:hAnsi="Arial" w:cs="Arial"/>
                <w:sz w:val="24"/>
                <w:szCs w:val="24"/>
              </w:rPr>
              <w:t>is the earn back amount as calculated in accordance with Call-Off Schedule 14 (Key Performance Indicators);</w:t>
            </w:r>
          </w:p>
        </w:tc>
      </w:tr>
      <w:tr w:rsidR="00A15725" w14:paraId="52B77033" w14:textId="77777777">
        <w:tc>
          <w:tcPr>
            <w:tcW w:w="2691" w:type="dxa"/>
          </w:tcPr>
          <w:p w14:paraId="03E6535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“Effective Date”</w:t>
            </w:r>
          </w:p>
        </w:tc>
        <w:tc>
          <w:tcPr>
            <w:tcW w:w="7342" w:type="dxa"/>
          </w:tcPr>
          <w:p w14:paraId="36180653" w14:textId="77777777" w:rsidR="00A15725" w:rsidRDefault="00955D58">
            <w:pPr>
              <w:pBdr>
                <w:top w:val="nil"/>
                <w:left w:val="nil"/>
                <w:bottom w:val="nil"/>
                <w:right w:val="nil"/>
                <w:between w:val="nil"/>
              </w:pBdr>
              <w:tabs>
                <w:tab w:val="left" w:pos="-576"/>
                <w:tab w:val="left" w:pos="144"/>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A15725" w14:paraId="40DA6E79" w14:textId="77777777">
        <w:tc>
          <w:tcPr>
            <w:tcW w:w="2691" w:type="dxa"/>
          </w:tcPr>
          <w:p w14:paraId="62582A6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"EIR"</w:t>
            </w:r>
          </w:p>
        </w:tc>
        <w:tc>
          <w:tcPr>
            <w:tcW w:w="7342" w:type="dxa"/>
          </w:tcPr>
          <w:p w14:paraId="6B5F44AC"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A15725" w14:paraId="0FC40FFD" w14:textId="77777777">
        <w:tc>
          <w:tcPr>
            <w:tcW w:w="2691" w:type="dxa"/>
          </w:tcPr>
          <w:p w14:paraId="16CCF8B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7342" w:type="dxa"/>
          </w:tcPr>
          <w:p w14:paraId="506D64E2"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A15725" w14:paraId="2411AA55" w14:textId="77777777">
        <w:tc>
          <w:tcPr>
            <w:tcW w:w="2691" w:type="dxa"/>
          </w:tcPr>
          <w:p w14:paraId="6FA6273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“Electronic Reverse Auction”</w:t>
            </w:r>
          </w:p>
        </w:tc>
        <w:tc>
          <w:tcPr>
            <w:tcW w:w="7342" w:type="dxa"/>
          </w:tcPr>
          <w:p w14:paraId="543C3031"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sz w:val="24"/>
                <w:szCs w:val="24"/>
              </w:rPr>
              <w:t>an auction, where Suppliers compete in real time by bidding as the auction unfolds as described within Framework Schedule 7 - Call Off Award Procedure.</w:t>
            </w:r>
          </w:p>
        </w:tc>
      </w:tr>
      <w:tr w:rsidR="00A15725" w14:paraId="398DDB53" w14:textId="77777777">
        <w:tc>
          <w:tcPr>
            <w:tcW w:w="2691" w:type="dxa"/>
            <w:vAlign w:val="center"/>
          </w:tcPr>
          <w:p w14:paraId="54C0533F"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"Employer Pension Contribution Cap"</w:t>
            </w:r>
          </w:p>
        </w:tc>
        <w:tc>
          <w:tcPr>
            <w:tcW w:w="7342" w:type="dxa"/>
            <w:vAlign w:val="center"/>
          </w:tcPr>
          <w:p w14:paraId="714685F4"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sz w:val="24"/>
                <w:szCs w:val="24"/>
              </w:rPr>
              <w:t>the 6% maximum rate of employer pension contribution used in the calculation of the TUPE Risk Premium;</w:t>
            </w:r>
          </w:p>
        </w:tc>
      </w:tr>
      <w:tr w:rsidR="00A15725" w14:paraId="747C232D" w14:textId="77777777">
        <w:tc>
          <w:tcPr>
            <w:tcW w:w="2691" w:type="dxa"/>
          </w:tcPr>
          <w:p w14:paraId="1223D86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7342" w:type="dxa"/>
          </w:tcPr>
          <w:p w14:paraId="04315AFC"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A15725" w14:paraId="3B59F4DC" w14:textId="77777777">
        <w:tc>
          <w:tcPr>
            <w:tcW w:w="2691" w:type="dxa"/>
          </w:tcPr>
          <w:p w14:paraId="595E66F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7342" w:type="dxa"/>
          </w:tcPr>
          <w:p w14:paraId="159FED1E" w14:textId="77777777" w:rsidR="00A15725" w:rsidRDefault="00955D58">
            <w:pPr>
              <w:pBdr>
                <w:top w:val="nil"/>
                <w:left w:val="nil"/>
                <w:bottom w:val="nil"/>
                <w:right w:val="nil"/>
                <w:between w:val="nil"/>
              </w:pBdr>
              <w:tabs>
                <w:tab w:val="left" w:pos="-576"/>
                <w:tab w:val="left" w:pos="144"/>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335848E7" w14:textId="77777777" w:rsidR="00A15725" w:rsidRDefault="00955D58">
            <w:pPr>
              <w:numPr>
                <w:ilvl w:val="1"/>
                <w:numId w:val="2"/>
              </w:numPr>
              <w:pBdr>
                <w:top w:val="nil"/>
                <w:left w:val="nil"/>
                <w:bottom w:val="nil"/>
                <w:right w:val="nil"/>
                <w:between w:val="nil"/>
              </w:pBdr>
              <w:tabs>
                <w:tab w:val="left" w:pos="-576"/>
                <w:tab w:val="left" w:pos="144"/>
                <w:tab w:val="left" w:pos="284"/>
              </w:tabs>
              <w:spacing w:after="120"/>
              <w:ind w:left="1133" w:right="242" w:hanging="708"/>
              <w:jc w:val="both"/>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Core Term Clause 10.1.2); or</w:t>
            </w:r>
          </w:p>
          <w:p w14:paraId="5CF197D0" w14:textId="77777777" w:rsidR="00A15725" w:rsidRDefault="00955D58">
            <w:pPr>
              <w:numPr>
                <w:ilvl w:val="1"/>
                <w:numId w:val="2"/>
              </w:numPr>
              <w:pBdr>
                <w:top w:val="nil"/>
                <w:left w:val="nil"/>
                <w:bottom w:val="nil"/>
                <w:right w:val="nil"/>
                <w:between w:val="nil"/>
              </w:pBdr>
              <w:tabs>
                <w:tab w:val="left" w:pos="-576"/>
                <w:tab w:val="left" w:pos="144"/>
                <w:tab w:val="left" w:pos="284"/>
              </w:tabs>
              <w:spacing w:after="120"/>
              <w:ind w:left="1133" w:right="242" w:hanging="708"/>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A15725" w14:paraId="03859CF9" w14:textId="77777777">
        <w:tc>
          <w:tcPr>
            <w:tcW w:w="2691" w:type="dxa"/>
          </w:tcPr>
          <w:p w14:paraId="05135DC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7342" w:type="dxa"/>
          </w:tcPr>
          <w:p w14:paraId="5301B4E5"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 xml:space="preserve">to conserve energy, water, wood, paper and other resources, reduce waste and phase out the use of ozone depleting </w:t>
            </w:r>
            <w:r>
              <w:rPr>
                <w:rFonts w:ascii="Arial" w:eastAsia="Arial" w:hAnsi="Arial" w:cs="Arial"/>
                <w:color w:val="000000"/>
                <w:sz w:val="24"/>
                <w:szCs w:val="24"/>
              </w:rPr>
              <w:lastRenderedPageBreak/>
              <w:t>substances and minimise the release of greenhouse gases, volatile organic compounds and other substances damaging to health and the environment, including any written environmental policy of the Buyer;</w:t>
            </w:r>
          </w:p>
        </w:tc>
      </w:tr>
      <w:tr w:rsidR="00A15725" w14:paraId="68918C78" w14:textId="77777777">
        <w:tc>
          <w:tcPr>
            <w:tcW w:w="2691" w:type="dxa"/>
          </w:tcPr>
          <w:p w14:paraId="37E39F8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"Equality and Human Rights Commission"</w:t>
            </w:r>
          </w:p>
        </w:tc>
        <w:tc>
          <w:tcPr>
            <w:tcW w:w="7342" w:type="dxa"/>
          </w:tcPr>
          <w:p w14:paraId="326BB1D2"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A15725" w14:paraId="24501CC2" w14:textId="77777777">
        <w:tc>
          <w:tcPr>
            <w:tcW w:w="2691" w:type="dxa"/>
          </w:tcPr>
          <w:p w14:paraId="32C6C6D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“ERP”</w:t>
            </w:r>
          </w:p>
        </w:tc>
        <w:tc>
          <w:tcPr>
            <w:tcW w:w="7342" w:type="dxa"/>
          </w:tcPr>
          <w:p w14:paraId="0EC7DC03" w14:textId="77777777" w:rsidR="00A15725" w:rsidRDefault="00955D58">
            <w:pPr>
              <w:tabs>
                <w:tab w:val="left" w:pos="284"/>
              </w:tabs>
              <w:spacing w:line="276" w:lineRule="auto"/>
              <w:ind w:left="284" w:right="242"/>
              <w:rPr>
                <w:rFonts w:ascii="Arial" w:eastAsia="Arial" w:hAnsi="Arial" w:cs="Arial"/>
                <w:color w:val="000000"/>
                <w:sz w:val="24"/>
                <w:szCs w:val="24"/>
              </w:rPr>
            </w:pPr>
            <w:r>
              <w:rPr>
                <w:rFonts w:ascii="Arial" w:eastAsia="Arial" w:hAnsi="Arial" w:cs="Arial"/>
                <w:sz w:val="24"/>
                <w:szCs w:val="24"/>
              </w:rPr>
              <w:t>Enterprise Resource Planning;</w:t>
            </w:r>
          </w:p>
        </w:tc>
      </w:tr>
      <w:tr w:rsidR="00A15725" w14:paraId="353E3843" w14:textId="77777777">
        <w:trPr>
          <w:trHeight w:val="1350"/>
        </w:trPr>
        <w:tc>
          <w:tcPr>
            <w:tcW w:w="2691" w:type="dxa"/>
          </w:tcPr>
          <w:p w14:paraId="306C04C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7342" w:type="dxa"/>
          </w:tcPr>
          <w:p w14:paraId="3AFF6EDA" w14:textId="77777777" w:rsidR="00A15725" w:rsidRDefault="00955D58">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744C7C01" w14:textId="77777777" w:rsidR="00A15725" w:rsidRDefault="00A15725">
            <w:pPr>
              <w:pBdr>
                <w:top w:val="nil"/>
                <w:left w:val="nil"/>
                <w:bottom w:val="nil"/>
                <w:right w:val="nil"/>
                <w:between w:val="nil"/>
              </w:pBdr>
              <w:tabs>
                <w:tab w:val="left" w:pos="-179"/>
                <w:tab w:val="left" w:pos="284"/>
              </w:tabs>
              <w:spacing w:after="120"/>
              <w:ind w:left="284" w:right="242"/>
              <w:jc w:val="both"/>
              <w:rPr>
                <w:rFonts w:ascii="Arial" w:eastAsia="Arial" w:hAnsi="Arial" w:cs="Arial"/>
                <w:color w:val="000000"/>
                <w:sz w:val="24"/>
                <w:szCs w:val="24"/>
              </w:rPr>
            </w:pPr>
          </w:p>
        </w:tc>
      </w:tr>
    </w:tbl>
    <w:p w14:paraId="2F012C98" w14:textId="77777777" w:rsidR="00A15725" w:rsidRDefault="00A15725">
      <w:pPr>
        <w:widowControl w:val="0"/>
        <w:pBdr>
          <w:top w:val="nil"/>
          <w:left w:val="nil"/>
          <w:bottom w:val="nil"/>
          <w:right w:val="nil"/>
          <w:between w:val="nil"/>
        </w:pBdr>
        <w:spacing w:after="0"/>
        <w:rPr>
          <w:rFonts w:ascii="Arial" w:eastAsia="Arial" w:hAnsi="Arial" w:cs="Arial"/>
          <w:color w:val="000000"/>
          <w:sz w:val="24"/>
          <w:szCs w:val="24"/>
        </w:rPr>
      </w:pPr>
    </w:p>
    <w:tbl>
      <w:tblPr>
        <w:tblStyle w:val="afb"/>
        <w:tblW w:w="10044" w:type="dxa"/>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7350"/>
      </w:tblGrid>
      <w:tr w:rsidR="00A15725" w14:paraId="4C202E53" w14:textId="77777777">
        <w:trPr>
          <w:trHeight w:val="1170"/>
        </w:trPr>
        <w:tc>
          <w:tcPr>
            <w:tcW w:w="26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189D4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“Estimated Annual Contract Cost”</w:t>
            </w:r>
          </w:p>
        </w:tc>
        <w:tc>
          <w:tcPr>
            <w:tcW w:w="7350" w:type="dxa"/>
            <w:tcBorders>
              <w:top w:val="nil"/>
              <w:left w:val="nil"/>
              <w:bottom w:val="single" w:sz="8" w:space="0" w:color="000000"/>
              <w:right w:val="single" w:sz="8" w:space="0" w:color="000000"/>
            </w:tcBorders>
            <w:tcMar>
              <w:top w:w="0" w:type="dxa"/>
              <w:left w:w="108" w:type="dxa"/>
              <w:bottom w:w="0" w:type="dxa"/>
              <w:right w:w="108" w:type="dxa"/>
            </w:tcMar>
          </w:tcPr>
          <w:p w14:paraId="5A56B9BB" w14:textId="77777777" w:rsidR="00A15725" w:rsidRDefault="00955D58">
            <w:pPr>
              <w:pBdr>
                <w:top w:val="nil"/>
                <w:left w:val="nil"/>
                <w:bottom w:val="nil"/>
                <w:right w:val="nil"/>
                <w:between w:val="nil"/>
              </w:pBdr>
              <w:tabs>
                <w:tab w:val="left" w:pos="-179"/>
              </w:tabs>
              <w:spacing w:after="120"/>
              <w:ind w:left="174" w:right="152"/>
              <w:jc w:val="both"/>
              <w:rPr>
                <w:rFonts w:ascii="Arial" w:eastAsia="Arial" w:hAnsi="Arial" w:cs="Arial"/>
                <w:color w:val="000000"/>
                <w:sz w:val="24"/>
                <w:szCs w:val="24"/>
              </w:rPr>
            </w:pPr>
            <w:r>
              <w:rPr>
                <w:rFonts w:ascii="Arial" w:eastAsia="Arial" w:hAnsi="Arial" w:cs="Arial"/>
                <w:color w:val="000000"/>
                <w:sz w:val="24"/>
                <w:szCs w:val="24"/>
              </w:rPr>
              <w:t>the estimated annual value of the Call Off Contract (including Billable Works) provided by the Buyer, used in order to determine the appropriate Lot group.</w:t>
            </w:r>
          </w:p>
        </w:tc>
      </w:tr>
      <w:tr w:rsidR="00A15725" w14:paraId="3157E441" w14:textId="77777777">
        <w:tc>
          <w:tcPr>
            <w:tcW w:w="26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9DF58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8" w:space="0" w:color="000000"/>
              <w:right w:val="single" w:sz="8" w:space="0" w:color="000000"/>
            </w:tcBorders>
            <w:tcMar>
              <w:top w:w="0" w:type="dxa"/>
              <w:left w:w="108" w:type="dxa"/>
              <w:bottom w:w="0" w:type="dxa"/>
              <w:right w:w="108" w:type="dxa"/>
            </w:tcMar>
          </w:tcPr>
          <w:p w14:paraId="0BE0170E" w14:textId="77777777" w:rsidR="00A15725" w:rsidRDefault="00955D58">
            <w:pPr>
              <w:pBdr>
                <w:top w:val="nil"/>
                <w:left w:val="nil"/>
                <w:bottom w:val="nil"/>
                <w:right w:val="nil"/>
                <w:between w:val="nil"/>
              </w:pBdr>
              <w:tabs>
                <w:tab w:val="left" w:pos="-179"/>
              </w:tabs>
              <w:spacing w:after="120"/>
              <w:ind w:left="174" w:right="152"/>
              <w:jc w:val="both"/>
              <w:rPr>
                <w:rFonts w:ascii="Arial" w:eastAsia="Arial" w:hAnsi="Arial" w:cs="Arial"/>
                <w:color w:val="000000"/>
                <w:sz w:val="24"/>
                <w:szCs w:val="24"/>
              </w:rPr>
            </w:pPr>
            <w:r>
              <w:rPr>
                <w:rFonts w:ascii="Arial" w:eastAsia="Arial" w:hAnsi="Arial" w:cs="Arial"/>
                <w:color w:val="000000"/>
                <w:sz w:val="24"/>
                <w:szCs w:val="24"/>
              </w:rPr>
              <w:t>for the purposes of calculating each Party’s annual liability under clause 12.2 :</w:t>
            </w:r>
          </w:p>
          <w:p w14:paraId="2EE1289D" w14:textId="77777777" w:rsidR="00A15725" w:rsidRDefault="00955D58">
            <w:pPr>
              <w:pBdr>
                <w:top w:val="nil"/>
                <w:left w:val="nil"/>
                <w:bottom w:val="nil"/>
                <w:right w:val="nil"/>
                <w:between w:val="nil"/>
              </w:pBdr>
              <w:tabs>
                <w:tab w:val="left" w:pos="-179"/>
              </w:tabs>
              <w:spacing w:after="120"/>
              <w:ind w:left="992" w:right="152" w:hanging="705"/>
              <w:jc w:val="both"/>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14:paraId="0EDFCF2D" w14:textId="77777777" w:rsidR="00A15725" w:rsidRDefault="00955D58">
            <w:pPr>
              <w:pBdr>
                <w:top w:val="nil"/>
                <w:left w:val="nil"/>
                <w:bottom w:val="nil"/>
                <w:right w:val="nil"/>
                <w:between w:val="nil"/>
              </w:pBdr>
              <w:tabs>
                <w:tab w:val="left" w:pos="-179"/>
              </w:tabs>
              <w:spacing w:after="120"/>
              <w:ind w:left="992" w:right="152" w:hanging="705"/>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3B1BB768" w14:textId="77777777" w:rsidR="00A15725" w:rsidRDefault="00955D58">
            <w:pPr>
              <w:pBdr>
                <w:top w:val="nil"/>
                <w:left w:val="nil"/>
                <w:bottom w:val="nil"/>
                <w:right w:val="nil"/>
                <w:between w:val="nil"/>
              </w:pBdr>
              <w:tabs>
                <w:tab w:val="left" w:pos="-179"/>
              </w:tabs>
              <w:spacing w:after="120"/>
              <w:ind w:left="992" w:right="152" w:hanging="705"/>
              <w:jc w:val="both"/>
              <w:rPr>
                <w:rFonts w:ascii="Arial" w:eastAsia="Arial" w:hAnsi="Arial" w:cs="Arial"/>
                <w:color w:val="000000"/>
                <w:sz w:val="24"/>
                <w:szCs w:val="24"/>
              </w:rPr>
            </w:pPr>
            <w:r>
              <w:rPr>
                <w:rFonts w:ascii="Arial" w:eastAsia="Arial" w:hAnsi="Arial" w:cs="Arial"/>
                <w:color w:val="000000"/>
                <w:sz w:val="24"/>
                <w:szCs w:val="24"/>
              </w:rPr>
              <w:t>iii)      after the end of the Call-off Contract, the Charges paid or payable in the last Contract Year during the Call-off Contract Period;  </w:t>
            </w:r>
          </w:p>
        </w:tc>
      </w:tr>
      <w:tr w:rsidR="00A15725" w14:paraId="38E76779" w14:textId="77777777">
        <w:tc>
          <w:tcPr>
            <w:tcW w:w="26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3DC526E"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“Ethical Wall”</w:t>
            </w:r>
          </w:p>
        </w:tc>
        <w:tc>
          <w:tcPr>
            <w:tcW w:w="73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52FE03" w14:textId="77777777" w:rsidR="00A15725" w:rsidRDefault="00955D58">
            <w:pPr>
              <w:pBdr>
                <w:top w:val="nil"/>
                <w:left w:val="nil"/>
                <w:bottom w:val="nil"/>
                <w:right w:val="nil"/>
                <w:between w:val="nil"/>
              </w:pBdr>
              <w:tabs>
                <w:tab w:val="left" w:pos="-179"/>
              </w:tabs>
              <w:spacing w:after="120"/>
              <w:ind w:left="174" w:right="152"/>
              <w:jc w:val="both"/>
              <w:rPr>
                <w:rFonts w:ascii="Arial" w:eastAsia="Arial" w:hAnsi="Arial" w:cs="Arial"/>
                <w:sz w:val="24"/>
                <w:szCs w:val="24"/>
              </w:rPr>
            </w:pPr>
            <w:bookmarkStart w:id="8" w:name="_heading=h.1t3h5sf" w:colFirst="0" w:colLast="0"/>
            <w:bookmarkEnd w:id="8"/>
            <w:r>
              <w:rPr>
                <w:rFonts w:ascii="Arial" w:eastAsia="Arial" w:hAnsi="Arial" w:cs="Arial"/>
                <w:sz w:val="24"/>
                <w:szCs w:val="24"/>
              </w:rPr>
              <w:t>a method of preventing information from being shared or communicated to avoid conflicts of interests within the Supplier’s organisation in line with Core Terms 32.1 and  as referenced within Call-Off Schedule 25 – Billable Works and Projects;</w:t>
            </w:r>
          </w:p>
        </w:tc>
      </w:tr>
      <w:tr w:rsidR="00A15725" w14:paraId="26C154A5" w14:textId="77777777">
        <w:tc>
          <w:tcPr>
            <w:tcW w:w="26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079512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"Exclusive Assets"</w:t>
            </w:r>
          </w:p>
        </w:tc>
        <w:tc>
          <w:tcPr>
            <w:tcW w:w="73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92AB727" w14:textId="77777777" w:rsidR="00A15725" w:rsidRDefault="00955D58">
            <w:pPr>
              <w:pBdr>
                <w:top w:val="nil"/>
                <w:left w:val="nil"/>
                <w:bottom w:val="nil"/>
                <w:right w:val="nil"/>
                <w:between w:val="nil"/>
              </w:pBdr>
              <w:tabs>
                <w:tab w:val="left" w:pos="-179"/>
              </w:tabs>
              <w:spacing w:after="120"/>
              <w:ind w:left="174" w:right="152"/>
              <w:jc w:val="both"/>
              <w:rPr>
                <w:rFonts w:ascii="Arial" w:eastAsia="Arial" w:hAnsi="Arial" w:cs="Arial"/>
                <w:color w:val="000000"/>
                <w:sz w:val="24"/>
                <w:szCs w:val="24"/>
              </w:rPr>
            </w:pPr>
            <w:r>
              <w:rPr>
                <w:rFonts w:ascii="Arial" w:eastAsia="Arial" w:hAnsi="Arial" w:cs="Arial"/>
                <w:sz w:val="24"/>
                <w:szCs w:val="24"/>
              </w:rPr>
              <w:t>Supplier Assets used exclusively by the Supplier or a Key Subcontractor in the provision of the Deliverables;</w:t>
            </w:r>
          </w:p>
        </w:tc>
      </w:tr>
      <w:tr w:rsidR="00A15725" w14:paraId="047467E8" w14:textId="77777777">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912FC" w14:textId="77777777" w:rsidR="00A15725" w:rsidRDefault="00955D58">
            <w:pPr>
              <w:spacing w:after="120" w:line="276" w:lineRule="auto"/>
              <w:ind w:left="-100"/>
              <w:rPr>
                <w:rFonts w:ascii="Arial" w:eastAsia="Arial" w:hAnsi="Arial" w:cs="Arial"/>
                <w:b/>
                <w:sz w:val="24"/>
                <w:szCs w:val="24"/>
              </w:rPr>
            </w:pPr>
            <w:r>
              <w:rPr>
                <w:rFonts w:ascii="Arial" w:eastAsia="Arial" w:hAnsi="Arial" w:cs="Arial"/>
                <w:b/>
                <w:sz w:val="24"/>
                <w:szCs w:val="24"/>
              </w:rPr>
              <w:t>“Execution Document”</w:t>
            </w:r>
          </w:p>
        </w:tc>
        <w:tc>
          <w:tcPr>
            <w:tcW w:w="7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BA2D9A" w14:textId="77777777" w:rsidR="00A15725" w:rsidRDefault="00955D58">
            <w:pPr>
              <w:tabs>
                <w:tab w:val="left" w:pos="-179"/>
              </w:tabs>
              <w:spacing w:after="120" w:line="276" w:lineRule="auto"/>
              <w:ind w:left="160"/>
              <w:jc w:val="both"/>
              <w:rPr>
                <w:rFonts w:ascii="Arial" w:eastAsia="Arial" w:hAnsi="Arial" w:cs="Arial"/>
                <w:sz w:val="24"/>
                <w:szCs w:val="24"/>
              </w:rPr>
            </w:pPr>
            <w:r>
              <w:rPr>
                <w:rFonts w:ascii="Arial" w:eastAsia="Arial" w:hAnsi="Arial" w:cs="Arial"/>
                <w:sz w:val="24"/>
                <w:szCs w:val="24"/>
              </w:rPr>
              <w:t>means for a Non-Core Terms Call Off Contract, the document used to execute the Call Off Contract as specified in the Order Form;</w:t>
            </w:r>
          </w:p>
        </w:tc>
      </w:tr>
      <w:tr w:rsidR="00A15725" w14:paraId="6AAAEAE8" w14:textId="77777777">
        <w:tc>
          <w:tcPr>
            <w:tcW w:w="26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C2E58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“Exempt Buyer”</w:t>
            </w:r>
          </w:p>
        </w:tc>
        <w:tc>
          <w:tcPr>
            <w:tcW w:w="7350" w:type="dxa"/>
            <w:tcBorders>
              <w:top w:val="nil"/>
              <w:left w:val="nil"/>
              <w:bottom w:val="single" w:sz="8" w:space="0" w:color="000000"/>
              <w:right w:val="single" w:sz="8" w:space="0" w:color="000000"/>
            </w:tcBorders>
            <w:tcMar>
              <w:top w:w="0" w:type="dxa"/>
              <w:left w:w="108" w:type="dxa"/>
              <w:bottom w:w="0" w:type="dxa"/>
              <w:right w:w="108" w:type="dxa"/>
            </w:tcMar>
          </w:tcPr>
          <w:p w14:paraId="4FEC595D" w14:textId="77777777" w:rsidR="00A15725" w:rsidRDefault="00955D58">
            <w:pPr>
              <w:pBdr>
                <w:top w:val="nil"/>
                <w:left w:val="nil"/>
                <w:bottom w:val="nil"/>
                <w:right w:val="nil"/>
                <w:between w:val="nil"/>
              </w:pBdr>
              <w:ind w:left="174" w:right="152"/>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392D1F27" w14:textId="77777777" w:rsidR="00A15725" w:rsidRDefault="00955D58">
            <w:pPr>
              <w:pBdr>
                <w:top w:val="nil"/>
                <w:left w:val="nil"/>
                <w:bottom w:val="nil"/>
                <w:right w:val="nil"/>
                <w:between w:val="nil"/>
              </w:pBdr>
              <w:tabs>
                <w:tab w:val="left" w:pos="-179"/>
                <w:tab w:val="left" w:pos="-9"/>
              </w:tabs>
              <w:spacing w:after="120"/>
              <w:ind w:left="174" w:right="152"/>
              <w:jc w:val="both"/>
              <w:rPr>
                <w:rFonts w:ascii="Arial" w:eastAsia="Arial" w:hAnsi="Arial" w:cs="Arial"/>
                <w:sz w:val="24"/>
                <w:szCs w:val="24"/>
              </w:rPr>
            </w:pPr>
            <w:r>
              <w:rPr>
                <w:rFonts w:ascii="Arial" w:eastAsia="Arial" w:hAnsi="Arial" w:cs="Arial"/>
                <w:color w:val="000000"/>
                <w:sz w:val="24"/>
                <w:szCs w:val="24"/>
              </w:rPr>
              <w:t>eligible to use the Framework Contract; and</w:t>
            </w:r>
            <w:r>
              <w:rPr>
                <w:rFonts w:ascii="Arial" w:eastAsia="Arial" w:hAnsi="Arial" w:cs="Arial"/>
                <w:sz w:val="24"/>
                <w:szCs w:val="24"/>
              </w:rPr>
              <w:t xml:space="preserve"> </w:t>
            </w:r>
            <w:r>
              <w:rPr>
                <w:rFonts w:ascii="Arial" w:eastAsia="Arial" w:hAnsi="Arial" w:cs="Arial"/>
                <w:color w:val="000000"/>
                <w:sz w:val="24"/>
                <w:szCs w:val="24"/>
              </w:rPr>
              <w:t>is entering into an Exempt Call-off Contract that is not subject to (as applicable) any of:</w:t>
            </w:r>
          </w:p>
          <w:p w14:paraId="1310DC5C" w14:textId="77777777" w:rsidR="00A15725" w:rsidRDefault="00955D58">
            <w:pPr>
              <w:numPr>
                <w:ilvl w:val="1"/>
                <w:numId w:val="1"/>
              </w:numPr>
              <w:pBdr>
                <w:top w:val="nil"/>
                <w:left w:val="nil"/>
                <w:bottom w:val="nil"/>
                <w:right w:val="nil"/>
                <w:between w:val="nil"/>
              </w:pBdr>
              <w:tabs>
                <w:tab w:val="left" w:pos="-179"/>
                <w:tab w:val="left" w:pos="-9"/>
              </w:tabs>
              <w:spacing w:after="120"/>
              <w:ind w:left="992" w:right="152" w:hanging="708"/>
              <w:jc w:val="both"/>
              <w:rPr>
                <w:rFonts w:ascii="Arial" w:eastAsia="Arial" w:hAnsi="Arial" w:cs="Arial"/>
                <w:sz w:val="24"/>
                <w:szCs w:val="24"/>
              </w:rPr>
            </w:pPr>
            <w:r>
              <w:rPr>
                <w:rFonts w:ascii="Arial" w:eastAsia="Arial" w:hAnsi="Arial" w:cs="Arial"/>
                <w:color w:val="000000"/>
                <w:sz w:val="24"/>
                <w:szCs w:val="24"/>
              </w:rPr>
              <w:t>the Regulations;</w:t>
            </w:r>
          </w:p>
          <w:p w14:paraId="08E269F3" w14:textId="77777777" w:rsidR="00A15725" w:rsidRDefault="00955D58">
            <w:pPr>
              <w:numPr>
                <w:ilvl w:val="1"/>
                <w:numId w:val="1"/>
              </w:numPr>
              <w:pBdr>
                <w:top w:val="nil"/>
                <w:left w:val="nil"/>
                <w:bottom w:val="nil"/>
                <w:right w:val="nil"/>
                <w:between w:val="nil"/>
              </w:pBdr>
              <w:tabs>
                <w:tab w:val="left" w:pos="-179"/>
                <w:tab w:val="left" w:pos="-9"/>
              </w:tabs>
              <w:spacing w:after="120"/>
              <w:ind w:left="992" w:right="152" w:hanging="708"/>
              <w:jc w:val="both"/>
              <w:rPr>
                <w:rFonts w:ascii="Arial" w:eastAsia="Arial" w:hAnsi="Arial" w:cs="Arial"/>
                <w:sz w:val="24"/>
                <w:szCs w:val="24"/>
              </w:rPr>
            </w:pPr>
            <w:r>
              <w:rPr>
                <w:rFonts w:ascii="Arial" w:eastAsia="Arial" w:hAnsi="Arial" w:cs="Arial"/>
                <w:color w:val="000000"/>
                <w:sz w:val="24"/>
                <w:szCs w:val="24"/>
              </w:rPr>
              <w:t>the Concession Contracts Regulations 2016 (SI 2016/273);</w:t>
            </w:r>
          </w:p>
          <w:p w14:paraId="71074F6A" w14:textId="77777777" w:rsidR="00A15725" w:rsidRDefault="00955D58">
            <w:pPr>
              <w:numPr>
                <w:ilvl w:val="1"/>
                <w:numId w:val="1"/>
              </w:numPr>
              <w:pBdr>
                <w:top w:val="nil"/>
                <w:left w:val="nil"/>
                <w:bottom w:val="nil"/>
                <w:right w:val="nil"/>
                <w:between w:val="nil"/>
              </w:pBdr>
              <w:tabs>
                <w:tab w:val="left" w:pos="-179"/>
                <w:tab w:val="left" w:pos="-9"/>
              </w:tabs>
              <w:spacing w:after="120"/>
              <w:ind w:left="992" w:right="152" w:hanging="708"/>
              <w:jc w:val="both"/>
              <w:rPr>
                <w:rFonts w:ascii="Arial" w:eastAsia="Arial" w:hAnsi="Arial" w:cs="Arial"/>
                <w:sz w:val="24"/>
                <w:szCs w:val="24"/>
              </w:rPr>
            </w:pPr>
            <w:r>
              <w:rPr>
                <w:rFonts w:ascii="Arial" w:eastAsia="Arial" w:hAnsi="Arial" w:cs="Arial"/>
                <w:color w:val="000000"/>
                <w:sz w:val="24"/>
                <w:szCs w:val="24"/>
              </w:rPr>
              <w:lastRenderedPageBreak/>
              <w:t>the Utilities Contracts Regulations 2016 (SI 2016/274);</w:t>
            </w:r>
          </w:p>
          <w:p w14:paraId="407E81EE" w14:textId="77777777" w:rsidR="00A15725" w:rsidRDefault="00955D58">
            <w:pPr>
              <w:numPr>
                <w:ilvl w:val="1"/>
                <w:numId w:val="1"/>
              </w:numPr>
              <w:pBdr>
                <w:top w:val="nil"/>
                <w:left w:val="nil"/>
                <w:bottom w:val="nil"/>
                <w:right w:val="nil"/>
                <w:between w:val="nil"/>
              </w:pBdr>
              <w:tabs>
                <w:tab w:val="left" w:pos="-179"/>
                <w:tab w:val="left" w:pos="-9"/>
              </w:tabs>
              <w:spacing w:after="120"/>
              <w:ind w:left="992" w:right="152" w:hanging="708"/>
              <w:jc w:val="both"/>
              <w:rPr>
                <w:rFonts w:ascii="Arial" w:eastAsia="Arial" w:hAnsi="Arial" w:cs="Arial"/>
                <w:sz w:val="24"/>
                <w:szCs w:val="24"/>
              </w:rPr>
            </w:pPr>
            <w:r>
              <w:rPr>
                <w:rFonts w:ascii="Arial" w:eastAsia="Arial" w:hAnsi="Arial" w:cs="Arial"/>
                <w:color w:val="000000"/>
                <w:sz w:val="24"/>
                <w:szCs w:val="24"/>
              </w:rPr>
              <w:t>the Defence and Security Public Contracts Regulations 2011 (SI 2011/1848);</w:t>
            </w:r>
          </w:p>
          <w:p w14:paraId="504B5B01" w14:textId="77777777" w:rsidR="00A15725" w:rsidRDefault="00955D58">
            <w:pPr>
              <w:numPr>
                <w:ilvl w:val="1"/>
                <w:numId w:val="1"/>
              </w:numPr>
              <w:pBdr>
                <w:top w:val="nil"/>
                <w:left w:val="nil"/>
                <w:bottom w:val="nil"/>
                <w:right w:val="nil"/>
                <w:between w:val="nil"/>
              </w:pBdr>
              <w:tabs>
                <w:tab w:val="left" w:pos="-179"/>
                <w:tab w:val="left" w:pos="-9"/>
              </w:tabs>
              <w:spacing w:after="120"/>
              <w:ind w:left="992" w:right="152" w:hanging="708"/>
              <w:jc w:val="both"/>
              <w:rPr>
                <w:rFonts w:ascii="Arial" w:eastAsia="Arial" w:hAnsi="Arial" w:cs="Arial"/>
                <w:sz w:val="24"/>
                <w:szCs w:val="24"/>
              </w:rPr>
            </w:pPr>
            <w:r>
              <w:rPr>
                <w:rFonts w:ascii="Arial" w:eastAsia="Arial" w:hAnsi="Arial" w:cs="Arial"/>
                <w:color w:val="000000"/>
                <w:sz w:val="24"/>
                <w:szCs w:val="24"/>
              </w:rPr>
              <w:t>the Remedies Directive (2007/66/EC);</w:t>
            </w:r>
          </w:p>
          <w:p w14:paraId="75EF2381" w14:textId="77777777" w:rsidR="00A15725" w:rsidRDefault="00955D58">
            <w:pPr>
              <w:numPr>
                <w:ilvl w:val="1"/>
                <w:numId w:val="1"/>
              </w:numPr>
              <w:pBdr>
                <w:top w:val="nil"/>
                <w:left w:val="nil"/>
                <w:bottom w:val="nil"/>
                <w:right w:val="nil"/>
                <w:between w:val="nil"/>
              </w:pBdr>
              <w:tabs>
                <w:tab w:val="left" w:pos="-179"/>
                <w:tab w:val="left" w:pos="-9"/>
              </w:tabs>
              <w:spacing w:after="120"/>
              <w:ind w:left="992" w:right="152" w:hanging="708"/>
              <w:jc w:val="both"/>
              <w:rPr>
                <w:rFonts w:ascii="Arial" w:eastAsia="Arial" w:hAnsi="Arial" w:cs="Arial"/>
                <w:sz w:val="24"/>
                <w:szCs w:val="24"/>
              </w:rPr>
            </w:pPr>
            <w:r>
              <w:rPr>
                <w:rFonts w:ascii="Arial" w:eastAsia="Arial" w:hAnsi="Arial" w:cs="Arial"/>
                <w:color w:val="000000"/>
                <w:sz w:val="24"/>
                <w:szCs w:val="24"/>
              </w:rPr>
              <w:t>Directive 2014/23/EU of the European Parliament and Council;</w:t>
            </w:r>
          </w:p>
          <w:p w14:paraId="72320C83" w14:textId="77777777" w:rsidR="00A15725" w:rsidRDefault="00955D58">
            <w:pPr>
              <w:numPr>
                <w:ilvl w:val="1"/>
                <w:numId w:val="1"/>
              </w:numPr>
              <w:pBdr>
                <w:top w:val="nil"/>
                <w:left w:val="nil"/>
                <w:bottom w:val="nil"/>
                <w:right w:val="nil"/>
                <w:between w:val="nil"/>
              </w:pBdr>
              <w:tabs>
                <w:tab w:val="left" w:pos="-179"/>
                <w:tab w:val="left" w:pos="-9"/>
              </w:tabs>
              <w:spacing w:after="120"/>
              <w:ind w:left="992" w:right="152" w:hanging="708"/>
              <w:jc w:val="both"/>
              <w:rPr>
                <w:rFonts w:ascii="Arial" w:eastAsia="Arial" w:hAnsi="Arial" w:cs="Arial"/>
                <w:sz w:val="24"/>
                <w:szCs w:val="24"/>
              </w:rPr>
            </w:pPr>
            <w:r>
              <w:rPr>
                <w:rFonts w:ascii="Arial" w:eastAsia="Arial" w:hAnsi="Arial" w:cs="Arial"/>
                <w:color w:val="000000"/>
                <w:sz w:val="24"/>
                <w:szCs w:val="24"/>
              </w:rPr>
              <w:t>Directive 2014/24/EU of the European Parliament and Council;</w:t>
            </w:r>
          </w:p>
          <w:p w14:paraId="0516F927" w14:textId="77777777" w:rsidR="00A15725" w:rsidRDefault="00955D58">
            <w:pPr>
              <w:numPr>
                <w:ilvl w:val="1"/>
                <w:numId w:val="1"/>
              </w:numPr>
              <w:pBdr>
                <w:top w:val="nil"/>
                <w:left w:val="nil"/>
                <w:bottom w:val="nil"/>
                <w:right w:val="nil"/>
                <w:between w:val="nil"/>
              </w:pBdr>
              <w:tabs>
                <w:tab w:val="left" w:pos="-179"/>
                <w:tab w:val="left" w:pos="-9"/>
              </w:tabs>
              <w:spacing w:after="120"/>
              <w:ind w:left="992" w:right="152" w:hanging="708"/>
              <w:jc w:val="both"/>
              <w:rPr>
                <w:rFonts w:ascii="Arial" w:eastAsia="Arial" w:hAnsi="Arial" w:cs="Arial"/>
                <w:sz w:val="24"/>
                <w:szCs w:val="24"/>
              </w:rPr>
            </w:pPr>
            <w:r>
              <w:rPr>
                <w:rFonts w:ascii="Arial" w:eastAsia="Arial" w:hAnsi="Arial" w:cs="Arial"/>
                <w:color w:val="000000"/>
                <w:sz w:val="24"/>
                <w:szCs w:val="24"/>
              </w:rPr>
              <w:t>Directive 2014/25/EU of the European Parliament and Council; or</w:t>
            </w:r>
          </w:p>
          <w:p w14:paraId="5D60EE82" w14:textId="77777777" w:rsidR="00A15725" w:rsidRDefault="00955D58">
            <w:pPr>
              <w:numPr>
                <w:ilvl w:val="1"/>
                <w:numId w:val="1"/>
              </w:numPr>
              <w:pBdr>
                <w:top w:val="nil"/>
                <w:left w:val="nil"/>
                <w:bottom w:val="nil"/>
                <w:right w:val="nil"/>
                <w:between w:val="nil"/>
              </w:pBdr>
              <w:tabs>
                <w:tab w:val="left" w:pos="-179"/>
                <w:tab w:val="left" w:pos="-9"/>
              </w:tabs>
              <w:spacing w:after="120"/>
              <w:ind w:left="992" w:right="152" w:hanging="708"/>
              <w:jc w:val="both"/>
              <w:rPr>
                <w:rFonts w:ascii="Arial" w:eastAsia="Arial" w:hAnsi="Arial" w:cs="Arial"/>
                <w:sz w:val="24"/>
                <w:szCs w:val="24"/>
              </w:rPr>
            </w:pPr>
            <w:r>
              <w:rPr>
                <w:rFonts w:ascii="Arial" w:eastAsia="Arial" w:hAnsi="Arial" w:cs="Arial"/>
                <w:color w:val="000000"/>
                <w:sz w:val="24"/>
                <w:szCs w:val="24"/>
              </w:rPr>
              <w:t>Directive 2009/81/EC of the European Parliament and Council;</w:t>
            </w:r>
          </w:p>
        </w:tc>
      </w:tr>
      <w:tr w:rsidR="00A15725" w14:paraId="7EDCA11B" w14:textId="77777777">
        <w:tc>
          <w:tcPr>
            <w:tcW w:w="26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02C5E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“Exempt Call-Off Contract”</w:t>
            </w:r>
          </w:p>
        </w:tc>
        <w:tc>
          <w:tcPr>
            <w:tcW w:w="7350" w:type="dxa"/>
            <w:tcBorders>
              <w:top w:val="nil"/>
              <w:left w:val="nil"/>
              <w:bottom w:val="single" w:sz="8" w:space="0" w:color="000000"/>
              <w:right w:val="single" w:sz="8" w:space="0" w:color="000000"/>
            </w:tcBorders>
            <w:tcMar>
              <w:top w:w="0" w:type="dxa"/>
              <w:left w:w="108" w:type="dxa"/>
              <w:bottom w:w="0" w:type="dxa"/>
              <w:right w:w="108" w:type="dxa"/>
            </w:tcMar>
          </w:tcPr>
          <w:p w14:paraId="176E55C2" w14:textId="77777777" w:rsidR="00A15725" w:rsidRDefault="00955D58">
            <w:pPr>
              <w:pBdr>
                <w:top w:val="nil"/>
                <w:left w:val="nil"/>
                <w:bottom w:val="nil"/>
                <w:right w:val="nil"/>
                <w:between w:val="nil"/>
              </w:pBdr>
              <w:ind w:left="174" w:right="152"/>
              <w:jc w:val="both"/>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A15725" w14:paraId="3CC6AEA0" w14:textId="77777777">
        <w:trPr>
          <w:trHeight w:val="1442"/>
        </w:trPr>
        <w:tc>
          <w:tcPr>
            <w:tcW w:w="26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1D7A6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“Exempt Procurement Amendments”</w:t>
            </w:r>
          </w:p>
        </w:tc>
        <w:tc>
          <w:tcPr>
            <w:tcW w:w="7350" w:type="dxa"/>
            <w:tcBorders>
              <w:top w:val="nil"/>
              <w:left w:val="nil"/>
              <w:bottom w:val="single" w:sz="8" w:space="0" w:color="000000"/>
              <w:right w:val="single" w:sz="8" w:space="0" w:color="000000"/>
            </w:tcBorders>
            <w:tcMar>
              <w:top w:w="0" w:type="dxa"/>
              <w:left w:w="108" w:type="dxa"/>
              <w:bottom w:w="0" w:type="dxa"/>
              <w:right w:w="108" w:type="dxa"/>
            </w:tcMar>
          </w:tcPr>
          <w:p w14:paraId="12ED82FC" w14:textId="77777777" w:rsidR="00A15725" w:rsidRDefault="00955D58">
            <w:pPr>
              <w:pBdr>
                <w:top w:val="nil"/>
                <w:left w:val="nil"/>
                <w:bottom w:val="nil"/>
                <w:right w:val="nil"/>
                <w:between w:val="nil"/>
              </w:pBdr>
              <w:ind w:left="174" w:right="152"/>
              <w:jc w:val="both"/>
              <w:rPr>
                <w:rFonts w:ascii="Arial" w:eastAsia="Arial" w:hAnsi="Arial" w:cs="Arial"/>
                <w:color w:val="000000"/>
                <w:sz w:val="24"/>
                <w:szCs w:val="24"/>
              </w:rPr>
            </w:pPr>
            <w:bookmarkStart w:id="9" w:name="_heading=h.3znysh7" w:colFirst="0" w:colLast="0"/>
            <w:bookmarkEnd w:id="9"/>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2D2608FE" w14:textId="77777777" w:rsidR="00A15725" w:rsidRDefault="00A15725">
      <w:pPr>
        <w:widowControl w:val="0"/>
        <w:pBdr>
          <w:top w:val="nil"/>
          <w:left w:val="nil"/>
          <w:bottom w:val="nil"/>
          <w:right w:val="nil"/>
          <w:between w:val="nil"/>
        </w:pBdr>
        <w:spacing w:after="0"/>
        <w:rPr>
          <w:rFonts w:ascii="Arial" w:eastAsia="Arial" w:hAnsi="Arial" w:cs="Arial"/>
          <w:color w:val="000000"/>
          <w:sz w:val="24"/>
          <w:szCs w:val="24"/>
        </w:rPr>
      </w:pPr>
    </w:p>
    <w:tbl>
      <w:tblPr>
        <w:tblStyle w:val="afc"/>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7371"/>
      </w:tblGrid>
      <w:tr w:rsidR="00A15725" w14:paraId="0F6952CB" w14:textId="77777777">
        <w:tc>
          <w:tcPr>
            <w:tcW w:w="2694" w:type="dxa"/>
          </w:tcPr>
          <w:p w14:paraId="2733BC1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"Existing IPR"</w:t>
            </w:r>
          </w:p>
        </w:tc>
        <w:tc>
          <w:tcPr>
            <w:tcW w:w="7371" w:type="dxa"/>
          </w:tcPr>
          <w:p w14:paraId="06C35A3C"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A15725" w14:paraId="3DE7EF5C" w14:textId="77777777">
        <w:tc>
          <w:tcPr>
            <w:tcW w:w="2694" w:type="dxa"/>
          </w:tcPr>
          <w:p w14:paraId="5699E28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"Existing Service"</w:t>
            </w:r>
          </w:p>
        </w:tc>
        <w:tc>
          <w:tcPr>
            <w:tcW w:w="7371" w:type="dxa"/>
          </w:tcPr>
          <w:p w14:paraId="68952CE3" w14:textId="77777777" w:rsidR="00A15725" w:rsidRDefault="00955D58">
            <w:pPr>
              <w:tabs>
                <w:tab w:val="left" w:pos="284"/>
              </w:tabs>
              <w:spacing w:line="276" w:lineRule="auto"/>
              <w:ind w:left="284" w:right="141"/>
              <w:rPr>
                <w:rFonts w:ascii="Arial" w:eastAsia="Arial" w:hAnsi="Arial" w:cs="Arial"/>
                <w:sz w:val="24"/>
                <w:szCs w:val="24"/>
              </w:rPr>
            </w:pPr>
            <w:r>
              <w:rPr>
                <w:rFonts w:ascii="Arial" w:eastAsia="Arial" w:hAnsi="Arial" w:cs="Arial"/>
                <w:sz w:val="24"/>
                <w:szCs w:val="24"/>
              </w:rPr>
              <w:t>a service that is already being provided either in-house or outsourced;</w:t>
            </w:r>
          </w:p>
        </w:tc>
      </w:tr>
      <w:tr w:rsidR="00A15725" w14:paraId="634F7819" w14:textId="77777777">
        <w:tc>
          <w:tcPr>
            <w:tcW w:w="2694" w:type="dxa"/>
          </w:tcPr>
          <w:p w14:paraId="05D66FAC"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“Exit Day”</w:t>
            </w:r>
          </w:p>
        </w:tc>
        <w:tc>
          <w:tcPr>
            <w:tcW w:w="7371" w:type="dxa"/>
          </w:tcPr>
          <w:p w14:paraId="0E86C565"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A15725" w14:paraId="4523A557" w14:textId="77777777">
        <w:tc>
          <w:tcPr>
            <w:tcW w:w="2694" w:type="dxa"/>
          </w:tcPr>
          <w:p w14:paraId="7ABF511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"Expiry Date"</w:t>
            </w:r>
          </w:p>
        </w:tc>
        <w:tc>
          <w:tcPr>
            <w:tcW w:w="7371" w:type="dxa"/>
          </w:tcPr>
          <w:p w14:paraId="1895C7EE" w14:textId="77777777" w:rsidR="00A15725" w:rsidRDefault="00955D58">
            <w:pPr>
              <w:pBdr>
                <w:top w:val="nil"/>
                <w:left w:val="nil"/>
                <w:bottom w:val="nil"/>
                <w:right w:val="nil"/>
                <w:between w:val="nil"/>
              </w:pBdr>
              <w:tabs>
                <w:tab w:val="left" w:pos="-576"/>
                <w:tab w:val="left" w:pos="144"/>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A15725" w14:paraId="6B5BFE8D" w14:textId="77777777">
        <w:tc>
          <w:tcPr>
            <w:tcW w:w="2694" w:type="dxa"/>
          </w:tcPr>
          <w:p w14:paraId="038AD71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“Expression of Interest or EOI”</w:t>
            </w:r>
          </w:p>
        </w:tc>
        <w:tc>
          <w:tcPr>
            <w:tcW w:w="7371" w:type="dxa"/>
          </w:tcPr>
          <w:p w14:paraId="00698690"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 xml:space="preserve">the notification given by the Supplier to the Buyer, expressing their interest in an upcoming opportunity; </w:t>
            </w:r>
          </w:p>
        </w:tc>
      </w:tr>
      <w:tr w:rsidR="00A15725" w14:paraId="5888474F" w14:textId="77777777">
        <w:tc>
          <w:tcPr>
            <w:tcW w:w="2694" w:type="dxa"/>
          </w:tcPr>
          <w:p w14:paraId="434168E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371" w:type="dxa"/>
          </w:tcPr>
          <w:p w14:paraId="3F631E25"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the Call-Off Optional Extension Period.</w:t>
            </w:r>
          </w:p>
        </w:tc>
      </w:tr>
      <w:tr w:rsidR="00A15725" w14:paraId="7413496B" w14:textId="77777777">
        <w:tc>
          <w:tcPr>
            <w:tcW w:w="2694" w:type="dxa"/>
          </w:tcPr>
          <w:p w14:paraId="7F2481A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“Financial Distress Event”</w:t>
            </w:r>
          </w:p>
        </w:tc>
        <w:tc>
          <w:tcPr>
            <w:tcW w:w="7371" w:type="dxa"/>
          </w:tcPr>
          <w:p w14:paraId="368FE433" w14:textId="77777777" w:rsidR="00A15725" w:rsidRDefault="00955D58">
            <w:pPr>
              <w:numPr>
                <w:ilvl w:val="1"/>
                <w:numId w:val="27"/>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the credit rating of the Supplier, any Guarantor or any Key Subcontractor drops below Credit Rating Threshold of the relevant Rating Agency;</w:t>
            </w:r>
          </w:p>
          <w:p w14:paraId="49325942" w14:textId="77777777" w:rsidR="00A15725" w:rsidRDefault="00955D58">
            <w:pPr>
              <w:numPr>
                <w:ilvl w:val="1"/>
                <w:numId w:val="27"/>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the Supplier, any Guarantor or any Key Subcontractor issues a profits warning to a stock exchange or makes any other public announcement, in each case about a material deterioration in its financial position or prospects;</w:t>
            </w:r>
          </w:p>
          <w:p w14:paraId="2B9725ED" w14:textId="77777777" w:rsidR="00A15725" w:rsidRDefault="00955D58">
            <w:pPr>
              <w:numPr>
                <w:ilvl w:val="1"/>
                <w:numId w:val="27"/>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lastRenderedPageBreak/>
              <w:t>there being a public investigation into improper financial accounting and reporting, suspected fraud or any other impropriety of the Supplier, any Guarantor or any Key Subcontractor;</w:t>
            </w:r>
          </w:p>
          <w:p w14:paraId="6096AC9E" w14:textId="77777777" w:rsidR="00A15725" w:rsidRDefault="00955D58">
            <w:pPr>
              <w:numPr>
                <w:ilvl w:val="1"/>
                <w:numId w:val="27"/>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the Supplier, any Guarantor or any Key Subcontractor commits a material breach of covenant to its lenders;</w:t>
            </w:r>
          </w:p>
          <w:p w14:paraId="0F691A18" w14:textId="77777777" w:rsidR="00A15725" w:rsidRDefault="00955D58">
            <w:pPr>
              <w:numPr>
                <w:ilvl w:val="1"/>
                <w:numId w:val="27"/>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a Key Subcontractor notifies the Relevant Authority that the Supplier has not paid any material sums properly due under a specified invoice and not subject to a genuine dispute; or</w:t>
            </w:r>
          </w:p>
          <w:p w14:paraId="4E1AC563" w14:textId="77777777" w:rsidR="00A15725" w:rsidRDefault="00955D58">
            <w:pPr>
              <w:numPr>
                <w:ilvl w:val="1"/>
                <w:numId w:val="27"/>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any of the following in respect of the Supplier, any Guarantor or any Key Subcontractor: (i) commencement of any litigation with respect to financial indebtedness greater than £5m or obligations under a service contract with a total contract value greater than £5m; ii) non-payment of any financial indebtedness; iii) any financial indebtedness becoming due as a result of an event of default; iv) the cancellation or suspension of any financial indebtedness or v) an external auditor expressing a qualified opinion on, or including an emphasis of matter in, its opinion on the statutory accounts of that entity, in each case which the Relevant Authority reasonably believes (or would be likely reasonably to believe) could directly impact on the continued provision of the Deliverables in accordance with the Contract;</w:t>
            </w:r>
          </w:p>
        </w:tc>
      </w:tr>
      <w:tr w:rsidR="00A15725" w14:paraId="35F5015E" w14:textId="77777777">
        <w:tc>
          <w:tcPr>
            <w:tcW w:w="2694" w:type="dxa"/>
          </w:tcPr>
          <w:p w14:paraId="22F481A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“Financial Reports”</w:t>
            </w:r>
          </w:p>
        </w:tc>
        <w:tc>
          <w:tcPr>
            <w:tcW w:w="7371" w:type="dxa"/>
          </w:tcPr>
          <w:p w14:paraId="191E161F"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a report by the Supplier to the Buyer that:</w:t>
            </w:r>
          </w:p>
          <w:p w14:paraId="324356D0" w14:textId="77777777" w:rsidR="00A15725" w:rsidRDefault="00955D58">
            <w:pPr>
              <w:numPr>
                <w:ilvl w:val="1"/>
                <w:numId w:val="15"/>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provides a true and fair reflection of the Costs and Supplier Profit Margin forecast by the Supplier;</w:t>
            </w:r>
          </w:p>
          <w:p w14:paraId="5C664234" w14:textId="77777777" w:rsidR="00A15725" w:rsidRDefault="00955D58">
            <w:pPr>
              <w:numPr>
                <w:ilvl w:val="1"/>
                <w:numId w:val="15"/>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 xml:space="preserve">provides a true and fair reflection of the costs and expenses to be incurred by Key </w:t>
            </w:r>
            <w:r>
              <w:rPr>
                <w:rFonts w:ascii="Arial" w:eastAsia="Arial" w:hAnsi="Arial" w:cs="Arial"/>
                <w:sz w:val="24"/>
                <w:szCs w:val="24"/>
              </w:rPr>
              <w:t>S</w:t>
            </w:r>
            <w:r>
              <w:rPr>
                <w:rFonts w:ascii="Arial" w:eastAsia="Arial" w:hAnsi="Arial" w:cs="Arial"/>
                <w:color w:val="000000"/>
                <w:sz w:val="24"/>
                <w:szCs w:val="24"/>
              </w:rPr>
              <w:t>ubcontractors (as requested by the Buyer);</w:t>
            </w:r>
          </w:p>
          <w:p w14:paraId="5A069A28" w14:textId="77777777" w:rsidR="00A15725" w:rsidRDefault="00955D58">
            <w:pPr>
              <w:numPr>
                <w:ilvl w:val="1"/>
                <w:numId w:val="15"/>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is in the same software package (Microsoft Excel or Microsoft Word), layout and format as the blank templates which have been issued by the Buyer to the Supplier on or before the Start Date for the purposes of the Contract; and</w:t>
            </w:r>
          </w:p>
          <w:p w14:paraId="4A54E57E" w14:textId="77777777" w:rsidR="00A15725" w:rsidRDefault="00955D58">
            <w:pPr>
              <w:numPr>
                <w:ilvl w:val="1"/>
                <w:numId w:val="15"/>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is certified by the Supplier’s Chief Financial Officer or Director of Finance;</w:t>
            </w:r>
          </w:p>
        </w:tc>
      </w:tr>
      <w:tr w:rsidR="00A15725" w14:paraId="2FCA4AD6" w14:textId="77777777">
        <w:tc>
          <w:tcPr>
            <w:tcW w:w="2694" w:type="dxa"/>
          </w:tcPr>
          <w:p w14:paraId="134250E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“Financial Representative”</w:t>
            </w:r>
          </w:p>
        </w:tc>
        <w:tc>
          <w:tcPr>
            <w:tcW w:w="7371" w:type="dxa"/>
          </w:tcPr>
          <w:p w14:paraId="7225D0DB"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a reasonably skilled and experienced member of the Supplier Staff who has specific responsibility for preparing, maintaining, facilitating access to, discussing and explaining the records and accounts of everything to do with the Contract (as referred to in Clause 6), Financial Reports and Open Book Data;</w:t>
            </w:r>
          </w:p>
        </w:tc>
      </w:tr>
      <w:tr w:rsidR="00A15725" w14:paraId="049EC6DA" w14:textId="77777777">
        <w:tc>
          <w:tcPr>
            <w:tcW w:w="2694" w:type="dxa"/>
          </w:tcPr>
          <w:p w14:paraId="7EA5AF2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tcW w:w="7371" w:type="dxa"/>
          </w:tcPr>
          <w:p w14:paraId="353D934F" w14:textId="77777777" w:rsidR="00A15725" w:rsidRDefault="00955D58">
            <w:pPr>
              <w:numPr>
                <w:ilvl w:val="1"/>
                <w:numId w:val="4"/>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 xml:space="preserve">the Buyer having a clear analysis of the Costs, Overhead recoveries (where relevant), time spent by Supplier Staff in </w:t>
            </w:r>
            <w:r>
              <w:rPr>
                <w:rFonts w:ascii="Arial" w:eastAsia="Arial" w:hAnsi="Arial" w:cs="Arial"/>
                <w:color w:val="000000"/>
                <w:sz w:val="24"/>
                <w:szCs w:val="24"/>
              </w:rPr>
              <w:lastRenderedPageBreak/>
              <w:t>providing the Services and Supplier Profit Margin so that it can understand any payment sought by the Supplier;</w:t>
            </w:r>
          </w:p>
          <w:p w14:paraId="16490841" w14:textId="77777777" w:rsidR="00A15725" w:rsidRDefault="00955D58">
            <w:pPr>
              <w:numPr>
                <w:ilvl w:val="1"/>
                <w:numId w:val="4"/>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the Parties being able to understand Costs forecasts and to have confidence that these are based on justifiable numbers and appropriate forecasting techniques;</w:t>
            </w:r>
          </w:p>
          <w:p w14:paraId="0ACE7531" w14:textId="77777777" w:rsidR="00A15725" w:rsidRDefault="00955D58">
            <w:pPr>
              <w:numPr>
                <w:ilvl w:val="1"/>
                <w:numId w:val="4"/>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the Parties being able to understand the quantitative impact of any Variations that affect ongoing Costs and identifying how these could be mitigated and/or reflected in the Charges;</w:t>
            </w:r>
          </w:p>
          <w:p w14:paraId="2D728888" w14:textId="77777777" w:rsidR="00A15725" w:rsidRDefault="00955D58">
            <w:pPr>
              <w:numPr>
                <w:ilvl w:val="1"/>
                <w:numId w:val="4"/>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the Parties being able to review, address issues with and re-forecast progress in relation to the provision of the Services;</w:t>
            </w:r>
          </w:p>
          <w:p w14:paraId="1DEC97EF" w14:textId="77777777" w:rsidR="00A15725" w:rsidRDefault="00955D58">
            <w:pPr>
              <w:numPr>
                <w:ilvl w:val="1"/>
                <w:numId w:val="4"/>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the Parties challenging each other with ideas for efficiency and improvements; and</w:t>
            </w:r>
          </w:p>
          <w:p w14:paraId="188D6D17" w14:textId="77777777" w:rsidR="00A15725" w:rsidRDefault="00955D58">
            <w:pPr>
              <w:numPr>
                <w:ilvl w:val="1"/>
                <w:numId w:val="4"/>
              </w:numPr>
              <w:pBdr>
                <w:top w:val="nil"/>
                <w:left w:val="nil"/>
                <w:bottom w:val="nil"/>
                <w:right w:val="nil"/>
                <w:between w:val="nil"/>
              </w:pBdr>
              <w:tabs>
                <w:tab w:val="left" w:pos="-179"/>
                <w:tab w:val="left" w:pos="284"/>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 xml:space="preserve">enabling the Buyer to demonstrate that it is achieving value for money for the </w:t>
            </w:r>
            <w:r>
              <w:rPr>
                <w:rFonts w:ascii="Arial" w:eastAsia="Arial" w:hAnsi="Arial" w:cs="Arial"/>
                <w:sz w:val="24"/>
                <w:szCs w:val="24"/>
              </w:rPr>
              <w:t>taxpayer</w:t>
            </w:r>
            <w:r>
              <w:rPr>
                <w:rFonts w:ascii="Arial" w:eastAsia="Arial" w:hAnsi="Arial" w:cs="Arial"/>
                <w:color w:val="000000"/>
                <w:sz w:val="24"/>
                <w:szCs w:val="24"/>
              </w:rPr>
              <w:t xml:space="preserve"> relative to current market prices;</w:t>
            </w:r>
          </w:p>
        </w:tc>
      </w:tr>
      <w:tr w:rsidR="00A15725" w14:paraId="18D1E376" w14:textId="77777777">
        <w:tc>
          <w:tcPr>
            <w:tcW w:w="2694" w:type="dxa"/>
            <w:vAlign w:val="center"/>
          </w:tcPr>
          <w:p w14:paraId="5A3F5536"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lastRenderedPageBreak/>
              <w:t>“Fixed Fee Pricing Matrix”</w:t>
            </w:r>
          </w:p>
        </w:tc>
        <w:tc>
          <w:tcPr>
            <w:tcW w:w="7371" w:type="dxa"/>
            <w:vAlign w:val="center"/>
          </w:tcPr>
          <w:p w14:paraId="4AB4E56A" w14:textId="77777777" w:rsidR="00A15725" w:rsidRDefault="00955D58">
            <w:pPr>
              <w:pBdr>
                <w:top w:val="nil"/>
                <w:left w:val="nil"/>
                <w:bottom w:val="nil"/>
                <w:right w:val="nil"/>
                <w:between w:val="nil"/>
              </w:pBdr>
              <w:tabs>
                <w:tab w:val="left" w:pos="-179"/>
                <w:tab w:val="left" w:pos="284"/>
              </w:tabs>
              <w:spacing w:after="120"/>
              <w:ind w:left="284" w:right="141"/>
              <w:rPr>
                <w:rFonts w:ascii="Arial" w:eastAsia="Arial" w:hAnsi="Arial" w:cs="Arial"/>
                <w:color w:val="000000"/>
                <w:sz w:val="24"/>
                <w:szCs w:val="24"/>
              </w:rPr>
            </w:pPr>
            <w:r>
              <w:rPr>
                <w:rFonts w:ascii="Arial" w:eastAsia="Arial" w:hAnsi="Arial" w:cs="Arial"/>
                <w:sz w:val="24"/>
                <w:szCs w:val="24"/>
              </w:rPr>
              <w:t>the spreadsheet setting out details of the Fixed Fee prices which is set out in the Order Form and will be provided by the Buyer at Further Competition</w:t>
            </w:r>
          </w:p>
        </w:tc>
      </w:tr>
      <w:tr w:rsidR="00A15725" w14:paraId="6DBD5B03" w14:textId="77777777">
        <w:tc>
          <w:tcPr>
            <w:tcW w:w="2694" w:type="dxa"/>
            <w:vAlign w:val="center"/>
          </w:tcPr>
          <w:p w14:paraId="470FD21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"Fixed Fee TUPE Risk Premium"</w:t>
            </w:r>
          </w:p>
        </w:tc>
        <w:tc>
          <w:tcPr>
            <w:tcW w:w="7371" w:type="dxa"/>
            <w:vAlign w:val="center"/>
          </w:tcPr>
          <w:p w14:paraId="44FB032F" w14:textId="77777777" w:rsidR="00A15725" w:rsidRDefault="00955D58">
            <w:pPr>
              <w:pBdr>
                <w:top w:val="nil"/>
                <w:left w:val="nil"/>
                <w:bottom w:val="nil"/>
                <w:right w:val="nil"/>
                <w:between w:val="nil"/>
              </w:pBdr>
              <w:tabs>
                <w:tab w:val="left" w:pos="-179"/>
                <w:tab w:val="left" w:pos="284"/>
              </w:tabs>
              <w:spacing w:after="120"/>
              <w:ind w:left="284" w:right="141"/>
              <w:rPr>
                <w:rFonts w:ascii="Arial" w:eastAsia="Arial" w:hAnsi="Arial" w:cs="Arial"/>
                <w:color w:val="000000"/>
                <w:sz w:val="24"/>
                <w:szCs w:val="24"/>
              </w:rPr>
            </w:pPr>
            <w:r>
              <w:rPr>
                <w:rFonts w:ascii="Arial" w:eastAsia="Arial" w:hAnsi="Arial" w:cs="Arial"/>
                <w:color w:val="000000"/>
                <w:sz w:val="24"/>
                <w:szCs w:val="24"/>
              </w:rPr>
              <w:t>the amount payable  on an annual basis based on the difference between:</w:t>
            </w:r>
          </w:p>
          <w:p w14:paraId="6CB60B92" w14:textId="77777777" w:rsidR="00A15725" w:rsidRDefault="00955D58">
            <w:pPr>
              <w:pBdr>
                <w:top w:val="nil"/>
                <w:left w:val="nil"/>
                <w:bottom w:val="nil"/>
                <w:right w:val="nil"/>
                <w:between w:val="nil"/>
              </w:pBdr>
              <w:tabs>
                <w:tab w:val="left" w:pos="-179"/>
                <w:tab w:val="left" w:pos="284"/>
              </w:tabs>
              <w:spacing w:after="120"/>
              <w:ind w:left="992" w:right="141" w:hanging="708"/>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the costs to employ Transferring Former Supplier Employees or  where the Former Supplier becomes the Supplier those Former Supplier employees providing the Services at the Commencement Date and/or Transferring Buyer Employees (as the case may be); and</w:t>
            </w:r>
          </w:p>
          <w:p w14:paraId="1EE6D6A7" w14:textId="77777777" w:rsidR="00A15725" w:rsidRDefault="00955D58">
            <w:pPr>
              <w:pBdr>
                <w:top w:val="nil"/>
                <w:left w:val="nil"/>
                <w:bottom w:val="nil"/>
                <w:right w:val="nil"/>
                <w:between w:val="nil"/>
              </w:pBdr>
              <w:tabs>
                <w:tab w:val="left" w:pos="-179"/>
                <w:tab w:val="left" w:pos="284"/>
              </w:tabs>
              <w:spacing w:after="120"/>
              <w:ind w:left="992" w:right="141" w:hanging="708"/>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the equivalent costs to employ staff used by the Supplier at Further Competition,</w:t>
            </w:r>
            <w:r>
              <w:rPr>
                <w:rFonts w:ascii="Arial" w:eastAsia="Arial" w:hAnsi="Arial" w:cs="Arial"/>
                <w:sz w:val="24"/>
                <w:szCs w:val="24"/>
              </w:rPr>
              <w:t xml:space="preserve"> </w:t>
            </w:r>
            <w:r>
              <w:rPr>
                <w:rFonts w:ascii="Arial" w:eastAsia="Arial" w:hAnsi="Arial" w:cs="Arial"/>
                <w:color w:val="000000"/>
                <w:sz w:val="24"/>
                <w:szCs w:val="24"/>
              </w:rPr>
              <w:t xml:space="preserve">in respect of payments due under contracts of employment in respect of the following: </w:t>
            </w:r>
          </w:p>
          <w:p w14:paraId="18C58CD4" w14:textId="77777777" w:rsidR="00A15725" w:rsidRDefault="00955D58">
            <w:pPr>
              <w:pBdr>
                <w:top w:val="nil"/>
                <w:left w:val="nil"/>
                <w:bottom w:val="nil"/>
                <w:right w:val="nil"/>
                <w:between w:val="nil"/>
              </w:pBdr>
              <w:tabs>
                <w:tab w:val="left" w:pos="-179"/>
                <w:tab w:val="left" w:pos="284"/>
              </w:tabs>
              <w:spacing w:after="120"/>
              <w:ind w:left="1417" w:right="141" w:hanging="708"/>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annual salary;</w:t>
            </w:r>
          </w:p>
          <w:p w14:paraId="6DB8516B" w14:textId="77777777" w:rsidR="00A15725" w:rsidRDefault="00955D58">
            <w:pPr>
              <w:pBdr>
                <w:top w:val="nil"/>
                <w:left w:val="nil"/>
                <w:bottom w:val="nil"/>
                <w:right w:val="nil"/>
                <w:between w:val="nil"/>
              </w:pBdr>
              <w:tabs>
                <w:tab w:val="left" w:pos="-179"/>
                <w:tab w:val="left" w:pos="284"/>
              </w:tabs>
              <w:spacing w:after="120"/>
              <w:ind w:left="1417" w:right="141" w:hanging="708"/>
              <w:rPr>
                <w:rFonts w:ascii="Arial" w:eastAsia="Arial" w:hAnsi="Arial" w:cs="Arial"/>
                <w:color w:val="000000"/>
                <w:sz w:val="24"/>
                <w:szCs w:val="24"/>
              </w:rPr>
            </w:pPr>
            <w:bookmarkStart w:id="10" w:name="_heading=h.4d34og8" w:colFirst="0" w:colLast="0"/>
            <w:bookmarkEnd w:id="10"/>
            <w:r>
              <w:rPr>
                <w:rFonts w:ascii="Arial" w:eastAsia="Arial" w:hAnsi="Arial" w:cs="Arial"/>
                <w:color w:val="000000"/>
                <w:sz w:val="24"/>
                <w:szCs w:val="24"/>
              </w:rPr>
              <w:t>ii)</w:t>
            </w:r>
            <w:r>
              <w:rPr>
                <w:rFonts w:ascii="Arial" w:eastAsia="Arial" w:hAnsi="Arial" w:cs="Arial"/>
                <w:color w:val="000000"/>
                <w:sz w:val="24"/>
                <w:szCs w:val="24"/>
              </w:rPr>
              <w:tab/>
              <w:t>annual national insurance cost;</w:t>
            </w:r>
          </w:p>
          <w:p w14:paraId="53185CBF" w14:textId="77777777" w:rsidR="00A15725" w:rsidRDefault="00955D58">
            <w:pPr>
              <w:pBdr>
                <w:top w:val="nil"/>
                <w:left w:val="nil"/>
                <w:bottom w:val="nil"/>
                <w:right w:val="nil"/>
                <w:between w:val="nil"/>
              </w:pBdr>
              <w:tabs>
                <w:tab w:val="left" w:pos="-179"/>
                <w:tab w:val="left" w:pos="284"/>
              </w:tabs>
              <w:spacing w:after="120"/>
              <w:ind w:left="1417" w:right="141" w:hanging="708"/>
              <w:rPr>
                <w:rFonts w:ascii="Arial" w:eastAsia="Arial" w:hAnsi="Arial" w:cs="Arial"/>
                <w:color w:val="000000"/>
                <w:sz w:val="24"/>
                <w:szCs w:val="24"/>
              </w:rPr>
            </w:pPr>
            <w:r>
              <w:rPr>
                <w:rFonts w:ascii="Arial" w:eastAsia="Arial" w:hAnsi="Arial" w:cs="Arial"/>
                <w:color w:val="000000"/>
                <w:sz w:val="24"/>
                <w:szCs w:val="24"/>
              </w:rPr>
              <w:t>iii)</w:t>
            </w:r>
            <w:r>
              <w:rPr>
                <w:rFonts w:ascii="Arial" w:eastAsia="Arial" w:hAnsi="Arial" w:cs="Arial"/>
                <w:color w:val="000000"/>
                <w:sz w:val="24"/>
                <w:szCs w:val="24"/>
              </w:rPr>
              <w:tab/>
              <w:t>Annual Pension Cost;</w:t>
            </w:r>
          </w:p>
          <w:p w14:paraId="68AAF45C" w14:textId="77777777" w:rsidR="00A15725" w:rsidRDefault="00955D58">
            <w:pPr>
              <w:pBdr>
                <w:top w:val="nil"/>
                <w:left w:val="nil"/>
                <w:bottom w:val="nil"/>
                <w:right w:val="nil"/>
                <w:between w:val="nil"/>
              </w:pBdr>
              <w:tabs>
                <w:tab w:val="left" w:pos="-179"/>
                <w:tab w:val="left" w:pos="284"/>
              </w:tabs>
              <w:spacing w:after="120"/>
              <w:ind w:left="1417" w:right="141" w:hanging="708"/>
              <w:rPr>
                <w:rFonts w:ascii="Arial" w:eastAsia="Arial" w:hAnsi="Arial" w:cs="Arial"/>
                <w:color w:val="000000"/>
                <w:sz w:val="24"/>
                <w:szCs w:val="24"/>
              </w:rPr>
            </w:pPr>
            <w:r>
              <w:rPr>
                <w:rFonts w:ascii="Arial" w:eastAsia="Arial" w:hAnsi="Arial" w:cs="Arial"/>
                <w:color w:val="000000"/>
                <w:sz w:val="24"/>
                <w:szCs w:val="24"/>
              </w:rPr>
              <w:t>iv)</w:t>
            </w:r>
            <w:r>
              <w:rPr>
                <w:rFonts w:ascii="Arial" w:eastAsia="Arial" w:hAnsi="Arial" w:cs="Arial"/>
                <w:color w:val="000000"/>
                <w:sz w:val="24"/>
                <w:szCs w:val="24"/>
              </w:rPr>
              <w:tab/>
              <w:t>annual life insurance cost;</w:t>
            </w:r>
          </w:p>
          <w:p w14:paraId="016D599F" w14:textId="77777777" w:rsidR="00A15725" w:rsidRDefault="00955D58">
            <w:pPr>
              <w:pBdr>
                <w:top w:val="nil"/>
                <w:left w:val="nil"/>
                <w:bottom w:val="nil"/>
                <w:right w:val="nil"/>
                <w:between w:val="nil"/>
              </w:pBdr>
              <w:tabs>
                <w:tab w:val="left" w:pos="-179"/>
                <w:tab w:val="left" w:pos="284"/>
              </w:tabs>
              <w:spacing w:after="120"/>
              <w:ind w:left="1417" w:right="141" w:hanging="708"/>
              <w:rPr>
                <w:rFonts w:ascii="Arial" w:eastAsia="Arial" w:hAnsi="Arial" w:cs="Arial"/>
                <w:color w:val="000000"/>
                <w:sz w:val="24"/>
                <w:szCs w:val="24"/>
              </w:rPr>
            </w:pPr>
            <w:r>
              <w:rPr>
                <w:rFonts w:ascii="Arial" w:eastAsia="Arial" w:hAnsi="Arial" w:cs="Arial"/>
                <w:color w:val="000000"/>
                <w:sz w:val="24"/>
                <w:szCs w:val="24"/>
              </w:rPr>
              <w:t>v)</w:t>
            </w:r>
            <w:r>
              <w:rPr>
                <w:rFonts w:ascii="Arial" w:eastAsia="Arial" w:hAnsi="Arial" w:cs="Arial"/>
                <w:color w:val="000000"/>
                <w:sz w:val="24"/>
                <w:szCs w:val="24"/>
              </w:rPr>
              <w:tab/>
              <w:t>annual sick pay entitlement;</w:t>
            </w:r>
          </w:p>
          <w:p w14:paraId="5B13E753" w14:textId="77777777" w:rsidR="00A15725" w:rsidRDefault="00955D58">
            <w:pPr>
              <w:pBdr>
                <w:top w:val="nil"/>
                <w:left w:val="nil"/>
                <w:bottom w:val="nil"/>
                <w:right w:val="nil"/>
                <w:between w:val="nil"/>
              </w:pBdr>
              <w:tabs>
                <w:tab w:val="left" w:pos="-179"/>
                <w:tab w:val="left" w:pos="284"/>
              </w:tabs>
              <w:spacing w:after="120"/>
              <w:ind w:left="1417" w:right="141" w:hanging="708"/>
              <w:rPr>
                <w:rFonts w:ascii="Arial" w:eastAsia="Arial" w:hAnsi="Arial" w:cs="Arial"/>
                <w:color w:val="000000"/>
                <w:sz w:val="24"/>
                <w:szCs w:val="24"/>
              </w:rPr>
            </w:pPr>
            <w:r>
              <w:rPr>
                <w:rFonts w:ascii="Arial" w:eastAsia="Arial" w:hAnsi="Arial" w:cs="Arial"/>
                <w:color w:val="000000"/>
                <w:sz w:val="24"/>
                <w:szCs w:val="24"/>
              </w:rPr>
              <w:t>vi)</w:t>
            </w:r>
            <w:r>
              <w:rPr>
                <w:rFonts w:ascii="Arial" w:eastAsia="Arial" w:hAnsi="Arial" w:cs="Arial"/>
                <w:color w:val="000000"/>
                <w:sz w:val="24"/>
                <w:szCs w:val="24"/>
              </w:rPr>
              <w:tab/>
              <w:t>maternity/paternity costs; and</w:t>
            </w:r>
          </w:p>
          <w:p w14:paraId="259E4EB2" w14:textId="77777777" w:rsidR="00A15725" w:rsidRDefault="00955D58">
            <w:pPr>
              <w:pBdr>
                <w:top w:val="nil"/>
                <w:left w:val="nil"/>
                <w:bottom w:val="nil"/>
                <w:right w:val="nil"/>
                <w:between w:val="nil"/>
              </w:pBdr>
              <w:tabs>
                <w:tab w:val="left" w:pos="-179"/>
                <w:tab w:val="left" w:pos="284"/>
              </w:tabs>
              <w:spacing w:after="120"/>
              <w:ind w:left="1417" w:right="141" w:hanging="708"/>
              <w:rPr>
                <w:rFonts w:ascii="Arial" w:eastAsia="Arial" w:hAnsi="Arial" w:cs="Arial"/>
                <w:color w:val="000000"/>
                <w:sz w:val="24"/>
                <w:szCs w:val="24"/>
              </w:rPr>
            </w:pPr>
            <w:r>
              <w:rPr>
                <w:rFonts w:ascii="Arial" w:eastAsia="Arial" w:hAnsi="Arial" w:cs="Arial"/>
                <w:color w:val="000000"/>
                <w:sz w:val="24"/>
                <w:szCs w:val="24"/>
              </w:rPr>
              <w:t>vii)</w:t>
            </w:r>
            <w:r>
              <w:rPr>
                <w:rFonts w:ascii="Arial" w:eastAsia="Arial" w:hAnsi="Arial" w:cs="Arial"/>
                <w:color w:val="000000"/>
                <w:sz w:val="24"/>
                <w:szCs w:val="24"/>
              </w:rPr>
              <w:tab/>
              <w:t>any other cost arising directly from the contract of employment of the Transferring Former Supplier Employee and or Transferring Buyer Employee, as set out in paragraph 2 of Call Off Schedule 28 (TUPE Surcharge);</w:t>
            </w:r>
          </w:p>
          <w:p w14:paraId="453DC50D" w14:textId="77777777" w:rsidR="00A15725" w:rsidRDefault="00A15725">
            <w:pPr>
              <w:pBdr>
                <w:top w:val="nil"/>
                <w:left w:val="nil"/>
                <w:bottom w:val="nil"/>
                <w:right w:val="nil"/>
                <w:between w:val="nil"/>
              </w:pBdr>
              <w:tabs>
                <w:tab w:val="left" w:pos="-179"/>
                <w:tab w:val="left" w:pos="284"/>
              </w:tabs>
              <w:spacing w:after="120"/>
              <w:ind w:right="141"/>
              <w:jc w:val="both"/>
              <w:rPr>
                <w:rFonts w:ascii="Arial" w:eastAsia="Arial" w:hAnsi="Arial" w:cs="Arial"/>
                <w:color w:val="000000"/>
                <w:sz w:val="24"/>
                <w:szCs w:val="24"/>
              </w:rPr>
            </w:pPr>
          </w:p>
        </w:tc>
      </w:tr>
      <w:tr w:rsidR="00A15725" w14:paraId="5985E884" w14:textId="77777777">
        <w:tc>
          <w:tcPr>
            <w:tcW w:w="2694" w:type="dxa"/>
          </w:tcPr>
          <w:p w14:paraId="1459736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lastRenderedPageBreak/>
              <w:t>“Flexible Working”</w:t>
            </w:r>
          </w:p>
        </w:tc>
        <w:tc>
          <w:tcPr>
            <w:tcW w:w="7371" w:type="dxa"/>
          </w:tcPr>
          <w:p w14:paraId="46AC42A7"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sz w:val="24"/>
                <w:szCs w:val="24"/>
              </w:rPr>
            </w:pPr>
            <w:r>
              <w:rPr>
                <w:rFonts w:ascii="Arial" w:eastAsia="Arial" w:hAnsi="Arial" w:cs="Arial"/>
                <w:sz w:val="24"/>
                <w:szCs w:val="24"/>
              </w:rPr>
              <w:t>also known as flextime or flexitime, refers to non-traditional working arrangements that take into account an individual's personal needs</w:t>
            </w:r>
          </w:p>
        </w:tc>
      </w:tr>
      <w:tr w:rsidR="00A15725" w14:paraId="4264A60F" w14:textId="77777777">
        <w:tc>
          <w:tcPr>
            <w:tcW w:w="2694" w:type="dxa"/>
          </w:tcPr>
          <w:p w14:paraId="013606B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"FOIA"</w:t>
            </w:r>
          </w:p>
        </w:tc>
        <w:tc>
          <w:tcPr>
            <w:tcW w:w="7371" w:type="dxa"/>
          </w:tcPr>
          <w:p w14:paraId="10AC7080"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15725" w14:paraId="79298F3C" w14:textId="77777777">
        <w:tc>
          <w:tcPr>
            <w:tcW w:w="2694" w:type="dxa"/>
          </w:tcPr>
          <w:p w14:paraId="2A435E5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371" w:type="dxa"/>
          </w:tcPr>
          <w:p w14:paraId="7586D2F8"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50586A1B" w14:textId="77777777" w:rsidR="00A15725" w:rsidRDefault="00955D58">
            <w:pPr>
              <w:numPr>
                <w:ilvl w:val="1"/>
                <w:numId w:val="7"/>
              </w:numPr>
              <w:pBdr>
                <w:top w:val="nil"/>
                <w:left w:val="nil"/>
                <w:bottom w:val="nil"/>
                <w:right w:val="nil"/>
                <w:between w:val="nil"/>
              </w:pBdr>
              <w:tabs>
                <w:tab w:val="left" w:pos="-576"/>
                <w:tab w:val="left" w:pos="144"/>
                <w:tab w:val="left" w:pos="1125"/>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14:paraId="6AEB6AF1" w14:textId="77777777" w:rsidR="00A15725" w:rsidRDefault="00955D58">
            <w:pPr>
              <w:numPr>
                <w:ilvl w:val="1"/>
                <w:numId w:val="7"/>
              </w:numPr>
              <w:pBdr>
                <w:top w:val="nil"/>
                <w:left w:val="nil"/>
                <w:bottom w:val="nil"/>
                <w:right w:val="nil"/>
                <w:between w:val="nil"/>
              </w:pBdr>
              <w:tabs>
                <w:tab w:val="left" w:pos="-576"/>
                <w:tab w:val="left" w:pos="144"/>
                <w:tab w:val="left" w:pos="1125"/>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acts of terrorism;</w:t>
            </w:r>
          </w:p>
          <w:p w14:paraId="64729749" w14:textId="77777777" w:rsidR="00A15725" w:rsidRDefault="00955D58">
            <w:pPr>
              <w:numPr>
                <w:ilvl w:val="1"/>
                <w:numId w:val="7"/>
              </w:numPr>
              <w:pBdr>
                <w:top w:val="nil"/>
                <w:left w:val="nil"/>
                <w:bottom w:val="nil"/>
                <w:right w:val="nil"/>
                <w:between w:val="nil"/>
              </w:pBdr>
              <w:tabs>
                <w:tab w:val="left" w:pos="-576"/>
                <w:tab w:val="left" w:pos="144"/>
                <w:tab w:val="left" w:pos="1125"/>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14:paraId="1B22AF8D" w14:textId="77777777" w:rsidR="00A15725" w:rsidRDefault="00955D58">
            <w:pPr>
              <w:numPr>
                <w:ilvl w:val="1"/>
                <w:numId w:val="7"/>
              </w:numPr>
              <w:pBdr>
                <w:top w:val="nil"/>
                <w:left w:val="nil"/>
                <w:bottom w:val="nil"/>
                <w:right w:val="nil"/>
                <w:between w:val="nil"/>
              </w:pBdr>
              <w:tabs>
                <w:tab w:val="left" w:pos="-576"/>
                <w:tab w:val="left" w:pos="144"/>
                <w:tab w:val="left" w:pos="1125"/>
              </w:tabs>
              <w:spacing w:after="120"/>
              <w:ind w:left="992" w:right="141" w:hanging="708"/>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1CB57A82"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A15725" w14:paraId="24BA2674" w14:textId="77777777">
        <w:tc>
          <w:tcPr>
            <w:tcW w:w="2694" w:type="dxa"/>
          </w:tcPr>
          <w:p w14:paraId="4A68F1F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371" w:type="dxa"/>
          </w:tcPr>
          <w:p w14:paraId="3717BCFE"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A15725" w14:paraId="4CB077CA" w14:textId="77777777">
        <w:tc>
          <w:tcPr>
            <w:tcW w:w="2694" w:type="dxa"/>
            <w:vAlign w:val="center"/>
          </w:tcPr>
          <w:p w14:paraId="1462033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"Former Supplier"</w:t>
            </w:r>
          </w:p>
        </w:tc>
        <w:tc>
          <w:tcPr>
            <w:tcW w:w="7371" w:type="dxa"/>
            <w:vAlign w:val="center"/>
          </w:tcPr>
          <w:p w14:paraId="0F22FF80"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sz w:val="24"/>
                <w:szCs w:val="24"/>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A15725" w14:paraId="4B1A00CC" w14:textId="77777777">
        <w:tc>
          <w:tcPr>
            <w:tcW w:w="2694" w:type="dxa"/>
            <w:vAlign w:val="center"/>
          </w:tcPr>
          <w:p w14:paraId="28F0534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“Forward Maintenance Register”</w:t>
            </w:r>
          </w:p>
        </w:tc>
        <w:tc>
          <w:tcPr>
            <w:tcW w:w="7371" w:type="dxa"/>
            <w:vAlign w:val="center"/>
          </w:tcPr>
          <w:p w14:paraId="26B6BA68"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sz w:val="24"/>
                <w:szCs w:val="24"/>
              </w:rPr>
              <w:t>a schedule of equipment showing its life expectancy, repair and replacement costs based on location, environmental conditions, level of maintenance and operational hours to inform a phased replacement programme. It is sometimes known as a PPM survey and is a register identifying and prioritising  short, medium and long term maintenance requirements and renewal works activities over the course of the maintenance contract, including any hand back obligations where necessary;</w:t>
            </w:r>
          </w:p>
        </w:tc>
      </w:tr>
      <w:tr w:rsidR="00A15725" w14:paraId="44B9097A" w14:textId="77777777">
        <w:tc>
          <w:tcPr>
            <w:tcW w:w="2694" w:type="dxa"/>
          </w:tcPr>
          <w:p w14:paraId="3F9D63D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371" w:type="dxa"/>
          </w:tcPr>
          <w:p w14:paraId="140CA8EB"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A15725" w14:paraId="64651F12" w14:textId="77777777">
        <w:tc>
          <w:tcPr>
            <w:tcW w:w="2694" w:type="dxa"/>
          </w:tcPr>
          <w:p w14:paraId="09AD597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371" w:type="dxa"/>
          </w:tcPr>
          <w:p w14:paraId="5A4D593B"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 xml:space="preserve">the framework agreement established between CCS and the Supplier in accordance with Regulation 33 by the Framework Award Form for the provision of the Deliverables to Buyers by the </w:t>
            </w:r>
            <w:r>
              <w:rPr>
                <w:rFonts w:ascii="Arial" w:eastAsia="Arial" w:hAnsi="Arial" w:cs="Arial"/>
                <w:color w:val="000000"/>
                <w:sz w:val="24"/>
                <w:szCs w:val="24"/>
              </w:rPr>
              <w:lastRenderedPageBreak/>
              <w:t>Supplier pursuant to the notice published on the Find a Tender Service;</w:t>
            </w:r>
          </w:p>
        </w:tc>
      </w:tr>
      <w:tr w:rsidR="00A15725" w14:paraId="706ABE15" w14:textId="77777777">
        <w:tc>
          <w:tcPr>
            <w:tcW w:w="2694" w:type="dxa"/>
          </w:tcPr>
          <w:p w14:paraId="1665F24C"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"Framework Contract Period"</w:t>
            </w:r>
          </w:p>
        </w:tc>
        <w:tc>
          <w:tcPr>
            <w:tcW w:w="7371" w:type="dxa"/>
          </w:tcPr>
          <w:p w14:paraId="600D11A5"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A15725" w14:paraId="3D01B7F3" w14:textId="77777777">
        <w:tc>
          <w:tcPr>
            <w:tcW w:w="2694" w:type="dxa"/>
          </w:tcPr>
          <w:p w14:paraId="4A0B0EFC"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371" w:type="dxa"/>
          </w:tcPr>
          <w:p w14:paraId="254AADFE"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A15725" w14:paraId="292104F5" w14:textId="77777777">
        <w:tc>
          <w:tcPr>
            <w:tcW w:w="2694" w:type="dxa"/>
          </w:tcPr>
          <w:p w14:paraId="05FAB47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371" w:type="dxa"/>
          </w:tcPr>
          <w:p w14:paraId="7DEA85EE"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A15725" w14:paraId="54CA391A" w14:textId="77777777">
        <w:tc>
          <w:tcPr>
            <w:tcW w:w="2694" w:type="dxa"/>
            <w:vAlign w:val="center"/>
          </w:tcPr>
          <w:p w14:paraId="72C7EA7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"Framework Initial Period"</w:t>
            </w:r>
          </w:p>
        </w:tc>
        <w:tc>
          <w:tcPr>
            <w:tcW w:w="7371" w:type="dxa"/>
            <w:vAlign w:val="center"/>
          </w:tcPr>
          <w:p w14:paraId="7A7AD1A9"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sz w:val="24"/>
                <w:szCs w:val="24"/>
              </w:rPr>
              <w:t>the initial term of the Framework Contract as specified in the Framework Award Form;</w:t>
            </w:r>
          </w:p>
        </w:tc>
      </w:tr>
      <w:tr w:rsidR="00A15725" w14:paraId="0F2A1C5B" w14:textId="77777777">
        <w:tc>
          <w:tcPr>
            <w:tcW w:w="2694" w:type="dxa"/>
          </w:tcPr>
          <w:p w14:paraId="6CFD8C42"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371" w:type="dxa"/>
          </w:tcPr>
          <w:p w14:paraId="55FABCCE"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A15725" w14:paraId="7E707B0D" w14:textId="77777777">
        <w:tc>
          <w:tcPr>
            <w:tcW w:w="2694" w:type="dxa"/>
          </w:tcPr>
          <w:p w14:paraId="5D8E89A7" w14:textId="77777777" w:rsidR="00A15725" w:rsidRDefault="00955D58">
            <w:pPr>
              <w:spacing w:after="120"/>
              <w:rPr>
                <w:rFonts w:ascii="Arial" w:eastAsia="Arial" w:hAnsi="Arial" w:cs="Arial"/>
                <w:b/>
                <w:sz w:val="24"/>
                <w:szCs w:val="24"/>
              </w:rPr>
            </w:pPr>
            <w:r>
              <w:rPr>
                <w:rFonts w:ascii="Arial" w:eastAsia="Arial" w:hAnsi="Arial" w:cs="Arial"/>
                <w:b/>
                <w:sz w:val="24"/>
                <w:szCs w:val="24"/>
              </w:rPr>
              <w:t>“Framework Quarterly Performance Indicator Submission Form”</w:t>
            </w:r>
          </w:p>
        </w:tc>
        <w:tc>
          <w:tcPr>
            <w:tcW w:w="7371" w:type="dxa"/>
          </w:tcPr>
          <w:p w14:paraId="4043A728" w14:textId="77777777" w:rsidR="00A15725" w:rsidRDefault="00955D58">
            <w:pPr>
              <w:tabs>
                <w:tab w:val="left" w:pos="-179"/>
              </w:tabs>
              <w:spacing w:after="120"/>
              <w:ind w:left="284" w:right="282"/>
              <w:jc w:val="both"/>
              <w:rPr>
                <w:rFonts w:ascii="Arial" w:eastAsia="Arial" w:hAnsi="Arial" w:cs="Arial"/>
                <w:sz w:val="26"/>
                <w:szCs w:val="26"/>
              </w:rPr>
            </w:pPr>
            <w:bookmarkStart w:id="11" w:name="_heading=h.tyjcwt" w:colFirst="0" w:colLast="0"/>
            <w:bookmarkEnd w:id="11"/>
            <w:r>
              <w:rPr>
                <w:rFonts w:ascii="Arial" w:eastAsia="Arial" w:hAnsi="Arial" w:cs="Arial"/>
                <w:color w:val="222222"/>
                <w:sz w:val="22"/>
                <w:szCs w:val="22"/>
                <w:highlight w:val="white"/>
              </w:rPr>
              <w:t>i</w:t>
            </w:r>
            <w:r>
              <w:rPr>
                <w:rFonts w:ascii="Arial" w:eastAsia="Arial" w:hAnsi="Arial" w:cs="Arial"/>
                <w:color w:val="222222"/>
                <w:sz w:val="24"/>
                <w:szCs w:val="24"/>
                <w:highlight w:val="white"/>
              </w:rPr>
              <w:t>s the form Suppliers will complete on a quarterly basis reporting on social value activities as set out in Table B in</w:t>
            </w:r>
            <w:r>
              <w:rPr>
                <w:rFonts w:ascii="Arial" w:eastAsia="Arial" w:hAnsi="Arial" w:cs="Arial"/>
                <w:color w:val="FF0000"/>
                <w:sz w:val="24"/>
                <w:szCs w:val="24"/>
                <w:highlight w:val="white"/>
              </w:rPr>
              <w:t> </w:t>
            </w:r>
            <w:r>
              <w:rPr>
                <w:rFonts w:ascii="Arial" w:eastAsia="Arial" w:hAnsi="Arial" w:cs="Arial"/>
                <w:color w:val="000000"/>
                <w:sz w:val="24"/>
                <w:szCs w:val="24"/>
                <w:highlight w:val="white"/>
              </w:rPr>
              <w:t>Joint Schedule 5 Corporate and Social Responsibility </w:t>
            </w:r>
          </w:p>
        </w:tc>
      </w:tr>
      <w:tr w:rsidR="00A15725" w14:paraId="023B1DD3" w14:textId="77777777">
        <w:tc>
          <w:tcPr>
            <w:tcW w:w="2694" w:type="dxa"/>
          </w:tcPr>
          <w:p w14:paraId="3C2D938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371" w:type="dxa"/>
          </w:tcPr>
          <w:p w14:paraId="3B81EBAD"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A15725" w14:paraId="0C89A9C1" w14:textId="77777777">
        <w:tc>
          <w:tcPr>
            <w:tcW w:w="2694" w:type="dxa"/>
          </w:tcPr>
          <w:p w14:paraId="30F3D03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371" w:type="dxa"/>
          </w:tcPr>
          <w:p w14:paraId="1486A58C"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A15725" w14:paraId="3FAA1477" w14:textId="77777777">
        <w:tc>
          <w:tcPr>
            <w:tcW w:w="2694" w:type="dxa"/>
          </w:tcPr>
          <w:p w14:paraId="184205F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371" w:type="dxa"/>
          </w:tcPr>
          <w:p w14:paraId="37EAA433"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A15725" w14:paraId="5AABCD30" w14:textId="77777777">
        <w:tc>
          <w:tcPr>
            <w:tcW w:w="2694" w:type="dxa"/>
          </w:tcPr>
          <w:p w14:paraId="7ADFEE3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371" w:type="dxa"/>
          </w:tcPr>
          <w:p w14:paraId="7BC1F39D"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F</w:t>
            </w:r>
            <w:r>
              <w:rPr>
                <w:rFonts w:ascii="Arial" w:eastAsia="Arial" w:hAnsi="Arial" w:cs="Arial"/>
                <w:color w:val="000000"/>
                <w:sz w:val="24"/>
                <w:szCs w:val="24"/>
              </w:rPr>
              <w:t xml:space="preserve">urther </w:t>
            </w:r>
            <w:r>
              <w:rPr>
                <w:rFonts w:ascii="Arial" w:eastAsia="Arial" w:hAnsi="Arial" w:cs="Arial"/>
                <w:sz w:val="24"/>
                <w:szCs w:val="24"/>
              </w:rPr>
              <w:t>C</w:t>
            </w:r>
            <w:r>
              <w:rPr>
                <w:rFonts w:ascii="Arial" w:eastAsia="Arial" w:hAnsi="Arial" w:cs="Arial"/>
                <w:color w:val="000000"/>
                <w:sz w:val="24"/>
                <w:szCs w:val="24"/>
              </w:rPr>
              <w:t xml:space="preserve">ompetition </w:t>
            </w:r>
            <w:r>
              <w:rPr>
                <w:rFonts w:ascii="Arial" w:eastAsia="Arial" w:hAnsi="Arial" w:cs="Arial"/>
                <w:sz w:val="24"/>
                <w:szCs w:val="24"/>
              </w:rPr>
              <w:t>P</w:t>
            </w:r>
            <w:r>
              <w:rPr>
                <w:rFonts w:ascii="Arial" w:eastAsia="Arial" w:hAnsi="Arial" w:cs="Arial"/>
                <w:color w:val="000000"/>
                <w:sz w:val="24"/>
                <w:szCs w:val="24"/>
              </w:rPr>
              <w:t>rocedure described in Framework Schedule 7 (Call-Off Award Procedure);</w:t>
            </w:r>
          </w:p>
        </w:tc>
      </w:tr>
      <w:tr w:rsidR="00A15725" w14:paraId="6D08F1D7" w14:textId="77777777">
        <w:tc>
          <w:tcPr>
            <w:tcW w:w="2694" w:type="dxa"/>
            <w:vAlign w:val="center"/>
          </w:tcPr>
          <w:p w14:paraId="0BEB8DB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“Further Competition”</w:t>
            </w:r>
          </w:p>
        </w:tc>
        <w:tc>
          <w:tcPr>
            <w:tcW w:w="7371" w:type="dxa"/>
            <w:vAlign w:val="center"/>
          </w:tcPr>
          <w:p w14:paraId="66A8992B"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sz w:val="24"/>
                <w:szCs w:val="24"/>
              </w:rPr>
              <w:t>means a competition carried out in accordance with the Further Competition Procedure detailed within Framework Schedule 7(Call Off Award Procedure)</w:t>
            </w:r>
          </w:p>
        </w:tc>
      </w:tr>
      <w:tr w:rsidR="00A15725" w14:paraId="6D263CB0" w14:textId="77777777">
        <w:tc>
          <w:tcPr>
            <w:tcW w:w="2694" w:type="dxa"/>
            <w:vAlign w:val="center"/>
          </w:tcPr>
          <w:p w14:paraId="0B32C28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“Further Competition Award Criteria”</w:t>
            </w:r>
          </w:p>
        </w:tc>
        <w:tc>
          <w:tcPr>
            <w:tcW w:w="7371" w:type="dxa"/>
            <w:vAlign w:val="center"/>
          </w:tcPr>
          <w:p w14:paraId="355DDE4F"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sz w:val="24"/>
                <w:szCs w:val="24"/>
              </w:rPr>
              <w:t>means the criteria as defined in Annex B of Framework Schedule 7 (Call Off Award Procedure)</w:t>
            </w:r>
          </w:p>
        </w:tc>
      </w:tr>
      <w:tr w:rsidR="00A15725" w14:paraId="4CF8DA01" w14:textId="77777777">
        <w:tc>
          <w:tcPr>
            <w:tcW w:w="2694" w:type="dxa"/>
            <w:vAlign w:val="center"/>
          </w:tcPr>
          <w:p w14:paraId="6EF30A6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“Further Competition Mobilisation Cost”</w:t>
            </w:r>
          </w:p>
        </w:tc>
        <w:tc>
          <w:tcPr>
            <w:tcW w:w="7371" w:type="dxa"/>
            <w:vAlign w:val="center"/>
          </w:tcPr>
          <w:p w14:paraId="7CE3AD05" w14:textId="77777777" w:rsidR="00A15725" w:rsidRDefault="00955D58">
            <w:pPr>
              <w:pBdr>
                <w:top w:val="nil"/>
                <w:left w:val="nil"/>
                <w:bottom w:val="nil"/>
                <w:right w:val="nil"/>
                <w:between w:val="nil"/>
              </w:pBdr>
              <w:tabs>
                <w:tab w:val="left" w:pos="-179"/>
                <w:tab w:val="left" w:pos="284"/>
              </w:tabs>
              <w:spacing w:after="120"/>
              <w:ind w:left="284" w:right="141"/>
              <w:rPr>
                <w:rFonts w:ascii="Arial" w:eastAsia="Arial" w:hAnsi="Arial" w:cs="Arial"/>
                <w:color w:val="000000"/>
                <w:sz w:val="24"/>
                <w:szCs w:val="24"/>
              </w:rPr>
            </w:pPr>
            <w:r>
              <w:rPr>
                <w:rFonts w:ascii="Arial" w:eastAsia="Arial" w:hAnsi="Arial" w:cs="Arial"/>
                <w:color w:val="000000"/>
                <w:sz w:val="24"/>
                <w:szCs w:val="24"/>
              </w:rPr>
              <w:t>Further Competition Mobilisation Cost is priced, competed and evaluated at Further Competition</w:t>
            </w:r>
          </w:p>
          <w:p w14:paraId="45718649"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 xml:space="preserve">There is a Buyer option to select the payment term – milestone payments, single payment on completion of mobilisation, payment during first 12 months of contract, or payment </w:t>
            </w:r>
            <w:r>
              <w:rPr>
                <w:rFonts w:ascii="Arial" w:eastAsia="Arial" w:hAnsi="Arial" w:cs="Arial"/>
                <w:sz w:val="24"/>
                <w:szCs w:val="24"/>
              </w:rPr>
              <w:t>through the entire</w:t>
            </w:r>
            <w:r>
              <w:rPr>
                <w:rFonts w:ascii="Arial" w:eastAsia="Arial" w:hAnsi="Arial" w:cs="Arial"/>
                <w:color w:val="000000"/>
                <w:sz w:val="24"/>
                <w:szCs w:val="24"/>
              </w:rPr>
              <w:t xml:space="preserve"> contract including an amortisation percentage uplift. </w:t>
            </w:r>
          </w:p>
          <w:p w14:paraId="2F3986E5" w14:textId="77777777" w:rsidR="00A15725" w:rsidRDefault="00955D58">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r>
              <w:rPr>
                <w:rFonts w:ascii="Arial" w:eastAsia="Arial" w:hAnsi="Arial" w:cs="Arial"/>
                <w:sz w:val="24"/>
                <w:szCs w:val="24"/>
              </w:rPr>
              <w:t>The standard Mobilisation term is 6 months but is defined at Further Competition stage.</w:t>
            </w:r>
          </w:p>
        </w:tc>
      </w:tr>
      <w:tr w:rsidR="00A15725" w14:paraId="1FBD614C" w14:textId="77777777">
        <w:tc>
          <w:tcPr>
            <w:tcW w:w="2694" w:type="dxa"/>
            <w:vAlign w:val="center"/>
          </w:tcPr>
          <w:p w14:paraId="01D037E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"Further Competition TUPE Risk Premium</w:t>
            </w:r>
            <w:r>
              <w:rPr>
                <w:rFonts w:ascii="Arial" w:eastAsia="Arial" w:hAnsi="Arial" w:cs="Arial"/>
                <w:sz w:val="24"/>
                <w:szCs w:val="24"/>
              </w:rPr>
              <w:t>"</w:t>
            </w:r>
          </w:p>
        </w:tc>
        <w:tc>
          <w:tcPr>
            <w:tcW w:w="7371" w:type="dxa"/>
            <w:vAlign w:val="center"/>
          </w:tcPr>
          <w:p w14:paraId="2BFD3CBC" w14:textId="77777777" w:rsidR="00A15725" w:rsidRDefault="00955D58">
            <w:pPr>
              <w:pBdr>
                <w:top w:val="nil"/>
                <w:left w:val="nil"/>
                <w:bottom w:val="nil"/>
                <w:right w:val="nil"/>
                <w:between w:val="nil"/>
              </w:pBdr>
              <w:tabs>
                <w:tab w:val="left" w:pos="-179"/>
                <w:tab w:val="left" w:pos="284"/>
              </w:tabs>
              <w:spacing w:after="120"/>
              <w:ind w:left="284" w:right="141"/>
              <w:rPr>
                <w:rFonts w:ascii="Arial" w:eastAsia="Arial" w:hAnsi="Arial" w:cs="Arial"/>
                <w:color w:val="000000"/>
                <w:sz w:val="24"/>
                <w:szCs w:val="24"/>
              </w:rPr>
            </w:pPr>
            <w:r>
              <w:rPr>
                <w:rFonts w:ascii="Arial" w:eastAsia="Arial" w:hAnsi="Arial" w:cs="Arial"/>
                <w:color w:val="000000"/>
                <w:sz w:val="24"/>
                <w:szCs w:val="24"/>
              </w:rPr>
              <w:t>means the amount payable  on an annual basis based on the difference between:</w:t>
            </w:r>
          </w:p>
          <w:p w14:paraId="2D0FCB65" w14:textId="77777777" w:rsidR="00A15725" w:rsidRDefault="00955D58">
            <w:pPr>
              <w:pBdr>
                <w:top w:val="nil"/>
                <w:left w:val="nil"/>
                <w:bottom w:val="nil"/>
                <w:right w:val="nil"/>
                <w:between w:val="nil"/>
              </w:pBdr>
              <w:tabs>
                <w:tab w:val="left" w:pos="-179"/>
                <w:tab w:val="left" w:pos="284"/>
              </w:tabs>
              <w:spacing w:after="120"/>
              <w:ind w:left="992" w:right="141" w:hanging="708"/>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 xml:space="preserve">the costs to employ Transferring Former Supplier Employees or  where the Former Supplier becomes the Supplier those Former Supplier employees providing the </w:t>
            </w:r>
            <w:r>
              <w:rPr>
                <w:rFonts w:ascii="Arial" w:eastAsia="Arial" w:hAnsi="Arial" w:cs="Arial"/>
                <w:color w:val="000000"/>
                <w:sz w:val="24"/>
                <w:szCs w:val="24"/>
              </w:rPr>
              <w:lastRenderedPageBreak/>
              <w:t>Services at the Commencement Date and/or Transferring Buyer Employees (as the case may be); and</w:t>
            </w:r>
          </w:p>
          <w:p w14:paraId="51FABD07" w14:textId="77777777" w:rsidR="00A15725" w:rsidRDefault="00955D58">
            <w:pPr>
              <w:pBdr>
                <w:top w:val="nil"/>
                <w:left w:val="nil"/>
                <w:bottom w:val="nil"/>
                <w:right w:val="nil"/>
                <w:between w:val="nil"/>
              </w:pBdr>
              <w:tabs>
                <w:tab w:val="left" w:pos="-179"/>
                <w:tab w:val="left" w:pos="284"/>
              </w:tabs>
              <w:spacing w:after="120"/>
              <w:ind w:left="992" w:right="141" w:hanging="708"/>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the equivalent costs to employ staff used by the Supplier at Further Competition,</w:t>
            </w:r>
            <w:r>
              <w:rPr>
                <w:rFonts w:ascii="Arial" w:eastAsia="Arial" w:hAnsi="Arial" w:cs="Arial"/>
                <w:sz w:val="24"/>
                <w:szCs w:val="24"/>
              </w:rPr>
              <w:t xml:space="preserve"> </w:t>
            </w:r>
            <w:r>
              <w:rPr>
                <w:rFonts w:ascii="Arial" w:eastAsia="Arial" w:hAnsi="Arial" w:cs="Arial"/>
                <w:color w:val="000000"/>
                <w:sz w:val="24"/>
                <w:szCs w:val="24"/>
              </w:rPr>
              <w:t xml:space="preserve">in respect of payments due under contracts of employment in respect of the following: </w:t>
            </w:r>
          </w:p>
          <w:p w14:paraId="1B329F7F" w14:textId="77777777" w:rsidR="00A15725" w:rsidRDefault="00955D58">
            <w:pPr>
              <w:pBdr>
                <w:top w:val="nil"/>
                <w:left w:val="nil"/>
                <w:bottom w:val="nil"/>
                <w:right w:val="nil"/>
                <w:between w:val="nil"/>
              </w:pBdr>
              <w:tabs>
                <w:tab w:val="left" w:pos="-179"/>
                <w:tab w:val="left" w:pos="284"/>
              </w:tabs>
              <w:spacing w:after="120"/>
              <w:ind w:left="1417" w:right="141" w:hanging="708"/>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annual salary;</w:t>
            </w:r>
          </w:p>
          <w:p w14:paraId="001D7879" w14:textId="77777777" w:rsidR="00A15725" w:rsidRDefault="00955D58">
            <w:pPr>
              <w:pBdr>
                <w:top w:val="nil"/>
                <w:left w:val="nil"/>
                <w:bottom w:val="nil"/>
                <w:right w:val="nil"/>
                <w:between w:val="nil"/>
              </w:pBdr>
              <w:tabs>
                <w:tab w:val="left" w:pos="-179"/>
                <w:tab w:val="left" w:pos="284"/>
              </w:tabs>
              <w:spacing w:after="120"/>
              <w:ind w:left="1417" w:right="141" w:hanging="708"/>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annual national insurance cost;</w:t>
            </w:r>
          </w:p>
          <w:p w14:paraId="05A36951" w14:textId="77777777" w:rsidR="00A15725" w:rsidRDefault="00955D58">
            <w:pPr>
              <w:pBdr>
                <w:top w:val="nil"/>
                <w:left w:val="nil"/>
                <w:bottom w:val="nil"/>
                <w:right w:val="nil"/>
                <w:between w:val="nil"/>
              </w:pBdr>
              <w:tabs>
                <w:tab w:val="left" w:pos="-179"/>
                <w:tab w:val="left" w:pos="284"/>
              </w:tabs>
              <w:spacing w:after="120"/>
              <w:ind w:left="1417" w:right="141" w:hanging="708"/>
              <w:rPr>
                <w:rFonts w:ascii="Arial" w:eastAsia="Arial" w:hAnsi="Arial" w:cs="Arial"/>
                <w:color w:val="000000"/>
                <w:sz w:val="24"/>
                <w:szCs w:val="24"/>
              </w:rPr>
            </w:pPr>
            <w:r>
              <w:rPr>
                <w:rFonts w:ascii="Arial" w:eastAsia="Arial" w:hAnsi="Arial" w:cs="Arial"/>
                <w:color w:val="000000"/>
                <w:sz w:val="24"/>
                <w:szCs w:val="24"/>
              </w:rPr>
              <w:t>iii)</w:t>
            </w:r>
            <w:r>
              <w:rPr>
                <w:rFonts w:ascii="Arial" w:eastAsia="Arial" w:hAnsi="Arial" w:cs="Arial"/>
                <w:color w:val="000000"/>
                <w:sz w:val="24"/>
                <w:szCs w:val="24"/>
              </w:rPr>
              <w:tab/>
              <w:t>Annual Pension Cost;</w:t>
            </w:r>
          </w:p>
          <w:p w14:paraId="690BF41C" w14:textId="77777777" w:rsidR="00A15725" w:rsidRDefault="00955D58">
            <w:pPr>
              <w:pBdr>
                <w:top w:val="nil"/>
                <w:left w:val="nil"/>
                <w:bottom w:val="nil"/>
                <w:right w:val="nil"/>
                <w:between w:val="nil"/>
              </w:pBdr>
              <w:tabs>
                <w:tab w:val="left" w:pos="-179"/>
                <w:tab w:val="left" w:pos="284"/>
              </w:tabs>
              <w:spacing w:after="120"/>
              <w:ind w:left="1417" w:right="141" w:hanging="708"/>
              <w:rPr>
                <w:rFonts w:ascii="Arial" w:eastAsia="Arial" w:hAnsi="Arial" w:cs="Arial"/>
                <w:color w:val="000000"/>
                <w:sz w:val="24"/>
                <w:szCs w:val="24"/>
              </w:rPr>
            </w:pPr>
            <w:r>
              <w:rPr>
                <w:rFonts w:ascii="Arial" w:eastAsia="Arial" w:hAnsi="Arial" w:cs="Arial"/>
                <w:color w:val="000000"/>
                <w:sz w:val="24"/>
                <w:szCs w:val="24"/>
              </w:rPr>
              <w:t>iv)</w:t>
            </w:r>
            <w:r>
              <w:rPr>
                <w:rFonts w:ascii="Arial" w:eastAsia="Arial" w:hAnsi="Arial" w:cs="Arial"/>
                <w:color w:val="000000"/>
                <w:sz w:val="24"/>
                <w:szCs w:val="24"/>
              </w:rPr>
              <w:tab/>
              <w:t>annual life insurance cost;</w:t>
            </w:r>
          </w:p>
          <w:p w14:paraId="0AA0BA6A" w14:textId="77777777" w:rsidR="00A15725" w:rsidRDefault="00955D58">
            <w:pPr>
              <w:pBdr>
                <w:top w:val="nil"/>
                <w:left w:val="nil"/>
                <w:bottom w:val="nil"/>
                <w:right w:val="nil"/>
                <w:between w:val="nil"/>
              </w:pBdr>
              <w:tabs>
                <w:tab w:val="left" w:pos="-179"/>
                <w:tab w:val="left" w:pos="284"/>
              </w:tabs>
              <w:spacing w:after="120"/>
              <w:ind w:left="1417" w:right="141" w:hanging="708"/>
              <w:rPr>
                <w:rFonts w:ascii="Arial" w:eastAsia="Arial" w:hAnsi="Arial" w:cs="Arial"/>
                <w:color w:val="000000"/>
                <w:sz w:val="24"/>
                <w:szCs w:val="24"/>
              </w:rPr>
            </w:pPr>
            <w:r>
              <w:rPr>
                <w:rFonts w:ascii="Arial" w:eastAsia="Arial" w:hAnsi="Arial" w:cs="Arial"/>
                <w:color w:val="000000"/>
                <w:sz w:val="24"/>
                <w:szCs w:val="24"/>
              </w:rPr>
              <w:t>v)</w:t>
            </w:r>
            <w:r>
              <w:rPr>
                <w:rFonts w:ascii="Arial" w:eastAsia="Arial" w:hAnsi="Arial" w:cs="Arial"/>
                <w:color w:val="000000"/>
                <w:sz w:val="24"/>
                <w:szCs w:val="24"/>
              </w:rPr>
              <w:tab/>
              <w:t>annual sick pay entitlement;</w:t>
            </w:r>
          </w:p>
          <w:p w14:paraId="531C38D7" w14:textId="77777777" w:rsidR="00A15725" w:rsidRDefault="00955D58">
            <w:pPr>
              <w:pBdr>
                <w:top w:val="nil"/>
                <w:left w:val="nil"/>
                <w:bottom w:val="nil"/>
                <w:right w:val="nil"/>
                <w:between w:val="nil"/>
              </w:pBdr>
              <w:tabs>
                <w:tab w:val="left" w:pos="-179"/>
                <w:tab w:val="left" w:pos="284"/>
              </w:tabs>
              <w:spacing w:after="120"/>
              <w:ind w:left="1417" w:right="141" w:hanging="708"/>
              <w:rPr>
                <w:rFonts w:ascii="Arial" w:eastAsia="Arial" w:hAnsi="Arial" w:cs="Arial"/>
                <w:color w:val="000000"/>
                <w:sz w:val="24"/>
                <w:szCs w:val="24"/>
              </w:rPr>
            </w:pPr>
            <w:r>
              <w:rPr>
                <w:rFonts w:ascii="Arial" w:eastAsia="Arial" w:hAnsi="Arial" w:cs="Arial"/>
                <w:color w:val="000000"/>
                <w:sz w:val="24"/>
                <w:szCs w:val="24"/>
              </w:rPr>
              <w:t>vi)</w:t>
            </w:r>
            <w:r>
              <w:rPr>
                <w:rFonts w:ascii="Arial" w:eastAsia="Arial" w:hAnsi="Arial" w:cs="Arial"/>
                <w:color w:val="000000"/>
                <w:sz w:val="24"/>
                <w:szCs w:val="24"/>
              </w:rPr>
              <w:tab/>
              <w:t>maternity/paternity costs; and</w:t>
            </w:r>
          </w:p>
          <w:p w14:paraId="7CBD831E" w14:textId="77777777" w:rsidR="00A15725" w:rsidRDefault="00955D58">
            <w:pPr>
              <w:pBdr>
                <w:top w:val="nil"/>
                <w:left w:val="nil"/>
                <w:bottom w:val="nil"/>
                <w:right w:val="nil"/>
                <w:between w:val="nil"/>
              </w:pBdr>
              <w:tabs>
                <w:tab w:val="left" w:pos="-179"/>
                <w:tab w:val="left" w:pos="284"/>
              </w:tabs>
              <w:spacing w:after="120"/>
              <w:ind w:left="1417" w:right="141" w:hanging="708"/>
              <w:rPr>
                <w:rFonts w:ascii="Arial" w:eastAsia="Arial" w:hAnsi="Arial" w:cs="Arial"/>
                <w:color w:val="000000"/>
                <w:sz w:val="24"/>
                <w:szCs w:val="24"/>
              </w:rPr>
            </w:pPr>
            <w:r>
              <w:rPr>
                <w:rFonts w:ascii="Arial" w:eastAsia="Arial" w:hAnsi="Arial" w:cs="Arial"/>
                <w:color w:val="000000"/>
                <w:sz w:val="24"/>
                <w:szCs w:val="24"/>
              </w:rPr>
              <w:t>vii)</w:t>
            </w:r>
            <w:r>
              <w:rPr>
                <w:rFonts w:ascii="Arial" w:eastAsia="Arial" w:hAnsi="Arial" w:cs="Arial"/>
                <w:color w:val="000000"/>
                <w:sz w:val="24"/>
                <w:szCs w:val="24"/>
              </w:rPr>
              <w:tab/>
              <w:t>any other cost arising directly from the contract of employment of the Transferring Former Supplier Employee and or Transferring Buyer Employee, as set out in paragraph 1 of Call Off Schedule 28 (TUPE Surcharge);</w:t>
            </w:r>
          </w:p>
          <w:p w14:paraId="0D5C0F23" w14:textId="77777777" w:rsidR="00A15725" w:rsidRDefault="00A15725">
            <w:pPr>
              <w:pBdr>
                <w:top w:val="nil"/>
                <w:left w:val="nil"/>
                <w:bottom w:val="nil"/>
                <w:right w:val="nil"/>
                <w:between w:val="nil"/>
              </w:pBdr>
              <w:tabs>
                <w:tab w:val="left" w:pos="-179"/>
                <w:tab w:val="left" w:pos="284"/>
              </w:tabs>
              <w:spacing w:after="120"/>
              <w:ind w:left="284" w:right="141"/>
              <w:jc w:val="both"/>
              <w:rPr>
                <w:rFonts w:ascii="Arial" w:eastAsia="Arial" w:hAnsi="Arial" w:cs="Arial"/>
                <w:color w:val="000000"/>
                <w:sz w:val="24"/>
                <w:szCs w:val="24"/>
              </w:rPr>
            </w:pPr>
          </w:p>
        </w:tc>
      </w:tr>
      <w:tr w:rsidR="00A15725" w14:paraId="73D13303" w14:textId="77777777">
        <w:tc>
          <w:tcPr>
            <w:tcW w:w="2694" w:type="dxa"/>
          </w:tcPr>
          <w:p w14:paraId="3F4A613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"UK GDPR"</w:t>
            </w:r>
          </w:p>
        </w:tc>
        <w:tc>
          <w:tcPr>
            <w:tcW w:w="7371" w:type="dxa"/>
          </w:tcPr>
          <w:p w14:paraId="237FAB09"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A15725" w14:paraId="074AE352" w14:textId="77777777">
        <w:tc>
          <w:tcPr>
            <w:tcW w:w="2694" w:type="dxa"/>
          </w:tcPr>
          <w:p w14:paraId="3B9EE38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371" w:type="dxa"/>
          </w:tcPr>
          <w:p w14:paraId="598B084F" w14:textId="77777777" w:rsidR="00A15725" w:rsidRDefault="00955D58">
            <w:pPr>
              <w:numPr>
                <w:ilvl w:val="1"/>
                <w:numId w:val="8"/>
              </w:numPr>
              <w:pBdr>
                <w:top w:val="nil"/>
                <w:left w:val="nil"/>
                <w:bottom w:val="nil"/>
                <w:right w:val="nil"/>
                <w:between w:val="nil"/>
              </w:pBdr>
              <w:tabs>
                <w:tab w:val="left" w:pos="-576"/>
                <w:tab w:val="left" w:pos="144"/>
                <w:tab w:val="left" w:pos="990"/>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w:t>
            </w:r>
          </w:p>
          <w:p w14:paraId="45CA91DF" w14:textId="77777777" w:rsidR="00A15725" w:rsidRDefault="00955D58">
            <w:pPr>
              <w:numPr>
                <w:ilvl w:val="1"/>
                <w:numId w:val="8"/>
              </w:numPr>
              <w:pBdr>
                <w:top w:val="nil"/>
                <w:left w:val="nil"/>
                <w:bottom w:val="nil"/>
                <w:right w:val="nil"/>
                <w:between w:val="nil"/>
              </w:pBdr>
              <w:tabs>
                <w:tab w:val="left" w:pos="-576"/>
                <w:tab w:val="left" w:pos="144"/>
                <w:tab w:val="left" w:pos="990"/>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A15725" w14:paraId="166F7D86" w14:textId="77777777">
        <w:tc>
          <w:tcPr>
            <w:tcW w:w="2694" w:type="dxa"/>
          </w:tcPr>
          <w:p w14:paraId="5EFF62F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371" w:type="dxa"/>
          </w:tcPr>
          <w:p w14:paraId="06842441"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A15725" w14:paraId="5F2E2892" w14:textId="77777777">
        <w:tc>
          <w:tcPr>
            <w:tcW w:w="2694" w:type="dxa"/>
          </w:tcPr>
          <w:p w14:paraId="4E2F421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“General Ledger”</w:t>
            </w:r>
          </w:p>
        </w:tc>
        <w:tc>
          <w:tcPr>
            <w:tcW w:w="7371" w:type="dxa"/>
          </w:tcPr>
          <w:p w14:paraId="06073FFB"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the main accounting record of a company or organization</w:t>
            </w:r>
          </w:p>
        </w:tc>
      </w:tr>
      <w:tr w:rsidR="00A15725" w14:paraId="3878F80F" w14:textId="77777777">
        <w:tc>
          <w:tcPr>
            <w:tcW w:w="2694" w:type="dxa"/>
            <w:vAlign w:val="center"/>
          </w:tcPr>
          <w:p w14:paraId="08D73F36"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“Geographical Boundary</w:t>
            </w:r>
            <w:r>
              <w:rPr>
                <w:rFonts w:ascii="Arial" w:eastAsia="Arial" w:hAnsi="Arial" w:cs="Arial"/>
                <w:sz w:val="24"/>
                <w:szCs w:val="24"/>
              </w:rPr>
              <w:t>”</w:t>
            </w:r>
          </w:p>
        </w:tc>
        <w:tc>
          <w:tcPr>
            <w:tcW w:w="7371" w:type="dxa"/>
            <w:vAlign w:val="center"/>
          </w:tcPr>
          <w:p w14:paraId="44A0A9BF"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sz w:val="24"/>
                <w:szCs w:val="24"/>
                <w:highlight w:val="white"/>
              </w:rPr>
            </w:pPr>
            <w:r>
              <w:rPr>
                <w:rFonts w:ascii="Arial" w:eastAsia="Arial" w:hAnsi="Arial" w:cs="Arial"/>
                <w:sz w:val="24"/>
                <w:szCs w:val="24"/>
                <w:highlight w:val="white"/>
              </w:rPr>
              <w:t>means the geographical boundary coverage areas provided as part of the Framework Tender Response (as amended by paragraph 9 of Framework Schedule 4 (Framework Management)), using the relevant boundary codes as stated on </w:t>
            </w:r>
            <w:hyperlink r:id="rId13">
              <w:r>
                <w:rPr>
                  <w:rFonts w:ascii="Arial" w:eastAsia="Arial" w:hAnsi="Arial" w:cs="Arial"/>
                  <w:color w:val="000000"/>
                  <w:sz w:val="24"/>
                  <w:szCs w:val="24"/>
                  <w:highlight w:val="white"/>
                  <w:u w:val="single"/>
                </w:rPr>
                <w:t>https://www.ons.gov.uk/methodology/geography/ukgeographies/eurostat</w:t>
              </w:r>
            </w:hyperlink>
          </w:p>
          <w:p w14:paraId="629CE7E4"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sz w:val="24"/>
                <w:szCs w:val="24"/>
              </w:rPr>
            </w:pPr>
            <w:r>
              <w:rPr>
                <w:rFonts w:ascii="Arial" w:eastAsia="Arial" w:hAnsi="Arial" w:cs="Arial"/>
                <w:sz w:val="24"/>
                <w:szCs w:val="24"/>
              </w:rPr>
              <w:object w:dxaOrig="1510" w:dyaOrig="980" w14:anchorId="01B7D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4" o:title=""/>
                </v:shape>
                <o:OLEObject Type="Embed" ProgID="Excel.Sheet.12" ShapeID="_x0000_i1025" DrawAspect="Icon" ObjectID="_1776753723" r:id="rId15"/>
              </w:object>
            </w:r>
          </w:p>
        </w:tc>
      </w:tr>
      <w:tr w:rsidR="00A15725" w14:paraId="6B1B98A6" w14:textId="77777777">
        <w:tc>
          <w:tcPr>
            <w:tcW w:w="2694" w:type="dxa"/>
          </w:tcPr>
          <w:p w14:paraId="13D1365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“Global Design Principles”</w:t>
            </w:r>
          </w:p>
        </w:tc>
        <w:tc>
          <w:tcPr>
            <w:tcW w:w="7371" w:type="dxa"/>
          </w:tcPr>
          <w:p w14:paraId="5C1D4CE3"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sz w:val="24"/>
                <w:szCs w:val="24"/>
              </w:rPr>
            </w:pPr>
            <w:r>
              <w:rPr>
                <w:rFonts w:ascii="Arial" w:eastAsia="Arial" w:hAnsi="Arial" w:cs="Arial"/>
                <w:sz w:val="24"/>
                <w:szCs w:val="24"/>
              </w:rPr>
              <w:t>a set of common processes and procedures, which are used by core government departments and their arms' length bodies, (ALBs), to ensure consistency across government and facilitate greater sharing of expertise;</w:t>
            </w:r>
          </w:p>
        </w:tc>
      </w:tr>
      <w:tr w:rsidR="00A15725" w14:paraId="134B511E" w14:textId="77777777">
        <w:tc>
          <w:tcPr>
            <w:tcW w:w="2694" w:type="dxa"/>
          </w:tcPr>
          <w:p w14:paraId="1CBBFFA2"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lastRenderedPageBreak/>
              <w:t>“Gold Contract”</w:t>
            </w:r>
            <w:r>
              <w:rPr>
                <w:rFonts w:ascii="Arial" w:eastAsia="Arial" w:hAnsi="Arial" w:cs="Arial"/>
                <w:b/>
                <w:sz w:val="24"/>
                <w:szCs w:val="24"/>
              </w:rPr>
              <w:tab/>
            </w:r>
            <w:r>
              <w:rPr>
                <w:rFonts w:ascii="Arial" w:eastAsia="Arial" w:hAnsi="Arial" w:cs="Arial"/>
                <w:b/>
                <w:sz w:val="24"/>
                <w:szCs w:val="24"/>
              </w:rPr>
              <w:tab/>
            </w:r>
          </w:p>
        </w:tc>
        <w:tc>
          <w:tcPr>
            <w:tcW w:w="7371" w:type="dxa"/>
          </w:tcPr>
          <w:p w14:paraId="734AAFE8" w14:textId="77777777" w:rsidR="00A15725" w:rsidRDefault="00955D58">
            <w:pPr>
              <w:tabs>
                <w:tab w:val="left" w:pos="284"/>
              </w:tabs>
              <w:spacing w:after="120"/>
              <w:ind w:left="284" w:right="282"/>
              <w:rPr>
                <w:rFonts w:ascii="Arial" w:eastAsia="Arial" w:hAnsi="Arial" w:cs="Arial"/>
                <w:sz w:val="24"/>
                <w:szCs w:val="24"/>
              </w:rPr>
            </w:pPr>
            <w:r>
              <w:rPr>
                <w:rFonts w:ascii="Arial" w:eastAsia="Arial" w:hAnsi="Arial" w:cs="Arial"/>
                <w:sz w:val="24"/>
                <w:szCs w:val="24"/>
              </w:rPr>
              <w:t>A Call-Off Contract categorised as a Gold contract using the Cabinet Office Contract Tiering Tool.</w:t>
            </w:r>
          </w:p>
        </w:tc>
      </w:tr>
      <w:tr w:rsidR="00A15725" w14:paraId="42690392" w14:textId="77777777">
        <w:tc>
          <w:tcPr>
            <w:tcW w:w="2694" w:type="dxa"/>
          </w:tcPr>
          <w:p w14:paraId="4B73ACDC"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"Goods"</w:t>
            </w:r>
          </w:p>
        </w:tc>
        <w:tc>
          <w:tcPr>
            <w:tcW w:w="7371" w:type="dxa"/>
          </w:tcPr>
          <w:p w14:paraId="2FBB6045"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A15725" w14:paraId="3B980C0A" w14:textId="77777777">
        <w:tc>
          <w:tcPr>
            <w:tcW w:w="2694" w:type="dxa"/>
          </w:tcPr>
          <w:p w14:paraId="51BABCF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371" w:type="dxa"/>
          </w:tcPr>
          <w:p w14:paraId="03F07A7F"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15725" w14:paraId="19EC9369" w14:textId="77777777">
        <w:tc>
          <w:tcPr>
            <w:tcW w:w="2694" w:type="dxa"/>
          </w:tcPr>
          <w:p w14:paraId="5312B46C"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"Government"</w:t>
            </w:r>
          </w:p>
        </w:tc>
        <w:tc>
          <w:tcPr>
            <w:tcW w:w="7371" w:type="dxa"/>
          </w:tcPr>
          <w:p w14:paraId="0FA07671"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A15725" w14:paraId="1E992956" w14:textId="77777777">
        <w:tc>
          <w:tcPr>
            <w:tcW w:w="2694" w:type="dxa"/>
            <w:vAlign w:val="center"/>
          </w:tcPr>
          <w:p w14:paraId="23DFEC2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“Government Buying Standards”</w:t>
            </w:r>
          </w:p>
        </w:tc>
        <w:tc>
          <w:tcPr>
            <w:tcW w:w="7371" w:type="dxa"/>
            <w:vAlign w:val="center"/>
          </w:tcPr>
          <w:p w14:paraId="60725E51" w14:textId="77777777" w:rsidR="00A15725" w:rsidRDefault="00955D58">
            <w:pPr>
              <w:pBdr>
                <w:top w:val="nil"/>
                <w:left w:val="nil"/>
                <w:bottom w:val="nil"/>
                <w:right w:val="nil"/>
                <w:between w:val="nil"/>
              </w:pBdr>
              <w:tabs>
                <w:tab w:val="left" w:pos="-576"/>
                <w:tab w:val="left" w:pos="144"/>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means product specifications in line with the European Commission’s Green Public Procurement initiative. The current Government Buying Standards are owned by DEFRA;</w:t>
            </w:r>
          </w:p>
        </w:tc>
      </w:tr>
      <w:tr w:rsidR="00A15725" w14:paraId="282A6A09" w14:textId="77777777">
        <w:tc>
          <w:tcPr>
            <w:tcW w:w="2694" w:type="dxa"/>
          </w:tcPr>
          <w:p w14:paraId="74D38EE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"Government Data"</w:t>
            </w:r>
          </w:p>
        </w:tc>
        <w:tc>
          <w:tcPr>
            <w:tcW w:w="7371" w:type="dxa"/>
          </w:tcPr>
          <w:p w14:paraId="731DF268" w14:textId="77777777" w:rsidR="00A15725" w:rsidRDefault="00955D58">
            <w:pPr>
              <w:pBdr>
                <w:top w:val="nil"/>
                <w:left w:val="nil"/>
                <w:bottom w:val="nil"/>
                <w:right w:val="nil"/>
                <w:between w:val="nil"/>
              </w:pBdr>
              <w:tabs>
                <w:tab w:val="left" w:pos="-576"/>
                <w:tab w:val="left" w:pos="144"/>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5EE96C80" w14:textId="77777777" w:rsidR="00A15725" w:rsidRDefault="00955D58">
            <w:pPr>
              <w:numPr>
                <w:ilvl w:val="2"/>
                <w:numId w:val="8"/>
              </w:numPr>
              <w:pBdr>
                <w:top w:val="nil"/>
                <w:left w:val="nil"/>
                <w:bottom w:val="nil"/>
                <w:right w:val="nil"/>
                <w:between w:val="nil"/>
              </w:pBdr>
              <w:tabs>
                <w:tab w:val="left" w:pos="-576"/>
                <w:tab w:val="left" w:pos="420"/>
              </w:tabs>
              <w:spacing w:after="120"/>
              <w:ind w:left="1700" w:right="282" w:hanging="708"/>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3BF459EB" w14:textId="77777777" w:rsidR="00A15725" w:rsidRDefault="00955D58">
            <w:pPr>
              <w:numPr>
                <w:ilvl w:val="2"/>
                <w:numId w:val="8"/>
              </w:numPr>
              <w:pBdr>
                <w:top w:val="nil"/>
                <w:left w:val="nil"/>
                <w:bottom w:val="nil"/>
                <w:right w:val="nil"/>
                <w:between w:val="nil"/>
              </w:pBdr>
              <w:tabs>
                <w:tab w:val="left" w:pos="-576"/>
                <w:tab w:val="left" w:pos="270"/>
              </w:tabs>
              <w:spacing w:after="120"/>
              <w:ind w:left="1700" w:right="282" w:hanging="708"/>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A15725" w14:paraId="2D9164FF" w14:textId="77777777">
        <w:tc>
          <w:tcPr>
            <w:tcW w:w="2694" w:type="dxa"/>
            <w:vAlign w:val="center"/>
          </w:tcPr>
          <w:p w14:paraId="7E3290B1"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“Greening Government Commitments”</w:t>
            </w:r>
          </w:p>
        </w:tc>
        <w:tc>
          <w:tcPr>
            <w:tcW w:w="7371" w:type="dxa"/>
            <w:vAlign w:val="center"/>
          </w:tcPr>
          <w:p w14:paraId="74E5C3B1"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means the UK policy commitments to greening operations and procurement set by the Department for the Environment, Food and Rural Affairs (DEFRA)</w:t>
            </w:r>
          </w:p>
        </w:tc>
      </w:tr>
      <w:tr w:rsidR="00A15725" w14:paraId="2079954A" w14:textId="77777777">
        <w:tc>
          <w:tcPr>
            <w:tcW w:w="2694" w:type="dxa"/>
          </w:tcPr>
          <w:p w14:paraId="3DDC62AE"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"Guarantor"</w:t>
            </w:r>
          </w:p>
        </w:tc>
        <w:tc>
          <w:tcPr>
            <w:tcW w:w="7371" w:type="dxa"/>
          </w:tcPr>
          <w:p w14:paraId="4AC27118"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A15725" w14:paraId="77844C44" w14:textId="77777777">
        <w:tc>
          <w:tcPr>
            <w:tcW w:w="2694" w:type="dxa"/>
          </w:tcPr>
          <w:p w14:paraId="7360FD1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371" w:type="dxa"/>
          </w:tcPr>
          <w:p w14:paraId="6ADB3B71"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A15725" w14:paraId="27B6F3F8" w14:textId="77777777">
        <w:tc>
          <w:tcPr>
            <w:tcW w:w="2694" w:type="dxa"/>
          </w:tcPr>
          <w:p w14:paraId="296ED46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“Historic Volumes”</w:t>
            </w:r>
          </w:p>
        </w:tc>
        <w:tc>
          <w:tcPr>
            <w:tcW w:w="7371" w:type="dxa"/>
          </w:tcPr>
          <w:p w14:paraId="1BD72519" w14:textId="77777777" w:rsidR="00A15725" w:rsidRDefault="00955D58">
            <w:pPr>
              <w:tabs>
                <w:tab w:val="left" w:pos="284"/>
              </w:tabs>
              <w:spacing w:line="276" w:lineRule="auto"/>
              <w:ind w:left="284" w:right="282"/>
              <w:rPr>
                <w:rFonts w:ascii="Arial" w:eastAsia="Arial" w:hAnsi="Arial" w:cs="Arial"/>
                <w:color w:val="000000"/>
                <w:sz w:val="24"/>
                <w:szCs w:val="24"/>
              </w:rPr>
            </w:pPr>
            <w:r>
              <w:rPr>
                <w:rFonts w:ascii="Arial" w:eastAsia="Arial" w:hAnsi="Arial" w:cs="Arial"/>
                <w:sz w:val="24"/>
                <w:szCs w:val="24"/>
              </w:rPr>
              <w:t>the level of activity that has previously been delivered</w:t>
            </w:r>
          </w:p>
        </w:tc>
      </w:tr>
      <w:tr w:rsidR="00A15725" w14:paraId="13AD01CD" w14:textId="77777777">
        <w:tc>
          <w:tcPr>
            <w:tcW w:w="2694" w:type="dxa"/>
          </w:tcPr>
          <w:p w14:paraId="30BA3A4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“HM Government”</w:t>
            </w:r>
          </w:p>
        </w:tc>
        <w:tc>
          <w:tcPr>
            <w:tcW w:w="7371" w:type="dxa"/>
          </w:tcPr>
          <w:p w14:paraId="735B6134" w14:textId="77777777" w:rsidR="00A15725" w:rsidRDefault="00955D58">
            <w:pPr>
              <w:tabs>
                <w:tab w:val="left" w:pos="284"/>
              </w:tabs>
              <w:spacing w:line="276" w:lineRule="auto"/>
              <w:ind w:left="284" w:right="282"/>
              <w:rPr>
                <w:rFonts w:ascii="Arial" w:eastAsia="Arial" w:hAnsi="Arial" w:cs="Arial"/>
                <w:color w:val="000000"/>
                <w:sz w:val="24"/>
                <w:szCs w:val="24"/>
              </w:rPr>
            </w:pPr>
            <w:r>
              <w:rPr>
                <w:rFonts w:ascii="Arial" w:eastAsia="Arial" w:hAnsi="Arial" w:cs="Arial"/>
                <w:sz w:val="24"/>
                <w:szCs w:val="24"/>
              </w:rPr>
              <w:t>Her Majesty's Government;</w:t>
            </w:r>
          </w:p>
        </w:tc>
      </w:tr>
      <w:tr w:rsidR="00A15725" w14:paraId="0BE53D15" w14:textId="77777777">
        <w:tc>
          <w:tcPr>
            <w:tcW w:w="2694" w:type="dxa"/>
          </w:tcPr>
          <w:p w14:paraId="6F2ADD5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"HMRC"</w:t>
            </w:r>
          </w:p>
        </w:tc>
        <w:tc>
          <w:tcPr>
            <w:tcW w:w="7371" w:type="dxa"/>
          </w:tcPr>
          <w:p w14:paraId="5A79C0C5"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A15725" w14:paraId="6EF42900" w14:textId="77777777">
        <w:tc>
          <w:tcPr>
            <w:tcW w:w="2694" w:type="dxa"/>
          </w:tcPr>
          <w:p w14:paraId="7464F73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"ICT Policy"</w:t>
            </w:r>
          </w:p>
        </w:tc>
        <w:tc>
          <w:tcPr>
            <w:tcW w:w="7371" w:type="dxa"/>
          </w:tcPr>
          <w:p w14:paraId="606DCA3B"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the Buyer's policy in respect of information and communications technology, referred to in the Order Form, which is in force as at the Call-Off Start Date (a copy of which has been supplied to the </w:t>
            </w:r>
            <w:r>
              <w:rPr>
                <w:rFonts w:ascii="Arial" w:eastAsia="Arial" w:hAnsi="Arial" w:cs="Arial"/>
                <w:color w:val="000000"/>
                <w:sz w:val="24"/>
                <w:szCs w:val="24"/>
              </w:rPr>
              <w:lastRenderedPageBreak/>
              <w:t>Supplier), as updated from time to time in accordance with the Variation Procedure;</w:t>
            </w:r>
          </w:p>
        </w:tc>
      </w:tr>
      <w:tr w:rsidR="00A15725" w14:paraId="443CEFB9" w14:textId="77777777">
        <w:tc>
          <w:tcPr>
            <w:tcW w:w="2694" w:type="dxa"/>
          </w:tcPr>
          <w:p w14:paraId="27D5D09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"Impact Assessment"</w:t>
            </w:r>
          </w:p>
        </w:tc>
        <w:tc>
          <w:tcPr>
            <w:tcW w:w="7371" w:type="dxa"/>
          </w:tcPr>
          <w:p w14:paraId="50B05120"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172526C6" w14:textId="77777777" w:rsidR="00A15725" w:rsidRDefault="00955D58">
            <w:pPr>
              <w:numPr>
                <w:ilvl w:val="1"/>
                <w:numId w:val="10"/>
              </w:numPr>
              <w:pBdr>
                <w:top w:val="nil"/>
                <w:left w:val="nil"/>
                <w:bottom w:val="nil"/>
                <w:right w:val="nil"/>
                <w:between w:val="nil"/>
              </w:pBdr>
              <w:tabs>
                <w:tab w:val="left" w:pos="-576"/>
                <w:tab w:val="left" w:pos="144"/>
                <w:tab w:val="left" w:pos="990"/>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074D2DDC" w14:textId="77777777" w:rsidR="00A15725" w:rsidRDefault="00955D58">
            <w:pPr>
              <w:numPr>
                <w:ilvl w:val="1"/>
                <w:numId w:val="10"/>
              </w:numPr>
              <w:pBdr>
                <w:top w:val="nil"/>
                <w:left w:val="nil"/>
                <w:bottom w:val="nil"/>
                <w:right w:val="nil"/>
                <w:between w:val="nil"/>
              </w:pBdr>
              <w:tabs>
                <w:tab w:val="left" w:pos="-576"/>
                <w:tab w:val="left" w:pos="144"/>
                <w:tab w:val="left" w:pos="990"/>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36E4FFAE" w14:textId="77777777" w:rsidR="00A15725" w:rsidRDefault="00955D58">
            <w:pPr>
              <w:numPr>
                <w:ilvl w:val="1"/>
                <w:numId w:val="10"/>
              </w:numPr>
              <w:pBdr>
                <w:top w:val="nil"/>
                <w:left w:val="nil"/>
                <w:bottom w:val="nil"/>
                <w:right w:val="nil"/>
                <w:between w:val="nil"/>
              </w:pBdr>
              <w:tabs>
                <w:tab w:val="left" w:pos="-576"/>
                <w:tab w:val="left" w:pos="144"/>
                <w:tab w:val="left" w:pos="990"/>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0A3176E1" w14:textId="77777777" w:rsidR="00A15725" w:rsidRDefault="00955D58">
            <w:pPr>
              <w:numPr>
                <w:ilvl w:val="1"/>
                <w:numId w:val="10"/>
              </w:numPr>
              <w:pBdr>
                <w:top w:val="nil"/>
                <w:left w:val="nil"/>
                <w:bottom w:val="nil"/>
                <w:right w:val="nil"/>
                <w:between w:val="nil"/>
              </w:pBdr>
              <w:tabs>
                <w:tab w:val="left" w:pos="-576"/>
                <w:tab w:val="left" w:pos="144"/>
                <w:tab w:val="left" w:pos="990"/>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a timetable for the implementation;</w:t>
            </w:r>
          </w:p>
          <w:p w14:paraId="26AA3FDA" w14:textId="77777777" w:rsidR="00A15725" w:rsidRDefault="00955D58">
            <w:pPr>
              <w:numPr>
                <w:ilvl w:val="1"/>
                <w:numId w:val="10"/>
              </w:numPr>
              <w:pBdr>
                <w:top w:val="nil"/>
                <w:left w:val="nil"/>
                <w:bottom w:val="nil"/>
                <w:right w:val="nil"/>
                <w:between w:val="nil"/>
              </w:pBdr>
              <w:tabs>
                <w:tab w:val="left" w:pos="-576"/>
                <w:tab w:val="left" w:pos="144"/>
                <w:tab w:val="left" w:pos="990"/>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together with any proposals for the testing of the Variation; and</w:t>
            </w:r>
          </w:p>
          <w:p w14:paraId="6C6044D1" w14:textId="77777777" w:rsidR="00A15725" w:rsidRDefault="00955D58">
            <w:pPr>
              <w:numPr>
                <w:ilvl w:val="1"/>
                <w:numId w:val="10"/>
              </w:numPr>
              <w:pBdr>
                <w:top w:val="nil"/>
                <w:left w:val="nil"/>
                <w:bottom w:val="nil"/>
                <w:right w:val="nil"/>
                <w:between w:val="nil"/>
              </w:pBdr>
              <w:tabs>
                <w:tab w:val="left" w:pos="-576"/>
                <w:tab w:val="left" w:pos="144"/>
                <w:tab w:val="left" w:pos="990"/>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A15725" w14:paraId="173975C5" w14:textId="77777777">
        <w:tc>
          <w:tcPr>
            <w:tcW w:w="2694" w:type="dxa"/>
          </w:tcPr>
          <w:p w14:paraId="70C5785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“Incumbent Supplier”</w:t>
            </w:r>
          </w:p>
        </w:tc>
        <w:tc>
          <w:tcPr>
            <w:tcW w:w="7371" w:type="dxa"/>
          </w:tcPr>
          <w:p w14:paraId="62A60C79"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is the Supplier already engaged by the customer to provide the Services which are to be provided by the Supplier on the commencement of the contract for Services</w:t>
            </w:r>
          </w:p>
        </w:tc>
      </w:tr>
      <w:tr w:rsidR="00A15725" w14:paraId="2B44A3B1" w14:textId="77777777">
        <w:tc>
          <w:tcPr>
            <w:tcW w:w="2694" w:type="dxa"/>
            <w:vAlign w:val="center"/>
          </w:tcPr>
          <w:p w14:paraId="1267CB0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"Inclusive Repair Threshold"</w:t>
            </w:r>
          </w:p>
        </w:tc>
        <w:tc>
          <w:tcPr>
            <w:tcW w:w="7371" w:type="dxa"/>
            <w:vAlign w:val="center"/>
          </w:tcPr>
          <w:p w14:paraId="32E58C50"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sz w:val="24"/>
                <w:szCs w:val="24"/>
              </w:rPr>
            </w:pPr>
            <w:r>
              <w:rPr>
                <w:rFonts w:ascii="Arial" w:eastAsia="Arial" w:hAnsi="Arial" w:cs="Arial"/>
                <w:sz w:val="24"/>
                <w:szCs w:val="24"/>
                <w:highlight w:val="white"/>
              </w:rPr>
              <w:t xml:space="preserve">means the financial threshold (excluding Overhead and Profit) as specified in the Order Form, under which the costs of individual Reactive Maintenance Works are included in the Baseline Monthly Payment and which it shall apply per event and not, for example, per trade; </w:t>
            </w:r>
          </w:p>
        </w:tc>
      </w:tr>
      <w:tr w:rsidR="00A15725" w14:paraId="052A98F5" w14:textId="77777777">
        <w:tc>
          <w:tcPr>
            <w:tcW w:w="2694" w:type="dxa"/>
          </w:tcPr>
          <w:p w14:paraId="034893D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"Indemnifier"</w:t>
            </w:r>
          </w:p>
        </w:tc>
        <w:tc>
          <w:tcPr>
            <w:tcW w:w="7371" w:type="dxa"/>
          </w:tcPr>
          <w:p w14:paraId="125C9772"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A15725" w14:paraId="61E3CDE2" w14:textId="77777777">
        <w:tc>
          <w:tcPr>
            <w:tcW w:w="2694" w:type="dxa"/>
          </w:tcPr>
          <w:p w14:paraId="4E3A9D6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371" w:type="dxa"/>
          </w:tcPr>
          <w:p w14:paraId="39B4A326"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A15725" w14:paraId="4866EF50" w14:textId="77777777">
        <w:tc>
          <w:tcPr>
            <w:tcW w:w="2694" w:type="dxa"/>
          </w:tcPr>
          <w:p w14:paraId="7B5E323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"Indexation"</w:t>
            </w:r>
          </w:p>
        </w:tc>
        <w:tc>
          <w:tcPr>
            <w:tcW w:w="7371" w:type="dxa"/>
          </w:tcPr>
          <w:p w14:paraId="67B93D06"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A15725" w14:paraId="066501BC" w14:textId="77777777">
        <w:tc>
          <w:tcPr>
            <w:tcW w:w="2694" w:type="dxa"/>
          </w:tcPr>
          <w:p w14:paraId="2FF7ABA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"Information"</w:t>
            </w:r>
          </w:p>
        </w:tc>
        <w:tc>
          <w:tcPr>
            <w:tcW w:w="7371" w:type="dxa"/>
          </w:tcPr>
          <w:p w14:paraId="4B7FF19D"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A15725" w14:paraId="499BE6DC" w14:textId="77777777">
        <w:tc>
          <w:tcPr>
            <w:tcW w:w="2694" w:type="dxa"/>
          </w:tcPr>
          <w:p w14:paraId="6C0039C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371" w:type="dxa"/>
          </w:tcPr>
          <w:p w14:paraId="5FB54EC6"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w:t>
            </w:r>
            <w:r>
              <w:rPr>
                <w:rFonts w:ascii="Arial" w:eastAsia="Arial" w:hAnsi="Arial" w:cs="Arial"/>
                <w:color w:val="000000"/>
                <w:sz w:val="24"/>
                <w:szCs w:val="24"/>
              </w:rPr>
              <w:lastRenderedPageBreak/>
              <w:t xml:space="preserve">privacy for individuals is met, whilst promoting openness by public bodies; </w:t>
            </w:r>
          </w:p>
        </w:tc>
      </w:tr>
      <w:tr w:rsidR="00A15725" w14:paraId="5167CC88" w14:textId="77777777">
        <w:tc>
          <w:tcPr>
            <w:tcW w:w="2694" w:type="dxa"/>
          </w:tcPr>
          <w:p w14:paraId="7CF4531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"Initial Period"</w:t>
            </w:r>
          </w:p>
        </w:tc>
        <w:tc>
          <w:tcPr>
            <w:tcW w:w="7371" w:type="dxa"/>
          </w:tcPr>
          <w:p w14:paraId="4424C35E"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A15725" w14:paraId="1EAE750D" w14:textId="77777777">
        <w:tc>
          <w:tcPr>
            <w:tcW w:w="2694" w:type="dxa"/>
          </w:tcPr>
          <w:p w14:paraId="161E600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371" w:type="dxa"/>
          </w:tcPr>
          <w:p w14:paraId="26562E6E"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533FF58C" w14:textId="77777777" w:rsidR="00A15725" w:rsidRDefault="00955D58">
            <w:pPr>
              <w:pBdr>
                <w:top w:val="nil"/>
                <w:left w:val="nil"/>
                <w:bottom w:val="nil"/>
                <w:right w:val="nil"/>
                <w:between w:val="nil"/>
              </w:pBdr>
              <w:tabs>
                <w:tab w:val="left" w:pos="990"/>
              </w:tabs>
              <w:spacing w:after="120"/>
              <w:ind w:left="992" w:right="282" w:hanging="705"/>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57BBCF8E" w14:textId="77777777" w:rsidR="00A15725" w:rsidRDefault="00955D58">
            <w:pPr>
              <w:pBdr>
                <w:top w:val="nil"/>
                <w:left w:val="nil"/>
                <w:bottom w:val="nil"/>
                <w:right w:val="nil"/>
                <w:between w:val="nil"/>
              </w:pBdr>
              <w:tabs>
                <w:tab w:val="left" w:pos="284"/>
              </w:tabs>
              <w:spacing w:after="120"/>
              <w:ind w:left="1417" w:right="282" w:hanging="708"/>
              <w:jc w:val="both"/>
              <w:rPr>
                <w:rFonts w:ascii="Arial" w:eastAsia="Arial" w:hAnsi="Arial" w:cs="Arial"/>
                <w:color w:val="000000"/>
                <w:sz w:val="24"/>
                <w:szCs w:val="24"/>
              </w:rPr>
            </w:pPr>
            <w:r>
              <w:rPr>
                <w:rFonts w:ascii="Arial" w:eastAsia="Arial" w:hAnsi="Arial" w:cs="Arial"/>
                <w:color w:val="000000"/>
                <w:sz w:val="24"/>
                <w:szCs w:val="24"/>
              </w:rPr>
              <w:t>(i)    (being a company or a LLP) is deemed unable to pay its debts within the meaning of section 123 of the Insolvency Act 1986, or</w:t>
            </w:r>
          </w:p>
          <w:p w14:paraId="5B16504D" w14:textId="77777777" w:rsidR="00A15725" w:rsidRDefault="00955D58">
            <w:pPr>
              <w:pBdr>
                <w:top w:val="nil"/>
                <w:left w:val="nil"/>
                <w:bottom w:val="nil"/>
                <w:right w:val="nil"/>
                <w:between w:val="nil"/>
              </w:pBdr>
              <w:tabs>
                <w:tab w:val="left" w:pos="284"/>
              </w:tabs>
              <w:spacing w:after="120"/>
              <w:ind w:left="1417" w:right="282" w:hanging="708"/>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02139263" w14:textId="77777777" w:rsidR="00A15725" w:rsidRDefault="00955D58">
            <w:pPr>
              <w:pBdr>
                <w:top w:val="nil"/>
                <w:left w:val="nil"/>
                <w:bottom w:val="nil"/>
                <w:right w:val="nil"/>
                <w:between w:val="nil"/>
              </w:pBdr>
              <w:tabs>
                <w:tab w:val="left" w:pos="28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43E38F78" w14:textId="77777777" w:rsidR="00A15725" w:rsidRDefault="00955D58">
            <w:pPr>
              <w:pBdr>
                <w:top w:val="nil"/>
                <w:left w:val="nil"/>
                <w:bottom w:val="nil"/>
                <w:right w:val="nil"/>
                <w:between w:val="nil"/>
              </w:pBdr>
              <w:tabs>
                <w:tab w:val="left" w:pos="28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0C03CE95" w14:textId="77777777" w:rsidR="00A15725" w:rsidRDefault="00955D58">
            <w:pPr>
              <w:pBdr>
                <w:top w:val="nil"/>
                <w:left w:val="nil"/>
                <w:bottom w:val="nil"/>
                <w:right w:val="nil"/>
                <w:between w:val="nil"/>
              </w:pBdr>
              <w:tabs>
                <w:tab w:val="left" w:pos="28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0918E866" w14:textId="77777777" w:rsidR="00A15725" w:rsidRDefault="00955D58">
            <w:pPr>
              <w:pBdr>
                <w:top w:val="nil"/>
                <w:left w:val="nil"/>
                <w:bottom w:val="nil"/>
                <w:right w:val="nil"/>
                <w:between w:val="nil"/>
              </w:pBdr>
              <w:tabs>
                <w:tab w:val="left" w:pos="28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1B98425C" w14:textId="77777777" w:rsidR="00A15725" w:rsidRDefault="00955D58">
            <w:pPr>
              <w:pBdr>
                <w:top w:val="nil"/>
                <w:left w:val="nil"/>
                <w:bottom w:val="nil"/>
                <w:right w:val="nil"/>
                <w:between w:val="nil"/>
              </w:pBdr>
              <w:tabs>
                <w:tab w:val="left" w:pos="28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14:paraId="3B368AD4" w14:textId="77777777" w:rsidR="00A15725" w:rsidRDefault="00955D58">
            <w:pPr>
              <w:pBdr>
                <w:top w:val="nil"/>
                <w:left w:val="nil"/>
                <w:bottom w:val="nil"/>
                <w:right w:val="nil"/>
                <w:between w:val="nil"/>
              </w:pBdr>
              <w:tabs>
                <w:tab w:val="left" w:pos="705"/>
              </w:tabs>
              <w:spacing w:after="120"/>
              <w:ind w:left="1417" w:right="282" w:hanging="708"/>
              <w:jc w:val="both"/>
              <w:rPr>
                <w:rFonts w:ascii="Arial" w:eastAsia="Arial" w:hAnsi="Arial" w:cs="Arial"/>
                <w:color w:val="000000"/>
                <w:sz w:val="24"/>
                <w:szCs w:val="24"/>
              </w:rPr>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678C4D4" w14:textId="77777777" w:rsidR="00A15725" w:rsidRDefault="00955D58">
            <w:pPr>
              <w:pBdr>
                <w:top w:val="nil"/>
                <w:left w:val="nil"/>
                <w:bottom w:val="nil"/>
                <w:right w:val="nil"/>
                <w:between w:val="nil"/>
              </w:pBdr>
              <w:tabs>
                <w:tab w:val="left" w:pos="705"/>
              </w:tabs>
              <w:spacing w:after="120"/>
              <w:ind w:left="1417" w:right="282" w:hanging="708"/>
              <w:jc w:val="both"/>
              <w:rPr>
                <w:rFonts w:ascii="Arial" w:eastAsia="Arial" w:hAnsi="Arial" w:cs="Arial"/>
                <w:color w:val="000000"/>
                <w:sz w:val="24"/>
                <w:szCs w:val="24"/>
              </w:rPr>
            </w:pPr>
            <w:r>
              <w:rPr>
                <w:rFonts w:ascii="Arial" w:eastAsia="Arial" w:hAnsi="Arial" w:cs="Arial"/>
                <w:color w:val="000000"/>
                <w:sz w:val="24"/>
                <w:szCs w:val="24"/>
              </w:rPr>
              <w:lastRenderedPageBreak/>
              <w:t>(ii)     an application is made to court, or an order is made, for the appointment of an administrator, or if a notice of intention to appoint an administrator is filed at Court or given or if an administrator is appointed, over that person;</w:t>
            </w:r>
          </w:p>
          <w:p w14:paraId="5223BC60" w14:textId="77777777" w:rsidR="00A15725" w:rsidRDefault="00955D58">
            <w:pPr>
              <w:pBdr>
                <w:top w:val="nil"/>
                <w:left w:val="nil"/>
                <w:bottom w:val="nil"/>
                <w:right w:val="nil"/>
                <w:between w:val="nil"/>
              </w:pBdr>
              <w:tabs>
                <w:tab w:val="left" w:pos="705"/>
              </w:tabs>
              <w:spacing w:after="120"/>
              <w:ind w:left="1417" w:right="282" w:hanging="708"/>
              <w:jc w:val="both"/>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3FFE9407" w14:textId="77777777" w:rsidR="00A15725" w:rsidRDefault="00955D58">
            <w:pPr>
              <w:pBdr>
                <w:top w:val="nil"/>
                <w:left w:val="nil"/>
                <w:bottom w:val="nil"/>
                <w:right w:val="nil"/>
                <w:between w:val="nil"/>
              </w:pBdr>
              <w:tabs>
                <w:tab w:val="left" w:pos="705"/>
              </w:tabs>
              <w:spacing w:after="120"/>
              <w:ind w:left="1417" w:right="282" w:hanging="708"/>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2481B2A0" w14:textId="77777777" w:rsidR="00A15725" w:rsidRDefault="00955D58">
            <w:pPr>
              <w:pBdr>
                <w:top w:val="nil"/>
                <w:left w:val="nil"/>
                <w:bottom w:val="nil"/>
                <w:right w:val="nil"/>
                <w:between w:val="nil"/>
              </w:pBdr>
              <w:tabs>
                <w:tab w:val="left" w:pos="28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A15725" w14:paraId="201A614C" w14:textId="77777777">
        <w:tc>
          <w:tcPr>
            <w:tcW w:w="2694" w:type="dxa"/>
          </w:tcPr>
          <w:p w14:paraId="25CD2DCB"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371" w:type="dxa"/>
          </w:tcPr>
          <w:p w14:paraId="4B6295D1"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during the Call-Off Contract Period to install the Goods in accordance with the Call-Off Contract;</w:t>
            </w:r>
          </w:p>
        </w:tc>
      </w:tr>
      <w:tr w:rsidR="00A15725" w14:paraId="54C092E6" w14:textId="77777777">
        <w:tc>
          <w:tcPr>
            <w:tcW w:w="2694" w:type="dxa"/>
          </w:tcPr>
          <w:p w14:paraId="2F13697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371" w:type="dxa"/>
          </w:tcPr>
          <w:p w14:paraId="16C0DCCF" w14:textId="77777777" w:rsidR="00A15725" w:rsidRDefault="00955D58">
            <w:pPr>
              <w:numPr>
                <w:ilvl w:val="1"/>
                <w:numId w:val="5"/>
              </w:numPr>
              <w:pBdr>
                <w:top w:val="nil"/>
                <w:left w:val="nil"/>
                <w:bottom w:val="nil"/>
                <w:right w:val="nil"/>
                <w:between w:val="nil"/>
              </w:pBdr>
              <w:tabs>
                <w:tab w:val="left" w:pos="-576"/>
                <w:tab w:val="left" w:pos="144"/>
                <w:tab w:val="left" w:pos="28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7FE3B2FC" w14:textId="77777777" w:rsidR="00A15725" w:rsidRDefault="00955D58">
            <w:pPr>
              <w:numPr>
                <w:ilvl w:val="1"/>
                <w:numId w:val="5"/>
              </w:numPr>
              <w:pBdr>
                <w:top w:val="nil"/>
                <w:left w:val="nil"/>
                <w:bottom w:val="nil"/>
                <w:right w:val="nil"/>
                <w:between w:val="nil"/>
              </w:pBdr>
              <w:tabs>
                <w:tab w:val="left" w:pos="-576"/>
                <w:tab w:val="left" w:pos="144"/>
                <w:tab w:val="left" w:pos="28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5D5659D1" w14:textId="77777777" w:rsidR="00A15725" w:rsidRDefault="00955D58">
            <w:pPr>
              <w:numPr>
                <w:ilvl w:val="1"/>
                <w:numId w:val="5"/>
              </w:numPr>
              <w:pBdr>
                <w:top w:val="nil"/>
                <w:left w:val="nil"/>
                <w:bottom w:val="nil"/>
                <w:right w:val="nil"/>
                <w:between w:val="nil"/>
              </w:pBdr>
              <w:tabs>
                <w:tab w:val="left" w:pos="-576"/>
                <w:tab w:val="left" w:pos="144"/>
                <w:tab w:val="left" w:pos="28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A15725" w14:paraId="5238B092" w14:textId="77777777">
        <w:tc>
          <w:tcPr>
            <w:tcW w:w="2694" w:type="dxa"/>
          </w:tcPr>
          <w:p w14:paraId="7AD0519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371" w:type="dxa"/>
          </w:tcPr>
          <w:p w14:paraId="24D6744F" w14:textId="77777777" w:rsidR="00A15725" w:rsidRDefault="00955D58">
            <w:pPr>
              <w:pBdr>
                <w:top w:val="nil"/>
                <w:left w:val="nil"/>
                <w:bottom w:val="nil"/>
                <w:right w:val="nil"/>
                <w:between w:val="nil"/>
              </w:pBdr>
              <w:tabs>
                <w:tab w:val="left" w:pos="284"/>
              </w:tabs>
              <w:spacing w:after="120"/>
              <w:ind w:left="283" w:right="282"/>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A15725" w14:paraId="4DFCD0F8" w14:textId="77777777">
        <w:tc>
          <w:tcPr>
            <w:tcW w:w="2694" w:type="dxa"/>
          </w:tcPr>
          <w:p w14:paraId="63DAC1E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"IPR Claim"</w:t>
            </w:r>
          </w:p>
        </w:tc>
        <w:tc>
          <w:tcPr>
            <w:tcW w:w="7371" w:type="dxa"/>
          </w:tcPr>
          <w:p w14:paraId="5A4CC3B5"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A15725" w14:paraId="7CD99FBB" w14:textId="77777777">
        <w:tc>
          <w:tcPr>
            <w:tcW w:w="2694" w:type="dxa"/>
          </w:tcPr>
          <w:p w14:paraId="76E9883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"IR35"</w:t>
            </w:r>
          </w:p>
        </w:tc>
        <w:tc>
          <w:tcPr>
            <w:tcW w:w="7371" w:type="dxa"/>
          </w:tcPr>
          <w:p w14:paraId="781C9DAB"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w:t>
            </w:r>
            <w:r>
              <w:rPr>
                <w:rFonts w:ascii="Arial" w:eastAsia="Arial" w:hAnsi="Arial" w:cs="Arial"/>
                <w:color w:val="000000"/>
                <w:sz w:val="24"/>
                <w:szCs w:val="24"/>
              </w:rPr>
              <w:lastRenderedPageBreak/>
              <w:t xml:space="preserve">contributions as an employee which can be found online at: </w:t>
            </w:r>
            <w:hyperlink r:id="rId16">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A15725" w14:paraId="0E409208" w14:textId="77777777">
        <w:tc>
          <w:tcPr>
            <w:tcW w:w="2694" w:type="dxa"/>
          </w:tcPr>
          <w:p w14:paraId="43D1B77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lastRenderedPageBreak/>
              <w:t>“ISO”</w:t>
            </w:r>
          </w:p>
        </w:tc>
        <w:tc>
          <w:tcPr>
            <w:tcW w:w="7371" w:type="dxa"/>
          </w:tcPr>
          <w:p w14:paraId="5F77B3FB" w14:textId="77777777" w:rsidR="00A15725" w:rsidRDefault="00955D58">
            <w:pPr>
              <w:tabs>
                <w:tab w:val="left" w:pos="284"/>
              </w:tabs>
              <w:spacing w:line="276" w:lineRule="auto"/>
              <w:ind w:left="284" w:right="282"/>
              <w:rPr>
                <w:rFonts w:ascii="Arial" w:eastAsia="Arial" w:hAnsi="Arial" w:cs="Arial"/>
                <w:sz w:val="24"/>
                <w:szCs w:val="24"/>
              </w:rPr>
            </w:pPr>
            <w:r>
              <w:rPr>
                <w:rFonts w:ascii="Arial" w:eastAsia="Arial" w:hAnsi="Arial" w:cs="Arial"/>
                <w:sz w:val="24"/>
                <w:szCs w:val="24"/>
              </w:rPr>
              <w:t>International Organization for Standardization;</w:t>
            </w:r>
          </w:p>
        </w:tc>
      </w:tr>
      <w:tr w:rsidR="00A15725" w14:paraId="176E07DC" w14:textId="77777777">
        <w:tc>
          <w:tcPr>
            <w:tcW w:w="2694" w:type="dxa"/>
          </w:tcPr>
          <w:p w14:paraId="5E2EFB52"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“ITIL Framework”</w:t>
            </w:r>
          </w:p>
        </w:tc>
        <w:tc>
          <w:tcPr>
            <w:tcW w:w="7371" w:type="dxa"/>
          </w:tcPr>
          <w:p w14:paraId="4B6C5E64" w14:textId="77777777" w:rsidR="00A15725" w:rsidRDefault="00955D58">
            <w:pPr>
              <w:tabs>
                <w:tab w:val="left" w:pos="284"/>
              </w:tabs>
              <w:spacing w:line="276" w:lineRule="auto"/>
              <w:ind w:left="284" w:right="282"/>
              <w:rPr>
                <w:rFonts w:ascii="Arial" w:eastAsia="Arial" w:hAnsi="Arial" w:cs="Arial"/>
                <w:sz w:val="24"/>
                <w:szCs w:val="24"/>
              </w:rPr>
            </w:pPr>
            <w:r>
              <w:rPr>
                <w:rFonts w:ascii="Arial" w:eastAsia="Arial" w:hAnsi="Arial" w:cs="Arial"/>
                <w:sz w:val="24"/>
                <w:szCs w:val="24"/>
              </w:rPr>
              <w:t>ITIL is a set of detailed practices for IT service management that focuses on aligning IT services with the needs of business;</w:t>
            </w:r>
          </w:p>
        </w:tc>
      </w:tr>
      <w:tr w:rsidR="00A15725" w14:paraId="1646A026" w14:textId="77777777">
        <w:tc>
          <w:tcPr>
            <w:tcW w:w="2694" w:type="dxa"/>
          </w:tcPr>
          <w:p w14:paraId="73303B1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371" w:type="dxa"/>
          </w:tcPr>
          <w:p w14:paraId="1C58D095"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A15725" w14:paraId="1CBC00BF" w14:textId="77777777">
        <w:tc>
          <w:tcPr>
            <w:tcW w:w="2694" w:type="dxa"/>
          </w:tcPr>
          <w:p w14:paraId="2E7A983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371" w:type="dxa"/>
          </w:tcPr>
          <w:p w14:paraId="302F2C1C"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A15725" w14:paraId="4AAA57FD" w14:textId="77777777">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75594E" w14:textId="77777777" w:rsidR="00A15725" w:rsidRDefault="00955D58">
            <w:pPr>
              <w:spacing w:after="120" w:line="276" w:lineRule="auto"/>
              <w:ind w:left="-100"/>
              <w:rPr>
                <w:rFonts w:ascii="Arial" w:eastAsia="Arial" w:hAnsi="Arial" w:cs="Arial"/>
                <w:b/>
                <w:sz w:val="24"/>
                <w:szCs w:val="24"/>
              </w:rPr>
            </w:pPr>
            <w:r>
              <w:rPr>
                <w:rFonts w:ascii="Arial" w:eastAsia="Arial" w:hAnsi="Arial" w:cs="Arial"/>
                <w:b/>
                <w:sz w:val="24"/>
                <w:szCs w:val="24"/>
              </w:rPr>
              <w:t>“Joint Schedule(s)”</w:t>
            </w:r>
          </w:p>
        </w:tc>
        <w:tc>
          <w:tcPr>
            <w:tcW w:w="73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EFEED5" w14:textId="77777777" w:rsidR="00A15725" w:rsidRDefault="00955D58">
            <w:pPr>
              <w:tabs>
                <w:tab w:val="left" w:pos="284"/>
              </w:tabs>
              <w:spacing w:after="120" w:line="276" w:lineRule="auto"/>
              <w:ind w:left="160"/>
              <w:jc w:val="both"/>
              <w:rPr>
                <w:rFonts w:ascii="Arial" w:eastAsia="Arial" w:hAnsi="Arial" w:cs="Arial"/>
                <w:sz w:val="24"/>
                <w:szCs w:val="24"/>
              </w:rPr>
            </w:pPr>
            <w:r>
              <w:rPr>
                <w:rFonts w:ascii="Arial" w:eastAsia="Arial" w:hAnsi="Arial" w:cs="Arial"/>
                <w:sz w:val="24"/>
                <w:szCs w:val="24"/>
              </w:rPr>
              <w:t>means the CCS joint schedule(s) which are common to each Core Terms Contract;</w:t>
            </w:r>
          </w:p>
        </w:tc>
      </w:tr>
      <w:tr w:rsidR="00A15725" w14:paraId="19AADB73" w14:textId="77777777">
        <w:tc>
          <w:tcPr>
            <w:tcW w:w="2694" w:type="dxa"/>
          </w:tcPr>
          <w:p w14:paraId="03FE736F"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“Key Personnel”</w:t>
            </w:r>
          </w:p>
        </w:tc>
        <w:tc>
          <w:tcPr>
            <w:tcW w:w="7371" w:type="dxa"/>
          </w:tcPr>
          <w:p w14:paraId="539F19BA"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sz w:val="24"/>
                <w:szCs w:val="24"/>
              </w:rPr>
            </w:pPr>
            <w:r>
              <w:rPr>
                <w:rFonts w:ascii="Arial" w:eastAsia="Arial" w:hAnsi="Arial" w:cs="Arial"/>
                <w:sz w:val="24"/>
                <w:szCs w:val="24"/>
              </w:rPr>
              <w:t>individuals (if any) identified as such in the Order Form;</w:t>
            </w:r>
          </w:p>
        </w:tc>
      </w:tr>
      <w:tr w:rsidR="00A15725" w14:paraId="122ECEEF" w14:textId="77777777">
        <w:tc>
          <w:tcPr>
            <w:tcW w:w="2694" w:type="dxa"/>
          </w:tcPr>
          <w:p w14:paraId="4AB18D5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"Key Staff"</w:t>
            </w:r>
          </w:p>
        </w:tc>
        <w:tc>
          <w:tcPr>
            <w:tcW w:w="7371" w:type="dxa"/>
          </w:tcPr>
          <w:p w14:paraId="18871B4B"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A15725" w14:paraId="05DE1B61" w14:textId="77777777">
        <w:trPr>
          <w:trHeight w:val="357"/>
        </w:trPr>
        <w:tc>
          <w:tcPr>
            <w:tcW w:w="2694" w:type="dxa"/>
          </w:tcPr>
          <w:p w14:paraId="28C573A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"Key Sub-Contract"</w:t>
            </w:r>
          </w:p>
        </w:tc>
        <w:tc>
          <w:tcPr>
            <w:tcW w:w="7371" w:type="dxa"/>
          </w:tcPr>
          <w:p w14:paraId="39F1A1EF"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A15725" w14:paraId="5C5C1CF6" w14:textId="77777777">
        <w:trPr>
          <w:trHeight w:val="426"/>
        </w:trPr>
        <w:tc>
          <w:tcPr>
            <w:tcW w:w="2694" w:type="dxa"/>
          </w:tcPr>
          <w:p w14:paraId="34CD0BA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371" w:type="dxa"/>
          </w:tcPr>
          <w:p w14:paraId="39445D48"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Subcontractor:</w:t>
            </w:r>
          </w:p>
          <w:p w14:paraId="0EBB70AC" w14:textId="77777777" w:rsidR="00A15725" w:rsidRDefault="00955D58">
            <w:pPr>
              <w:numPr>
                <w:ilvl w:val="1"/>
                <w:numId w:val="17"/>
              </w:numPr>
              <w:pBdr>
                <w:top w:val="nil"/>
                <w:left w:val="nil"/>
                <w:bottom w:val="nil"/>
                <w:right w:val="nil"/>
                <w:between w:val="nil"/>
              </w:pBdr>
              <w:tabs>
                <w:tab w:val="left" w:pos="-576"/>
                <w:tab w:val="left" w:pos="144"/>
                <w:tab w:val="left" w:pos="840"/>
              </w:tabs>
              <w:spacing w:after="120"/>
              <w:ind w:left="1133" w:right="282" w:hanging="850"/>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47DE1DF9" w14:textId="77777777" w:rsidR="00A15725" w:rsidRDefault="00955D58">
            <w:pPr>
              <w:numPr>
                <w:ilvl w:val="1"/>
                <w:numId w:val="17"/>
              </w:numPr>
              <w:pBdr>
                <w:top w:val="nil"/>
                <w:left w:val="nil"/>
                <w:bottom w:val="nil"/>
                <w:right w:val="nil"/>
                <w:between w:val="nil"/>
              </w:pBdr>
              <w:tabs>
                <w:tab w:val="left" w:pos="-576"/>
                <w:tab w:val="left" w:pos="144"/>
                <w:tab w:val="left" w:pos="840"/>
              </w:tabs>
              <w:spacing w:after="120"/>
              <w:ind w:left="1133" w:right="282" w:hanging="850"/>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2F30A8BC" w14:textId="77777777" w:rsidR="00A15725" w:rsidRDefault="00955D58">
            <w:pPr>
              <w:numPr>
                <w:ilvl w:val="1"/>
                <w:numId w:val="17"/>
              </w:numPr>
              <w:pBdr>
                <w:top w:val="nil"/>
                <w:left w:val="nil"/>
                <w:bottom w:val="nil"/>
                <w:right w:val="nil"/>
                <w:between w:val="nil"/>
              </w:pBdr>
              <w:tabs>
                <w:tab w:val="left" w:pos="-576"/>
                <w:tab w:val="left" w:pos="144"/>
                <w:tab w:val="left" w:pos="840"/>
              </w:tabs>
              <w:spacing w:after="120"/>
              <w:ind w:left="1133" w:right="282" w:hanging="850"/>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78C5EE83" w14:textId="77777777" w:rsidR="00A15725" w:rsidRDefault="00955D58">
            <w:pPr>
              <w:pBdr>
                <w:top w:val="nil"/>
                <w:left w:val="nil"/>
                <w:bottom w:val="nil"/>
                <w:right w:val="nil"/>
                <w:between w:val="nil"/>
              </w:pBdr>
              <w:tabs>
                <w:tab w:val="left" w:pos="-576"/>
                <w:tab w:val="left" w:pos="144"/>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A15725" w14:paraId="1A72E88F" w14:textId="77777777">
        <w:tc>
          <w:tcPr>
            <w:tcW w:w="2694" w:type="dxa"/>
          </w:tcPr>
          <w:p w14:paraId="54CFEF7E"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371" w:type="dxa"/>
          </w:tcPr>
          <w:p w14:paraId="4823A4B7"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A15725" w14:paraId="513515BA" w14:textId="77777777">
        <w:tc>
          <w:tcPr>
            <w:tcW w:w="2694" w:type="dxa"/>
            <w:vAlign w:val="center"/>
          </w:tcPr>
          <w:p w14:paraId="455074E4"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"KPI Credits"</w:t>
            </w:r>
          </w:p>
        </w:tc>
        <w:tc>
          <w:tcPr>
            <w:tcW w:w="7371" w:type="dxa"/>
            <w:vAlign w:val="center"/>
          </w:tcPr>
          <w:p w14:paraId="3AA1187C"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any KPI credits specified in Call Off Schedule 14 (Key Performance Indicators) as being payable by the Supplier to the Buyer in respect of any failure by the Supplier to meet one or more KPIs;</w:t>
            </w:r>
          </w:p>
        </w:tc>
      </w:tr>
      <w:tr w:rsidR="00A15725" w14:paraId="306D979A" w14:textId="77777777">
        <w:tc>
          <w:tcPr>
            <w:tcW w:w="2694" w:type="dxa"/>
            <w:vAlign w:val="center"/>
          </w:tcPr>
          <w:p w14:paraId="7C8F61C0"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"KPIs"</w:t>
            </w:r>
          </w:p>
        </w:tc>
        <w:tc>
          <w:tcPr>
            <w:tcW w:w="7371" w:type="dxa"/>
            <w:vAlign w:val="center"/>
          </w:tcPr>
          <w:p w14:paraId="23A5F325"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any key performance indicator applicable to the provision of the Deliverables under the Call-Off Contract (which, where Call-Off Schedule 14 (Key Performance Indicators) is used in this Contract, are referred to in such Schedule);</w:t>
            </w:r>
          </w:p>
        </w:tc>
      </w:tr>
      <w:tr w:rsidR="00A15725" w14:paraId="47FB611E" w14:textId="77777777">
        <w:tc>
          <w:tcPr>
            <w:tcW w:w="2694" w:type="dxa"/>
            <w:vAlign w:val="center"/>
          </w:tcPr>
          <w:p w14:paraId="775DBB8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"Labour Count"</w:t>
            </w:r>
          </w:p>
        </w:tc>
        <w:tc>
          <w:tcPr>
            <w:tcW w:w="7371" w:type="dxa"/>
            <w:vAlign w:val="center"/>
          </w:tcPr>
          <w:p w14:paraId="61EFCF95"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means the total number of Transferring Former Supplier Employees and/or Transferring Employer Employees identified in the Supplier’s solution;</w:t>
            </w:r>
          </w:p>
        </w:tc>
      </w:tr>
      <w:tr w:rsidR="00A15725" w14:paraId="34D880DA" w14:textId="77777777">
        <w:trPr>
          <w:trHeight w:val="285"/>
        </w:trPr>
        <w:tc>
          <w:tcPr>
            <w:tcW w:w="2694" w:type="dxa"/>
          </w:tcPr>
          <w:p w14:paraId="11C99B8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"Law"</w:t>
            </w:r>
          </w:p>
        </w:tc>
        <w:tc>
          <w:tcPr>
            <w:tcW w:w="7371" w:type="dxa"/>
          </w:tcPr>
          <w:p w14:paraId="7E5F9B5F"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A15725" w14:paraId="45B754B4" w14:textId="77777777">
        <w:tc>
          <w:tcPr>
            <w:tcW w:w="2694" w:type="dxa"/>
          </w:tcPr>
          <w:p w14:paraId="70D3F00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“LBAC”</w:t>
            </w:r>
          </w:p>
        </w:tc>
        <w:tc>
          <w:tcPr>
            <w:tcW w:w="7371" w:type="dxa"/>
          </w:tcPr>
          <w:p w14:paraId="0DAD2028"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sz w:val="24"/>
                <w:szCs w:val="24"/>
              </w:rPr>
            </w:pPr>
            <w:r>
              <w:rPr>
                <w:rFonts w:ascii="Arial" w:eastAsia="Arial" w:hAnsi="Arial" w:cs="Arial"/>
                <w:sz w:val="24"/>
                <w:szCs w:val="24"/>
              </w:rPr>
              <w:t>Label-based access control (LBAC) greatly increases the control you have over who can access your data. LBAC lets you decide exactly who has write access and who has read access to individual rows and individual columns;</w:t>
            </w:r>
          </w:p>
        </w:tc>
      </w:tr>
      <w:tr w:rsidR="00A15725" w14:paraId="1134ACF1" w14:textId="77777777">
        <w:tc>
          <w:tcPr>
            <w:tcW w:w="2694" w:type="dxa"/>
          </w:tcPr>
          <w:p w14:paraId="253963BF"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"Losses"</w:t>
            </w:r>
          </w:p>
        </w:tc>
        <w:tc>
          <w:tcPr>
            <w:tcW w:w="7371" w:type="dxa"/>
          </w:tcPr>
          <w:p w14:paraId="25B44E83"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A15725" w14:paraId="6F50B000" w14:textId="77777777">
        <w:tc>
          <w:tcPr>
            <w:tcW w:w="2694" w:type="dxa"/>
          </w:tcPr>
          <w:p w14:paraId="2CDB599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"Lots"</w:t>
            </w:r>
          </w:p>
        </w:tc>
        <w:tc>
          <w:tcPr>
            <w:tcW w:w="7371" w:type="dxa"/>
          </w:tcPr>
          <w:p w14:paraId="7609C17C" w14:textId="77777777" w:rsidR="00A15725" w:rsidRDefault="00955D58">
            <w:pPr>
              <w:pBdr>
                <w:top w:val="nil"/>
                <w:left w:val="nil"/>
                <w:bottom w:val="nil"/>
                <w:right w:val="nil"/>
                <w:between w:val="nil"/>
              </w:pBdr>
              <w:tabs>
                <w:tab w:val="left" w:pos="175"/>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A15725" w14:paraId="041A9A88" w14:textId="77777777">
        <w:tc>
          <w:tcPr>
            <w:tcW w:w="2694" w:type="dxa"/>
          </w:tcPr>
          <w:p w14:paraId="057CD6E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371" w:type="dxa"/>
          </w:tcPr>
          <w:p w14:paraId="214C385A"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A15725" w14:paraId="19610624" w14:textId="77777777">
        <w:tc>
          <w:tcPr>
            <w:tcW w:w="2694" w:type="dxa"/>
          </w:tcPr>
          <w:p w14:paraId="0BA711F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371" w:type="dxa"/>
          </w:tcPr>
          <w:p w14:paraId="23694AA3"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A15725" w14:paraId="0D0B1764" w14:textId="77777777">
        <w:tc>
          <w:tcPr>
            <w:tcW w:w="2694" w:type="dxa"/>
            <w:vAlign w:val="center"/>
          </w:tcPr>
          <w:p w14:paraId="3A354C0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 xml:space="preserve">“Management Overhead” </w:t>
            </w:r>
          </w:p>
        </w:tc>
        <w:tc>
          <w:tcPr>
            <w:tcW w:w="7371" w:type="dxa"/>
            <w:vAlign w:val="center"/>
          </w:tcPr>
          <w:p w14:paraId="29B25DD2" w14:textId="77777777" w:rsidR="00A15725" w:rsidRDefault="00A15725">
            <w:pPr>
              <w:pBdr>
                <w:top w:val="nil"/>
                <w:left w:val="nil"/>
                <w:bottom w:val="nil"/>
                <w:right w:val="nil"/>
                <w:between w:val="nil"/>
              </w:pBdr>
              <w:tabs>
                <w:tab w:val="left" w:pos="284"/>
              </w:tabs>
              <w:spacing w:after="120"/>
              <w:ind w:left="284" w:right="282"/>
              <w:jc w:val="both"/>
              <w:rPr>
                <w:rFonts w:ascii="Arial" w:eastAsia="Arial" w:hAnsi="Arial" w:cs="Arial"/>
                <w:sz w:val="24"/>
                <w:szCs w:val="24"/>
              </w:rPr>
            </w:pPr>
          </w:p>
          <w:p w14:paraId="3AC5FA63" w14:textId="77777777" w:rsidR="00A15725" w:rsidRDefault="00955D58">
            <w:pPr>
              <w:pBdr>
                <w:top w:val="nil"/>
                <w:left w:val="nil"/>
                <w:bottom w:val="nil"/>
                <w:right w:val="nil"/>
                <w:between w:val="nil"/>
              </w:pBdr>
              <w:tabs>
                <w:tab w:val="left" w:pos="284"/>
              </w:tabs>
              <w:spacing w:after="120"/>
              <w:ind w:left="284" w:right="282"/>
              <w:rPr>
                <w:rFonts w:ascii="Arial" w:eastAsia="Arial" w:hAnsi="Arial" w:cs="Arial"/>
                <w:color w:val="000000"/>
                <w:sz w:val="24"/>
                <w:szCs w:val="24"/>
              </w:rPr>
            </w:pPr>
            <w:r>
              <w:rPr>
                <w:rFonts w:ascii="Arial" w:eastAsia="Arial" w:hAnsi="Arial" w:cs="Arial"/>
                <w:color w:val="000000"/>
                <w:sz w:val="24"/>
                <w:szCs w:val="24"/>
              </w:rPr>
              <w:t xml:space="preserve">Management Overhead includes, but is not limited to, activities relating to supervisory/management and administration activities of the service delivery. All the requirements within </w:t>
            </w:r>
            <w:r>
              <w:rPr>
                <w:rFonts w:ascii="Arial" w:eastAsia="Arial" w:hAnsi="Arial" w:cs="Arial"/>
                <w:color w:val="000000"/>
                <w:sz w:val="24"/>
                <w:szCs w:val="24"/>
              </w:rPr>
              <w:lastRenderedPageBreak/>
              <w:t>Work Package A must also be accounted for within Management Overhead.</w:t>
            </w:r>
          </w:p>
          <w:p w14:paraId="58236B2D" w14:textId="77777777" w:rsidR="00A15725" w:rsidRDefault="00955D58">
            <w:pPr>
              <w:pBdr>
                <w:top w:val="nil"/>
                <w:left w:val="nil"/>
                <w:bottom w:val="nil"/>
                <w:right w:val="nil"/>
                <w:between w:val="nil"/>
              </w:pBdr>
              <w:tabs>
                <w:tab w:val="left" w:pos="284"/>
              </w:tabs>
              <w:spacing w:after="120"/>
              <w:ind w:left="284" w:right="282"/>
              <w:rPr>
                <w:rFonts w:ascii="Arial" w:eastAsia="Arial" w:hAnsi="Arial" w:cs="Arial"/>
                <w:color w:val="000000"/>
                <w:sz w:val="24"/>
                <w:szCs w:val="24"/>
              </w:rPr>
            </w:pPr>
            <w:r>
              <w:rPr>
                <w:rFonts w:ascii="Arial" w:eastAsia="Arial" w:hAnsi="Arial" w:cs="Arial"/>
                <w:color w:val="000000"/>
                <w:sz w:val="24"/>
                <w:szCs w:val="24"/>
              </w:rPr>
              <w:t xml:space="preserve">Management Overhead is captured at Framework level in the form of a percentage uplift, and forms part of the price evaluation. </w:t>
            </w:r>
          </w:p>
          <w:p w14:paraId="61D37490" w14:textId="77777777" w:rsidR="00A15725" w:rsidRDefault="00955D58">
            <w:pPr>
              <w:pBdr>
                <w:top w:val="nil"/>
                <w:left w:val="nil"/>
                <w:bottom w:val="nil"/>
                <w:right w:val="nil"/>
                <w:between w:val="nil"/>
              </w:pBdr>
              <w:tabs>
                <w:tab w:val="left" w:pos="284"/>
              </w:tabs>
              <w:spacing w:after="120"/>
              <w:ind w:left="284" w:right="282"/>
              <w:rPr>
                <w:rFonts w:ascii="Arial" w:eastAsia="Arial" w:hAnsi="Arial" w:cs="Arial"/>
                <w:color w:val="000000"/>
                <w:sz w:val="24"/>
                <w:szCs w:val="24"/>
              </w:rPr>
            </w:pPr>
            <w:r>
              <w:rPr>
                <w:rFonts w:ascii="Arial" w:eastAsia="Arial" w:hAnsi="Arial" w:cs="Arial"/>
                <w:color w:val="000000"/>
                <w:sz w:val="24"/>
                <w:szCs w:val="24"/>
              </w:rPr>
              <w:t>At Further Competition the Framework rates are used as maximum rates, and bidders are invited to reduce the rates for each specific Further Competition.</w:t>
            </w:r>
          </w:p>
          <w:p w14:paraId="082BA2A4" w14:textId="77777777" w:rsidR="00A15725" w:rsidRDefault="00A15725">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p>
        </w:tc>
      </w:tr>
      <w:tr w:rsidR="00A15725" w14:paraId="4B95CEB0" w14:textId="77777777">
        <w:tc>
          <w:tcPr>
            <w:tcW w:w="2694" w:type="dxa"/>
            <w:vAlign w:val="center"/>
          </w:tcPr>
          <w:p w14:paraId="7D8D187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263238"/>
                <w:sz w:val="24"/>
                <w:szCs w:val="24"/>
              </w:rPr>
              <w:lastRenderedPageBreak/>
              <w:t>“Mandatory Wage”</w:t>
            </w:r>
          </w:p>
        </w:tc>
        <w:tc>
          <w:tcPr>
            <w:tcW w:w="7371" w:type="dxa"/>
            <w:vAlign w:val="center"/>
          </w:tcPr>
          <w:p w14:paraId="28EF7AF9" w14:textId="77777777" w:rsidR="00A15725" w:rsidRDefault="00955D58">
            <w:pPr>
              <w:tabs>
                <w:tab w:val="left" w:pos="284"/>
              </w:tabs>
              <w:ind w:left="284" w:right="282"/>
              <w:rPr>
                <w:rFonts w:ascii="Arial" w:eastAsia="Arial" w:hAnsi="Arial" w:cs="Arial"/>
                <w:color w:val="263238"/>
                <w:sz w:val="24"/>
                <w:szCs w:val="24"/>
              </w:rPr>
            </w:pPr>
            <w:r>
              <w:rPr>
                <w:rFonts w:ascii="Arial" w:eastAsia="Arial" w:hAnsi="Arial" w:cs="Arial"/>
                <w:color w:val="202124"/>
                <w:sz w:val="24"/>
                <w:szCs w:val="24"/>
              </w:rPr>
              <w:t xml:space="preserve"> Means either: </w:t>
            </w:r>
          </w:p>
          <w:p w14:paraId="064D66B8" w14:textId="77777777" w:rsidR="00A15725" w:rsidRDefault="00955D58">
            <w:pPr>
              <w:tabs>
                <w:tab w:val="left" w:pos="284"/>
              </w:tabs>
              <w:ind w:left="1133" w:right="282" w:hanging="850"/>
              <w:rPr>
                <w:rFonts w:ascii="Arial" w:eastAsia="Arial" w:hAnsi="Arial" w:cs="Arial"/>
                <w:sz w:val="24"/>
                <w:szCs w:val="24"/>
              </w:rPr>
            </w:pPr>
            <w:r>
              <w:rPr>
                <w:rFonts w:ascii="Arial" w:eastAsia="Arial" w:hAnsi="Arial" w:cs="Arial"/>
                <w:sz w:val="24"/>
                <w:szCs w:val="24"/>
              </w:rPr>
              <w:t>a)          the statutory minimum hourly rate of pay including the National Living Wage and National Minimum Wage as set by the Crown; or</w:t>
            </w:r>
          </w:p>
          <w:p w14:paraId="626A6686" w14:textId="77777777" w:rsidR="00A15725" w:rsidRDefault="00955D58">
            <w:pPr>
              <w:tabs>
                <w:tab w:val="left" w:pos="284"/>
              </w:tabs>
              <w:ind w:left="1133" w:right="282" w:hanging="850"/>
              <w:rPr>
                <w:rFonts w:ascii="Arial" w:eastAsia="Arial" w:hAnsi="Arial" w:cs="Arial"/>
                <w:color w:val="263238"/>
                <w:sz w:val="24"/>
                <w:szCs w:val="24"/>
              </w:rPr>
            </w:pPr>
            <w:r>
              <w:rPr>
                <w:rFonts w:ascii="Arial" w:eastAsia="Arial" w:hAnsi="Arial" w:cs="Arial"/>
                <w:sz w:val="24"/>
                <w:szCs w:val="24"/>
              </w:rPr>
              <w:t>b)          in the case of a Call-off Contract the introduction of a requirement by the Buyer that the Supplier pay Supplier Personnel a non-statutory minimum hourly rate of pay.</w:t>
            </w:r>
          </w:p>
          <w:p w14:paraId="26EC2009" w14:textId="77777777" w:rsidR="00A15725" w:rsidRDefault="00A15725">
            <w:pPr>
              <w:tabs>
                <w:tab w:val="left" w:pos="284"/>
              </w:tabs>
              <w:ind w:left="1133" w:right="282" w:hanging="850"/>
              <w:rPr>
                <w:rFonts w:ascii="Arial" w:eastAsia="Arial" w:hAnsi="Arial" w:cs="Arial"/>
                <w:color w:val="263238"/>
                <w:sz w:val="24"/>
                <w:szCs w:val="24"/>
              </w:rPr>
            </w:pPr>
          </w:p>
        </w:tc>
      </w:tr>
      <w:tr w:rsidR="00A15725" w14:paraId="6A85BF2E" w14:textId="77777777">
        <w:tc>
          <w:tcPr>
            <w:tcW w:w="2694" w:type="dxa"/>
          </w:tcPr>
          <w:p w14:paraId="4D27127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“MI Default”</w:t>
            </w:r>
          </w:p>
        </w:tc>
        <w:tc>
          <w:tcPr>
            <w:tcW w:w="7371" w:type="dxa"/>
          </w:tcPr>
          <w:p w14:paraId="6EFC924E" w14:textId="77777777" w:rsidR="00A15725" w:rsidRDefault="00955D58">
            <w:pPr>
              <w:pBdr>
                <w:top w:val="nil"/>
                <w:left w:val="nil"/>
                <w:bottom w:val="nil"/>
                <w:right w:val="nil"/>
                <w:between w:val="nil"/>
              </w:pBdr>
              <w:tabs>
                <w:tab w:val="left" w:pos="175"/>
                <w:tab w:val="left" w:pos="284"/>
              </w:tabs>
              <w:spacing w:after="120"/>
              <w:ind w:left="284" w:right="282"/>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A15725" w14:paraId="33912C35" w14:textId="77777777">
        <w:tc>
          <w:tcPr>
            <w:tcW w:w="2694" w:type="dxa"/>
          </w:tcPr>
          <w:p w14:paraId="280449D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"MI Failure"</w:t>
            </w:r>
          </w:p>
        </w:tc>
        <w:tc>
          <w:tcPr>
            <w:tcW w:w="7371" w:type="dxa"/>
          </w:tcPr>
          <w:p w14:paraId="47926A51" w14:textId="77777777" w:rsidR="00A15725" w:rsidRDefault="00955D58">
            <w:pPr>
              <w:pBdr>
                <w:top w:val="nil"/>
                <w:left w:val="nil"/>
                <w:bottom w:val="nil"/>
                <w:right w:val="nil"/>
                <w:between w:val="nil"/>
              </w:pBdr>
              <w:tabs>
                <w:tab w:val="left" w:pos="175"/>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570586C2" w14:textId="77777777" w:rsidR="00A15725" w:rsidRDefault="00955D58">
            <w:pPr>
              <w:numPr>
                <w:ilvl w:val="1"/>
                <w:numId w:val="22"/>
              </w:numPr>
              <w:pBdr>
                <w:top w:val="nil"/>
                <w:left w:val="nil"/>
                <w:bottom w:val="nil"/>
                <w:right w:val="nil"/>
                <w:between w:val="nil"/>
              </w:pBdr>
              <w:tabs>
                <w:tab w:val="left" w:pos="-576"/>
                <w:tab w:val="left" w:pos="175"/>
                <w:tab w:val="left" w:pos="284"/>
              </w:tabs>
              <w:spacing w:after="120"/>
              <w:ind w:left="1133" w:right="282" w:hanging="850"/>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14:paraId="0A0F9872" w14:textId="77777777" w:rsidR="00A15725" w:rsidRDefault="00955D58">
            <w:pPr>
              <w:numPr>
                <w:ilvl w:val="1"/>
                <w:numId w:val="22"/>
              </w:numPr>
              <w:pBdr>
                <w:top w:val="nil"/>
                <w:left w:val="nil"/>
                <w:bottom w:val="nil"/>
                <w:right w:val="nil"/>
                <w:between w:val="nil"/>
              </w:pBdr>
              <w:tabs>
                <w:tab w:val="left" w:pos="-576"/>
                <w:tab w:val="left" w:pos="175"/>
                <w:tab w:val="left" w:pos="284"/>
              </w:tabs>
              <w:spacing w:after="120"/>
              <w:ind w:left="1133" w:right="282" w:hanging="850"/>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13580A55" w14:textId="77777777" w:rsidR="00A15725" w:rsidRDefault="00955D58">
            <w:pPr>
              <w:numPr>
                <w:ilvl w:val="1"/>
                <w:numId w:val="22"/>
              </w:numPr>
              <w:pBdr>
                <w:top w:val="nil"/>
                <w:left w:val="nil"/>
                <w:bottom w:val="nil"/>
                <w:right w:val="nil"/>
                <w:between w:val="nil"/>
              </w:pBdr>
              <w:tabs>
                <w:tab w:val="left" w:pos="-576"/>
                <w:tab w:val="left" w:pos="175"/>
                <w:tab w:val="left" w:pos="284"/>
              </w:tabs>
              <w:spacing w:after="120"/>
              <w:ind w:left="1133" w:right="282" w:hanging="850"/>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A15725" w14:paraId="0532C556" w14:textId="77777777">
        <w:tc>
          <w:tcPr>
            <w:tcW w:w="2694" w:type="dxa"/>
          </w:tcPr>
          <w:p w14:paraId="6359B21C"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"MI Report"</w:t>
            </w:r>
          </w:p>
        </w:tc>
        <w:tc>
          <w:tcPr>
            <w:tcW w:w="7371" w:type="dxa"/>
          </w:tcPr>
          <w:p w14:paraId="0312D99B" w14:textId="77777777" w:rsidR="00A15725" w:rsidRDefault="00955D58">
            <w:pPr>
              <w:pBdr>
                <w:top w:val="nil"/>
                <w:left w:val="nil"/>
                <w:bottom w:val="nil"/>
                <w:right w:val="nil"/>
                <w:between w:val="nil"/>
              </w:pBdr>
              <w:tabs>
                <w:tab w:val="left" w:pos="175"/>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A15725" w14:paraId="0397D4BD" w14:textId="77777777">
        <w:tc>
          <w:tcPr>
            <w:tcW w:w="2694" w:type="dxa"/>
          </w:tcPr>
          <w:p w14:paraId="07C9264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371" w:type="dxa"/>
          </w:tcPr>
          <w:p w14:paraId="4ACF08F7" w14:textId="77777777" w:rsidR="00A15725" w:rsidRDefault="00955D58">
            <w:pPr>
              <w:pBdr>
                <w:top w:val="nil"/>
                <w:left w:val="nil"/>
                <w:bottom w:val="nil"/>
                <w:right w:val="nil"/>
                <w:between w:val="nil"/>
              </w:pBdr>
              <w:tabs>
                <w:tab w:val="left" w:pos="175"/>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A15725" w14:paraId="4310DBDF" w14:textId="77777777">
        <w:tc>
          <w:tcPr>
            <w:tcW w:w="2694" w:type="dxa"/>
          </w:tcPr>
          <w:p w14:paraId="72C8FD8C"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"Milestone"</w:t>
            </w:r>
          </w:p>
        </w:tc>
        <w:tc>
          <w:tcPr>
            <w:tcW w:w="7371" w:type="dxa"/>
          </w:tcPr>
          <w:p w14:paraId="23B3C81E"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 event or task described in the Mobilisation Plan;</w:t>
            </w:r>
          </w:p>
        </w:tc>
      </w:tr>
      <w:tr w:rsidR="00A15725" w14:paraId="0F32C39C" w14:textId="77777777">
        <w:tc>
          <w:tcPr>
            <w:tcW w:w="2694" w:type="dxa"/>
          </w:tcPr>
          <w:p w14:paraId="78CFE3F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"Milestone Date"</w:t>
            </w:r>
          </w:p>
        </w:tc>
        <w:tc>
          <w:tcPr>
            <w:tcW w:w="7371" w:type="dxa"/>
          </w:tcPr>
          <w:p w14:paraId="5A692810"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Mobilisation Plan by which the Milestone must be Achieved;</w:t>
            </w:r>
          </w:p>
        </w:tc>
      </w:tr>
      <w:tr w:rsidR="00A15725" w14:paraId="7EB1AEE9" w14:textId="77777777">
        <w:tc>
          <w:tcPr>
            <w:tcW w:w="2694" w:type="dxa"/>
            <w:vAlign w:val="center"/>
          </w:tcPr>
          <w:p w14:paraId="2986EA5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“Mobilisation Period”</w:t>
            </w:r>
          </w:p>
        </w:tc>
        <w:tc>
          <w:tcPr>
            <w:tcW w:w="7371" w:type="dxa"/>
            <w:vAlign w:val="center"/>
          </w:tcPr>
          <w:p w14:paraId="37D843E6"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is a [six (6) Month] period, following the Effective Date, prior to commencement of the Services (unless stated otherwise in the Order Form)</w:t>
            </w:r>
          </w:p>
        </w:tc>
      </w:tr>
      <w:tr w:rsidR="00A15725" w14:paraId="41658F16" w14:textId="77777777">
        <w:tc>
          <w:tcPr>
            <w:tcW w:w="2694" w:type="dxa"/>
            <w:vAlign w:val="center"/>
          </w:tcPr>
          <w:p w14:paraId="0190111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"Mobilisation Plan"</w:t>
            </w:r>
          </w:p>
        </w:tc>
        <w:tc>
          <w:tcPr>
            <w:tcW w:w="7371" w:type="dxa"/>
            <w:vAlign w:val="center"/>
          </w:tcPr>
          <w:p w14:paraId="0EED51BE"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the plan for provision of the Deliverables set out in Call-Off Schedule 13 (Mobilisation Plan and Testing) where that Schedule is used or otherwise as agreed between the Supplier and the Buyer;</w:t>
            </w:r>
          </w:p>
        </w:tc>
      </w:tr>
      <w:tr w:rsidR="00A15725" w14:paraId="565F9D37" w14:textId="77777777">
        <w:tc>
          <w:tcPr>
            <w:tcW w:w="2694" w:type="dxa"/>
          </w:tcPr>
          <w:p w14:paraId="702F12A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"Month"</w:t>
            </w:r>
          </w:p>
        </w:tc>
        <w:tc>
          <w:tcPr>
            <w:tcW w:w="7371" w:type="dxa"/>
          </w:tcPr>
          <w:p w14:paraId="58EB4FC2"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A15725" w14:paraId="79ECDA80" w14:textId="77777777">
        <w:tc>
          <w:tcPr>
            <w:tcW w:w="2694" w:type="dxa"/>
            <w:vAlign w:val="center"/>
          </w:tcPr>
          <w:p w14:paraId="2D1F3BB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"Monthly TUPE Risk Premium"</w:t>
            </w:r>
          </w:p>
        </w:tc>
        <w:tc>
          <w:tcPr>
            <w:tcW w:w="7371" w:type="dxa"/>
            <w:vAlign w:val="center"/>
          </w:tcPr>
          <w:p w14:paraId="2242DB89"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 xml:space="preserve">is the monthly TUPE risk premium payable for the Previous Service Month calculated in accordance with Call-Off Schedule 286 (TUPE Surcharge); </w:t>
            </w:r>
          </w:p>
        </w:tc>
      </w:tr>
      <w:tr w:rsidR="00A15725" w14:paraId="276E42B4" w14:textId="77777777">
        <w:tc>
          <w:tcPr>
            <w:tcW w:w="2694" w:type="dxa"/>
          </w:tcPr>
          <w:p w14:paraId="0E87688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371" w:type="dxa"/>
          </w:tcPr>
          <w:p w14:paraId="7BC09DAF"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A15725" w14:paraId="76C58510" w14:textId="77777777">
        <w:tc>
          <w:tcPr>
            <w:tcW w:w="2694" w:type="dxa"/>
          </w:tcPr>
          <w:p w14:paraId="4C01BE3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“NCSC”</w:t>
            </w:r>
          </w:p>
        </w:tc>
        <w:tc>
          <w:tcPr>
            <w:tcW w:w="7371" w:type="dxa"/>
          </w:tcPr>
          <w:p w14:paraId="79EC3BF8" w14:textId="77777777" w:rsidR="00A15725" w:rsidRDefault="00955D58">
            <w:pPr>
              <w:tabs>
                <w:tab w:val="left" w:pos="284"/>
              </w:tabs>
              <w:spacing w:line="276" w:lineRule="auto"/>
              <w:ind w:left="284" w:right="282"/>
              <w:rPr>
                <w:rFonts w:ascii="Arial" w:eastAsia="Arial" w:hAnsi="Arial" w:cs="Arial"/>
                <w:sz w:val="24"/>
                <w:szCs w:val="24"/>
              </w:rPr>
            </w:pPr>
            <w:r>
              <w:rPr>
                <w:rFonts w:ascii="Arial" w:eastAsia="Arial" w:hAnsi="Arial" w:cs="Arial"/>
                <w:sz w:val="24"/>
                <w:szCs w:val="24"/>
              </w:rPr>
              <w:t>National Cyber Security Centre</w:t>
            </w:r>
          </w:p>
        </w:tc>
      </w:tr>
      <w:tr w:rsidR="00A15725" w14:paraId="1A994733" w14:textId="77777777">
        <w:tc>
          <w:tcPr>
            <w:tcW w:w="2694" w:type="dxa"/>
          </w:tcPr>
          <w:p w14:paraId="128EAD4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"New IPR"</w:t>
            </w:r>
          </w:p>
        </w:tc>
        <w:tc>
          <w:tcPr>
            <w:tcW w:w="7371" w:type="dxa"/>
          </w:tcPr>
          <w:p w14:paraId="069A3704" w14:textId="77777777" w:rsidR="00A15725" w:rsidRDefault="00955D58">
            <w:pPr>
              <w:numPr>
                <w:ilvl w:val="1"/>
                <w:numId w:val="29"/>
              </w:numPr>
              <w:pBdr>
                <w:top w:val="nil"/>
                <w:left w:val="nil"/>
                <w:bottom w:val="nil"/>
                <w:right w:val="nil"/>
                <w:between w:val="nil"/>
              </w:pBdr>
              <w:tabs>
                <w:tab w:val="left" w:pos="-576"/>
                <w:tab w:val="left" w:pos="144"/>
              </w:tabs>
              <w:spacing w:after="120"/>
              <w:ind w:left="1133" w:right="282" w:hanging="850"/>
              <w:jc w:val="both"/>
              <w:rPr>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653D4D19" w14:textId="77777777" w:rsidR="00A15725" w:rsidRDefault="00955D58">
            <w:pPr>
              <w:numPr>
                <w:ilvl w:val="1"/>
                <w:numId w:val="29"/>
              </w:numPr>
              <w:pBdr>
                <w:top w:val="nil"/>
                <w:left w:val="nil"/>
                <w:bottom w:val="nil"/>
                <w:right w:val="nil"/>
                <w:between w:val="nil"/>
              </w:pBdr>
              <w:tabs>
                <w:tab w:val="left" w:pos="-576"/>
                <w:tab w:val="left" w:pos="144"/>
                <w:tab w:val="left" w:pos="284"/>
              </w:tabs>
              <w:spacing w:after="120"/>
              <w:ind w:left="1133" w:right="282" w:hanging="850"/>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7BC39E35"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A15725" w14:paraId="49CB30AB" w14:textId="77777777">
        <w:tc>
          <w:tcPr>
            <w:tcW w:w="2694" w:type="dxa"/>
          </w:tcPr>
          <w:p w14:paraId="054D3165" w14:textId="77777777" w:rsidR="00A15725" w:rsidRDefault="00955D58">
            <w:pPr>
              <w:spacing w:after="120"/>
              <w:rPr>
                <w:rFonts w:ascii="Arial" w:eastAsia="Arial" w:hAnsi="Arial" w:cs="Arial"/>
                <w:b/>
                <w:color w:val="000000"/>
                <w:sz w:val="24"/>
                <w:szCs w:val="24"/>
              </w:rPr>
            </w:pPr>
            <w:r>
              <w:rPr>
                <w:rFonts w:ascii="Arial" w:eastAsia="Arial" w:hAnsi="Arial" w:cs="Arial"/>
                <w:b/>
                <w:sz w:val="24"/>
                <w:szCs w:val="24"/>
              </w:rPr>
              <w:t>"New Service"</w:t>
            </w:r>
          </w:p>
        </w:tc>
        <w:tc>
          <w:tcPr>
            <w:tcW w:w="7371" w:type="dxa"/>
          </w:tcPr>
          <w:p w14:paraId="7D6C9633" w14:textId="77777777" w:rsidR="00A15725" w:rsidRDefault="00955D58">
            <w:pPr>
              <w:tabs>
                <w:tab w:val="left" w:pos="284"/>
              </w:tabs>
              <w:spacing w:line="276" w:lineRule="auto"/>
              <w:ind w:left="284" w:right="282"/>
              <w:rPr>
                <w:rFonts w:ascii="Arial" w:eastAsia="Arial" w:hAnsi="Arial" w:cs="Arial"/>
                <w:color w:val="000000"/>
                <w:sz w:val="24"/>
                <w:szCs w:val="24"/>
              </w:rPr>
            </w:pPr>
            <w:r>
              <w:rPr>
                <w:rFonts w:ascii="Arial" w:eastAsia="Arial" w:hAnsi="Arial" w:cs="Arial"/>
                <w:sz w:val="24"/>
                <w:szCs w:val="24"/>
              </w:rPr>
              <w:t>a service that prior to engagement does not exist in its required form;</w:t>
            </w:r>
          </w:p>
        </w:tc>
      </w:tr>
      <w:tr w:rsidR="00A15725" w14:paraId="3220B0DC" w14:textId="77777777">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6D9A1" w14:textId="77777777" w:rsidR="00A15725" w:rsidRDefault="00955D58">
            <w:pPr>
              <w:tabs>
                <w:tab w:val="left" w:pos="284"/>
              </w:tabs>
              <w:spacing w:after="120" w:line="276" w:lineRule="auto"/>
              <w:ind w:left="-100"/>
              <w:rPr>
                <w:rFonts w:ascii="Arial" w:eastAsia="Arial" w:hAnsi="Arial" w:cs="Arial"/>
                <w:b/>
                <w:sz w:val="24"/>
                <w:szCs w:val="24"/>
              </w:rPr>
            </w:pPr>
            <w:r>
              <w:rPr>
                <w:rFonts w:ascii="Arial" w:eastAsia="Arial" w:hAnsi="Arial" w:cs="Arial"/>
                <w:b/>
                <w:sz w:val="24"/>
                <w:szCs w:val="24"/>
              </w:rPr>
              <w:t>“Non-Core Terms Call Off Contract”</w:t>
            </w:r>
          </w:p>
        </w:tc>
        <w:tc>
          <w:tcPr>
            <w:tcW w:w="73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A7B03B" w14:textId="77777777" w:rsidR="00A15725" w:rsidRDefault="00955D58">
            <w:pPr>
              <w:tabs>
                <w:tab w:val="left" w:pos="284"/>
              </w:tabs>
              <w:spacing w:after="120" w:line="276" w:lineRule="auto"/>
              <w:jc w:val="both"/>
              <w:rPr>
                <w:rFonts w:ascii="Arial" w:eastAsia="Arial" w:hAnsi="Arial" w:cs="Arial"/>
                <w:sz w:val="24"/>
                <w:szCs w:val="24"/>
              </w:rPr>
            </w:pPr>
            <w:r>
              <w:rPr>
                <w:rFonts w:ascii="Arial" w:eastAsia="Arial" w:hAnsi="Arial" w:cs="Arial"/>
                <w:sz w:val="24"/>
                <w:szCs w:val="24"/>
              </w:rPr>
              <w:t>any Call Off Contract which is not a Core Terms Call Off Contract;</w:t>
            </w:r>
          </w:p>
        </w:tc>
      </w:tr>
      <w:tr w:rsidR="00A15725" w14:paraId="59362241" w14:textId="77777777">
        <w:tc>
          <w:tcPr>
            <w:tcW w:w="2694" w:type="dxa"/>
          </w:tcPr>
          <w:p w14:paraId="2B2DB14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371" w:type="dxa"/>
          </w:tcPr>
          <w:p w14:paraId="12F6C3F7"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1FC8A609" w14:textId="77777777" w:rsidR="00A15725" w:rsidRDefault="00955D58">
            <w:pPr>
              <w:numPr>
                <w:ilvl w:val="1"/>
                <w:numId w:val="20"/>
              </w:numPr>
              <w:pBdr>
                <w:top w:val="nil"/>
                <w:left w:val="nil"/>
                <w:bottom w:val="nil"/>
                <w:right w:val="nil"/>
                <w:between w:val="nil"/>
              </w:pBdr>
              <w:tabs>
                <w:tab w:val="left" w:pos="-576"/>
                <w:tab w:val="left" w:pos="144"/>
                <w:tab w:val="left" w:pos="1125"/>
              </w:tabs>
              <w:spacing w:after="120"/>
              <w:ind w:left="1133" w:right="282" w:hanging="850"/>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6F966FCC" w14:textId="77777777" w:rsidR="00A15725" w:rsidRDefault="00955D58">
            <w:pPr>
              <w:numPr>
                <w:ilvl w:val="2"/>
                <w:numId w:val="20"/>
              </w:numPr>
              <w:pBdr>
                <w:top w:val="nil"/>
                <w:left w:val="nil"/>
                <w:bottom w:val="nil"/>
                <w:right w:val="nil"/>
                <w:between w:val="nil"/>
              </w:pBdr>
              <w:tabs>
                <w:tab w:val="left" w:pos="-576"/>
                <w:tab w:val="left" w:pos="144"/>
                <w:tab w:val="left" w:pos="284"/>
              </w:tabs>
              <w:spacing w:after="120"/>
              <w:ind w:left="1417" w:right="282" w:hanging="708"/>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794BDEB7" w14:textId="77777777" w:rsidR="00A15725" w:rsidRDefault="00955D58">
            <w:pPr>
              <w:numPr>
                <w:ilvl w:val="2"/>
                <w:numId w:val="20"/>
              </w:numPr>
              <w:pBdr>
                <w:top w:val="nil"/>
                <w:left w:val="nil"/>
                <w:bottom w:val="nil"/>
                <w:right w:val="nil"/>
                <w:between w:val="nil"/>
              </w:pBdr>
              <w:tabs>
                <w:tab w:val="left" w:pos="-576"/>
                <w:tab w:val="left" w:pos="144"/>
                <w:tab w:val="left" w:pos="284"/>
              </w:tabs>
              <w:spacing w:after="120"/>
              <w:ind w:left="1417" w:right="282" w:hanging="708"/>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6EAC0B30" w14:textId="77777777" w:rsidR="00A15725" w:rsidRDefault="00955D58">
            <w:pPr>
              <w:numPr>
                <w:ilvl w:val="1"/>
                <w:numId w:val="20"/>
              </w:numPr>
              <w:pBdr>
                <w:top w:val="nil"/>
                <w:left w:val="nil"/>
                <w:bottom w:val="nil"/>
                <w:right w:val="nil"/>
                <w:between w:val="nil"/>
              </w:pBdr>
              <w:tabs>
                <w:tab w:val="left" w:pos="-576"/>
                <w:tab w:val="left" w:pos="144"/>
                <w:tab w:val="left" w:pos="270"/>
              </w:tabs>
              <w:spacing w:after="120"/>
              <w:ind w:left="1133" w:right="282" w:hanging="855"/>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A15725" w14:paraId="267291C4" w14:textId="77777777">
        <w:tc>
          <w:tcPr>
            <w:tcW w:w="2694" w:type="dxa"/>
          </w:tcPr>
          <w:p w14:paraId="0CCCEE2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lastRenderedPageBreak/>
              <w:t>“Off-Shore”</w:t>
            </w:r>
          </w:p>
        </w:tc>
        <w:tc>
          <w:tcPr>
            <w:tcW w:w="7371" w:type="dxa"/>
          </w:tcPr>
          <w:p w14:paraId="2CD94681"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Services delivered from outside the United Kingdom</w:t>
            </w:r>
          </w:p>
        </w:tc>
      </w:tr>
      <w:tr w:rsidR="00A15725" w14:paraId="29B7D5C7" w14:textId="77777777">
        <w:tc>
          <w:tcPr>
            <w:tcW w:w="2694" w:type="dxa"/>
          </w:tcPr>
          <w:p w14:paraId="144EC9F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“OLA”</w:t>
            </w:r>
          </w:p>
        </w:tc>
        <w:tc>
          <w:tcPr>
            <w:tcW w:w="7371" w:type="dxa"/>
          </w:tcPr>
          <w:p w14:paraId="2DA6162B"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sz w:val="24"/>
                <w:szCs w:val="24"/>
              </w:rPr>
            </w:pPr>
            <w:r>
              <w:rPr>
                <w:rFonts w:ascii="Arial" w:eastAsia="Arial" w:hAnsi="Arial" w:cs="Arial"/>
                <w:sz w:val="24"/>
                <w:szCs w:val="24"/>
              </w:rPr>
              <w:t>an operational-level agreement (OLA) defines the interdependent relationships in support of a service-level agreement (SLA);</w:t>
            </w:r>
          </w:p>
          <w:p w14:paraId="57AD2D83" w14:textId="77777777" w:rsidR="00A15725" w:rsidRDefault="00A15725">
            <w:pPr>
              <w:pBdr>
                <w:top w:val="nil"/>
                <w:left w:val="nil"/>
                <w:bottom w:val="nil"/>
                <w:right w:val="nil"/>
                <w:between w:val="nil"/>
              </w:pBdr>
              <w:tabs>
                <w:tab w:val="left" w:pos="284"/>
              </w:tabs>
              <w:spacing w:after="120"/>
              <w:ind w:left="284" w:right="282"/>
              <w:jc w:val="both"/>
              <w:rPr>
                <w:rFonts w:ascii="Arial" w:eastAsia="Arial" w:hAnsi="Arial" w:cs="Arial"/>
                <w:sz w:val="24"/>
                <w:szCs w:val="24"/>
              </w:rPr>
            </w:pPr>
          </w:p>
        </w:tc>
      </w:tr>
      <w:tr w:rsidR="00A15725" w14:paraId="3EC1F566" w14:textId="77777777">
        <w:tc>
          <w:tcPr>
            <w:tcW w:w="2694" w:type="dxa"/>
          </w:tcPr>
          <w:p w14:paraId="0C910F4F"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“On-Shore”</w:t>
            </w:r>
          </w:p>
        </w:tc>
        <w:tc>
          <w:tcPr>
            <w:tcW w:w="7371" w:type="dxa"/>
          </w:tcPr>
          <w:p w14:paraId="3404FF46"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sz w:val="24"/>
                <w:szCs w:val="24"/>
              </w:rPr>
            </w:pPr>
            <w:r>
              <w:rPr>
                <w:rFonts w:ascii="Arial" w:eastAsia="Arial" w:hAnsi="Arial" w:cs="Arial"/>
                <w:sz w:val="24"/>
                <w:szCs w:val="24"/>
              </w:rPr>
              <w:t>Services delivered from within the United Kingdom</w:t>
            </w:r>
          </w:p>
        </w:tc>
      </w:tr>
      <w:tr w:rsidR="00A15725" w14:paraId="43CC90CD" w14:textId="77777777">
        <w:tc>
          <w:tcPr>
            <w:tcW w:w="2694" w:type="dxa"/>
          </w:tcPr>
          <w:p w14:paraId="31F0232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"Open Book Data "</w:t>
            </w:r>
          </w:p>
        </w:tc>
        <w:tc>
          <w:tcPr>
            <w:tcW w:w="7371" w:type="dxa"/>
          </w:tcPr>
          <w:p w14:paraId="64811B28"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47FBA9C5" w14:textId="77777777" w:rsidR="00A15725" w:rsidRDefault="00955D58">
            <w:pPr>
              <w:numPr>
                <w:ilvl w:val="1"/>
                <w:numId w:val="31"/>
              </w:numPr>
              <w:pBdr>
                <w:top w:val="nil"/>
                <w:left w:val="nil"/>
                <w:bottom w:val="nil"/>
                <w:right w:val="nil"/>
                <w:between w:val="nil"/>
              </w:pBdr>
              <w:tabs>
                <w:tab w:val="left" w:pos="-576"/>
                <w:tab w:val="left" w:pos="144"/>
                <w:tab w:val="left" w:pos="284"/>
              </w:tabs>
              <w:spacing w:after="120"/>
              <w:ind w:left="1133" w:right="282" w:hanging="850"/>
              <w:jc w:val="both"/>
              <w:rPr>
                <w:rFonts w:ascii="Arial" w:eastAsia="Arial" w:hAnsi="Arial" w:cs="Arial"/>
                <w:color w:val="000000"/>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1CACB50C" w14:textId="77777777" w:rsidR="00A15725" w:rsidRDefault="00955D58">
            <w:pPr>
              <w:numPr>
                <w:ilvl w:val="1"/>
                <w:numId w:val="31"/>
              </w:numPr>
              <w:pBdr>
                <w:top w:val="nil"/>
                <w:left w:val="nil"/>
                <w:bottom w:val="nil"/>
                <w:right w:val="nil"/>
                <w:between w:val="nil"/>
              </w:pBdr>
              <w:tabs>
                <w:tab w:val="left" w:pos="-576"/>
                <w:tab w:val="left" w:pos="144"/>
              </w:tabs>
              <w:spacing w:after="120"/>
              <w:ind w:left="1133" w:right="282" w:hanging="850"/>
              <w:jc w:val="both"/>
            </w:pPr>
            <w:r>
              <w:rPr>
                <w:rFonts w:ascii="Arial" w:eastAsia="Arial" w:hAnsi="Arial" w:cs="Arial"/>
                <w:color w:val="000000"/>
                <w:sz w:val="24"/>
                <w:szCs w:val="24"/>
              </w:rPr>
              <w:t>operating expenditure relating to the provision of the Deliverables including an analysis showing:</w:t>
            </w:r>
          </w:p>
          <w:p w14:paraId="28AA55F7" w14:textId="77777777" w:rsidR="00A15725" w:rsidRDefault="00955D58">
            <w:pPr>
              <w:numPr>
                <w:ilvl w:val="2"/>
                <w:numId w:val="31"/>
              </w:numPr>
              <w:pBdr>
                <w:top w:val="nil"/>
                <w:left w:val="nil"/>
                <w:bottom w:val="nil"/>
                <w:right w:val="nil"/>
                <w:between w:val="nil"/>
              </w:pBdr>
              <w:tabs>
                <w:tab w:val="left" w:pos="-576"/>
                <w:tab w:val="left" w:pos="144"/>
              </w:tabs>
              <w:spacing w:after="120"/>
              <w:ind w:left="1417" w:right="282" w:hanging="708"/>
              <w:jc w:val="both"/>
            </w:pPr>
            <w:r>
              <w:rPr>
                <w:rFonts w:ascii="Arial" w:eastAsia="Arial" w:hAnsi="Arial" w:cs="Arial"/>
                <w:color w:val="000000"/>
                <w:sz w:val="24"/>
                <w:szCs w:val="24"/>
              </w:rPr>
              <w:t>the unit costs and quantity of Goods and any other consumables and bought-in Deliverables;</w:t>
            </w:r>
          </w:p>
          <w:p w14:paraId="29B0BEF2" w14:textId="77777777" w:rsidR="00A15725" w:rsidRDefault="00955D58">
            <w:pPr>
              <w:numPr>
                <w:ilvl w:val="2"/>
                <w:numId w:val="31"/>
              </w:numPr>
              <w:pBdr>
                <w:top w:val="nil"/>
                <w:left w:val="nil"/>
                <w:bottom w:val="nil"/>
                <w:right w:val="nil"/>
                <w:between w:val="nil"/>
              </w:pBdr>
              <w:tabs>
                <w:tab w:val="left" w:pos="-576"/>
                <w:tab w:val="left" w:pos="144"/>
              </w:tabs>
              <w:spacing w:after="120"/>
              <w:ind w:left="1417" w:right="282" w:hanging="708"/>
              <w:jc w:val="both"/>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7C9A1810" w14:textId="77777777" w:rsidR="00A15725" w:rsidRDefault="00955D58">
            <w:pPr>
              <w:numPr>
                <w:ilvl w:val="2"/>
                <w:numId w:val="31"/>
              </w:numPr>
              <w:pBdr>
                <w:top w:val="nil"/>
                <w:left w:val="nil"/>
                <w:bottom w:val="nil"/>
                <w:right w:val="nil"/>
                <w:between w:val="nil"/>
              </w:pBdr>
              <w:tabs>
                <w:tab w:val="left" w:pos="-576"/>
                <w:tab w:val="left" w:pos="144"/>
              </w:tabs>
              <w:spacing w:after="120"/>
              <w:ind w:left="1417" w:right="282" w:hanging="708"/>
              <w:jc w:val="both"/>
            </w:pPr>
            <w:r>
              <w:rPr>
                <w:rFonts w:ascii="Arial" w:eastAsia="Arial" w:hAnsi="Arial" w:cs="Arial"/>
                <w:color w:val="000000"/>
                <w:sz w:val="24"/>
                <w:szCs w:val="24"/>
              </w:rPr>
              <w:t>a list of Costs underpinning those rates for each grade, being the agreed rate less the Supplier Profit Margin; and</w:t>
            </w:r>
          </w:p>
          <w:p w14:paraId="3E9A08F6" w14:textId="77777777" w:rsidR="00A15725" w:rsidRDefault="00955D58">
            <w:pPr>
              <w:numPr>
                <w:ilvl w:val="2"/>
                <w:numId w:val="31"/>
              </w:numPr>
              <w:pBdr>
                <w:top w:val="nil"/>
                <w:left w:val="nil"/>
                <w:bottom w:val="nil"/>
                <w:right w:val="nil"/>
                <w:between w:val="nil"/>
              </w:pBdr>
              <w:tabs>
                <w:tab w:val="left" w:pos="-576"/>
                <w:tab w:val="left" w:pos="144"/>
              </w:tabs>
              <w:spacing w:after="120"/>
              <w:ind w:left="1417" w:right="282" w:hanging="708"/>
              <w:jc w:val="both"/>
            </w:pPr>
            <w:r>
              <w:rPr>
                <w:rFonts w:ascii="Arial" w:eastAsia="Arial" w:hAnsi="Arial" w:cs="Arial"/>
                <w:color w:val="000000"/>
                <w:sz w:val="24"/>
                <w:szCs w:val="24"/>
              </w:rPr>
              <w:t xml:space="preserve">Reimbursable Expenses, if allowed under the Order Form; </w:t>
            </w:r>
          </w:p>
          <w:p w14:paraId="3656959E" w14:textId="77777777" w:rsidR="00A15725" w:rsidRDefault="00955D58">
            <w:pPr>
              <w:numPr>
                <w:ilvl w:val="1"/>
                <w:numId w:val="31"/>
              </w:numPr>
              <w:pBdr>
                <w:top w:val="nil"/>
                <w:left w:val="nil"/>
                <w:bottom w:val="nil"/>
                <w:right w:val="nil"/>
                <w:between w:val="nil"/>
              </w:pBdr>
              <w:tabs>
                <w:tab w:val="left" w:pos="-576"/>
                <w:tab w:val="left" w:pos="144"/>
              </w:tabs>
              <w:spacing w:after="120"/>
              <w:ind w:left="1133" w:right="282" w:hanging="850"/>
              <w:jc w:val="both"/>
            </w:pPr>
            <w:r>
              <w:rPr>
                <w:rFonts w:ascii="Arial" w:eastAsia="Arial" w:hAnsi="Arial" w:cs="Arial"/>
                <w:color w:val="000000"/>
                <w:sz w:val="24"/>
                <w:szCs w:val="24"/>
              </w:rPr>
              <w:t xml:space="preserve">Overheads; </w:t>
            </w:r>
          </w:p>
          <w:p w14:paraId="32B6967B" w14:textId="77777777" w:rsidR="00A15725" w:rsidRDefault="00955D58">
            <w:pPr>
              <w:numPr>
                <w:ilvl w:val="1"/>
                <w:numId w:val="31"/>
              </w:numPr>
              <w:pBdr>
                <w:top w:val="nil"/>
                <w:left w:val="nil"/>
                <w:bottom w:val="nil"/>
                <w:right w:val="nil"/>
                <w:between w:val="nil"/>
              </w:pBdr>
              <w:tabs>
                <w:tab w:val="left" w:pos="-576"/>
                <w:tab w:val="left" w:pos="144"/>
              </w:tabs>
              <w:spacing w:after="120"/>
              <w:ind w:left="1133" w:right="282" w:hanging="850"/>
              <w:jc w:val="both"/>
            </w:pPr>
            <w:r>
              <w:rPr>
                <w:rFonts w:ascii="Arial" w:eastAsia="Arial" w:hAnsi="Arial" w:cs="Arial"/>
                <w:color w:val="000000"/>
                <w:sz w:val="24"/>
                <w:szCs w:val="24"/>
              </w:rPr>
              <w:t>all interest, expenses and any other third party financing costs incurred in relation to the provision of the Deliverables;</w:t>
            </w:r>
          </w:p>
          <w:p w14:paraId="21B7BC7C" w14:textId="77777777" w:rsidR="00A15725" w:rsidRDefault="00955D58">
            <w:pPr>
              <w:numPr>
                <w:ilvl w:val="1"/>
                <w:numId w:val="31"/>
              </w:numPr>
              <w:pBdr>
                <w:top w:val="nil"/>
                <w:left w:val="nil"/>
                <w:bottom w:val="nil"/>
                <w:right w:val="nil"/>
                <w:between w:val="nil"/>
              </w:pBdr>
              <w:tabs>
                <w:tab w:val="left" w:pos="-576"/>
                <w:tab w:val="left" w:pos="144"/>
              </w:tabs>
              <w:spacing w:after="120"/>
              <w:ind w:left="1133" w:right="282" w:hanging="850"/>
              <w:jc w:val="both"/>
            </w:pPr>
            <w:r>
              <w:rPr>
                <w:rFonts w:ascii="Arial" w:eastAsia="Arial" w:hAnsi="Arial" w:cs="Arial"/>
                <w:color w:val="000000"/>
                <w:sz w:val="24"/>
                <w:szCs w:val="24"/>
              </w:rPr>
              <w:t>the Supplier Profit achieved over the Framework Contract Period and on an annual basis;</w:t>
            </w:r>
          </w:p>
          <w:p w14:paraId="20C6A5AF" w14:textId="77777777" w:rsidR="00A15725" w:rsidRDefault="00955D58">
            <w:pPr>
              <w:numPr>
                <w:ilvl w:val="1"/>
                <w:numId w:val="31"/>
              </w:numPr>
              <w:pBdr>
                <w:top w:val="nil"/>
                <w:left w:val="nil"/>
                <w:bottom w:val="nil"/>
                <w:right w:val="nil"/>
                <w:between w:val="nil"/>
              </w:pBdr>
              <w:tabs>
                <w:tab w:val="left" w:pos="-576"/>
                <w:tab w:val="left" w:pos="144"/>
              </w:tabs>
              <w:spacing w:after="120"/>
              <w:ind w:left="1133" w:right="282" w:hanging="850"/>
              <w:jc w:val="both"/>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7FCEECBB" w14:textId="77777777" w:rsidR="00A15725" w:rsidRDefault="00955D58">
            <w:pPr>
              <w:numPr>
                <w:ilvl w:val="1"/>
                <w:numId w:val="31"/>
              </w:numPr>
              <w:pBdr>
                <w:top w:val="nil"/>
                <w:left w:val="nil"/>
                <w:bottom w:val="nil"/>
                <w:right w:val="nil"/>
                <w:between w:val="nil"/>
              </w:pBdr>
              <w:tabs>
                <w:tab w:val="left" w:pos="-576"/>
                <w:tab w:val="left" w:pos="144"/>
              </w:tabs>
              <w:spacing w:after="120"/>
              <w:ind w:left="1133" w:right="282" w:hanging="850"/>
              <w:jc w:val="both"/>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405CD10C" w14:textId="77777777" w:rsidR="00A15725" w:rsidRDefault="00955D58">
            <w:pPr>
              <w:numPr>
                <w:ilvl w:val="1"/>
                <w:numId w:val="31"/>
              </w:numPr>
              <w:pBdr>
                <w:top w:val="nil"/>
                <w:left w:val="nil"/>
                <w:bottom w:val="nil"/>
                <w:right w:val="nil"/>
                <w:between w:val="nil"/>
              </w:pBdr>
              <w:tabs>
                <w:tab w:val="left" w:pos="-576"/>
                <w:tab w:val="left" w:pos="144"/>
              </w:tabs>
              <w:spacing w:after="120"/>
              <w:ind w:left="1133" w:right="282" w:hanging="850"/>
              <w:jc w:val="both"/>
              <w:rPr>
                <w:rFonts w:ascii="Arial" w:eastAsia="Arial" w:hAnsi="Arial" w:cs="Arial"/>
                <w:color w:val="000000"/>
                <w:sz w:val="26"/>
                <w:szCs w:val="26"/>
              </w:rPr>
            </w:pPr>
            <w:r>
              <w:rPr>
                <w:rFonts w:ascii="Arial" w:eastAsia="Arial" w:hAnsi="Arial" w:cs="Arial"/>
                <w:color w:val="000000"/>
                <w:sz w:val="24"/>
                <w:szCs w:val="24"/>
              </w:rPr>
              <w:lastRenderedPageBreak/>
              <w:t>the actual Costs profile for each Service Period;</w:t>
            </w:r>
          </w:p>
        </w:tc>
      </w:tr>
      <w:tr w:rsidR="00A15725" w14:paraId="49AAED1C" w14:textId="77777777">
        <w:tc>
          <w:tcPr>
            <w:tcW w:w="2694" w:type="dxa"/>
          </w:tcPr>
          <w:p w14:paraId="19DBE15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371" w:type="dxa"/>
          </w:tcPr>
          <w:p w14:paraId="23608A6B"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A15725" w14:paraId="3D4DD349" w14:textId="77777777">
        <w:tc>
          <w:tcPr>
            <w:tcW w:w="2694" w:type="dxa"/>
          </w:tcPr>
          <w:p w14:paraId="3D57148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"Order Form"</w:t>
            </w:r>
          </w:p>
        </w:tc>
        <w:tc>
          <w:tcPr>
            <w:tcW w:w="7371" w:type="dxa"/>
          </w:tcPr>
          <w:p w14:paraId="50BB5236"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A15725" w14:paraId="595FED70" w14:textId="77777777">
        <w:tc>
          <w:tcPr>
            <w:tcW w:w="2694" w:type="dxa"/>
          </w:tcPr>
          <w:p w14:paraId="6DAF600C"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371" w:type="dxa"/>
          </w:tcPr>
          <w:p w14:paraId="7C04A5F7"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A15725" w14:paraId="45DBD1E2" w14:textId="77777777">
        <w:trPr>
          <w:trHeight w:val="675"/>
        </w:trPr>
        <w:tc>
          <w:tcPr>
            <w:tcW w:w="2694" w:type="dxa"/>
          </w:tcPr>
          <w:p w14:paraId="5024D38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371" w:type="dxa"/>
          </w:tcPr>
          <w:p w14:paraId="2FD2D255"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A15725" w14:paraId="5720179A" w14:textId="77777777">
        <w:tc>
          <w:tcPr>
            <w:tcW w:w="2694" w:type="dxa"/>
          </w:tcPr>
          <w:p w14:paraId="1D0F9E20"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 xml:space="preserve">"Overhead" </w:t>
            </w:r>
          </w:p>
        </w:tc>
        <w:tc>
          <w:tcPr>
            <w:tcW w:w="7371" w:type="dxa"/>
            <w:vAlign w:val="center"/>
          </w:tcPr>
          <w:p w14:paraId="7B31EEFD" w14:textId="77777777" w:rsidR="00A15725" w:rsidRDefault="00955D58">
            <w:pPr>
              <w:pBdr>
                <w:top w:val="nil"/>
                <w:left w:val="nil"/>
                <w:bottom w:val="nil"/>
                <w:right w:val="nil"/>
                <w:between w:val="nil"/>
              </w:pBdr>
              <w:tabs>
                <w:tab w:val="left" w:pos="284"/>
              </w:tabs>
              <w:spacing w:after="120"/>
              <w:ind w:left="284" w:right="282"/>
              <w:rPr>
                <w:rFonts w:ascii="Arial" w:eastAsia="Arial" w:hAnsi="Arial" w:cs="Arial"/>
                <w:color w:val="000000"/>
                <w:sz w:val="24"/>
                <w:szCs w:val="24"/>
              </w:rPr>
            </w:pPr>
            <w:r>
              <w:rPr>
                <w:rFonts w:ascii="Arial" w:eastAsia="Arial" w:hAnsi="Arial" w:cs="Arial"/>
                <w:color w:val="000000"/>
                <w:sz w:val="24"/>
                <w:szCs w:val="24"/>
              </w:rPr>
              <w:t>Overhead includes the following elements.</w:t>
            </w:r>
          </w:p>
          <w:p w14:paraId="45AA570C" w14:textId="77777777" w:rsidR="00A15725" w:rsidRDefault="00955D58">
            <w:pPr>
              <w:pBdr>
                <w:top w:val="nil"/>
                <w:left w:val="nil"/>
                <w:bottom w:val="nil"/>
                <w:right w:val="nil"/>
                <w:between w:val="nil"/>
              </w:pBdr>
              <w:tabs>
                <w:tab w:val="left" w:pos="284"/>
              </w:tabs>
              <w:spacing w:after="120"/>
              <w:ind w:left="284" w:right="282"/>
              <w:rPr>
                <w:rFonts w:ascii="Arial" w:eastAsia="Arial" w:hAnsi="Arial" w:cs="Arial"/>
                <w:b/>
                <w:color w:val="000000"/>
                <w:sz w:val="24"/>
                <w:szCs w:val="24"/>
              </w:rPr>
            </w:pPr>
            <w:r>
              <w:rPr>
                <w:rFonts w:ascii="Arial" w:eastAsia="Arial" w:hAnsi="Arial" w:cs="Arial"/>
                <w:b/>
                <w:color w:val="000000"/>
                <w:sz w:val="24"/>
                <w:szCs w:val="24"/>
              </w:rPr>
              <w:t>Management Overhead</w:t>
            </w:r>
          </w:p>
          <w:p w14:paraId="32DA3A02" w14:textId="77777777" w:rsidR="00A15725" w:rsidRDefault="00955D58">
            <w:pPr>
              <w:pBdr>
                <w:top w:val="nil"/>
                <w:left w:val="nil"/>
                <w:bottom w:val="nil"/>
                <w:right w:val="nil"/>
                <w:between w:val="nil"/>
              </w:pBdr>
              <w:tabs>
                <w:tab w:val="left" w:pos="284"/>
              </w:tabs>
              <w:spacing w:after="120"/>
              <w:ind w:left="284" w:right="282"/>
              <w:rPr>
                <w:rFonts w:ascii="Arial" w:eastAsia="Arial" w:hAnsi="Arial" w:cs="Arial"/>
                <w:color w:val="000000"/>
                <w:sz w:val="24"/>
                <w:szCs w:val="24"/>
              </w:rPr>
            </w:pPr>
            <w:r>
              <w:rPr>
                <w:rFonts w:ascii="Arial" w:eastAsia="Arial" w:hAnsi="Arial" w:cs="Arial"/>
                <w:color w:val="000000"/>
                <w:sz w:val="24"/>
                <w:szCs w:val="24"/>
              </w:rPr>
              <w:t>Management Overhead includes, but is not limited to, activities relating to supervisory/management and administration activities of the service delivery. All the requirements within Work Package A must also be accounted for within Management Overhead.</w:t>
            </w:r>
          </w:p>
          <w:p w14:paraId="78F01F9C" w14:textId="77777777" w:rsidR="00A15725" w:rsidRDefault="00955D58">
            <w:pPr>
              <w:pBdr>
                <w:top w:val="nil"/>
                <w:left w:val="nil"/>
                <w:bottom w:val="nil"/>
                <w:right w:val="nil"/>
                <w:between w:val="nil"/>
              </w:pBdr>
              <w:tabs>
                <w:tab w:val="left" w:pos="284"/>
              </w:tabs>
              <w:spacing w:after="120"/>
              <w:ind w:left="284" w:right="282"/>
              <w:rPr>
                <w:rFonts w:ascii="Arial" w:eastAsia="Arial" w:hAnsi="Arial" w:cs="Arial"/>
                <w:color w:val="000000"/>
                <w:sz w:val="24"/>
                <w:szCs w:val="24"/>
              </w:rPr>
            </w:pPr>
            <w:r>
              <w:rPr>
                <w:rFonts w:ascii="Arial" w:eastAsia="Arial" w:hAnsi="Arial" w:cs="Arial"/>
                <w:color w:val="000000"/>
                <w:sz w:val="24"/>
                <w:szCs w:val="24"/>
              </w:rPr>
              <w:t xml:space="preserve">Management Overhead is captured at Framework level in the form of a percentage uplift, and forms part of the price evaluation. </w:t>
            </w:r>
          </w:p>
          <w:p w14:paraId="2EF9AF6A" w14:textId="77777777" w:rsidR="00A15725" w:rsidRDefault="00955D58">
            <w:pPr>
              <w:pBdr>
                <w:top w:val="nil"/>
                <w:left w:val="nil"/>
                <w:bottom w:val="nil"/>
                <w:right w:val="nil"/>
                <w:between w:val="nil"/>
              </w:pBdr>
              <w:tabs>
                <w:tab w:val="left" w:pos="284"/>
              </w:tabs>
              <w:spacing w:after="120"/>
              <w:ind w:left="284" w:right="282"/>
              <w:rPr>
                <w:rFonts w:ascii="Arial" w:eastAsia="Arial" w:hAnsi="Arial" w:cs="Arial"/>
                <w:color w:val="000000"/>
                <w:sz w:val="24"/>
                <w:szCs w:val="24"/>
              </w:rPr>
            </w:pPr>
            <w:r>
              <w:rPr>
                <w:rFonts w:ascii="Arial" w:eastAsia="Arial" w:hAnsi="Arial" w:cs="Arial"/>
                <w:color w:val="000000"/>
                <w:sz w:val="24"/>
                <w:szCs w:val="24"/>
              </w:rPr>
              <w:t>At Further Competition the Framework rates are used as maximum rates, and bidders are invited to reduce the rates for each specific Further Competition.</w:t>
            </w:r>
          </w:p>
          <w:p w14:paraId="3BCB4635" w14:textId="77777777" w:rsidR="00A15725" w:rsidRDefault="00955D58">
            <w:pPr>
              <w:pBdr>
                <w:top w:val="nil"/>
                <w:left w:val="nil"/>
                <w:bottom w:val="nil"/>
                <w:right w:val="nil"/>
                <w:between w:val="nil"/>
              </w:pBdr>
              <w:tabs>
                <w:tab w:val="left" w:pos="284"/>
              </w:tabs>
              <w:spacing w:after="120"/>
              <w:ind w:left="284" w:right="282"/>
              <w:rPr>
                <w:rFonts w:ascii="Arial" w:eastAsia="Arial" w:hAnsi="Arial" w:cs="Arial"/>
                <w:b/>
                <w:color w:val="000000"/>
                <w:sz w:val="24"/>
                <w:szCs w:val="24"/>
              </w:rPr>
            </w:pPr>
            <w:r>
              <w:rPr>
                <w:rFonts w:ascii="Arial" w:eastAsia="Arial" w:hAnsi="Arial" w:cs="Arial"/>
                <w:b/>
                <w:color w:val="000000"/>
                <w:sz w:val="24"/>
                <w:szCs w:val="24"/>
              </w:rPr>
              <w:t>Corporate Overhead</w:t>
            </w:r>
          </w:p>
          <w:p w14:paraId="00512AC9" w14:textId="77777777" w:rsidR="00A15725" w:rsidRDefault="00955D58">
            <w:pPr>
              <w:pBdr>
                <w:top w:val="nil"/>
                <w:left w:val="nil"/>
                <w:bottom w:val="nil"/>
                <w:right w:val="nil"/>
                <w:between w:val="nil"/>
              </w:pBdr>
              <w:tabs>
                <w:tab w:val="left" w:pos="284"/>
              </w:tabs>
              <w:spacing w:after="120"/>
              <w:ind w:left="284" w:right="282"/>
              <w:rPr>
                <w:rFonts w:ascii="Arial" w:eastAsia="Arial" w:hAnsi="Arial" w:cs="Arial"/>
                <w:color w:val="000000"/>
                <w:sz w:val="24"/>
                <w:szCs w:val="24"/>
              </w:rPr>
            </w:pPr>
            <w:r>
              <w:rPr>
                <w:rFonts w:ascii="Arial" w:eastAsia="Arial" w:hAnsi="Arial" w:cs="Arial"/>
                <w:color w:val="000000"/>
                <w:sz w:val="24"/>
                <w:szCs w:val="24"/>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p w14:paraId="44E31818"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Corporate Overhead is captured at Framework level in the form of a percentage uplift, and forms part of the price evaluation. At Further Competition the Framework rates are used as maximum rates, and bidders are invited to reduce the rates for each specific Further Competition.</w:t>
            </w:r>
          </w:p>
        </w:tc>
      </w:tr>
      <w:tr w:rsidR="00A15725" w14:paraId="654EF019" w14:textId="77777777">
        <w:tc>
          <w:tcPr>
            <w:tcW w:w="2694" w:type="dxa"/>
          </w:tcPr>
          <w:p w14:paraId="053650BB"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“Overpayments”</w:t>
            </w:r>
          </w:p>
        </w:tc>
        <w:tc>
          <w:tcPr>
            <w:tcW w:w="7371" w:type="dxa"/>
          </w:tcPr>
          <w:p w14:paraId="0FC3CAFC"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payment in excess of what is due;</w:t>
            </w:r>
          </w:p>
        </w:tc>
      </w:tr>
      <w:tr w:rsidR="00A15725" w14:paraId="0A06A72C" w14:textId="77777777">
        <w:tc>
          <w:tcPr>
            <w:tcW w:w="2694" w:type="dxa"/>
          </w:tcPr>
          <w:p w14:paraId="205DE505"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"Parliament"</w:t>
            </w:r>
          </w:p>
        </w:tc>
        <w:tc>
          <w:tcPr>
            <w:tcW w:w="7371" w:type="dxa"/>
          </w:tcPr>
          <w:p w14:paraId="4D27C6E9"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A15725" w14:paraId="3DF04968" w14:textId="77777777">
        <w:tc>
          <w:tcPr>
            <w:tcW w:w="2694" w:type="dxa"/>
          </w:tcPr>
          <w:p w14:paraId="3C48043F"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"Party"</w:t>
            </w:r>
          </w:p>
        </w:tc>
        <w:tc>
          <w:tcPr>
            <w:tcW w:w="7371" w:type="dxa"/>
          </w:tcPr>
          <w:p w14:paraId="31D7C6BF"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A15725" w14:paraId="08ADDF09" w14:textId="77777777">
        <w:tc>
          <w:tcPr>
            <w:tcW w:w="2694" w:type="dxa"/>
          </w:tcPr>
          <w:p w14:paraId="463CE137" w14:textId="77777777" w:rsidR="00A15725" w:rsidRDefault="00955D58">
            <w:pPr>
              <w:spacing w:after="120"/>
              <w:rPr>
                <w:rFonts w:ascii="Arial" w:eastAsia="Arial" w:hAnsi="Arial" w:cs="Arial"/>
                <w:b/>
                <w:color w:val="000000"/>
                <w:sz w:val="24"/>
                <w:szCs w:val="24"/>
              </w:rPr>
            </w:pPr>
            <w:r>
              <w:rPr>
                <w:rFonts w:ascii="Arial" w:eastAsia="Arial" w:hAnsi="Arial" w:cs="Arial"/>
                <w:b/>
                <w:sz w:val="24"/>
                <w:szCs w:val="24"/>
              </w:rPr>
              <w:lastRenderedPageBreak/>
              <w:t>"Payment Processing"</w:t>
            </w:r>
          </w:p>
        </w:tc>
        <w:tc>
          <w:tcPr>
            <w:tcW w:w="7371" w:type="dxa"/>
          </w:tcPr>
          <w:p w14:paraId="2898CAEE" w14:textId="77777777" w:rsidR="00A15725" w:rsidRDefault="00955D58">
            <w:pPr>
              <w:tabs>
                <w:tab w:val="left" w:pos="284"/>
              </w:tabs>
              <w:spacing w:line="276" w:lineRule="auto"/>
              <w:ind w:left="284" w:right="282"/>
              <w:rPr>
                <w:rFonts w:ascii="Arial" w:eastAsia="Arial" w:hAnsi="Arial" w:cs="Arial"/>
                <w:color w:val="000000"/>
                <w:sz w:val="24"/>
                <w:szCs w:val="24"/>
              </w:rPr>
            </w:pPr>
            <w:r>
              <w:rPr>
                <w:rFonts w:ascii="Arial" w:eastAsia="Arial" w:hAnsi="Arial" w:cs="Arial"/>
                <w:sz w:val="24"/>
                <w:szCs w:val="24"/>
              </w:rPr>
              <w:t>The transactions in regards to taking/making payments both by an agent and the front end/back end systems required.</w:t>
            </w:r>
          </w:p>
        </w:tc>
      </w:tr>
      <w:tr w:rsidR="00A15725" w14:paraId="0B0B7F70" w14:textId="77777777">
        <w:tc>
          <w:tcPr>
            <w:tcW w:w="2694" w:type="dxa"/>
            <w:vAlign w:val="center"/>
          </w:tcPr>
          <w:p w14:paraId="11521631" w14:textId="77777777" w:rsidR="00A15725" w:rsidRDefault="00955D58">
            <w:pPr>
              <w:spacing w:after="120"/>
              <w:rPr>
                <w:rFonts w:ascii="Arial" w:eastAsia="Arial" w:hAnsi="Arial" w:cs="Arial"/>
                <w:b/>
                <w:sz w:val="24"/>
                <w:szCs w:val="24"/>
              </w:rPr>
            </w:pPr>
            <w:r>
              <w:rPr>
                <w:rFonts w:ascii="Arial" w:eastAsia="Arial" w:hAnsi="Arial" w:cs="Arial"/>
                <w:b/>
                <w:sz w:val="24"/>
                <w:szCs w:val="24"/>
              </w:rPr>
              <w:t>"Pass Through Costs"</w:t>
            </w:r>
          </w:p>
        </w:tc>
        <w:tc>
          <w:tcPr>
            <w:tcW w:w="7371" w:type="dxa"/>
            <w:vAlign w:val="center"/>
          </w:tcPr>
          <w:p w14:paraId="152A18F1" w14:textId="77777777" w:rsidR="00A15725" w:rsidRDefault="00955D58">
            <w:pPr>
              <w:tabs>
                <w:tab w:val="left" w:pos="284"/>
              </w:tabs>
              <w:ind w:left="284" w:right="282"/>
              <w:rPr>
                <w:rFonts w:ascii="Arial" w:eastAsia="Arial" w:hAnsi="Arial" w:cs="Arial"/>
                <w:sz w:val="24"/>
                <w:szCs w:val="24"/>
              </w:rPr>
            </w:pPr>
            <w:r>
              <w:rPr>
                <w:rFonts w:ascii="Arial" w:eastAsia="Arial" w:hAnsi="Arial" w:cs="Arial"/>
                <w:sz w:val="24"/>
                <w:szCs w:val="24"/>
              </w:rPr>
              <w:t>third party costs incurred by the Supplier in connection with the provision of the Deliverables that are passed through to the Buyer with no additional mark-ups and to which the Management Charge does not apply.</w:t>
            </w:r>
          </w:p>
        </w:tc>
      </w:tr>
      <w:tr w:rsidR="00A15725" w14:paraId="2F1146C9" w14:textId="77777777">
        <w:tc>
          <w:tcPr>
            <w:tcW w:w="2694" w:type="dxa"/>
            <w:vAlign w:val="center"/>
          </w:tcPr>
          <w:p w14:paraId="5324B3C5" w14:textId="77777777" w:rsidR="00A15725" w:rsidRDefault="00955D58">
            <w:pPr>
              <w:spacing w:after="120"/>
              <w:rPr>
                <w:rFonts w:ascii="Arial" w:eastAsia="Arial" w:hAnsi="Arial" w:cs="Arial"/>
                <w:b/>
                <w:sz w:val="24"/>
                <w:szCs w:val="24"/>
              </w:rPr>
            </w:pPr>
            <w:r>
              <w:rPr>
                <w:rFonts w:ascii="Arial" w:eastAsia="Arial" w:hAnsi="Arial" w:cs="Arial"/>
                <w:b/>
                <w:sz w:val="24"/>
                <w:szCs w:val="24"/>
              </w:rPr>
              <w:t>"Payment Index"</w:t>
            </w:r>
          </w:p>
        </w:tc>
        <w:tc>
          <w:tcPr>
            <w:tcW w:w="7371" w:type="dxa"/>
            <w:vAlign w:val="center"/>
          </w:tcPr>
          <w:p w14:paraId="42115C5E" w14:textId="77777777" w:rsidR="00A15725" w:rsidRDefault="00955D58">
            <w:pPr>
              <w:tabs>
                <w:tab w:val="left" w:pos="284"/>
              </w:tabs>
              <w:ind w:left="284" w:right="282"/>
              <w:rPr>
                <w:rFonts w:ascii="Arial" w:eastAsia="Arial" w:hAnsi="Arial" w:cs="Arial"/>
                <w:sz w:val="24"/>
                <w:szCs w:val="24"/>
              </w:rPr>
            </w:pPr>
            <w:r>
              <w:rPr>
                <w:rFonts w:ascii="Arial" w:eastAsia="Arial" w:hAnsi="Arial" w:cs="Arial"/>
                <w:sz w:val="24"/>
                <w:szCs w:val="24"/>
              </w:rPr>
              <w:t>is the index identified as such in the Order Form;</w:t>
            </w:r>
          </w:p>
        </w:tc>
      </w:tr>
      <w:tr w:rsidR="00A15725" w14:paraId="598C0628" w14:textId="77777777">
        <w:tc>
          <w:tcPr>
            <w:tcW w:w="2694" w:type="dxa"/>
          </w:tcPr>
          <w:p w14:paraId="44D54F2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371" w:type="dxa"/>
          </w:tcPr>
          <w:p w14:paraId="464B8076"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A15725" w14:paraId="35C32851" w14:textId="77777777">
        <w:tc>
          <w:tcPr>
            <w:tcW w:w="2694" w:type="dxa"/>
            <w:vAlign w:val="center"/>
          </w:tcPr>
          <w:p w14:paraId="6BD51DD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“Permit to Work”</w:t>
            </w:r>
          </w:p>
        </w:tc>
        <w:tc>
          <w:tcPr>
            <w:tcW w:w="7371" w:type="dxa"/>
            <w:vAlign w:val="center"/>
          </w:tcPr>
          <w:p w14:paraId="69E5F3B4"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means a system that is in place where strict controls are required due to the proposed work being identified as having a high risk. The work shall be carried out against previously agreed safety procedures, a ‘permit-to-work' system;</w:t>
            </w:r>
          </w:p>
        </w:tc>
      </w:tr>
      <w:tr w:rsidR="00A15725" w14:paraId="1E26BCE0" w14:textId="77777777">
        <w:tc>
          <w:tcPr>
            <w:tcW w:w="2694" w:type="dxa"/>
          </w:tcPr>
          <w:p w14:paraId="1AEE82C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"Personal Data"</w:t>
            </w:r>
          </w:p>
        </w:tc>
        <w:tc>
          <w:tcPr>
            <w:tcW w:w="7371" w:type="dxa"/>
          </w:tcPr>
          <w:p w14:paraId="4B1C77A4"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15725" w14:paraId="7914A50B" w14:textId="77777777">
        <w:tc>
          <w:tcPr>
            <w:tcW w:w="2694" w:type="dxa"/>
          </w:tcPr>
          <w:p w14:paraId="4F289F3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371" w:type="dxa"/>
          </w:tcPr>
          <w:p w14:paraId="6471B409"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15725" w14:paraId="0B2854DD" w14:textId="77777777">
        <w:tc>
          <w:tcPr>
            <w:tcW w:w="2694" w:type="dxa"/>
          </w:tcPr>
          <w:p w14:paraId="280C86C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“Personnel”</w:t>
            </w:r>
          </w:p>
        </w:tc>
        <w:tc>
          <w:tcPr>
            <w:tcW w:w="7371" w:type="dxa"/>
          </w:tcPr>
          <w:p w14:paraId="039BCD87"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A15725" w14:paraId="783C26B5" w14:textId="77777777">
        <w:tc>
          <w:tcPr>
            <w:tcW w:w="2694" w:type="dxa"/>
            <w:vAlign w:val="center"/>
          </w:tcPr>
          <w:p w14:paraId="254C6B31"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“Planned Preventative Maintenance”</w:t>
            </w:r>
          </w:p>
        </w:tc>
        <w:tc>
          <w:tcPr>
            <w:tcW w:w="7371" w:type="dxa"/>
            <w:vAlign w:val="center"/>
          </w:tcPr>
          <w:p w14:paraId="7FB90685" w14:textId="77777777" w:rsidR="00A15725" w:rsidRDefault="00955D58">
            <w:pPr>
              <w:tabs>
                <w:tab w:val="left" w:pos="420"/>
              </w:tabs>
              <w:spacing w:before="240" w:after="240" w:line="276" w:lineRule="auto"/>
              <w:ind w:left="360" w:right="278"/>
              <w:jc w:val="both"/>
              <w:rPr>
                <w:rFonts w:ascii="Arial" w:eastAsia="Arial" w:hAnsi="Arial" w:cs="Arial"/>
                <w:sz w:val="24"/>
                <w:szCs w:val="24"/>
              </w:rPr>
            </w:pPr>
            <w:r>
              <w:rPr>
                <w:rFonts w:ascii="Arial" w:eastAsia="Arial" w:hAnsi="Arial" w:cs="Arial"/>
                <w:sz w:val="24"/>
                <w:szCs w:val="24"/>
              </w:rPr>
              <w:t>a maintenance strategy where maintenance tasks are scheduled ahead of time, to take place on a regular basis (e.g. in accordance with SFG20) irrespective of whether an asset is functioning normally or not.</w:t>
            </w:r>
          </w:p>
        </w:tc>
      </w:tr>
      <w:tr w:rsidR="00A15725" w14:paraId="1214978A" w14:textId="77777777">
        <w:tc>
          <w:tcPr>
            <w:tcW w:w="2694" w:type="dxa"/>
          </w:tcPr>
          <w:p w14:paraId="36A5DA7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371" w:type="dxa"/>
          </w:tcPr>
          <w:p w14:paraId="13BB4361"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7">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A15725" w14:paraId="40041084" w14:textId="77777777">
        <w:tc>
          <w:tcPr>
            <w:tcW w:w="2694" w:type="dxa"/>
            <w:vAlign w:val="center"/>
          </w:tcPr>
          <w:p w14:paraId="3B063E8F"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"Previous Service Month"</w:t>
            </w:r>
          </w:p>
        </w:tc>
        <w:tc>
          <w:tcPr>
            <w:tcW w:w="7371" w:type="dxa"/>
            <w:vAlign w:val="center"/>
          </w:tcPr>
          <w:p w14:paraId="799ABAFA"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is the Service Month (referred to as “n-1”) immediately prior to the Service Month “n” as outlined in Call-Off Schedule 5 - Pricing Details);</w:t>
            </w:r>
          </w:p>
        </w:tc>
      </w:tr>
      <w:tr w:rsidR="00A15725" w14:paraId="2D55D709" w14:textId="77777777">
        <w:tc>
          <w:tcPr>
            <w:tcW w:w="2694" w:type="dxa"/>
            <w:vAlign w:val="center"/>
          </w:tcPr>
          <w:p w14:paraId="76FA6FFE"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"Pricing Matrix"</w:t>
            </w:r>
          </w:p>
        </w:tc>
        <w:tc>
          <w:tcPr>
            <w:tcW w:w="7371" w:type="dxa"/>
            <w:vAlign w:val="center"/>
          </w:tcPr>
          <w:p w14:paraId="00A74D87"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sz w:val="24"/>
                <w:szCs w:val="24"/>
              </w:rPr>
            </w:pPr>
            <w:r>
              <w:rPr>
                <w:rFonts w:ascii="Arial" w:eastAsia="Arial" w:hAnsi="Arial" w:cs="Arial"/>
                <w:color w:val="222222"/>
                <w:sz w:val="24"/>
                <w:szCs w:val="24"/>
                <w:highlight w:val="white"/>
              </w:rPr>
              <w:t xml:space="preserve">means </w:t>
            </w:r>
            <w:r>
              <w:rPr>
                <w:rFonts w:ascii="Arial" w:eastAsia="Arial" w:hAnsi="Arial" w:cs="Arial"/>
                <w:color w:val="222222"/>
                <w:sz w:val="24"/>
                <w:szCs w:val="24"/>
              </w:rPr>
              <w:t>the Pricing Matrix used as part of the Call Off Procedure  (as in Call-Off Schedule 5 – Pricing Details));</w:t>
            </w:r>
          </w:p>
        </w:tc>
      </w:tr>
      <w:tr w:rsidR="00A15725" w14:paraId="107DF8C7" w14:textId="77777777">
        <w:tc>
          <w:tcPr>
            <w:tcW w:w="2694" w:type="dxa"/>
          </w:tcPr>
          <w:p w14:paraId="5127477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“Processing”</w:t>
            </w:r>
          </w:p>
        </w:tc>
        <w:tc>
          <w:tcPr>
            <w:tcW w:w="7371" w:type="dxa"/>
          </w:tcPr>
          <w:p w14:paraId="6AEC90DA"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15725" w14:paraId="1EADDD7F" w14:textId="77777777">
        <w:tc>
          <w:tcPr>
            <w:tcW w:w="2694" w:type="dxa"/>
          </w:tcPr>
          <w:p w14:paraId="4BBDAE4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“Processor”</w:t>
            </w:r>
          </w:p>
        </w:tc>
        <w:tc>
          <w:tcPr>
            <w:tcW w:w="7371" w:type="dxa"/>
          </w:tcPr>
          <w:p w14:paraId="46D2C3C9"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15725" w14:paraId="348B2FCD" w14:textId="77777777">
        <w:tc>
          <w:tcPr>
            <w:tcW w:w="2694" w:type="dxa"/>
          </w:tcPr>
          <w:p w14:paraId="0F17250F"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371" w:type="dxa"/>
          </w:tcPr>
          <w:p w14:paraId="05F574B6"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A15725" w14:paraId="31BBB0D8" w14:textId="77777777">
        <w:tc>
          <w:tcPr>
            <w:tcW w:w="2694" w:type="dxa"/>
          </w:tcPr>
          <w:p w14:paraId="5AB5A27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"Progress Meeting Frequency"</w:t>
            </w:r>
          </w:p>
        </w:tc>
        <w:tc>
          <w:tcPr>
            <w:tcW w:w="7371" w:type="dxa"/>
          </w:tcPr>
          <w:p w14:paraId="052684A7"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A15725" w14:paraId="2A1ED1A0" w14:textId="77777777">
        <w:tc>
          <w:tcPr>
            <w:tcW w:w="2694" w:type="dxa"/>
          </w:tcPr>
          <w:p w14:paraId="087C0E7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“Progress Report”</w:t>
            </w:r>
          </w:p>
        </w:tc>
        <w:tc>
          <w:tcPr>
            <w:tcW w:w="7371" w:type="dxa"/>
          </w:tcPr>
          <w:p w14:paraId="1A437CFE"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A15725" w14:paraId="48C91F92" w14:textId="77777777">
        <w:tc>
          <w:tcPr>
            <w:tcW w:w="2694" w:type="dxa"/>
          </w:tcPr>
          <w:p w14:paraId="7B5CA72F"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371" w:type="dxa"/>
          </w:tcPr>
          <w:p w14:paraId="2C86C1E4" w14:textId="77777777" w:rsidR="00A15725" w:rsidRDefault="00955D58">
            <w:pPr>
              <w:pBdr>
                <w:top w:val="nil"/>
                <w:left w:val="nil"/>
                <w:bottom w:val="nil"/>
                <w:right w:val="nil"/>
                <w:between w:val="nil"/>
              </w:pBdr>
              <w:tabs>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A15725" w14:paraId="429BCD42" w14:textId="77777777">
        <w:tc>
          <w:tcPr>
            <w:tcW w:w="2694" w:type="dxa"/>
          </w:tcPr>
          <w:p w14:paraId="66CCF26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“Prohibited Acts”</w:t>
            </w:r>
          </w:p>
        </w:tc>
        <w:tc>
          <w:tcPr>
            <w:tcW w:w="7371" w:type="dxa"/>
          </w:tcPr>
          <w:p w14:paraId="5F7CA632" w14:textId="77777777" w:rsidR="00A15725" w:rsidRDefault="00955D58">
            <w:pPr>
              <w:numPr>
                <w:ilvl w:val="1"/>
                <w:numId w:val="21"/>
              </w:numPr>
              <w:pBdr>
                <w:top w:val="nil"/>
                <w:left w:val="nil"/>
                <w:bottom w:val="nil"/>
                <w:right w:val="nil"/>
                <w:between w:val="nil"/>
              </w:pBdr>
              <w:tabs>
                <w:tab w:val="left" w:pos="-576"/>
                <w:tab w:val="left" w:pos="144"/>
                <w:tab w:val="left" w:pos="284"/>
              </w:tabs>
              <w:spacing w:after="120"/>
              <w:ind w:left="1275" w:right="282" w:hanging="992"/>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4C00B643" w14:textId="77777777" w:rsidR="00A15725" w:rsidRDefault="00955D58">
            <w:pPr>
              <w:numPr>
                <w:ilvl w:val="2"/>
                <w:numId w:val="21"/>
              </w:numPr>
              <w:pBdr>
                <w:top w:val="nil"/>
                <w:left w:val="nil"/>
                <w:bottom w:val="nil"/>
                <w:right w:val="nil"/>
                <w:between w:val="nil"/>
              </w:pBdr>
              <w:tabs>
                <w:tab w:val="left" w:pos="284"/>
              </w:tabs>
              <w:spacing w:after="120"/>
              <w:ind w:left="1559" w:right="282" w:hanging="840"/>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525D09F8" w14:textId="77777777" w:rsidR="00A15725" w:rsidRDefault="00955D58">
            <w:pPr>
              <w:numPr>
                <w:ilvl w:val="2"/>
                <w:numId w:val="21"/>
              </w:numPr>
              <w:pBdr>
                <w:top w:val="nil"/>
                <w:left w:val="nil"/>
                <w:bottom w:val="nil"/>
                <w:right w:val="nil"/>
                <w:between w:val="nil"/>
              </w:pBdr>
              <w:tabs>
                <w:tab w:val="left" w:pos="284"/>
              </w:tabs>
              <w:spacing w:after="120"/>
              <w:ind w:left="1559" w:right="282" w:hanging="840"/>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14:paraId="565462EF" w14:textId="77777777" w:rsidR="00A15725" w:rsidRDefault="00955D58">
            <w:pPr>
              <w:numPr>
                <w:ilvl w:val="1"/>
                <w:numId w:val="21"/>
              </w:numPr>
              <w:pBdr>
                <w:top w:val="nil"/>
                <w:left w:val="nil"/>
                <w:bottom w:val="nil"/>
                <w:right w:val="nil"/>
                <w:between w:val="nil"/>
              </w:pBdr>
              <w:tabs>
                <w:tab w:val="left" w:pos="-576"/>
                <w:tab w:val="left" w:pos="144"/>
                <w:tab w:val="left" w:pos="284"/>
              </w:tabs>
              <w:spacing w:after="120"/>
              <w:ind w:left="1275" w:right="282" w:hanging="992"/>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7E643D9E" w14:textId="77777777" w:rsidR="00A15725" w:rsidRDefault="00955D58">
            <w:pPr>
              <w:numPr>
                <w:ilvl w:val="1"/>
                <w:numId w:val="21"/>
              </w:numPr>
              <w:pBdr>
                <w:top w:val="nil"/>
                <w:left w:val="nil"/>
                <w:bottom w:val="nil"/>
                <w:right w:val="nil"/>
                <w:between w:val="nil"/>
              </w:pBdr>
              <w:tabs>
                <w:tab w:val="left" w:pos="-576"/>
                <w:tab w:val="left" w:pos="144"/>
                <w:tab w:val="left" w:pos="284"/>
              </w:tabs>
              <w:spacing w:after="120"/>
              <w:ind w:left="1275" w:right="282" w:hanging="992"/>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669CCB96" w14:textId="77777777" w:rsidR="00A15725" w:rsidRDefault="00955D58">
            <w:pPr>
              <w:numPr>
                <w:ilvl w:val="2"/>
                <w:numId w:val="21"/>
              </w:numPr>
              <w:pBdr>
                <w:top w:val="nil"/>
                <w:left w:val="nil"/>
                <w:bottom w:val="nil"/>
                <w:right w:val="nil"/>
                <w:between w:val="nil"/>
              </w:pBdr>
              <w:tabs>
                <w:tab w:val="left" w:pos="1410"/>
              </w:tabs>
              <w:spacing w:after="120"/>
              <w:ind w:left="1700" w:right="282" w:hanging="840"/>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283B16A1" w14:textId="77777777" w:rsidR="00A15725" w:rsidRDefault="00955D58">
            <w:pPr>
              <w:numPr>
                <w:ilvl w:val="2"/>
                <w:numId w:val="21"/>
              </w:numPr>
              <w:pBdr>
                <w:top w:val="nil"/>
                <w:left w:val="nil"/>
                <w:bottom w:val="nil"/>
                <w:right w:val="nil"/>
                <w:between w:val="nil"/>
              </w:pBdr>
              <w:tabs>
                <w:tab w:val="left" w:pos="1410"/>
              </w:tabs>
              <w:spacing w:after="120"/>
              <w:ind w:left="1700" w:right="282" w:hanging="840"/>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7DDFEFDB" w14:textId="77777777" w:rsidR="00A15725" w:rsidRDefault="00955D58">
            <w:pPr>
              <w:numPr>
                <w:ilvl w:val="2"/>
                <w:numId w:val="21"/>
              </w:numPr>
              <w:pBdr>
                <w:top w:val="nil"/>
                <w:left w:val="nil"/>
                <w:bottom w:val="nil"/>
                <w:right w:val="nil"/>
                <w:between w:val="nil"/>
              </w:pBdr>
              <w:tabs>
                <w:tab w:val="left" w:pos="1410"/>
              </w:tabs>
              <w:spacing w:after="120"/>
              <w:ind w:left="1700" w:right="282" w:hanging="840"/>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1301AECE" w14:textId="77777777" w:rsidR="00A15725" w:rsidRDefault="00955D58">
            <w:pPr>
              <w:numPr>
                <w:ilvl w:val="1"/>
                <w:numId w:val="21"/>
              </w:numPr>
              <w:pBdr>
                <w:top w:val="nil"/>
                <w:left w:val="nil"/>
                <w:bottom w:val="nil"/>
                <w:right w:val="nil"/>
                <w:between w:val="nil"/>
              </w:pBdr>
              <w:tabs>
                <w:tab w:val="left" w:pos="-576"/>
                <w:tab w:val="left" w:pos="144"/>
                <w:tab w:val="left" w:pos="284"/>
              </w:tabs>
              <w:spacing w:after="120"/>
              <w:ind w:left="1275" w:right="282" w:hanging="992"/>
              <w:jc w:val="both"/>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A15725" w14:paraId="0B5352A0" w14:textId="77777777">
        <w:tc>
          <w:tcPr>
            <w:tcW w:w="2694" w:type="dxa"/>
            <w:vAlign w:val="center"/>
          </w:tcPr>
          <w:p w14:paraId="6E1E2E3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"Project"</w:t>
            </w:r>
          </w:p>
        </w:tc>
        <w:tc>
          <w:tcPr>
            <w:tcW w:w="7371" w:type="dxa"/>
            <w:vAlign w:val="center"/>
          </w:tcPr>
          <w:p w14:paraId="16DF3079"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means works that require a defined management approach in accordance with Call Off Schedule 25 and to which the Buyer is the final arbiter;</w:t>
            </w:r>
          </w:p>
        </w:tc>
      </w:tr>
      <w:tr w:rsidR="00A15725" w14:paraId="50007274" w14:textId="77777777">
        <w:tc>
          <w:tcPr>
            <w:tcW w:w="2694" w:type="dxa"/>
            <w:vAlign w:val="center"/>
          </w:tcPr>
          <w:p w14:paraId="16956E3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"Project Stage Uplift"</w:t>
            </w:r>
          </w:p>
        </w:tc>
        <w:tc>
          <w:tcPr>
            <w:tcW w:w="7371" w:type="dxa"/>
            <w:vAlign w:val="center"/>
          </w:tcPr>
          <w:p w14:paraId="7DB2D0C8"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the maximum permitted rate of uplift as set out in the Pricing Matrix for a Project;</w:t>
            </w:r>
          </w:p>
        </w:tc>
      </w:tr>
      <w:tr w:rsidR="00A15725" w14:paraId="144E1B46" w14:textId="77777777">
        <w:tc>
          <w:tcPr>
            <w:tcW w:w="2694" w:type="dxa"/>
          </w:tcPr>
          <w:p w14:paraId="3C33B84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371" w:type="dxa"/>
          </w:tcPr>
          <w:p w14:paraId="2730C04D"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w:t>
            </w:r>
            <w:r>
              <w:rPr>
                <w:rFonts w:ascii="Arial" w:eastAsia="Arial" w:hAnsi="Arial" w:cs="Arial"/>
                <w:color w:val="000000"/>
                <w:sz w:val="24"/>
                <w:szCs w:val="24"/>
              </w:rPr>
              <w:lastRenderedPageBreak/>
              <w:t>outlined in Framework Schedule 9 (Cyber Essentials Scheme), if applicable, in the case of the Framework Contract or Call-Off Schedule 9 (Security), if applicable, in the case of a Call-Off Contract;</w:t>
            </w:r>
          </w:p>
        </w:tc>
      </w:tr>
      <w:tr w:rsidR="00A15725" w14:paraId="1422B78D" w14:textId="77777777">
        <w:tc>
          <w:tcPr>
            <w:tcW w:w="2694" w:type="dxa"/>
            <w:vAlign w:val="center"/>
          </w:tcPr>
          <w:p w14:paraId="137902F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lastRenderedPageBreak/>
              <w:t>"Reactive Maintenance Works"</w:t>
            </w:r>
          </w:p>
        </w:tc>
        <w:tc>
          <w:tcPr>
            <w:tcW w:w="7371" w:type="dxa"/>
            <w:vAlign w:val="center"/>
          </w:tcPr>
          <w:p w14:paraId="247413A7"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bookmarkStart w:id="12" w:name="_heading=h.2et92p0" w:colFirst="0" w:colLast="0"/>
            <w:bookmarkEnd w:id="12"/>
            <w:r>
              <w:rPr>
                <w:rFonts w:ascii="Arial" w:eastAsia="Arial" w:hAnsi="Arial" w:cs="Arial"/>
                <w:sz w:val="24"/>
                <w:szCs w:val="24"/>
              </w:rPr>
              <w:t>works arising as a result of a failure of an Asset or a service which is in the scope of the Call-Off Contract (and for the avoidance of doubt are not Small Works or Projects);</w:t>
            </w:r>
          </w:p>
        </w:tc>
      </w:tr>
      <w:tr w:rsidR="00A15725" w14:paraId="305FF5F4" w14:textId="77777777">
        <w:tc>
          <w:tcPr>
            <w:tcW w:w="2694" w:type="dxa"/>
          </w:tcPr>
          <w:p w14:paraId="12E8537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“Rating Agency”</w:t>
            </w:r>
          </w:p>
        </w:tc>
        <w:tc>
          <w:tcPr>
            <w:tcW w:w="7371" w:type="dxa"/>
          </w:tcPr>
          <w:p w14:paraId="75D6113B"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as defined in the Framework Award Form or the Order Form, as the context requires;</w:t>
            </w:r>
          </w:p>
        </w:tc>
      </w:tr>
      <w:tr w:rsidR="00A15725" w14:paraId="29DEAD15" w14:textId="77777777">
        <w:tc>
          <w:tcPr>
            <w:tcW w:w="2694" w:type="dxa"/>
          </w:tcPr>
          <w:p w14:paraId="6C6B4C4F"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“RBAC”</w:t>
            </w:r>
          </w:p>
        </w:tc>
        <w:tc>
          <w:tcPr>
            <w:tcW w:w="7371" w:type="dxa"/>
          </w:tcPr>
          <w:p w14:paraId="6B5B5527"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sz w:val="24"/>
                <w:szCs w:val="24"/>
              </w:rPr>
            </w:pPr>
            <w:r>
              <w:rPr>
                <w:rFonts w:ascii="Arial" w:eastAsia="Arial" w:hAnsi="Arial" w:cs="Arial"/>
                <w:sz w:val="24"/>
                <w:szCs w:val="24"/>
              </w:rPr>
              <w:t>Role-based access control (RBAC) restricts network access based on a person's role within an organization</w:t>
            </w:r>
          </w:p>
        </w:tc>
      </w:tr>
      <w:tr w:rsidR="00A15725" w14:paraId="37091B18" w14:textId="77777777">
        <w:tc>
          <w:tcPr>
            <w:tcW w:w="2694" w:type="dxa"/>
          </w:tcPr>
          <w:p w14:paraId="5EA2D87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“Recall”</w:t>
            </w:r>
          </w:p>
        </w:tc>
        <w:tc>
          <w:tcPr>
            <w:tcW w:w="7371" w:type="dxa"/>
          </w:tcPr>
          <w:p w14:paraId="28574544"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A15725" w14:paraId="2AA67C2D" w14:textId="77777777">
        <w:tc>
          <w:tcPr>
            <w:tcW w:w="2694" w:type="dxa"/>
          </w:tcPr>
          <w:p w14:paraId="736135F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"Recipient Party"</w:t>
            </w:r>
          </w:p>
        </w:tc>
        <w:tc>
          <w:tcPr>
            <w:tcW w:w="7371" w:type="dxa"/>
          </w:tcPr>
          <w:p w14:paraId="735F50AA"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A15725" w14:paraId="2C7887D5" w14:textId="77777777">
        <w:tc>
          <w:tcPr>
            <w:tcW w:w="2694" w:type="dxa"/>
          </w:tcPr>
          <w:p w14:paraId="4FF68BE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371" w:type="dxa"/>
          </w:tcPr>
          <w:p w14:paraId="40624103"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1464E1FD" w14:textId="77777777" w:rsidR="00A15725" w:rsidRDefault="00955D58">
            <w:pPr>
              <w:numPr>
                <w:ilvl w:val="1"/>
                <w:numId w:val="16"/>
              </w:numPr>
              <w:pBdr>
                <w:top w:val="nil"/>
                <w:left w:val="nil"/>
                <w:bottom w:val="nil"/>
                <w:right w:val="nil"/>
                <w:between w:val="nil"/>
              </w:pBdr>
              <w:tabs>
                <w:tab w:val="left" w:pos="-576"/>
                <w:tab w:val="left" w:pos="144"/>
              </w:tabs>
              <w:spacing w:after="120"/>
              <w:ind w:left="1275" w:right="282" w:hanging="992"/>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7D3E6ED7" w14:textId="77777777" w:rsidR="00A15725" w:rsidRDefault="00955D58">
            <w:pPr>
              <w:numPr>
                <w:ilvl w:val="1"/>
                <w:numId w:val="16"/>
              </w:numPr>
              <w:pBdr>
                <w:top w:val="nil"/>
                <w:left w:val="nil"/>
                <w:bottom w:val="nil"/>
                <w:right w:val="nil"/>
                <w:between w:val="nil"/>
              </w:pBdr>
              <w:tabs>
                <w:tab w:val="left" w:pos="-576"/>
                <w:tab w:val="left" w:pos="144"/>
              </w:tabs>
              <w:spacing w:after="120"/>
              <w:ind w:left="1275" w:right="282" w:hanging="992"/>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5F2F1654" w14:textId="77777777" w:rsidR="00A15725" w:rsidRDefault="00955D58">
            <w:pPr>
              <w:numPr>
                <w:ilvl w:val="1"/>
                <w:numId w:val="16"/>
              </w:numPr>
              <w:pBdr>
                <w:top w:val="nil"/>
                <w:left w:val="nil"/>
                <w:bottom w:val="nil"/>
                <w:right w:val="nil"/>
                <w:between w:val="nil"/>
              </w:pBdr>
              <w:tabs>
                <w:tab w:val="left" w:pos="-576"/>
                <w:tab w:val="left" w:pos="144"/>
              </w:tabs>
              <w:spacing w:after="120"/>
              <w:ind w:left="1275" w:right="282" w:hanging="992"/>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A15725" w14:paraId="651A0051" w14:textId="77777777">
        <w:tc>
          <w:tcPr>
            <w:tcW w:w="2694" w:type="dxa"/>
          </w:tcPr>
          <w:p w14:paraId="26FFBEC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371" w:type="dxa"/>
          </w:tcPr>
          <w:p w14:paraId="3C460426" w14:textId="77777777" w:rsidR="00A15725" w:rsidRDefault="00955D58">
            <w:pPr>
              <w:pBdr>
                <w:top w:val="nil"/>
                <w:left w:val="nil"/>
                <w:bottom w:val="nil"/>
                <w:right w:val="nil"/>
                <w:between w:val="nil"/>
              </w:pBdr>
              <w:tabs>
                <w:tab w:val="left" w:pos="-179"/>
              </w:tabs>
              <w:spacing w:after="120"/>
              <w:ind w:left="1275" w:right="282"/>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A15725" w14:paraId="2E15F3A6" w14:textId="77777777">
        <w:tc>
          <w:tcPr>
            <w:tcW w:w="2694" w:type="dxa"/>
          </w:tcPr>
          <w:p w14:paraId="318B0D7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"Regulations"</w:t>
            </w:r>
          </w:p>
        </w:tc>
        <w:tc>
          <w:tcPr>
            <w:tcW w:w="7371" w:type="dxa"/>
          </w:tcPr>
          <w:p w14:paraId="3E8FCF71"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A15725" w14:paraId="29B8D760" w14:textId="77777777">
        <w:tc>
          <w:tcPr>
            <w:tcW w:w="2694" w:type="dxa"/>
          </w:tcPr>
          <w:p w14:paraId="1B30F9B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371" w:type="dxa"/>
          </w:tcPr>
          <w:p w14:paraId="40E926EB"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4B86D0C0" w14:textId="77777777" w:rsidR="00A15725" w:rsidRDefault="00955D58">
            <w:pPr>
              <w:numPr>
                <w:ilvl w:val="1"/>
                <w:numId w:val="3"/>
              </w:numPr>
              <w:pBdr>
                <w:top w:val="nil"/>
                <w:left w:val="nil"/>
                <w:bottom w:val="nil"/>
                <w:right w:val="nil"/>
                <w:between w:val="nil"/>
              </w:pBdr>
              <w:tabs>
                <w:tab w:val="left" w:pos="-576"/>
                <w:tab w:val="left" w:pos="144"/>
              </w:tabs>
              <w:spacing w:after="120"/>
              <w:ind w:left="284" w:right="282" w:firstLine="0"/>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0E032541" w14:textId="77777777" w:rsidR="00A15725" w:rsidRDefault="00955D58">
            <w:pPr>
              <w:numPr>
                <w:ilvl w:val="1"/>
                <w:numId w:val="3"/>
              </w:numPr>
              <w:pBdr>
                <w:top w:val="nil"/>
                <w:left w:val="nil"/>
                <w:bottom w:val="nil"/>
                <w:right w:val="nil"/>
                <w:between w:val="nil"/>
              </w:pBdr>
              <w:tabs>
                <w:tab w:val="left" w:pos="-576"/>
                <w:tab w:val="left" w:pos="144"/>
              </w:tabs>
              <w:spacing w:after="120"/>
              <w:ind w:left="284" w:right="282" w:firstLine="0"/>
              <w:jc w:val="both"/>
              <w:rPr>
                <w:rFonts w:ascii="Arial" w:eastAsia="Arial" w:hAnsi="Arial" w:cs="Arial"/>
                <w:color w:val="000000"/>
                <w:sz w:val="24"/>
                <w:szCs w:val="24"/>
              </w:rPr>
            </w:pPr>
            <w:r>
              <w:rPr>
                <w:rFonts w:ascii="Arial" w:eastAsia="Arial" w:hAnsi="Arial" w:cs="Arial"/>
                <w:color w:val="000000"/>
                <w:sz w:val="24"/>
                <w:szCs w:val="24"/>
              </w:rPr>
              <w:t xml:space="preserve">subsistence expenses incurred by Supplier Staff whilst performing the Services at their usual place of work, or to and </w:t>
            </w:r>
            <w:r>
              <w:rPr>
                <w:rFonts w:ascii="Arial" w:eastAsia="Arial" w:hAnsi="Arial" w:cs="Arial"/>
                <w:color w:val="000000"/>
                <w:sz w:val="24"/>
                <w:szCs w:val="24"/>
              </w:rPr>
              <w:lastRenderedPageBreak/>
              <w:t>from the premises at which the Services are principally to be performed;</w:t>
            </w:r>
          </w:p>
        </w:tc>
      </w:tr>
      <w:tr w:rsidR="00A15725" w14:paraId="2CBFD10E" w14:textId="77777777">
        <w:tc>
          <w:tcPr>
            <w:tcW w:w="2694" w:type="dxa"/>
          </w:tcPr>
          <w:p w14:paraId="332B508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"Relevant Authority"</w:t>
            </w:r>
          </w:p>
        </w:tc>
        <w:tc>
          <w:tcPr>
            <w:tcW w:w="7371" w:type="dxa"/>
          </w:tcPr>
          <w:p w14:paraId="1FBCE592"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A15725" w14:paraId="712EFFDF" w14:textId="77777777">
        <w:tc>
          <w:tcPr>
            <w:tcW w:w="2694" w:type="dxa"/>
          </w:tcPr>
          <w:p w14:paraId="55C3D6B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371" w:type="dxa"/>
          </w:tcPr>
          <w:p w14:paraId="5510C8AD" w14:textId="77777777" w:rsidR="00A15725" w:rsidRDefault="00955D58">
            <w:pPr>
              <w:numPr>
                <w:ilvl w:val="1"/>
                <w:numId w:val="23"/>
              </w:numPr>
              <w:pBdr>
                <w:top w:val="nil"/>
                <w:left w:val="nil"/>
                <w:bottom w:val="nil"/>
                <w:right w:val="nil"/>
                <w:between w:val="nil"/>
              </w:pBdr>
              <w:tabs>
                <w:tab w:val="left" w:pos="-576"/>
                <w:tab w:val="left" w:pos="144"/>
              </w:tabs>
              <w:spacing w:after="120"/>
              <w:ind w:left="284" w:right="282" w:firstLine="0"/>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7FEF7667" w14:textId="77777777" w:rsidR="00A15725" w:rsidRDefault="00955D58">
            <w:pPr>
              <w:numPr>
                <w:ilvl w:val="1"/>
                <w:numId w:val="23"/>
              </w:numPr>
              <w:pBdr>
                <w:top w:val="nil"/>
                <w:left w:val="nil"/>
                <w:bottom w:val="nil"/>
                <w:right w:val="nil"/>
                <w:between w:val="nil"/>
              </w:pBdr>
              <w:tabs>
                <w:tab w:val="left" w:pos="-576"/>
                <w:tab w:val="left" w:pos="144"/>
              </w:tabs>
              <w:spacing w:after="120"/>
              <w:ind w:left="284" w:right="282" w:firstLine="0"/>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209E3A4B"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A15725" w14:paraId="335FE982" w14:textId="77777777">
        <w:tc>
          <w:tcPr>
            <w:tcW w:w="2694" w:type="dxa"/>
          </w:tcPr>
          <w:p w14:paraId="331B09C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371" w:type="dxa"/>
          </w:tcPr>
          <w:p w14:paraId="2F538D49"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A15725" w14:paraId="7CA91671" w14:textId="77777777">
        <w:tc>
          <w:tcPr>
            <w:tcW w:w="2694" w:type="dxa"/>
          </w:tcPr>
          <w:p w14:paraId="018DFEB7"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371" w:type="dxa"/>
          </w:tcPr>
          <w:p w14:paraId="3F7167D4"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A15725" w14:paraId="4ADB5029" w14:textId="77777777">
        <w:tc>
          <w:tcPr>
            <w:tcW w:w="2694" w:type="dxa"/>
          </w:tcPr>
          <w:p w14:paraId="7DCEDDF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"Reminder Notice"</w:t>
            </w:r>
          </w:p>
        </w:tc>
        <w:tc>
          <w:tcPr>
            <w:tcW w:w="7371" w:type="dxa"/>
          </w:tcPr>
          <w:p w14:paraId="042642BF" w14:textId="77777777" w:rsidR="00A15725" w:rsidRDefault="00955D58">
            <w:pPr>
              <w:pBdr>
                <w:top w:val="nil"/>
                <w:left w:val="nil"/>
                <w:bottom w:val="nil"/>
                <w:right w:val="nil"/>
                <w:between w:val="nil"/>
              </w:pBdr>
              <w:tabs>
                <w:tab w:val="left" w:pos="1985"/>
                <w:tab w:val="left" w:pos="2127"/>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A15725" w14:paraId="67C72CD6" w14:textId="77777777">
        <w:tc>
          <w:tcPr>
            <w:tcW w:w="2694" w:type="dxa"/>
          </w:tcPr>
          <w:p w14:paraId="5A9F064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"Replacement Deliverables or Replacement Services"</w:t>
            </w:r>
          </w:p>
        </w:tc>
        <w:tc>
          <w:tcPr>
            <w:tcW w:w="7371" w:type="dxa"/>
          </w:tcPr>
          <w:p w14:paraId="21C04296" w14:textId="77777777" w:rsidR="00A15725" w:rsidRDefault="00955D58">
            <w:pPr>
              <w:pBdr>
                <w:top w:val="nil"/>
                <w:left w:val="nil"/>
                <w:bottom w:val="nil"/>
                <w:right w:val="nil"/>
                <w:between w:val="nil"/>
              </w:pBdr>
              <w:tabs>
                <w:tab w:val="left" w:pos="1985"/>
                <w:tab w:val="left" w:pos="2127"/>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deliverables/Services which are substantially similar to any of the Deliverables and which the Buyer receives in substitution for any of the Deliverables following the Call-Off Expiry Date, whether those Services are provided by the Buyer internally and/or by any third party;</w:t>
            </w:r>
          </w:p>
        </w:tc>
      </w:tr>
      <w:tr w:rsidR="00A15725" w14:paraId="5C13209F" w14:textId="77777777">
        <w:tc>
          <w:tcPr>
            <w:tcW w:w="2694" w:type="dxa"/>
            <w:vAlign w:val="center"/>
          </w:tcPr>
          <w:p w14:paraId="5F0FFE5C"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“Replacement Equipment”</w:t>
            </w:r>
          </w:p>
        </w:tc>
        <w:tc>
          <w:tcPr>
            <w:tcW w:w="7371" w:type="dxa"/>
            <w:vAlign w:val="center"/>
          </w:tcPr>
          <w:p w14:paraId="039DE97D" w14:textId="77777777" w:rsidR="00A15725" w:rsidRDefault="00955D58">
            <w:pPr>
              <w:pBdr>
                <w:top w:val="nil"/>
                <w:left w:val="nil"/>
                <w:bottom w:val="nil"/>
                <w:right w:val="nil"/>
                <w:between w:val="nil"/>
              </w:pBdr>
              <w:tabs>
                <w:tab w:val="left" w:pos="1985"/>
                <w:tab w:val="left" w:pos="2127"/>
              </w:tabs>
              <w:spacing w:after="120"/>
              <w:ind w:left="284" w:right="282"/>
              <w:jc w:val="both"/>
              <w:rPr>
                <w:rFonts w:ascii="Arial" w:eastAsia="Arial" w:hAnsi="Arial" w:cs="Arial"/>
                <w:color w:val="000000"/>
                <w:sz w:val="24"/>
                <w:szCs w:val="24"/>
              </w:rPr>
            </w:pPr>
            <w:r>
              <w:rPr>
                <w:rFonts w:ascii="Arial" w:eastAsia="Arial" w:hAnsi="Arial" w:cs="Arial"/>
                <w:sz w:val="24"/>
                <w:szCs w:val="24"/>
              </w:rPr>
              <w:t>plant, assets, spare parts, equipment, replacement parts, materials and other items (whether or not reused or reconditioned) supplied by the Supplier in order to deliver the required Services and as outlined in the Specification;;</w:t>
            </w:r>
          </w:p>
        </w:tc>
      </w:tr>
      <w:tr w:rsidR="00A15725" w14:paraId="42DC3981" w14:textId="77777777">
        <w:tc>
          <w:tcPr>
            <w:tcW w:w="2694" w:type="dxa"/>
          </w:tcPr>
          <w:p w14:paraId="64D76726"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371" w:type="dxa"/>
          </w:tcPr>
          <w:p w14:paraId="369D1285"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A15725" w14:paraId="1E8F03AC" w14:textId="77777777">
        <w:tc>
          <w:tcPr>
            <w:tcW w:w="2694" w:type="dxa"/>
          </w:tcPr>
          <w:p w14:paraId="1596E4C1" w14:textId="77777777" w:rsidR="00A15725" w:rsidRDefault="00955D58">
            <w:pPr>
              <w:pBdr>
                <w:top w:val="nil"/>
                <w:left w:val="nil"/>
                <w:bottom w:val="nil"/>
                <w:right w:val="nil"/>
                <w:between w:val="nil"/>
              </w:pBdr>
              <w:spacing w:after="120"/>
              <w:ind w:left="284" w:right="282"/>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371" w:type="dxa"/>
          </w:tcPr>
          <w:p w14:paraId="58D28040"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A15725" w14:paraId="17349B6A" w14:textId="77777777">
        <w:tc>
          <w:tcPr>
            <w:tcW w:w="2694" w:type="dxa"/>
            <w:vAlign w:val="center"/>
          </w:tcPr>
          <w:p w14:paraId="6F8CB0F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"Resource Rates"</w:t>
            </w:r>
          </w:p>
        </w:tc>
        <w:tc>
          <w:tcPr>
            <w:tcW w:w="7371" w:type="dxa"/>
            <w:vAlign w:val="center"/>
          </w:tcPr>
          <w:p w14:paraId="036D67D2"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means those rates provided by the Supplier and as set out in the Pricing Matrix;</w:t>
            </w:r>
          </w:p>
        </w:tc>
      </w:tr>
      <w:tr w:rsidR="00A15725" w14:paraId="2004BA01" w14:textId="77777777">
        <w:tc>
          <w:tcPr>
            <w:tcW w:w="2694" w:type="dxa"/>
          </w:tcPr>
          <w:p w14:paraId="583AE6D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"Request For Information"</w:t>
            </w:r>
          </w:p>
        </w:tc>
        <w:tc>
          <w:tcPr>
            <w:tcW w:w="7371" w:type="dxa"/>
          </w:tcPr>
          <w:p w14:paraId="66B745FC"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A15725" w14:paraId="7D4F8AF6" w14:textId="77777777">
        <w:tc>
          <w:tcPr>
            <w:tcW w:w="2694" w:type="dxa"/>
          </w:tcPr>
          <w:p w14:paraId="7060699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371" w:type="dxa"/>
          </w:tcPr>
          <w:p w14:paraId="3DBFACA8"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A15725" w14:paraId="1CFD97AC" w14:textId="77777777">
        <w:tc>
          <w:tcPr>
            <w:tcW w:w="2694" w:type="dxa"/>
          </w:tcPr>
          <w:p w14:paraId="6F92E8B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“RTI”</w:t>
            </w:r>
          </w:p>
        </w:tc>
        <w:tc>
          <w:tcPr>
            <w:tcW w:w="7371" w:type="dxa"/>
          </w:tcPr>
          <w:p w14:paraId="71F69D4D"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Real Time Information</w:t>
            </w:r>
          </w:p>
        </w:tc>
      </w:tr>
      <w:tr w:rsidR="00A15725" w14:paraId="205C798A" w14:textId="77777777">
        <w:tc>
          <w:tcPr>
            <w:tcW w:w="2694" w:type="dxa"/>
          </w:tcPr>
          <w:p w14:paraId="47B06F5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371" w:type="dxa"/>
          </w:tcPr>
          <w:p w14:paraId="56AC0584"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(Mobilisation Plan and Testing) or as agreed by the Parties where Call-Off Schedule 13 is not used in this Contract) granted by the Buyer when the Supplier has met all of the requirements of an Order, Achieved a Milestone or a Test;</w:t>
            </w:r>
          </w:p>
        </w:tc>
      </w:tr>
      <w:tr w:rsidR="00A15725" w14:paraId="7BCF43D0" w14:textId="77777777">
        <w:tc>
          <w:tcPr>
            <w:tcW w:w="2694" w:type="dxa"/>
            <w:vAlign w:val="center"/>
          </w:tcPr>
          <w:p w14:paraId="16AF5BC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“Schedules"</w:t>
            </w:r>
          </w:p>
        </w:tc>
        <w:tc>
          <w:tcPr>
            <w:tcW w:w="7371" w:type="dxa"/>
            <w:vAlign w:val="center"/>
          </w:tcPr>
          <w:p w14:paraId="6060C76B"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can mean a Framework, Call-Off or Joint Schedule that contain the terms and conditions;</w:t>
            </w:r>
          </w:p>
        </w:tc>
      </w:tr>
      <w:tr w:rsidR="00A15725" w14:paraId="4F994318" w14:textId="77777777">
        <w:tc>
          <w:tcPr>
            <w:tcW w:w="2694" w:type="dxa"/>
            <w:vAlign w:val="center"/>
          </w:tcPr>
          <w:p w14:paraId="59696AA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“Schedule of Rates</w:t>
            </w:r>
            <w:r>
              <w:rPr>
                <w:rFonts w:ascii="Arial" w:eastAsia="Arial" w:hAnsi="Arial" w:cs="Arial"/>
                <w:sz w:val="24"/>
                <w:szCs w:val="24"/>
              </w:rPr>
              <w:t>”</w:t>
            </w:r>
          </w:p>
        </w:tc>
        <w:tc>
          <w:tcPr>
            <w:tcW w:w="7371" w:type="dxa"/>
            <w:vAlign w:val="center"/>
          </w:tcPr>
          <w:p w14:paraId="3C2CD498" w14:textId="77777777" w:rsidR="00A15725" w:rsidRDefault="00955D58">
            <w:pPr>
              <w:pBdr>
                <w:top w:val="nil"/>
                <w:left w:val="nil"/>
                <w:bottom w:val="nil"/>
                <w:right w:val="nil"/>
                <w:between w:val="nil"/>
              </w:pBdr>
              <w:tabs>
                <w:tab w:val="left" w:pos="-179"/>
              </w:tabs>
              <w:spacing w:after="120"/>
              <w:ind w:left="284" w:right="282"/>
              <w:rPr>
                <w:rFonts w:ascii="Arial" w:eastAsia="Arial" w:hAnsi="Arial" w:cs="Arial"/>
                <w:color w:val="000000"/>
                <w:sz w:val="24"/>
                <w:szCs w:val="24"/>
              </w:rPr>
            </w:pPr>
            <w:r>
              <w:rPr>
                <w:rFonts w:ascii="Arial" w:eastAsia="Arial" w:hAnsi="Arial" w:cs="Arial"/>
                <w:color w:val="000000"/>
                <w:sz w:val="24"/>
                <w:szCs w:val="24"/>
              </w:rPr>
              <w:t xml:space="preserve">Labour rates are captured in Framework Schedule 3 – (Framework Pricing) and detail the hourly rates for the different trades the </w:t>
            </w:r>
            <w:r>
              <w:rPr>
                <w:rFonts w:ascii="Arial" w:eastAsia="Arial" w:hAnsi="Arial" w:cs="Arial"/>
                <w:sz w:val="24"/>
                <w:szCs w:val="24"/>
              </w:rPr>
              <w:t>S</w:t>
            </w:r>
            <w:r>
              <w:rPr>
                <w:rFonts w:ascii="Arial" w:eastAsia="Arial" w:hAnsi="Arial" w:cs="Arial"/>
                <w:color w:val="000000"/>
                <w:sz w:val="24"/>
                <w:szCs w:val="24"/>
              </w:rPr>
              <w:t xml:space="preserve">upplier will use to fulfil all </w:t>
            </w:r>
            <w:r>
              <w:rPr>
                <w:rFonts w:ascii="Arial" w:eastAsia="Arial" w:hAnsi="Arial" w:cs="Arial"/>
                <w:sz w:val="24"/>
                <w:szCs w:val="24"/>
              </w:rPr>
              <w:t>Core</w:t>
            </w:r>
            <w:r>
              <w:rPr>
                <w:rFonts w:ascii="Arial" w:eastAsia="Arial" w:hAnsi="Arial" w:cs="Arial"/>
                <w:color w:val="000000"/>
                <w:sz w:val="24"/>
                <w:szCs w:val="24"/>
              </w:rPr>
              <w:t xml:space="preserve"> Services, and </w:t>
            </w:r>
            <w:r>
              <w:rPr>
                <w:rFonts w:ascii="Arial" w:eastAsia="Arial" w:hAnsi="Arial" w:cs="Arial"/>
                <w:sz w:val="24"/>
                <w:szCs w:val="24"/>
              </w:rPr>
              <w:t>Additional</w:t>
            </w:r>
            <w:r>
              <w:rPr>
                <w:rFonts w:ascii="Arial" w:eastAsia="Arial" w:hAnsi="Arial" w:cs="Arial"/>
                <w:color w:val="000000"/>
                <w:sz w:val="24"/>
                <w:szCs w:val="24"/>
              </w:rPr>
              <w:t xml:space="preserve"> </w:t>
            </w:r>
            <w:r>
              <w:rPr>
                <w:rFonts w:ascii="Arial" w:eastAsia="Arial" w:hAnsi="Arial" w:cs="Arial"/>
                <w:sz w:val="24"/>
                <w:szCs w:val="24"/>
              </w:rPr>
              <w:t>S</w:t>
            </w:r>
            <w:r>
              <w:rPr>
                <w:rFonts w:ascii="Arial" w:eastAsia="Arial" w:hAnsi="Arial" w:cs="Arial"/>
                <w:color w:val="000000"/>
                <w:sz w:val="24"/>
                <w:szCs w:val="24"/>
              </w:rPr>
              <w:t xml:space="preserve">ervices indicated. Labour rates should be proportionally linked to the Standard Service </w:t>
            </w:r>
            <w:r>
              <w:rPr>
                <w:rFonts w:ascii="Arial" w:eastAsia="Arial" w:hAnsi="Arial" w:cs="Arial"/>
                <w:sz w:val="24"/>
                <w:szCs w:val="24"/>
              </w:rPr>
              <w:t>r</w:t>
            </w:r>
            <w:r>
              <w:rPr>
                <w:rFonts w:ascii="Arial" w:eastAsia="Arial" w:hAnsi="Arial" w:cs="Arial"/>
                <w:color w:val="000000"/>
                <w:sz w:val="24"/>
                <w:szCs w:val="24"/>
              </w:rPr>
              <w:t>ates.</w:t>
            </w:r>
          </w:p>
          <w:p w14:paraId="1EE49BD8" w14:textId="77777777" w:rsidR="00A15725" w:rsidRDefault="00955D58">
            <w:pPr>
              <w:pBdr>
                <w:top w:val="nil"/>
                <w:left w:val="nil"/>
                <w:bottom w:val="nil"/>
                <w:right w:val="nil"/>
                <w:between w:val="nil"/>
              </w:pBdr>
              <w:tabs>
                <w:tab w:val="left" w:pos="-179"/>
              </w:tabs>
              <w:spacing w:after="120"/>
              <w:ind w:left="284" w:right="282"/>
              <w:rPr>
                <w:rFonts w:ascii="Arial" w:eastAsia="Arial" w:hAnsi="Arial" w:cs="Arial"/>
                <w:color w:val="000000"/>
                <w:sz w:val="24"/>
                <w:szCs w:val="24"/>
              </w:rPr>
            </w:pPr>
            <w:r>
              <w:rPr>
                <w:rFonts w:ascii="Arial" w:eastAsia="Arial" w:hAnsi="Arial" w:cs="Arial"/>
                <w:color w:val="000000"/>
                <w:sz w:val="24"/>
                <w:szCs w:val="24"/>
              </w:rPr>
              <w:t>Labour rates should take into account all costs involved in supplying that trade, other than Management and Corporate Overhead, and Profit, which will be added when the rates are used.</w:t>
            </w:r>
          </w:p>
          <w:p w14:paraId="433B7207" w14:textId="77777777" w:rsidR="00A15725" w:rsidRDefault="00955D58">
            <w:pPr>
              <w:pBdr>
                <w:top w:val="nil"/>
                <w:left w:val="nil"/>
                <w:bottom w:val="nil"/>
                <w:right w:val="nil"/>
                <w:between w:val="nil"/>
              </w:pBdr>
              <w:tabs>
                <w:tab w:val="left" w:pos="-179"/>
              </w:tabs>
              <w:spacing w:after="120"/>
              <w:ind w:left="284" w:right="282"/>
              <w:rPr>
                <w:rFonts w:ascii="Arial" w:eastAsia="Arial" w:hAnsi="Arial" w:cs="Arial"/>
                <w:color w:val="000000"/>
                <w:sz w:val="24"/>
                <w:szCs w:val="24"/>
              </w:rPr>
            </w:pPr>
            <w:r>
              <w:rPr>
                <w:rFonts w:ascii="Arial" w:eastAsia="Arial" w:hAnsi="Arial" w:cs="Arial"/>
                <w:color w:val="000000"/>
                <w:sz w:val="24"/>
                <w:szCs w:val="24"/>
              </w:rPr>
              <w:t>Costs should include but not be limited to: salary, on-costs, employers NI, employers’ pension and life insurance, holiday &amp; sickness cover. Materials are not included. Labour rates (£ per hour) will be detailed to show the First Hour (including cost to travel to site) and Subsequent hourly rates for</w:t>
            </w:r>
          </w:p>
          <w:p w14:paraId="5A925819" w14:textId="77777777" w:rsidR="00A15725" w:rsidRDefault="00955D58">
            <w:pPr>
              <w:pBdr>
                <w:top w:val="nil"/>
                <w:left w:val="nil"/>
                <w:bottom w:val="nil"/>
                <w:right w:val="nil"/>
                <w:between w:val="nil"/>
              </w:pBdr>
              <w:tabs>
                <w:tab w:val="left" w:pos="-179"/>
              </w:tabs>
              <w:spacing w:after="120"/>
              <w:ind w:left="284" w:right="282"/>
              <w:rPr>
                <w:rFonts w:ascii="Arial" w:eastAsia="Arial" w:hAnsi="Arial" w:cs="Arial"/>
                <w:color w:val="000000"/>
                <w:sz w:val="24"/>
                <w:szCs w:val="24"/>
              </w:rPr>
            </w:pPr>
            <w:r>
              <w:rPr>
                <w:rFonts w:ascii="Arial" w:eastAsia="Arial" w:hAnsi="Arial" w:cs="Arial"/>
                <w:color w:val="000000"/>
                <w:sz w:val="24"/>
                <w:szCs w:val="24"/>
              </w:rPr>
              <w:t>·       Operational Working Hours</w:t>
            </w:r>
          </w:p>
          <w:p w14:paraId="3B4AA3F4" w14:textId="77777777" w:rsidR="00A15725" w:rsidRDefault="00955D58">
            <w:pPr>
              <w:pBdr>
                <w:top w:val="nil"/>
                <w:left w:val="nil"/>
                <w:bottom w:val="nil"/>
                <w:right w:val="nil"/>
                <w:between w:val="nil"/>
              </w:pBdr>
              <w:tabs>
                <w:tab w:val="left" w:pos="-179"/>
              </w:tabs>
              <w:spacing w:after="120"/>
              <w:ind w:left="284" w:right="282"/>
              <w:rPr>
                <w:rFonts w:ascii="Arial" w:eastAsia="Arial" w:hAnsi="Arial" w:cs="Arial"/>
                <w:color w:val="000000"/>
                <w:sz w:val="24"/>
                <w:szCs w:val="24"/>
              </w:rPr>
            </w:pPr>
            <w:r>
              <w:rPr>
                <w:rFonts w:ascii="Arial" w:eastAsia="Arial" w:hAnsi="Arial" w:cs="Arial"/>
                <w:color w:val="000000"/>
                <w:sz w:val="24"/>
                <w:szCs w:val="24"/>
              </w:rPr>
              <w:t>·       Out of hours Monday to Friday and Saturday am</w:t>
            </w:r>
          </w:p>
          <w:p w14:paraId="39809E8F" w14:textId="77777777" w:rsidR="00A15725" w:rsidRDefault="00955D58">
            <w:pPr>
              <w:pBdr>
                <w:top w:val="nil"/>
                <w:left w:val="nil"/>
                <w:bottom w:val="nil"/>
                <w:right w:val="nil"/>
                <w:between w:val="nil"/>
              </w:pBdr>
              <w:tabs>
                <w:tab w:val="left" w:pos="-179"/>
              </w:tabs>
              <w:spacing w:after="120"/>
              <w:ind w:left="284" w:right="282"/>
              <w:rPr>
                <w:rFonts w:ascii="Arial" w:eastAsia="Arial" w:hAnsi="Arial" w:cs="Arial"/>
                <w:color w:val="000000"/>
                <w:sz w:val="24"/>
                <w:szCs w:val="24"/>
              </w:rPr>
            </w:pPr>
            <w:r>
              <w:rPr>
                <w:rFonts w:ascii="Arial" w:eastAsia="Arial" w:hAnsi="Arial" w:cs="Arial"/>
                <w:color w:val="000000"/>
                <w:sz w:val="24"/>
                <w:szCs w:val="24"/>
              </w:rPr>
              <w:t>·       Out of hours Saturday pm, Sunday and Bank Holidays</w:t>
            </w:r>
          </w:p>
          <w:p w14:paraId="164FA267" w14:textId="77777777" w:rsidR="00A15725" w:rsidRDefault="00A15725">
            <w:pPr>
              <w:pBdr>
                <w:top w:val="nil"/>
                <w:left w:val="nil"/>
                <w:bottom w:val="nil"/>
                <w:right w:val="nil"/>
                <w:between w:val="nil"/>
              </w:pBdr>
              <w:tabs>
                <w:tab w:val="left" w:pos="-179"/>
              </w:tabs>
              <w:spacing w:after="120"/>
              <w:ind w:left="284" w:right="282"/>
              <w:rPr>
                <w:rFonts w:ascii="Arial" w:eastAsia="Arial" w:hAnsi="Arial" w:cs="Arial"/>
                <w:color w:val="000000"/>
                <w:sz w:val="24"/>
                <w:szCs w:val="24"/>
              </w:rPr>
            </w:pPr>
          </w:p>
          <w:p w14:paraId="081603B7"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Labour rates will be used, where appropriate, to price Billable Works, Projects, Small Works, and where Work Orders exceed the Inclusive Repairs Threshold, where the works is to be completed by the labour resources allocated to the Call Off Contract.</w:t>
            </w:r>
          </w:p>
        </w:tc>
      </w:tr>
      <w:tr w:rsidR="00A15725" w14:paraId="7554773B" w14:textId="77777777">
        <w:tc>
          <w:tcPr>
            <w:tcW w:w="2694" w:type="dxa"/>
          </w:tcPr>
          <w:p w14:paraId="45AFD1B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371" w:type="dxa"/>
          </w:tcPr>
          <w:p w14:paraId="050D9687"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A15725" w14:paraId="1ADDEF11" w14:textId="77777777">
        <w:tc>
          <w:tcPr>
            <w:tcW w:w="2694" w:type="dxa"/>
          </w:tcPr>
          <w:p w14:paraId="446F097F" w14:textId="77777777" w:rsidR="00A15725" w:rsidRDefault="00955D58">
            <w:pPr>
              <w:pBdr>
                <w:top w:val="nil"/>
                <w:left w:val="nil"/>
                <w:bottom w:val="nil"/>
                <w:right w:val="nil"/>
                <w:between w:val="nil"/>
              </w:pBdr>
              <w:spacing w:after="120"/>
              <w:ind w:left="284" w:right="282"/>
              <w:rPr>
                <w:rFonts w:ascii="Arial" w:eastAsia="Arial" w:hAnsi="Arial" w:cs="Arial"/>
                <w:b/>
                <w:color w:val="000000"/>
                <w:sz w:val="24"/>
                <w:szCs w:val="24"/>
              </w:rPr>
            </w:pPr>
            <w:r>
              <w:rPr>
                <w:rFonts w:ascii="Arial" w:eastAsia="Arial" w:hAnsi="Arial" w:cs="Arial"/>
                <w:b/>
                <w:color w:val="000000"/>
                <w:sz w:val="24"/>
                <w:szCs w:val="24"/>
              </w:rPr>
              <w:t>"Security Policy"</w:t>
            </w:r>
          </w:p>
        </w:tc>
        <w:tc>
          <w:tcPr>
            <w:tcW w:w="7371" w:type="dxa"/>
          </w:tcPr>
          <w:p w14:paraId="72CC18BD"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the Buyer's security policy, referred to in the Order Form, in force as at the Call-Off Start Date (a copy of which has been supplied </w:t>
            </w:r>
            <w:r>
              <w:rPr>
                <w:rFonts w:ascii="Arial" w:eastAsia="Arial" w:hAnsi="Arial" w:cs="Arial"/>
                <w:color w:val="000000"/>
                <w:sz w:val="24"/>
                <w:szCs w:val="24"/>
              </w:rPr>
              <w:lastRenderedPageBreak/>
              <w:t>to the Supplier), as updated from time to time and notified to the Supplier;</w:t>
            </w:r>
          </w:p>
        </w:tc>
      </w:tr>
      <w:tr w:rsidR="00A15725" w14:paraId="5D8EDEB0" w14:textId="77777777">
        <w:tc>
          <w:tcPr>
            <w:tcW w:w="2694" w:type="dxa"/>
          </w:tcPr>
          <w:p w14:paraId="4F2921F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"Self Audit Certificate"</w:t>
            </w:r>
          </w:p>
        </w:tc>
        <w:tc>
          <w:tcPr>
            <w:tcW w:w="7371" w:type="dxa"/>
          </w:tcPr>
          <w:p w14:paraId="7807C7F4"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A15725" w14:paraId="045A986B" w14:textId="77777777">
        <w:tc>
          <w:tcPr>
            <w:tcW w:w="2694" w:type="dxa"/>
          </w:tcPr>
          <w:p w14:paraId="4D01FA4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371" w:type="dxa"/>
          </w:tcPr>
          <w:p w14:paraId="5FEC392F"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A15725" w14:paraId="4618C91D" w14:textId="77777777">
        <w:tc>
          <w:tcPr>
            <w:tcW w:w="2694" w:type="dxa"/>
            <w:vAlign w:val="center"/>
          </w:tcPr>
          <w:p w14:paraId="2295FA4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“Service Delivery Plan”</w:t>
            </w:r>
          </w:p>
        </w:tc>
        <w:tc>
          <w:tcPr>
            <w:tcW w:w="7371" w:type="dxa"/>
            <w:vAlign w:val="center"/>
          </w:tcPr>
          <w:p w14:paraId="6EAEE1C9"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means the plan to be provided by the Supplier which details how the Supplier will deliver all elements of the Services required under the Contract</w:t>
            </w:r>
          </w:p>
        </w:tc>
      </w:tr>
      <w:tr w:rsidR="00A15725" w14:paraId="06AD2D03" w14:textId="77777777">
        <w:tc>
          <w:tcPr>
            <w:tcW w:w="2694" w:type="dxa"/>
          </w:tcPr>
          <w:p w14:paraId="3FE8495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“Service Credits”</w:t>
            </w:r>
          </w:p>
        </w:tc>
        <w:tc>
          <w:tcPr>
            <w:tcW w:w="7371" w:type="dxa"/>
          </w:tcPr>
          <w:p w14:paraId="4D531082"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the sums payable in respect of the failure by the Contractor to meet one or more Key Performance Indicator;</w:t>
            </w:r>
          </w:p>
        </w:tc>
      </w:tr>
      <w:tr w:rsidR="00A15725" w14:paraId="7320726C" w14:textId="77777777">
        <w:tc>
          <w:tcPr>
            <w:tcW w:w="2694" w:type="dxa"/>
          </w:tcPr>
          <w:p w14:paraId="3CA4812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“Service Delivery”</w:t>
            </w:r>
          </w:p>
        </w:tc>
        <w:tc>
          <w:tcPr>
            <w:tcW w:w="7371" w:type="dxa"/>
          </w:tcPr>
          <w:p w14:paraId="0DFB0CA3"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the act of delivering a service to customers;</w:t>
            </w:r>
          </w:p>
        </w:tc>
      </w:tr>
      <w:tr w:rsidR="00A15725" w14:paraId="4548E726" w14:textId="77777777">
        <w:tc>
          <w:tcPr>
            <w:tcW w:w="2694" w:type="dxa"/>
          </w:tcPr>
          <w:p w14:paraId="3ED295B1" w14:textId="77777777" w:rsidR="00A15725" w:rsidRDefault="00955D58">
            <w:pPr>
              <w:pBdr>
                <w:top w:val="nil"/>
                <w:left w:val="nil"/>
                <w:bottom w:val="nil"/>
                <w:right w:val="nil"/>
                <w:between w:val="nil"/>
              </w:pBdr>
              <w:spacing w:after="120"/>
              <w:ind w:left="284" w:right="282"/>
              <w:rPr>
                <w:rFonts w:ascii="Arial" w:eastAsia="Arial" w:hAnsi="Arial" w:cs="Arial"/>
                <w:b/>
                <w:color w:val="000000"/>
                <w:sz w:val="24"/>
                <w:szCs w:val="24"/>
              </w:rPr>
            </w:pPr>
            <w:r>
              <w:rPr>
                <w:rFonts w:ascii="Arial" w:eastAsia="Arial" w:hAnsi="Arial" w:cs="Arial"/>
                <w:b/>
                <w:sz w:val="24"/>
                <w:szCs w:val="24"/>
              </w:rPr>
              <w:t>“Service Level Agreement"</w:t>
            </w:r>
          </w:p>
        </w:tc>
        <w:tc>
          <w:tcPr>
            <w:tcW w:w="7371" w:type="dxa"/>
          </w:tcPr>
          <w:p w14:paraId="2FC575E7"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An agreement between the Supplier of a Service and its customer, which quantifies the minimum Service Levels which meets business needs</w:t>
            </w:r>
          </w:p>
        </w:tc>
      </w:tr>
      <w:tr w:rsidR="00A15725" w14:paraId="4BCA07BD" w14:textId="77777777">
        <w:tc>
          <w:tcPr>
            <w:tcW w:w="2694" w:type="dxa"/>
            <w:vAlign w:val="center"/>
          </w:tcPr>
          <w:p w14:paraId="18D87A8B"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"Service Month"</w:t>
            </w:r>
          </w:p>
        </w:tc>
        <w:tc>
          <w:tcPr>
            <w:tcW w:w="7371" w:type="dxa"/>
            <w:vAlign w:val="center"/>
          </w:tcPr>
          <w:p w14:paraId="43E1E2E3"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sz w:val="24"/>
                <w:szCs w:val="24"/>
              </w:rPr>
            </w:pPr>
            <w:r>
              <w:rPr>
                <w:rFonts w:ascii="Arial" w:eastAsia="Arial" w:hAnsi="Arial" w:cs="Arial"/>
                <w:sz w:val="24"/>
                <w:szCs w:val="24"/>
              </w:rPr>
              <w:t>each monthly period (or part of a Month at the start and end of the Contract Period where applicable) during which Deliverables are provided by the Supplier;</w:t>
            </w:r>
          </w:p>
        </w:tc>
      </w:tr>
      <w:tr w:rsidR="00A15725" w14:paraId="12CE8EE6" w14:textId="77777777">
        <w:tc>
          <w:tcPr>
            <w:tcW w:w="2694" w:type="dxa"/>
          </w:tcPr>
          <w:p w14:paraId="2097BF5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"Service Period"</w:t>
            </w:r>
          </w:p>
        </w:tc>
        <w:tc>
          <w:tcPr>
            <w:tcW w:w="7371" w:type="dxa"/>
          </w:tcPr>
          <w:p w14:paraId="78954D97"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A15725" w14:paraId="3C111B76" w14:textId="77777777">
        <w:tc>
          <w:tcPr>
            <w:tcW w:w="2694" w:type="dxa"/>
          </w:tcPr>
          <w:p w14:paraId="194CB68B"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"Services"</w:t>
            </w:r>
          </w:p>
        </w:tc>
        <w:tc>
          <w:tcPr>
            <w:tcW w:w="7371" w:type="dxa"/>
          </w:tcPr>
          <w:p w14:paraId="2F03B3AF"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A15725" w14:paraId="4AAFF295" w14:textId="77777777">
        <w:tc>
          <w:tcPr>
            <w:tcW w:w="2694" w:type="dxa"/>
          </w:tcPr>
          <w:p w14:paraId="7757645E"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“Service Requirement Filter”</w:t>
            </w:r>
          </w:p>
        </w:tc>
        <w:tc>
          <w:tcPr>
            <w:tcW w:w="7371" w:type="dxa"/>
          </w:tcPr>
          <w:p w14:paraId="6EB25691"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means the filters that include: Service, Estimated Contract Cost, and Geographical Boundaries that the Buyer will use to create a Supplier shortlist;</w:t>
            </w:r>
          </w:p>
        </w:tc>
      </w:tr>
      <w:tr w:rsidR="00A15725" w14:paraId="4CBBF8DA" w14:textId="77777777">
        <w:tc>
          <w:tcPr>
            <w:tcW w:w="2694" w:type="dxa"/>
          </w:tcPr>
          <w:p w14:paraId="5AFA2C59"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371" w:type="dxa"/>
          </w:tcPr>
          <w:p w14:paraId="4A843397"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A15725" w14:paraId="6FB55C26" w14:textId="77777777">
        <w:tc>
          <w:tcPr>
            <w:tcW w:w="2694" w:type="dxa"/>
          </w:tcPr>
          <w:p w14:paraId="6246AA98" w14:textId="77777777" w:rsidR="00A15725" w:rsidRDefault="00955D58">
            <w:pPr>
              <w:pBdr>
                <w:top w:val="nil"/>
                <w:left w:val="nil"/>
                <w:bottom w:val="nil"/>
                <w:right w:val="nil"/>
                <w:between w:val="nil"/>
              </w:pBdr>
              <w:spacing w:after="120"/>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371" w:type="dxa"/>
          </w:tcPr>
          <w:p w14:paraId="4C0B7C88"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A15725" w14:paraId="697C2045" w14:textId="77777777">
        <w:tc>
          <w:tcPr>
            <w:tcW w:w="2694" w:type="dxa"/>
          </w:tcPr>
          <w:p w14:paraId="1B9D097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“Shared Services Strategy”</w:t>
            </w:r>
          </w:p>
        </w:tc>
        <w:tc>
          <w:tcPr>
            <w:tcW w:w="7371" w:type="dxa"/>
          </w:tcPr>
          <w:p w14:paraId="728167E8" w14:textId="77777777" w:rsidR="00A15725" w:rsidRDefault="00955D58">
            <w:pPr>
              <w:spacing w:line="276" w:lineRule="auto"/>
              <w:ind w:left="284" w:right="282"/>
              <w:rPr>
                <w:rFonts w:ascii="Arial" w:eastAsia="Arial" w:hAnsi="Arial" w:cs="Arial"/>
                <w:sz w:val="24"/>
                <w:szCs w:val="24"/>
              </w:rPr>
            </w:pPr>
            <w:r>
              <w:rPr>
                <w:rFonts w:ascii="Arial" w:eastAsia="Arial" w:hAnsi="Arial" w:cs="Arial"/>
                <w:color w:val="202124"/>
                <w:sz w:val="24"/>
                <w:szCs w:val="24"/>
                <w:highlight w:val="white"/>
              </w:rPr>
              <w:t xml:space="preserve">a delivery model for the effective and efficient delivery of non-core </w:t>
            </w:r>
            <w:r>
              <w:rPr>
                <w:rFonts w:ascii="Arial" w:eastAsia="Arial" w:hAnsi="Arial" w:cs="Arial"/>
                <w:b/>
                <w:color w:val="202124"/>
                <w:sz w:val="24"/>
                <w:szCs w:val="24"/>
                <w:highlight w:val="white"/>
              </w:rPr>
              <w:t>services</w:t>
            </w:r>
            <w:r>
              <w:rPr>
                <w:rFonts w:ascii="Arial" w:eastAsia="Arial" w:hAnsi="Arial" w:cs="Arial"/>
                <w:color w:val="202124"/>
                <w:sz w:val="24"/>
                <w:szCs w:val="24"/>
                <w:highlight w:val="white"/>
              </w:rPr>
              <w:t xml:space="preserve"> to the business. It employs a specialist team, geographically unconstrained, and focuses on the requirements of the customer</w:t>
            </w:r>
          </w:p>
        </w:tc>
      </w:tr>
      <w:tr w:rsidR="00A15725" w14:paraId="68593730" w14:textId="77777777">
        <w:tc>
          <w:tcPr>
            <w:tcW w:w="2694" w:type="dxa"/>
          </w:tcPr>
          <w:p w14:paraId="59EEF3F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"Sites"</w:t>
            </w:r>
          </w:p>
        </w:tc>
        <w:tc>
          <w:tcPr>
            <w:tcW w:w="7371" w:type="dxa"/>
          </w:tcPr>
          <w:p w14:paraId="3F12696E"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40636FDC" w14:textId="77777777" w:rsidR="00A15725" w:rsidRDefault="00955D58">
            <w:pPr>
              <w:numPr>
                <w:ilvl w:val="1"/>
                <w:numId w:val="24"/>
              </w:numPr>
              <w:pBdr>
                <w:top w:val="nil"/>
                <w:left w:val="nil"/>
                <w:bottom w:val="nil"/>
                <w:right w:val="nil"/>
                <w:between w:val="nil"/>
              </w:pBdr>
              <w:tabs>
                <w:tab w:val="left" w:pos="-576"/>
                <w:tab w:val="left" w:pos="14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 xml:space="preserve">the Deliverables are (or are to be) provided; </w:t>
            </w:r>
          </w:p>
          <w:p w14:paraId="41C72F07" w14:textId="77777777" w:rsidR="00A15725" w:rsidRDefault="00955D58">
            <w:pPr>
              <w:numPr>
                <w:ilvl w:val="1"/>
                <w:numId w:val="24"/>
              </w:numPr>
              <w:pBdr>
                <w:top w:val="nil"/>
                <w:left w:val="nil"/>
                <w:bottom w:val="nil"/>
                <w:right w:val="nil"/>
                <w:between w:val="nil"/>
              </w:pBdr>
              <w:tabs>
                <w:tab w:val="left" w:pos="-576"/>
                <w:tab w:val="left" w:pos="14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1163ECCC" w14:textId="77777777" w:rsidR="00A15725" w:rsidRDefault="00955D58">
            <w:pPr>
              <w:numPr>
                <w:ilvl w:val="1"/>
                <w:numId w:val="24"/>
              </w:numPr>
              <w:pBdr>
                <w:top w:val="nil"/>
                <w:left w:val="nil"/>
                <w:bottom w:val="nil"/>
                <w:right w:val="nil"/>
                <w:between w:val="nil"/>
              </w:pBdr>
              <w:tabs>
                <w:tab w:val="left" w:pos="-576"/>
                <w:tab w:val="left" w:pos="14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those premises at which any of the Supplier’s equipment or any part of the Supplier’s systems used in the performance of the Contract </w:t>
            </w:r>
          </w:p>
          <w:p w14:paraId="41800C00" w14:textId="77777777" w:rsidR="00A15725" w:rsidRDefault="00955D58">
            <w:pPr>
              <w:numPr>
                <w:ilvl w:val="1"/>
                <w:numId w:val="24"/>
              </w:numPr>
              <w:pBdr>
                <w:top w:val="nil"/>
                <w:left w:val="nil"/>
                <w:bottom w:val="nil"/>
                <w:right w:val="nil"/>
                <w:between w:val="nil"/>
              </w:pBdr>
              <w:tabs>
                <w:tab w:val="left" w:pos="-576"/>
                <w:tab w:val="left" w:pos="14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is located (where any part of the Deliverables provided falls within Call-Off Schedule 6 (ICT Services));</w:t>
            </w:r>
          </w:p>
        </w:tc>
      </w:tr>
      <w:tr w:rsidR="00A15725" w14:paraId="418DE473" w14:textId="77777777">
        <w:tc>
          <w:tcPr>
            <w:tcW w:w="2694" w:type="dxa"/>
            <w:vAlign w:val="center"/>
          </w:tcPr>
          <w:p w14:paraId="41A7087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sz w:val="24"/>
                <w:szCs w:val="24"/>
              </w:rPr>
              <w:lastRenderedPageBreak/>
              <w:t>"</w:t>
            </w:r>
            <w:r>
              <w:rPr>
                <w:rFonts w:ascii="Arial" w:eastAsia="Arial" w:hAnsi="Arial" w:cs="Arial"/>
                <w:b/>
                <w:sz w:val="24"/>
                <w:szCs w:val="24"/>
              </w:rPr>
              <w:t>Small Works"</w:t>
            </w:r>
          </w:p>
        </w:tc>
        <w:tc>
          <w:tcPr>
            <w:tcW w:w="7371" w:type="dxa"/>
            <w:vAlign w:val="center"/>
          </w:tcPr>
          <w:p w14:paraId="3FFBFFB7"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means elective works which are not Projects;</w:t>
            </w:r>
          </w:p>
        </w:tc>
      </w:tr>
      <w:tr w:rsidR="00A15725" w14:paraId="4C707D05" w14:textId="77777777">
        <w:trPr>
          <w:trHeight w:val="945"/>
        </w:trPr>
        <w:tc>
          <w:tcPr>
            <w:tcW w:w="2694" w:type="dxa"/>
          </w:tcPr>
          <w:p w14:paraId="7B81E8DD" w14:textId="77777777" w:rsidR="00A15725" w:rsidRDefault="00955D58">
            <w:pPr>
              <w:pBdr>
                <w:top w:val="nil"/>
                <w:left w:val="nil"/>
                <w:bottom w:val="nil"/>
                <w:right w:val="nil"/>
                <w:between w:val="nil"/>
              </w:pBdr>
              <w:spacing w:after="120"/>
              <w:ind w:right="282"/>
              <w:rPr>
                <w:rFonts w:ascii="Arial" w:eastAsia="Arial" w:hAnsi="Arial" w:cs="Arial"/>
                <w:b/>
                <w:color w:val="000000"/>
                <w:sz w:val="24"/>
                <w:szCs w:val="24"/>
              </w:rPr>
            </w:pPr>
            <w:r>
              <w:rPr>
                <w:rFonts w:ascii="Arial" w:eastAsia="Arial" w:hAnsi="Arial" w:cs="Arial"/>
                <w:b/>
                <w:color w:val="000000"/>
                <w:sz w:val="24"/>
                <w:szCs w:val="24"/>
              </w:rPr>
              <w:t>"SME"</w:t>
            </w:r>
          </w:p>
        </w:tc>
        <w:tc>
          <w:tcPr>
            <w:tcW w:w="7371" w:type="dxa"/>
          </w:tcPr>
          <w:p w14:paraId="41CF655D"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A15725" w14:paraId="2F96A737" w14:textId="77777777">
        <w:trPr>
          <w:trHeight w:val="945"/>
        </w:trPr>
        <w:tc>
          <w:tcPr>
            <w:tcW w:w="2694" w:type="dxa"/>
          </w:tcPr>
          <w:p w14:paraId="127919A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"Special Terms"</w:t>
            </w:r>
          </w:p>
        </w:tc>
        <w:tc>
          <w:tcPr>
            <w:tcW w:w="7371" w:type="dxa"/>
          </w:tcPr>
          <w:p w14:paraId="4ADA3100"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A15725" w14:paraId="1E2906D1" w14:textId="77777777">
        <w:trPr>
          <w:trHeight w:val="945"/>
        </w:trPr>
        <w:tc>
          <w:tcPr>
            <w:tcW w:w="2694" w:type="dxa"/>
          </w:tcPr>
          <w:p w14:paraId="4199B72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371" w:type="dxa"/>
          </w:tcPr>
          <w:p w14:paraId="41135823"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A15725" w14:paraId="2232C404" w14:textId="77777777">
        <w:trPr>
          <w:trHeight w:val="945"/>
        </w:trPr>
        <w:tc>
          <w:tcPr>
            <w:tcW w:w="2694" w:type="dxa"/>
          </w:tcPr>
          <w:p w14:paraId="26F73A1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"Specification"</w:t>
            </w:r>
          </w:p>
        </w:tc>
        <w:tc>
          <w:tcPr>
            <w:tcW w:w="7371" w:type="dxa"/>
          </w:tcPr>
          <w:p w14:paraId="757B9C94"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A15725" w14:paraId="191245D1" w14:textId="77777777">
        <w:tc>
          <w:tcPr>
            <w:tcW w:w="2694" w:type="dxa"/>
          </w:tcPr>
          <w:p w14:paraId="109696D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“Standard Service Levels”</w:t>
            </w:r>
          </w:p>
        </w:tc>
        <w:tc>
          <w:tcPr>
            <w:tcW w:w="7371" w:type="dxa"/>
          </w:tcPr>
          <w:p w14:paraId="7C24565E"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all Service Levels other than those designated as Key Performance Indicators</w:t>
            </w:r>
          </w:p>
        </w:tc>
      </w:tr>
      <w:tr w:rsidR="00A15725" w14:paraId="40AC93DD" w14:textId="77777777">
        <w:tc>
          <w:tcPr>
            <w:tcW w:w="2694" w:type="dxa"/>
          </w:tcPr>
          <w:p w14:paraId="6D0D2B87"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"Standards"</w:t>
            </w:r>
          </w:p>
        </w:tc>
        <w:tc>
          <w:tcPr>
            <w:tcW w:w="7371" w:type="dxa"/>
          </w:tcPr>
          <w:p w14:paraId="2D4BDA9F"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w:t>
            </w:r>
          </w:p>
          <w:p w14:paraId="520ED3E9" w14:textId="77777777" w:rsidR="00A15725" w:rsidRDefault="00955D58">
            <w:pPr>
              <w:numPr>
                <w:ilvl w:val="1"/>
                <w:numId w:val="12"/>
              </w:numPr>
              <w:pBdr>
                <w:top w:val="nil"/>
                <w:left w:val="nil"/>
                <w:bottom w:val="nil"/>
                <w:right w:val="nil"/>
                <w:between w:val="nil"/>
              </w:pBdr>
              <w:tabs>
                <w:tab w:val="left" w:pos="-576"/>
                <w:tab w:val="left" w:pos="14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DE47CCB" w14:textId="77777777" w:rsidR="00A15725" w:rsidRDefault="00955D58">
            <w:pPr>
              <w:numPr>
                <w:ilvl w:val="1"/>
                <w:numId w:val="12"/>
              </w:numPr>
              <w:pBdr>
                <w:top w:val="nil"/>
                <w:left w:val="nil"/>
                <w:bottom w:val="nil"/>
                <w:right w:val="nil"/>
                <w:between w:val="nil"/>
              </w:pBdr>
              <w:tabs>
                <w:tab w:val="left" w:pos="-576"/>
                <w:tab w:val="left" w:pos="14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619447D8" w14:textId="77777777" w:rsidR="00A15725" w:rsidRDefault="00955D58">
            <w:pPr>
              <w:numPr>
                <w:ilvl w:val="1"/>
                <w:numId w:val="12"/>
              </w:numPr>
              <w:pBdr>
                <w:top w:val="nil"/>
                <w:left w:val="nil"/>
                <w:bottom w:val="nil"/>
                <w:right w:val="nil"/>
                <w:between w:val="nil"/>
              </w:pBdr>
              <w:tabs>
                <w:tab w:val="left" w:pos="-576"/>
                <w:tab w:val="left" w:pos="14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109509FB" w14:textId="77777777" w:rsidR="00A15725" w:rsidRDefault="00955D58">
            <w:pPr>
              <w:numPr>
                <w:ilvl w:val="1"/>
                <w:numId w:val="12"/>
              </w:numPr>
              <w:pBdr>
                <w:top w:val="nil"/>
                <w:left w:val="nil"/>
                <w:bottom w:val="nil"/>
                <w:right w:val="nil"/>
                <w:between w:val="nil"/>
              </w:pBdr>
              <w:tabs>
                <w:tab w:val="left" w:pos="-576"/>
                <w:tab w:val="left" w:pos="14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A15725" w14:paraId="659BAB08" w14:textId="77777777">
        <w:tc>
          <w:tcPr>
            <w:tcW w:w="2694" w:type="dxa"/>
            <w:vAlign w:val="center"/>
          </w:tcPr>
          <w:p w14:paraId="37B1492C"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“Standard Service”</w:t>
            </w:r>
          </w:p>
        </w:tc>
        <w:tc>
          <w:tcPr>
            <w:tcW w:w="7371" w:type="dxa"/>
            <w:vAlign w:val="center"/>
          </w:tcPr>
          <w:p w14:paraId="2750E631"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means delivery of the service to the defined standard as per Framework Schedule 1 – Specification.</w:t>
            </w:r>
          </w:p>
        </w:tc>
      </w:tr>
      <w:tr w:rsidR="00A15725" w14:paraId="1921F20C" w14:textId="77777777">
        <w:tc>
          <w:tcPr>
            <w:tcW w:w="2694" w:type="dxa"/>
          </w:tcPr>
          <w:p w14:paraId="1FFD4BD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"Start Date"</w:t>
            </w:r>
          </w:p>
        </w:tc>
        <w:tc>
          <w:tcPr>
            <w:tcW w:w="7371" w:type="dxa"/>
          </w:tcPr>
          <w:p w14:paraId="535258B5"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A15725" w14:paraId="2CA794C9" w14:textId="77777777">
        <w:tc>
          <w:tcPr>
            <w:tcW w:w="2694" w:type="dxa"/>
          </w:tcPr>
          <w:p w14:paraId="464F651D"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"Statement of Requirements"</w:t>
            </w:r>
          </w:p>
        </w:tc>
        <w:tc>
          <w:tcPr>
            <w:tcW w:w="7371" w:type="dxa"/>
          </w:tcPr>
          <w:p w14:paraId="6EE6F08F"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A15725" w14:paraId="177074CD" w14:textId="77777777">
        <w:tc>
          <w:tcPr>
            <w:tcW w:w="2694" w:type="dxa"/>
          </w:tcPr>
          <w:p w14:paraId="3403C02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"Storage Media"</w:t>
            </w:r>
          </w:p>
        </w:tc>
        <w:tc>
          <w:tcPr>
            <w:tcW w:w="7371" w:type="dxa"/>
          </w:tcPr>
          <w:p w14:paraId="0EEF8FE8"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A15725" w14:paraId="483489C2" w14:textId="77777777">
        <w:tc>
          <w:tcPr>
            <w:tcW w:w="2694" w:type="dxa"/>
          </w:tcPr>
          <w:p w14:paraId="503D94D1"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"Sub-Contract"</w:t>
            </w:r>
          </w:p>
        </w:tc>
        <w:tc>
          <w:tcPr>
            <w:tcW w:w="7371" w:type="dxa"/>
          </w:tcPr>
          <w:p w14:paraId="6583068B"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6E9EDC8F" w14:textId="77777777" w:rsidR="00A15725" w:rsidRDefault="00955D58">
            <w:pPr>
              <w:numPr>
                <w:ilvl w:val="0"/>
                <w:numId w:val="9"/>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5F804086" w14:textId="77777777" w:rsidR="00A15725" w:rsidRDefault="00955D58">
            <w:pPr>
              <w:numPr>
                <w:ilvl w:val="0"/>
                <w:numId w:val="9"/>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56384825" w14:textId="77777777" w:rsidR="00A15725" w:rsidRDefault="00955D58">
            <w:pPr>
              <w:numPr>
                <w:ilvl w:val="0"/>
                <w:numId w:val="9"/>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A15725" w14:paraId="04E9847B" w14:textId="77777777">
        <w:tc>
          <w:tcPr>
            <w:tcW w:w="2694" w:type="dxa"/>
          </w:tcPr>
          <w:p w14:paraId="2295BAE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"Subcontractor"</w:t>
            </w:r>
          </w:p>
        </w:tc>
        <w:tc>
          <w:tcPr>
            <w:tcW w:w="7371" w:type="dxa"/>
          </w:tcPr>
          <w:p w14:paraId="6530318B"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A15725" w14:paraId="19580D05" w14:textId="77777777">
        <w:tc>
          <w:tcPr>
            <w:tcW w:w="2694" w:type="dxa"/>
          </w:tcPr>
          <w:p w14:paraId="0D8C142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“Subject Access Request”</w:t>
            </w:r>
          </w:p>
        </w:tc>
        <w:tc>
          <w:tcPr>
            <w:tcW w:w="7371" w:type="dxa"/>
          </w:tcPr>
          <w:p w14:paraId="51ED580F"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a written request to a company or organisation asking for access to the personal information it holds on you;</w:t>
            </w:r>
          </w:p>
        </w:tc>
      </w:tr>
      <w:tr w:rsidR="00A15725" w14:paraId="1E67867D" w14:textId="77777777">
        <w:tc>
          <w:tcPr>
            <w:tcW w:w="2694" w:type="dxa"/>
          </w:tcPr>
          <w:p w14:paraId="61F83CE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"Subprocessor"</w:t>
            </w:r>
          </w:p>
        </w:tc>
        <w:tc>
          <w:tcPr>
            <w:tcW w:w="7371" w:type="dxa"/>
          </w:tcPr>
          <w:p w14:paraId="0B462E36"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A15725" w14:paraId="3F4C0FAB" w14:textId="77777777">
        <w:tc>
          <w:tcPr>
            <w:tcW w:w="2694" w:type="dxa"/>
          </w:tcPr>
          <w:p w14:paraId="049F3E1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w:t>
            </w:r>
          </w:p>
        </w:tc>
        <w:tc>
          <w:tcPr>
            <w:tcW w:w="7371" w:type="dxa"/>
          </w:tcPr>
          <w:p w14:paraId="6C1D68D8"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A15725" w14:paraId="0C202EB7" w14:textId="77777777">
        <w:tc>
          <w:tcPr>
            <w:tcW w:w="2694" w:type="dxa"/>
          </w:tcPr>
          <w:p w14:paraId="6401EDD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 Assets"</w:t>
            </w:r>
          </w:p>
        </w:tc>
        <w:tc>
          <w:tcPr>
            <w:tcW w:w="7371" w:type="dxa"/>
          </w:tcPr>
          <w:p w14:paraId="390EE97D"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A15725" w14:paraId="47281FA0" w14:textId="77777777">
        <w:tc>
          <w:tcPr>
            <w:tcW w:w="2694" w:type="dxa"/>
          </w:tcPr>
          <w:p w14:paraId="49ACCED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371" w:type="dxa"/>
          </w:tcPr>
          <w:p w14:paraId="0587D5F7"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A15725" w14:paraId="49B1F1E5" w14:textId="77777777">
        <w:tc>
          <w:tcPr>
            <w:tcW w:w="2694" w:type="dxa"/>
            <w:vAlign w:val="center"/>
          </w:tcPr>
          <w:p w14:paraId="69520E1F"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"Supplier Brief"</w:t>
            </w:r>
          </w:p>
        </w:tc>
        <w:tc>
          <w:tcPr>
            <w:tcW w:w="7371" w:type="dxa"/>
            <w:vAlign w:val="center"/>
          </w:tcPr>
          <w:p w14:paraId="0BF4A2AB"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sz w:val="24"/>
                <w:szCs w:val="24"/>
              </w:rPr>
            </w:pPr>
            <w:r>
              <w:rPr>
                <w:rFonts w:ascii="Arial" w:eastAsia="Arial" w:hAnsi="Arial" w:cs="Arial"/>
                <w:sz w:val="24"/>
                <w:szCs w:val="24"/>
              </w:rPr>
              <w:t xml:space="preserve">a document that the Buyers will provide to Suppliers that outline’s their requirements in order for Suppliers to confirm their intentions to bid (as outlined in Framework Schedule 7 – Call Off Award Procedure) which includes but is not limited to: </w:t>
            </w:r>
          </w:p>
          <w:p w14:paraId="431120B6"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 xml:space="preserve">Deliverables required </w:t>
            </w:r>
          </w:p>
          <w:p w14:paraId="0320AE81"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Estimated Contract Cost</w:t>
            </w:r>
          </w:p>
          <w:p w14:paraId="17D329D0"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Geographical</w:t>
            </w:r>
            <w:r>
              <w:rPr>
                <w:rFonts w:ascii="Arial" w:eastAsia="Arial" w:hAnsi="Arial" w:cs="Arial"/>
                <w:sz w:val="24"/>
                <w:szCs w:val="24"/>
              </w:rPr>
              <w:t xml:space="preserve"> </w:t>
            </w:r>
            <w:r>
              <w:rPr>
                <w:rFonts w:ascii="Arial" w:eastAsia="Arial" w:hAnsi="Arial" w:cs="Arial"/>
                <w:color w:val="000000"/>
                <w:sz w:val="24"/>
                <w:szCs w:val="24"/>
              </w:rPr>
              <w:t>Boundary(s) for provision of the Deliverables;</w:t>
            </w:r>
          </w:p>
          <w:p w14:paraId="1AF7C4B8"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Buyer information;</w:t>
            </w:r>
          </w:p>
          <w:p w14:paraId="2E427B25"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organisation type;</w:t>
            </w:r>
          </w:p>
          <w:p w14:paraId="477B0C0A"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building type;</w:t>
            </w:r>
          </w:p>
          <w:p w14:paraId="5689AE0E"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special requirements;</w:t>
            </w:r>
          </w:p>
          <w:p w14:paraId="7AE7216E"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lastRenderedPageBreak/>
              <w:t>Terms and conditions (Public Sector Contract or NEC);</w:t>
            </w:r>
          </w:p>
          <w:p w14:paraId="0FFA6AB5"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Contract period;</w:t>
            </w:r>
          </w:p>
          <w:p w14:paraId="14DC4B0B"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Estimated award date;</w:t>
            </w:r>
          </w:p>
          <w:p w14:paraId="62379BB1"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Mobilisation Period;</w:t>
            </w:r>
          </w:p>
          <w:p w14:paraId="0A5CC612"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Price/Quality split;</w:t>
            </w:r>
          </w:p>
          <w:p w14:paraId="2427622E"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Inclusive Repair Threshold level;</w:t>
            </w:r>
          </w:p>
          <w:p w14:paraId="15EE36AF"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TUPE option;</w:t>
            </w:r>
          </w:p>
          <w:p w14:paraId="6EB4A559"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color w:val="000000"/>
                <w:sz w:val="24"/>
                <w:szCs w:val="24"/>
              </w:rPr>
            </w:pPr>
            <w:r>
              <w:rPr>
                <w:rFonts w:ascii="Arial" w:eastAsia="Arial" w:hAnsi="Arial" w:cs="Arial"/>
                <w:color w:val="000000"/>
                <w:sz w:val="24"/>
                <w:szCs w:val="24"/>
              </w:rPr>
              <w:t>KPIs;</w:t>
            </w:r>
          </w:p>
          <w:p w14:paraId="23383601" w14:textId="77777777" w:rsidR="00A15725" w:rsidRDefault="00955D58">
            <w:pPr>
              <w:numPr>
                <w:ilvl w:val="0"/>
                <w:numId w:val="18"/>
              </w:numPr>
              <w:pBdr>
                <w:top w:val="nil"/>
                <w:left w:val="nil"/>
                <w:bottom w:val="nil"/>
                <w:right w:val="nil"/>
                <w:between w:val="nil"/>
              </w:pBdr>
              <w:tabs>
                <w:tab w:val="left" w:pos="-179"/>
              </w:tabs>
              <w:spacing w:after="120" w:line="276" w:lineRule="auto"/>
              <w:ind w:left="992" w:right="282" w:hanging="708"/>
              <w:jc w:val="both"/>
              <w:rPr>
                <w:rFonts w:ascii="Arial" w:eastAsia="Arial" w:hAnsi="Arial" w:cs="Arial"/>
                <w:sz w:val="24"/>
                <w:szCs w:val="24"/>
              </w:rPr>
            </w:pPr>
            <w:r>
              <w:rPr>
                <w:rFonts w:ascii="Arial" w:eastAsia="Arial" w:hAnsi="Arial" w:cs="Arial"/>
                <w:sz w:val="24"/>
                <w:szCs w:val="24"/>
              </w:rPr>
              <w:t>Details of any intended use of eAuctions</w:t>
            </w:r>
          </w:p>
          <w:p w14:paraId="3E7C82C7" w14:textId="77777777" w:rsidR="00A15725" w:rsidRDefault="00A15725">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p>
        </w:tc>
      </w:tr>
      <w:tr w:rsidR="00A15725" w14:paraId="2FE202CB" w14:textId="77777777">
        <w:tc>
          <w:tcPr>
            <w:tcW w:w="2694" w:type="dxa"/>
          </w:tcPr>
          <w:p w14:paraId="4A99C3B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"Supplier's Confidential Information"</w:t>
            </w:r>
          </w:p>
        </w:tc>
        <w:tc>
          <w:tcPr>
            <w:tcW w:w="7371" w:type="dxa"/>
          </w:tcPr>
          <w:p w14:paraId="07F64868" w14:textId="77777777" w:rsidR="00A15725" w:rsidRDefault="00A15725">
            <w:pPr>
              <w:pBdr>
                <w:top w:val="nil"/>
                <w:left w:val="nil"/>
                <w:bottom w:val="nil"/>
                <w:right w:val="nil"/>
                <w:between w:val="nil"/>
              </w:pBdr>
              <w:tabs>
                <w:tab w:val="left" w:pos="-576"/>
                <w:tab w:val="left" w:pos="144"/>
              </w:tabs>
              <w:spacing w:after="120"/>
              <w:ind w:left="284" w:right="282"/>
              <w:rPr>
                <w:rFonts w:ascii="Arial" w:eastAsia="Arial" w:hAnsi="Arial" w:cs="Arial"/>
                <w:color w:val="000000"/>
                <w:sz w:val="24"/>
                <w:szCs w:val="24"/>
              </w:rPr>
            </w:pPr>
          </w:p>
          <w:p w14:paraId="0E447A1A" w14:textId="77777777" w:rsidR="00A15725" w:rsidRDefault="00955D58">
            <w:pPr>
              <w:numPr>
                <w:ilvl w:val="0"/>
                <w:numId w:val="11"/>
              </w:numPr>
              <w:pBdr>
                <w:top w:val="nil"/>
                <w:left w:val="nil"/>
                <w:bottom w:val="nil"/>
                <w:right w:val="nil"/>
                <w:between w:val="nil"/>
              </w:pBdr>
              <w:tabs>
                <w:tab w:val="left" w:pos="-576"/>
                <w:tab w:val="left" w:pos="144"/>
              </w:tabs>
              <w:spacing w:after="120" w:line="276" w:lineRule="auto"/>
              <w:ind w:left="992" w:right="282" w:hanging="708"/>
              <w:rPr>
                <w:rFonts w:ascii="Arial" w:eastAsia="Arial" w:hAnsi="Arial" w:cs="Arial"/>
                <w:color w:val="000000"/>
                <w:sz w:val="24"/>
                <w:szCs w:val="24"/>
              </w:rPr>
            </w:pPr>
            <w:r>
              <w:rPr>
                <w:rFonts w:ascii="Arial" w:eastAsia="Arial" w:hAnsi="Arial" w:cs="Arial"/>
                <w:color w:val="000000"/>
                <w:sz w:val="24"/>
                <w:szCs w:val="24"/>
              </w:rPr>
              <w:t>any information, however it is conveyed, that relates to the business, affairs, developments, IPR of the Supplier (including the Supplier Existing IPR) trade secrets, Know-How, and/or personnel of the Supplier; 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740CF363" w14:textId="77777777" w:rsidR="00A15725" w:rsidRDefault="00955D58">
            <w:pPr>
              <w:numPr>
                <w:ilvl w:val="0"/>
                <w:numId w:val="11"/>
              </w:numPr>
              <w:pBdr>
                <w:top w:val="nil"/>
                <w:left w:val="nil"/>
                <w:bottom w:val="nil"/>
                <w:right w:val="nil"/>
                <w:between w:val="nil"/>
              </w:pBdr>
              <w:tabs>
                <w:tab w:val="left" w:pos="-576"/>
                <w:tab w:val="left" w:pos="144"/>
              </w:tabs>
              <w:spacing w:after="120" w:line="276" w:lineRule="auto"/>
              <w:ind w:left="992" w:right="282" w:hanging="708"/>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A15725" w14:paraId="602A87F5" w14:textId="77777777">
        <w:tc>
          <w:tcPr>
            <w:tcW w:w="2694" w:type="dxa"/>
          </w:tcPr>
          <w:p w14:paraId="0C91F9E5" w14:textId="77777777" w:rsidR="00A15725" w:rsidRDefault="00955D58">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"Supplier's Contract Manager</w:t>
            </w:r>
            <w:r>
              <w:rPr>
                <w:rFonts w:ascii="Arial" w:eastAsia="Arial" w:hAnsi="Arial" w:cs="Arial"/>
                <w:b/>
                <w:sz w:val="24"/>
                <w:szCs w:val="24"/>
              </w:rPr>
              <w:t>”</w:t>
            </w:r>
          </w:p>
        </w:tc>
        <w:tc>
          <w:tcPr>
            <w:tcW w:w="7371" w:type="dxa"/>
          </w:tcPr>
          <w:p w14:paraId="572C78FE" w14:textId="77777777" w:rsidR="00A15725" w:rsidRDefault="00955D58">
            <w:pPr>
              <w:pBdr>
                <w:top w:val="nil"/>
                <w:left w:val="nil"/>
                <w:bottom w:val="nil"/>
                <w:right w:val="nil"/>
                <w:between w:val="nil"/>
              </w:pBdr>
              <w:tabs>
                <w:tab w:val="left" w:pos="1134"/>
              </w:tabs>
              <w:spacing w:before="120" w:after="120"/>
              <w:ind w:left="284" w:right="282"/>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A15725" w14:paraId="07CFDDFC" w14:textId="77777777">
        <w:tc>
          <w:tcPr>
            <w:tcW w:w="2694" w:type="dxa"/>
          </w:tcPr>
          <w:p w14:paraId="5AAE9A1E"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371" w:type="dxa"/>
          </w:tcPr>
          <w:p w14:paraId="775B621D"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A15725" w14:paraId="2BA1ACE8" w14:textId="77777777">
        <w:tc>
          <w:tcPr>
            <w:tcW w:w="2694" w:type="dxa"/>
          </w:tcPr>
          <w:p w14:paraId="4C83D24E" w14:textId="77777777" w:rsidR="00A15725" w:rsidRDefault="00955D58">
            <w:pPr>
              <w:pBdr>
                <w:top w:val="nil"/>
                <w:left w:val="nil"/>
                <w:bottom w:val="nil"/>
                <w:right w:val="nil"/>
                <w:between w:val="nil"/>
              </w:pBdr>
              <w:spacing w:after="120"/>
              <w:ind w:left="284" w:right="282"/>
              <w:rPr>
                <w:rFonts w:ascii="Arial" w:eastAsia="Arial" w:hAnsi="Arial" w:cs="Arial"/>
                <w:b/>
                <w:color w:val="000000"/>
                <w:sz w:val="24"/>
                <w:szCs w:val="24"/>
              </w:rPr>
            </w:pPr>
            <w:bookmarkStart w:id="13" w:name="_heading=h.gjdgxs" w:colFirst="0" w:colLast="0"/>
            <w:bookmarkEnd w:id="13"/>
            <w:r>
              <w:rPr>
                <w:rFonts w:ascii="Arial" w:eastAsia="Arial" w:hAnsi="Arial" w:cs="Arial"/>
                <w:b/>
                <w:color w:val="000000"/>
                <w:sz w:val="24"/>
                <w:szCs w:val="24"/>
              </w:rPr>
              <w:t>"Supplier Marketing Contact"</w:t>
            </w:r>
          </w:p>
        </w:tc>
        <w:tc>
          <w:tcPr>
            <w:tcW w:w="7371" w:type="dxa"/>
          </w:tcPr>
          <w:p w14:paraId="7827D84B"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A15725" w14:paraId="223C2B8A" w14:textId="77777777">
        <w:tc>
          <w:tcPr>
            <w:tcW w:w="2694" w:type="dxa"/>
          </w:tcPr>
          <w:p w14:paraId="74731D44"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371" w:type="dxa"/>
          </w:tcPr>
          <w:p w14:paraId="7F36A380"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6E2B519E" w14:textId="77777777" w:rsidR="00A15725" w:rsidRDefault="00955D58">
            <w:pPr>
              <w:numPr>
                <w:ilvl w:val="1"/>
                <w:numId w:val="25"/>
              </w:numPr>
              <w:pBdr>
                <w:top w:val="nil"/>
                <w:left w:val="nil"/>
                <w:bottom w:val="nil"/>
                <w:right w:val="nil"/>
                <w:between w:val="nil"/>
              </w:pBdr>
              <w:tabs>
                <w:tab w:val="left" w:pos="-576"/>
                <w:tab w:val="left" w:pos="144"/>
              </w:tabs>
              <w:spacing w:after="120"/>
              <w:ind w:left="992" w:right="282" w:hanging="708"/>
              <w:jc w:val="both"/>
              <w:rPr>
                <w:sz w:val="24"/>
                <w:szCs w:val="24"/>
              </w:rPr>
            </w:pPr>
            <w:r>
              <w:rPr>
                <w:rFonts w:ascii="Arial" w:eastAsia="Arial" w:hAnsi="Arial" w:cs="Arial"/>
                <w:color w:val="000000"/>
                <w:sz w:val="24"/>
                <w:szCs w:val="24"/>
              </w:rPr>
              <w:t>Achieve a Milestone by its Milestone Date;</w:t>
            </w:r>
          </w:p>
          <w:p w14:paraId="0EE71ECD" w14:textId="77777777" w:rsidR="00A15725" w:rsidRDefault="00955D58">
            <w:pPr>
              <w:numPr>
                <w:ilvl w:val="1"/>
                <w:numId w:val="25"/>
              </w:numPr>
              <w:pBdr>
                <w:top w:val="nil"/>
                <w:left w:val="nil"/>
                <w:bottom w:val="nil"/>
                <w:right w:val="nil"/>
                <w:between w:val="nil"/>
              </w:pBdr>
              <w:tabs>
                <w:tab w:val="left" w:pos="-576"/>
                <w:tab w:val="left" w:pos="144"/>
              </w:tabs>
              <w:spacing w:after="120"/>
              <w:ind w:left="992" w:right="282" w:hanging="708"/>
              <w:jc w:val="both"/>
              <w:rPr>
                <w:sz w:val="24"/>
                <w:szCs w:val="24"/>
              </w:rPr>
            </w:pPr>
            <w:r>
              <w:rPr>
                <w:rFonts w:ascii="Arial" w:eastAsia="Arial" w:hAnsi="Arial" w:cs="Arial"/>
                <w:color w:val="000000"/>
                <w:sz w:val="24"/>
                <w:szCs w:val="24"/>
              </w:rPr>
              <w:lastRenderedPageBreak/>
              <w:t>provide the Goods and/or Services in accordance with the Service Levels ; and/or</w:t>
            </w:r>
          </w:p>
          <w:p w14:paraId="53955073" w14:textId="77777777" w:rsidR="00A15725" w:rsidRDefault="00955D58">
            <w:pPr>
              <w:numPr>
                <w:ilvl w:val="1"/>
                <w:numId w:val="25"/>
              </w:numPr>
              <w:pBdr>
                <w:top w:val="nil"/>
                <w:left w:val="nil"/>
                <w:bottom w:val="nil"/>
                <w:right w:val="nil"/>
                <w:between w:val="nil"/>
              </w:pBdr>
              <w:tabs>
                <w:tab w:val="left" w:pos="-576"/>
                <w:tab w:val="left" w:pos="144"/>
              </w:tabs>
              <w:spacing w:after="120"/>
              <w:ind w:left="992" w:right="282" w:hanging="708"/>
              <w:jc w:val="both"/>
              <w:rPr>
                <w:sz w:val="24"/>
                <w:szCs w:val="24"/>
              </w:rPr>
            </w:pPr>
            <w:r>
              <w:rPr>
                <w:rFonts w:ascii="Arial" w:eastAsia="Arial" w:hAnsi="Arial" w:cs="Arial"/>
                <w:color w:val="000000"/>
                <w:sz w:val="24"/>
                <w:szCs w:val="24"/>
              </w:rPr>
              <w:t>comply with an obligation under a Contract;</w:t>
            </w:r>
          </w:p>
        </w:tc>
      </w:tr>
      <w:tr w:rsidR="00A15725" w14:paraId="6C8427B4" w14:textId="77777777">
        <w:tc>
          <w:tcPr>
            <w:tcW w:w="2694" w:type="dxa"/>
          </w:tcPr>
          <w:p w14:paraId="795F05D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"Supplier Profit"</w:t>
            </w:r>
          </w:p>
        </w:tc>
        <w:tc>
          <w:tcPr>
            <w:tcW w:w="7371" w:type="dxa"/>
          </w:tcPr>
          <w:p w14:paraId="4D70694A"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A15725" w14:paraId="50C6209E" w14:textId="77777777">
        <w:tc>
          <w:tcPr>
            <w:tcW w:w="2694" w:type="dxa"/>
          </w:tcPr>
          <w:p w14:paraId="24F40CD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371" w:type="dxa"/>
          </w:tcPr>
          <w:p w14:paraId="419D7609"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A15725" w14:paraId="3C324B1F" w14:textId="77777777">
        <w:tc>
          <w:tcPr>
            <w:tcW w:w="2694" w:type="dxa"/>
          </w:tcPr>
          <w:p w14:paraId="5BDE361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 Staff"</w:t>
            </w:r>
          </w:p>
        </w:tc>
        <w:tc>
          <w:tcPr>
            <w:tcW w:w="7371" w:type="dxa"/>
          </w:tcPr>
          <w:p w14:paraId="76CD4739"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A15725" w14:paraId="24AB3DFF" w14:textId="77777777">
        <w:tc>
          <w:tcPr>
            <w:tcW w:w="2694" w:type="dxa"/>
          </w:tcPr>
          <w:p w14:paraId="7078B003"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“Supply Chain Management”</w:t>
            </w:r>
          </w:p>
        </w:tc>
        <w:tc>
          <w:tcPr>
            <w:tcW w:w="7371" w:type="dxa"/>
          </w:tcPr>
          <w:p w14:paraId="6105556E"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202124"/>
                <w:sz w:val="24"/>
                <w:szCs w:val="24"/>
                <w:highlight w:val="white"/>
              </w:rPr>
              <w:t>is the handling of the entire production flow of a good or service to maximize quality, delivery, customer experience and cost-effectiveness;</w:t>
            </w:r>
          </w:p>
        </w:tc>
      </w:tr>
      <w:tr w:rsidR="00A15725" w14:paraId="53EA8912" w14:textId="77777777">
        <w:tc>
          <w:tcPr>
            <w:tcW w:w="2694" w:type="dxa"/>
          </w:tcPr>
          <w:p w14:paraId="58761BB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371" w:type="dxa"/>
          </w:tcPr>
          <w:p w14:paraId="4612A256"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A15725" w14:paraId="1345C7EB" w14:textId="77777777">
        <w:tc>
          <w:tcPr>
            <w:tcW w:w="2694" w:type="dxa"/>
            <w:vAlign w:val="center"/>
          </w:tcPr>
          <w:p w14:paraId="67994A7C"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"Target Cost Pricing Matrix"</w:t>
            </w:r>
          </w:p>
        </w:tc>
        <w:tc>
          <w:tcPr>
            <w:tcW w:w="7371" w:type="dxa"/>
            <w:vAlign w:val="center"/>
          </w:tcPr>
          <w:p w14:paraId="7ECB53CE" w14:textId="77777777" w:rsidR="00A15725" w:rsidRDefault="00A15725">
            <w:pPr>
              <w:pBdr>
                <w:top w:val="nil"/>
                <w:left w:val="nil"/>
                <w:bottom w:val="nil"/>
                <w:right w:val="nil"/>
                <w:between w:val="nil"/>
              </w:pBdr>
              <w:tabs>
                <w:tab w:val="left" w:pos="-179"/>
              </w:tabs>
              <w:spacing w:after="120"/>
              <w:ind w:left="284" w:right="282"/>
              <w:rPr>
                <w:rFonts w:ascii="Arial" w:eastAsia="Arial" w:hAnsi="Arial" w:cs="Arial"/>
                <w:color w:val="000000"/>
                <w:sz w:val="24"/>
                <w:szCs w:val="24"/>
              </w:rPr>
            </w:pPr>
          </w:p>
          <w:p w14:paraId="595B0117"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the spreadsheet setting out details of the Target Cost Charges which is set out in the Order Form and will be provided by the Buyer at Further Competition;</w:t>
            </w:r>
          </w:p>
        </w:tc>
      </w:tr>
      <w:tr w:rsidR="00A15725" w14:paraId="37270CC9" w14:textId="77777777">
        <w:tc>
          <w:tcPr>
            <w:tcW w:w="2694" w:type="dxa"/>
            <w:vAlign w:val="center"/>
          </w:tcPr>
          <w:p w14:paraId="77133FCF"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"Target Costs"</w:t>
            </w:r>
          </w:p>
        </w:tc>
        <w:tc>
          <w:tcPr>
            <w:tcW w:w="7371" w:type="dxa"/>
            <w:vAlign w:val="center"/>
          </w:tcPr>
          <w:p w14:paraId="3883E64E"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those costs which are recoverable in accordance with this Call-Off Contract where the target cost pricing option is selected in the Order Form;</w:t>
            </w:r>
          </w:p>
        </w:tc>
      </w:tr>
      <w:tr w:rsidR="00A15725" w14:paraId="089B3DBD" w14:textId="77777777">
        <w:tc>
          <w:tcPr>
            <w:tcW w:w="2694" w:type="dxa"/>
            <w:vAlign w:val="center"/>
          </w:tcPr>
          <w:p w14:paraId="70225BA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"Target Price"</w:t>
            </w:r>
          </w:p>
        </w:tc>
        <w:tc>
          <w:tcPr>
            <w:tcW w:w="7371" w:type="dxa"/>
            <w:vAlign w:val="center"/>
          </w:tcPr>
          <w:p w14:paraId="7123E1D3"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the price which is payable where the target cost pricing option is selected in the Order Form;</w:t>
            </w:r>
          </w:p>
        </w:tc>
      </w:tr>
      <w:tr w:rsidR="00A15725" w14:paraId="204AD0A5" w14:textId="77777777">
        <w:tc>
          <w:tcPr>
            <w:tcW w:w="2694" w:type="dxa"/>
          </w:tcPr>
          <w:p w14:paraId="469C264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“Tax”</w:t>
            </w:r>
          </w:p>
        </w:tc>
        <w:tc>
          <w:tcPr>
            <w:tcW w:w="7371" w:type="dxa"/>
          </w:tcPr>
          <w:p w14:paraId="6F75F2A5" w14:textId="77777777" w:rsidR="00A15725" w:rsidRDefault="00955D58">
            <w:pPr>
              <w:numPr>
                <w:ilvl w:val="0"/>
                <w:numId w:val="28"/>
              </w:numPr>
              <w:pBdr>
                <w:top w:val="nil"/>
                <w:left w:val="nil"/>
                <w:bottom w:val="nil"/>
                <w:right w:val="nil"/>
                <w:between w:val="nil"/>
              </w:pBdr>
              <w:tabs>
                <w:tab w:val="left" w:pos="-179"/>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14:paraId="1AEA9742" w14:textId="77777777" w:rsidR="00A15725" w:rsidRDefault="00955D58">
            <w:pPr>
              <w:numPr>
                <w:ilvl w:val="0"/>
                <w:numId w:val="28"/>
              </w:numPr>
              <w:pBdr>
                <w:top w:val="nil"/>
                <w:left w:val="nil"/>
                <w:bottom w:val="nil"/>
                <w:right w:val="nil"/>
                <w:between w:val="nil"/>
              </w:pBdr>
              <w:tabs>
                <w:tab w:val="left" w:pos="-179"/>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14:paraId="34B9876F" w14:textId="77777777" w:rsidR="00A15725" w:rsidRDefault="00955D58">
            <w:pPr>
              <w:numPr>
                <w:ilvl w:val="0"/>
                <w:numId w:val="28"/>
              </w:numPr>
              <w:pBdr>
                <w:top w:val="nil"/>
                <w:left w:val="nil"/>
                <w:bottom w:val="nil"/>
                <w:right w:val="nil"/>
                <w:between w:val="nil"/>
              </w:pBdr>
              <w:tabs>
                <w:tab w:val="left" w:pos="-179"/>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4C8D799A" w14:textId="77777777" w:rsidR="00A15725" w:rsidRDefault="00955D58">
            <w:pPr>
              <w:numPr>
                <w:ilvl w:val="0"/>
                <w:numId w:val="28"/>
              </w:numPr>
              <w:pBdr>
                <w:top w:val="nil"/>
                <w:left w:val="nil"/>
                <w:bottom w:val="nil"/>
                <w:right w:val="nil"/>
                <w:between w:val="nil"/>
              </w:pBdr>
              <w:tabs>
                <w:tab w:val="left" w:pos="-179"/>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14:paraId="6A7EDF56"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lastRenderedPageBreak/>
              <w:t>in each case wherever chargeable and whether of the United Kingdom and any other jurisdiction;</w:t>
            </w:r>
          </w:p>
        </w:tc>
      </w:tr>
      <w:tr w:rsidR="00A15725" w14:paraId="03E3A0FA" w14:textId="77777777">
        <w:tc>
          <w:tcPr>
            <w:tcW w:w="2694" w:type="dxa"/>
          </w:tcPr>
          <w:p w14:paraId="7132FAB8"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"Termination Notice"</w:t>
            </w:r>
          </w:p>
        </w:tc>
        <w:tc>
          <w:tcPr>
            <w:tcW w:w="7371" w:type="dxa"/>
          </w:tcPr>
          <w:p w14:paraId="4BC94833"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A15725" w14:paraId="5D9C5CD6" w14:textId="77777777">
        <w:tc>
          <w:tcPr>
            <w:tcW w:w="2694" w:type="dxa"/>
          </w:tcPr>
          <w:p w14:paraId="4EA33F2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"Test Issue"</w:t>
            </w:r>
          </w:p>
        </w:tc>
        <w:tc>
          <w:tcPr>
            <w:tcW w:w="7371" w:type="dxa"/>
          </w:tcPr>
          <w:p w14:paraId="67B9CA8C"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A15725" w14:paraId="53231419" w14:textId="77777777">
        <w:tc>
          <w:tcPr>
            <w:tcW w:w="2694" w:type="dxa"/>
          </w:tcPr>
          <w:p w14:paraId="52A260DF"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"Test Plan"</w:t>
            </w:r>
          </w:p>
        </w:tc>
        <w:tc>
          <w:tcPr>
            <w:tcW w:w="7371" w:type="dxa"/>
          </w:tcPr>
          <w:p w14:paraId="3A6B30C4"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 plan:</w:t>
            </w:r>
          </w:p>
          <w:p w14:paraId="3D3A9C4E" w14:textId="77777777" w:rsidR="00A15725" w:rsidRDefault="00955D58">
            <w:pPr>
              <w:numPr>
                <w:ilvl w:val="1"/>
                <w:numId w:val="26"/>
              </w:numPr>
              <w:pBdr>
                <w:top w:val="nil"/>
                <w:left w:val="nil"/>
                <w:bottom w:val="nil"/>
                <w:right w:val="nil"/>
                <w:between w:val="nil"/>
              </w:pBdr>
              <w:tabs>
                <w:tab w:val="left" w:pos="-576"/>
                <w:tab w:val="left" w:pos="141"/>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0C8B32A8" w14:textId="77777777" w:rsidR="00A15725" w:rsidRDefault="00955D58">
            <w:pPr>
              <w:numPr>
                <w:ilvl w:val="1"/>
                <w:numId w:val="26"/>
              </w:numPr>
              <w:pBdr>
                <w:top w:val="nil"/>
                <w:left w:val="nil"/>
                <w:bottom w:val="nil"/>
                <w:right w:val="nil"/>
                <w:between w:val="nil"/>
              </w:pBdr>
              <w:tabs>
                <w:tab w:val="left" w:pos="-576"/>
                <w:tab w:val="left" w:pos="144"/>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A15725" w14:paraId="3D601A18" w14:textId="77777777">
        <w:tc>
          <w:tcPr>
            <w:tcW w:w="2694" w:type="dxa"/>
          </w:tcPr>
          <w:p w14:paraId="03C6DE5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"Tests "</w:t>
            </w:r>
          </w:p>
        </w:tc>
        <w:tc>
          <w:tcPr>
            <w:tcW w:w="7371" w:type="dxa"/>
          </w:tcPr>
          <w:p w14:paraId="7F4CB8F2"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A15725" w14:paraId="5AB2C2B6" w14:textId="77777777">
        <w:tc>
          <w:tcPr>
            <w:tcW w:w="2694" w:type="dxa"/>
          </w:tcPr>
          <w:p w14:paraId="2AD5E010"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"Third Party IPR"</w:t>
            </w:r>
          </w:p>
        </w:tc>
        <w:tc>
          <w:tcPr>
            <w:tcW w:w="7371" w:type="dxa"/>
          </w:tcPr>
          <w:p w14:paraId="6A019B61"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A15725" w14:paraId="4973E301" w14:textId="77777777">
        <w:tc>
          <w:tcPr>
            <w:tcW w:w="2694" w:type="dxa"/>
            <w:vAlign w:val="center"/>
          </w:tcPr>
          <w:p w14:paraId="16E49E3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"Tier One Billable Works"</w:t>
            </w:r>
          </w:p>
        </w:tc>
        <w:tc>
          <w:tcPr>
            <w:tcW w:w="7371" w:type="dxa"/>
            <w:vAlign w:val="center"/>
          </w:tcPr>
          <w:p w14:paraId="5B96F64E"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means Billable Works within the associated total estimated value range as set out in the Order Form;</w:t>
            </w:r>
          </w:p>
        </w:tc>
      </w:tr>
      <w:tr w:rsidR="00A15725" w14:paraId="68594E7C" w14:textId="77777777">
        <w:tc>
          <w:tcPr>
            <w:tcW w:w="2694" w:type="dxa"/>
            <w:vAlign w:val="center"/>
          </w:tcPr>
          <w:p w14:paraId="7DD880F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"Tier Two Billable Works"</w:t>
            </w:r>
          </w:p>
        </w:tc>
        <w:tc>
          <w:tcPr>
            <w:tcW w:w="7371" w:type="dxa"/>
            <w:vAlign w:val="center"/>
          </w:tcPr>
          <w:p w14:paraId="75D786BF"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means Billable Works within the associated total estimated value range as set out in the Order Form;</w:t>
            </w:r>
          </w:p>
        </w:tc>
      </w:tr>
      <w:tr w:rsidR="00A15725" w14:paraId="41D8E3E0" w14:textId="77777777">
        <w:tc>
          <w:tcPr>
            <w:tcW w:w="2694" w:type="dxa"/>
            <w:vAlign w:val="center"/>
          </w:tcPr>
          <w:p w14:paraId="4524EA0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"Tier Three Billable Works"</w:t>
            </w:r>
          </w:p>
        </w:tc>
        <w:tc>
          <w:tcPr>
            <w:tcW w:w="7371" w:type="dxa"/>
            <w:vAlign w:val="center"/>
          </w:tcPr>
          <w:p w14:paraId="3433C9FE"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means Billable Works within the associated total estimated value range as set out in the Order Form;</w:t>
            </w:r>
          </w:p>
        </w:tc>
      </w:tr>
      <w:tr w:rsidR="00A15725" w14:paraId="1C6890C1" w14:textId="77777777">
        <w:tc>
          <w:tcPr>
            <w:tcW w:w="2694" w:type="dxa"/>
            <w:vAlign w:val="center"/>
          </w:tcPr>
          <w:p w14:paraId="38AAD09B"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"Tier Four Billable Works"</w:t>
            </w:r>
          </w:p>
        </w:tc>
        <w:tc>
          <w:tcPr>
            <w:tcW w:w="7371" w:type="dxa"/>
            <w:vAlign w:val="center"/>
          </w:tcPr>
          <w:p w14:paraId="0C11A80C"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means Billable Works within the associated total estimated value range as set out in the Order Form;</w:t>
            </w:r>
          </w:p>
        </w:tc>
      </w:tr>
      <w:tr w:rsidR="00A15725" w14:paraId="14325AE9" w14:textId="77777777">
        <w:tc>
          <w:tcPr>
            <w:tcW w:w="2694" w:type="dxa"/>
            <w:vAlign w:val="center"/>
          </w:tcPr>
          <w:p w14:paraId="7285FF0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“Total Contract Value”</w:t>
            </w:r>
          </w:p>
        </w:tc>
        <w:tc>
          <w:tcPr>
            <w:tcW w:w="7371" w:type="dxa"/>
            <w:vAlign w:val="center"/>
          </w:tcPr>
          <w:p w14:paraId="19956AE4"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Has the same meaning as “Charges”</w:t>
            </w:r>
          </w:p>
        </w:tc>
      </w:tr>
      <w:tr w:rsidR="00A15725" w14:paraId="31397E9A" w14:textId="77777777">
        <w:tc>
          <w:tcPr>
            <w:tcW w:w="2694" w:type="dxa"/>
          </w:tcPr>
          <w:p w14:paraId="6AD66B5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"Transferring Buyer Employees"</w:t>
            </w:r>
          </w:p>
        </w:tc>
        <w:tc>
          <w:tcPr>
            <w:tcW w:w="7371" w:type="dxa"/>
          </w:tcPr>
          <w:p w14:paraId="3EDFF7FD"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those employees of the Buyer to whom the Employment Regulations will apply on the Relevant Transfer Date;</w:t>
            </w:r>
          </w:p>
        </w:tc>
      </w:tr>
      <w:tr w:rsidR="00A15725" w14:paraId="28FA14F2" w14:textId="77777777">
        <w:tc>
          <w:tcPr>
            <w:tcW w:w="2694" w:type="dxa"/>
          </w:tcPr>
          <w:p w14:paraId="05BA9DAF"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"Transferring Former Supplier Employees"</w:t>
            </w:r>
          </w:p>
        </w:tc>
        <w:tc>
          <w:tcPr>
            <w:tcW w:w="7371" w:type="dxa"/>
          </w:tcPr>
          <w:p w14:paraId="633FFDD7"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In relation to a Former Supplier, those employees of the Former Supplier to whom the Employment Regulations will apply on the Relevant Transfer Date.</w:t>
            </w:r>
          </w:p>
        </w:tc>
      </w:tr>
      <w:tr w:rsidR="00A15725" w14:paraId="1502E8B1" w14:textId="77777777">
        <w:tc>
          <w:tcPr>
            <w:tcW w:w="2694" w:type="dxa"/>
          </w:tcPr>
          <w:p w14:paraId="1D025AB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371" w:type="dxa"/>
          </w:tcPr>
          <w:p w14:paraId="7E5EC6F0"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A15725" w14:paraId="6067F8B6" w14:textId="77777777">
        <w:tc>
          <w:tcPr>
            <w:tcW w:w="2694" w:type="dxa"/>
          </w:tcPr>
          <w:p w14:paraId="2BA57963" w14:textId="77777777" w:rsidR="00A15725" w:rsidRDefault="00955D58">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"Transparency Information"</w:t>
            </w:r>
          </w:p>
        </w:tc>
        <w:tc>
          <w:tcPr>
            <w:tcW w:w="7371" w:type="dxa"/>
          </w:tcPr>
          <w:p w14:paraId="062E8F74" w14:textId="77777777" w:rsidR="00A15725" w:rsidRDefault="00955D58">
            <w:pPr>
              <w:keepNext/>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4342095E" w14:textId="77777777" w:rsidR="00A15725" w:rsidRDefault="00955D58">
            <w:pPr>
              <w:keepNext/>
              <w:pBdr>
                <w:top w:val="nil"/>
                <w:left w:val="nil"/>
                <w:bottom w:val="nil"/>
                <w:right w:val="nil"/>
                <w:between w:val="nil"/>
              </w:pBdr>
              <w:tabs>
                <w:tab w:val="left" w:pos="-179"/>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576E25C7" w14:textId="77777777" w:rsidR="00A15725" w:rsidRDefault="00955D58">
            <w:pPr>
              <w:keepNext/>
              <w:pBdr>
                <w:top w:val="nil"/>
                <w:left w:val="nil"/>
                <w:bottom w:val="nil"/>
                <w:right w:val="nil"/>
                <w:between w:val="nil"/>
              </w:pBdr>
              <w:tabs>
                <w:tab w:val="left" w:pos="-179"/>
              </w:tabs>
              <w:spacing w:after="120"/>
              <w:ind w:left="992" w:right="282" w:hanging="708"/>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37AC19D6" w14:textId="77777777" w:rsidR="00A15725" w:rsidRDefault="00A15725">
            <w:pPr>
              <w:keepNext/>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p>
        </w:tc>
      </w:tr>
      <w:tr w:rsidR="00A15725" w14:paraId="152BC139" w14:textId="77777777">
        <w:tc>
          <w:tcPr>
            <w:tcW w:w="2694" w:type="dxa"/>
          </w:tcPr>
          <w:p w14:paraId="0FBD536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371" w:type="dxa"/>
          </w:tcPr>
          <w:p w14:paraId="6D349457"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A15725" w14:paraId="12A0C079" w14:textId="77777777">
        <w:tc>
          <w:tcPr>
            <w:tcW w:w="2694" w:type="dxa"/>
          </w:tcPr>
          <w:p w14:paraId="4AA065AC" w14:textId="77777777" w:rsidR="00A15725" w:rsidRDefault="00955D58">
            <w:pPr>
              <w:pBdr>
                <w:top w:val="nil"/>
                <w:left w:val="nil"/>
                <w:bottom w:val="nil"/>
                <w:right w:val="nil"/>
                <w:between w:val="nil"/>
              </w:pBdr>
              <w:spacing w:after="120"/>
              <w:rPr>
                <w:rFonts w:ascii="Arial" w:eastAsia="Arial" w:hAnsi="Arial" w:cs="Arial"/>
                <w:b/>
                <w:color w:val="202124"/>
                <w:sz w:val="24"/>
                <w:szCs w:val="24"/>
              </w:rPr>
            </w:pPr>
            <w:r>
              <w:rPr>
                <w:rFonts w:ascii="Arial" w:eastAsia="Arial" w:hAnsi="Arial" w:cs="Arial"/>
                <w:b/>
                <w:color w:val="202124"/>
                <w:sz w:val="24"/>
                <w:szCs w:val="24"/>
              </w:rPr>
              <w:t>“TUPE”</w:t>
            </w:r>
          </w:p>
        </w:tc>
        <w:tc>
          <w:tcPr>
            <w:tcW w:w="7371" w:type="dxa"/>
          </w:tcPr>
          <w:p w14:paraId="066959A5" w14:textId="77777777" w:rsidR="00A15725" w:rsidRDefault="00955D58">
            <w:pPr>
              <w:spacing w:line="276" w:lineRule="auto"/>
              <w:ind w:left="284" w:right="282"/>
              <w:rPr>
                <w:rFonts w:ascii="Arial" w:eastAsia="Arial" w:hAnsi="Arial" w:cs="Arial"/>
                <w:color w:val="202124"/>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A15725" w14:paraId="37A57A6B" w14:textId="77777777">
        <w:tc>
          <w:tcPr>
            <w:tcW w:w="2694" w:type="dxa"/>
            <w:vAlign w:val="center"/>
          </w:tcPr>
          <w:p w14:paraId="3C0497E8" w14:textId="77777777" w:rsidR="00A15725" w:rsidRDefault="00955D58">
            <w:pPr>
              <w:pBdr>
                <w:top w:val="nil"/>
                <w:left w:val="nil"/>
                <w:bottom w:val="nil"/>
                <w:right w:val="nil"/>
                <w:between w:val="nil"/>
              </w:pBdr>
              <w:spacing w:after="120"/>
              <w:rPr>
                <w:rFonts w:ascii="Arial" w:eastAsia="Arial" w:hAnsi="Arial" w:cs="Arial"/>
                <w:b/>
                <w:color w:val="202124"/>
                <w:sz w:val="24"/>
                <w:szCs w:val="24"/>
              </w:rPr>
            </w:pPr>
            <w:r>
              <w:rPr>
                <w:rFonts w:ascii="Arial" w:eastAsia="Arial" w:hAnsi="Arial" w:cs="Arial"/>
                <w:sz w:val="24"/>
                <w:szCs w:val="24"/>
              </w:rPr>
              <w:t>"</w:t>
            </w:r>
            <w:r>
              <w:rPr>
                <w:rFonts w:ascii="Arial" w:eastAsia="Arial" w:hAnsi="Arial" w:cs="Arial"/>
                <w:b/>
                <w:sz w:val="24"/>
                <w:szCs w:val="24"/>
              </w:rPr>
              <w:t>TUPE Count"</w:t>
            </w:r>
          </w:p>
        </w:tc>
        <w:tc>
          <w:tcPr>
            <w:tcW w:w="7371" w:type="dxa"/>
            <w:vAlign w:val="center"/>
          </w:tcPr>
          <w:p w14:paraId="174470BB" w14:textId="77777777" w:rsidR="00A15725" w:rsidRDefault="00955D58">
            <w:pPr>
              <w:ind w:left="284" w:right="282"/>
              <w:rPr>
                <w:rFonts w:ascii="Arial" w:eastAsia="Arial" w:hAnsi="Arial" w:cs="Arial"/>
                <w:color w:val="202124"/>
                <w:sz w:val="24"/>
                <w:szCs w:val="24"/>
              </w:rPr>
            </w:pPr>
            <w:r>
              <w:rPr>
                <w:rFonts w:ascii="Arial" w:eastAsia="Arial" w:hAnsi="Arial" w:cs="Arial"/>
                <w:sz w:val="24"/>
                <w:szCs w:val="24"/>
              </w:rPr>
              <w:t>means the total number of Transferring Former Supplier Employees and/or Transferring Employer Employees identified in the TUPE Information;</w:t>
            </w:r>
          </w:p>
        </w:tc>
      </w:tr>
      <w:tr w:rsidR="00A15725" w14:paraId="0A6F8F91" w14:textId="77777777">
        <w:tc>
          <w:tcPr>
            <w:tcW w:w="2694" w:type="dxa"/>
          </w:tcPr>
          <w:p w14:paraId="62563575" w14:textId="77777777" w:rsidR="00A15725" w:rsidRDefault="00955D58">
            <w:pPr>
              <w:pBdr>
                <w:top w:val="nil"/>
                <w:left w:val="nil"/>
                <w:bottom w:val="nil"/>
                <w:right w:val="nil"/>
                <w:between w:val="nil"/>
              </w:pBdr>
              <w:spacing w:after="120"/>
              <w:rPr>
                <w:rFonts w:ascii="Arial" w:eastAsia="Arial" w:hAnsi="Arial" w:cs="Arial"/>
                <w:b/>
                <w:color w:val="202124"/>
                <w:sz w:val="24"/>
                <w:szCs w:val="24"/>
              </w:rPr>
            </w:pPr>
            <w:r>
              <w:rPr>
                <w:rFonts w:ascii="Arial" w:eastAsia="Arial" w:hAnsi="Arial" w:cs="Arial"/>
                <w:b/>
                <w:sz w:val="24"/>
                <w:szCs w:val="24"/>
              </w:rPr>
              <w:t>"TUPE Risk Premium"</w:t>
            </w:r>
          </w:p>
        </w:tc>
        <w:tc>
          <w:tcPr>
            <w:tcW w:w="7371" w:type="dxa"/>
          </w:tcPr>
          <w:p w14:paraId="204DBA7F" w14:textId="77777777" w:rsidR="00A15725" w:rsidRDefault="00955D58">
            <w:pPr>
              <w:pBdr>
                <w:top w:val="nil"/>
                <w:left w:val="nil"/>
                <w:bottom w:val="nil"/>
                <w:right w:val="nil"/>
                <w:between w:val="nil"/>
              </w:pBdr>
              <w:tabs>
                <w:tab w:val="left" w:pos="-179"/>
                <w:tab w:val="left" w:pos="175"/>
              </w:tabs>
              <w:spacing w:after="120"/>
              <w:ind w:left="284" w:right="282"/>
              <w:rPr>
                <w:rFonts w:ascii="Arial" w:eastAsia="Arial" w:hAnsi="Arial" w:cs="Arial"/>
                <w:color w:val="000000"/>
                <w:sz w:val="24"/>
                <w:szCs w:val="24"/>
              </w:rPr>
            </w:pPr>
            <w:r>
              <w:rPr>
                <w:rFonts w:ascii="Arial" w:eastAsia="Arial" w:hAnsi="Arial" w:cs="Arial"/>
                <w:color w:val="000000"/>
                <w:sz w:val="24"/>
                <w:szCs w:val="24"/>
              </w:rPr>
              <w:t>means either the:</w:t>
            </w:r>
          </w:p>
          <w:p w14:paraId="60F870AD" w14:textId="77777777" w:rsidR="00A15725" w:rsidRDefault="00955D58">
            <w:pPr>
              <w:pBdr>
                <w:top w:val="nil"/>
                <w:left w:val="nil"/>
                <w:bottom w:val="nil"/>
                <w:right w:val="nil"/>
                <w:between w:val="nil"/>
              </w:pBdr>
              <w:tabs>
                <w:tab w:val="left" w:pos="-179"/>
                <w:tab w:val="left" w:pos="175"/>
              </w:tabs>
              <w:spacing w:after="120"/>
              <w:ind w:left="992" w:right="282" w:hanging="708"/>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Direct Award TUPE Risk Premium</w:t>
            </w:r>
          </w:p>
          <w:p w14:paraId="3607952F" w14:textId="77777777" w:rsidR="00A15725" w:rsidRDefault="00955D58">
            <w:pPr>
              <w:pBdr>
                <w:top w:val="nil"/>
                <w:left w:val="nil"/>
                <w:bottom w:val="nil"/>
                <w:right w:val="nil"/>
                <w:between w:val="nil"/>
              </w:pBdr>
              <w:tabs>
                <w:tab w:val="left" w:pos="-179"/>
                <w:tab w:val="left" w:pos="175"/>
              </w:tabs>
              <w:spacing w:after="120"/>
              <w:ind w:left="992" w:right="282" w:hanging="708"/>
              <w:rPr>
                <w:rFonts w:ascii="Arial" w:eastAsia="Arial" w:hAnsi="Arial" w:cs="Arial"/>
                <w:color w:val="000000"/>
                <w:sz w:val="24"/>
                <w:szCs w:val="24"/>
              </w:rPr>
            </w:pPr>
            <w:r>
              <w:rPr>
                <w:rFonts w:ascii="Arial" w:eastAsia="Arial" w:hAnsi="Arial" w:cs="Arial"/>
                <w:color w:val="000000"/>
                <w:sz w:val="24"/>
                <w:szCs w:val="24"/>
              </w:rPr>
              <w:t>b)       Further Competition TUPE Risk Premium; or</w:t>
            </w:r>
          </w:p>
          <w:p w14:paraId="5BF2FAF9" w14:textId="77777777" w:rsidR="00A15725" w:rsidRDefault="00955D58">
            <w:pPr>
              <w:pBdr>
                <w:top w:val="nil"/>
                <w:left w:val="nil"/>
                <w:bottom w:val="nil"/>
                <w:right w:val="nil"/>
                <w:between w:val="nil"/>
              </w:pBdr>
              <w:tabs>
                <w:tab w:val="left" w:pos="-179"/>
                <w:tab w:val="left" w:pos="175"/>
              </w:tabs>
              <w:spacing w:after="120"/>
              <w:ind w:left="992" w:right="282" w:hanging="708"/>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Fixed Fee TUPE Risk Premium,</w:t>
            </w:r>
          </w:p>
          <w:p w14:paraId="13930690" w14:textId="77777777" w:rsidR="00A15725" w:rsidRDefault="00955D58">
            <w:pPr>
              <w:ind w:left="992" w:right="282" w:hanging="708"/>
              <w:rPr>
                <w:rFonts w:ascii="Arial" w:eastAsia="Arial" w:hAnsi="Arial" w:cs="Arial"/>
                <w:color w:val="202124"/>
                <w:sz w:val="24"/>
                <w:szCs w:val="24"/>
              </w:rPr>
            </w:pPr>
            <w:r>
              <w:rPr>
                <w:rFonts w:ascii="Arial" w:eastAsia="Arial" w:hAnsi="Arial" w:cs="Arial"/>
                <w:sz w:val="24"/>
                <w:szCs w:val="24"/>
              </w:rPr>
              <w:t>as the context requires;</w:t>
            </w:r>
          </w:p>
        </w:tc>
      </w:tr>
      <w:tr w:rsidR="00A15725" w14:paraId="1A6A1E60" w14:textId="77777777">
        <w:tc>
          <w:tcPr>
            <w:tcW w:w="2694" w:type="dxa"/>
          </w:tcPr>
          <w:p w14:paraId="74E36B90" w14:textId="77777777" w:rsidR="00A15725" w:rsidRDefault="00955D58">
            <w:pPr>
              <w:pBdr>
                <w:top w:val="nil"/>
                <w:left w:val="nil"/>
                <w:bottom w:val="nil"/>
                <w:right w:val="nil"/>
                <w:between w:val="nil"/>
              </w:pBdr>
              <w:spacing w:after="120"/>
              <w:rPr>
                <w:rFonts w:ascii="Arial" w:eastAsia="Arial" w:hAnsi="Arial" w:cs="Arial"/>
                <w:b/>
                <w:color w:val="202124"/>
                <w:sz w:val="24"/>
                <w:szCs w:val="24"/>
              </w:rPr>
            </w:pPr>
            <w:r>
              <w:rPr>
                <w:rFonts w:ascii="Arial" w:eastAsia="Arial" w:hAnsi="Arial" w:cs="Arial"/>
                <w:b/>
                <w:sz w:val="24"/>
                <w:szCs w:val="24"/>
              </w:rPr>
              <w:t>"TUPE Risk Premium Adjustment"</w:t>
            </w:r>
          </w:p>
        </w:tc>
        <w:tc>
          <w:tcPr>
            <w:tcW w:w="7371" w:type="dxa"/>
          </w:tcPr>
          <w:p w14:paraId="53A274DD" w14:textId="77777777" w:rsidR="00A15725" w:rsidRDefault="00955D58">
            <w:pPr>
              <w:ind w:left="284" w:right="282"/>
              <w:rPr>
                <w:rFonts w:ascii="Arial" w:eastAsia="Arial" w:hAnsi="Arial" w:cs="Arial"/>
                <w:color w:val="202124"/>
                <w:sz w:val="24"/>
                <w:szCs w:val="24"/>
              </w:rPr>
            </w:pPr>
            <w:r>
              <w:rPr>
                <w:rFonts w:ascii="Arial" w:eastAsia="Arial" w:hAnsi="Arial" w:cs="Arial"/>
                <w:sz w:val="24"/>
                <w:szCs w:val="24"/>
              </w:rPr>
              <w:t>means an adjustment to the Further Competition TUPE Risk Premium;</w:t>
            </w:r>
          </w:p>
        </w:tc>
      </w:tr>
      <w:tr w:rsidR="00A15725" w14:paraId="71AB0618" w14:textId="77777777">
        <w:tc>
          <w:tcPr>
            <w:tcW w:w="2694" w:type="dxa"/>
          </w:tcPr>
          <w:p w14:paraId="741C056A" w14:textId="77777777" w:rsidR="00A15725" w:rsidRDefault="00955D58">
            <w:pPr>
              <w:pBdr>
                <w:top w:val="nil"/>
                <w:left w:val="nil"/>
                <w:bottom w:val="nil"/>
                <w:right w:val="nil"/>
                <w:between w:val="nil"/>
              </w:pBdr>
              <w:spacing w:after="120"/>
              <w:rPr>
                <w:rFonts w:ascii="Arial" w:eastAsia="Arial" w:hAnsi="Arial" w:cs="Arial"/>
                <w:b/>
                <w:color w:val="202124"/>
                <w:sz w:val="24"/>
                <w:szCs w:val="24"/>
              </w:rPr>
            </w:pPr>
            <w:r>
              <w:rPr>
                <w:rFonts w:ascii="Arial" w:eastAsia="Arial" w:hAnsi="Arial" w:cs="Arial"/>
                <w:b/>
                <w:sz w:val="24"/>
                <w:szCs w:val="24"/>
              </w:rPr>
              <w:t>"TUPE Risk Premium Average"</w:t>
            </w:r>
          </w:p>
        </w:tc>
        <w:tc>
          <w:tcPr>
            <w:tcW w:w="7371" w:type="dxa"/>
          </w:tcPr>
          <w:p w14:paraId="7208AAB7" w14:textId="77777777" w:rsidR="00A15725" w:rsidRDefault="00955D58">
            <w:pPr>
              <w:pBdr>
                <w:top w:val="nil"/>
                <w:left w:val="nil"/>
                <w:bottom w:val="nil"/>
                <w:right w:val="nil"/>
                <w:between w:val="nil"/>
              </w:pBdr>
              <w:tabs>
                <w:tab w:val="left" w:pos="-179"/>
                <w:tab w:val="left" w:pos="175"/>
              </w:tabs>
              <w:spacing w:after="120"/>
              <w:ind w:left="284" w:right="282"/>
              <w:rPr>
                <w:rFonts w:ascii="Arial" w:eastAsia="Arial" w:hAnsi="Arial" w:cs="Arial"/>
                <w:color w:val="000000"/>
                <w:sz w:val="24"/>
                <w:szCs w:val="24"/>
              </w:rPr>
            </w:pPr>
            <w:r>
              <w:rPr>
                <w:rFonts w:ascii="Arial" w:eastAsia="Arial" w:hAnsi="Arial" w:cs="Arial"/>
                <w:color w:val="000000"/>
                <w:sz w:val="24"/>
                <w:szCs w:val="24"/>
              </w:rPr>
              <w:t>means the average  calculated by dividing the Further Competition TUPE Risk Premium by the lower of either:</w:t>
            </w:r>
          </w:p>
          <w:p w14:paraId="518A2E62" w14:textId="77777777" w:rsidR="00A15725" w:rsidRDefault="00955D58">
            <w:pPr>
              <w:pBdr>
                <w:top w:val="nil"/>
                <w:left w:val="nil"/>
                <w:bottom w:val="nil"/>
                <w:right w:val="nil"/>
                <w:between w:val="nil"/>
              </w:pBdr>
              <w:tabs>
                <w:tab w:val="left" w:pos="-179"/>
                <w:tab w:val="left" w:pos="175"/>
              </w:tabs>
              <w:spacing w:after="120"/>
              <w:ind w:left="992" w:right="282" w:hanging="708"/>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Labour Count; or</w:t>
            </w:r>
          </w:p>
          <w:p w14:paraId="3D2241D7" w14:textId="77777777" w:rsidR="00A15725" w:rsidRDefault="00955D58">
            <w:pPr>
              <w:ind w:left="992" w:right="282" w:hanging="708"/>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the TUPE Count.</w:t>
            </w:r>
          </w:p>
          <w:p w14:paraId="66449F95" w14:textId="77777777" w:rsidR="00A15725" w:rsidRDefault="00A15725">
            <w:pPr>
              <w:ind w:left="992" w:right="282" w:hanging="708"/>
              <w:rPr>
                <w:rFonts w:ascii="Arial" w:eastAsia="Arial" w:hAnsi="Arial" w:cs="Arial"/>
                <w:sz w:val="24"/>
                <w:szCs w:val="24"/>
              </w:rPr>
            </w:pPr>
          </w:p>
        </w:tc>
      </w:tr>
      <w:tr w:rsidR="00A15725" w14:paraId="793E099F" w14:textId="77777777">
        <w:tc>
          <w:tcPr>
            <w:tcW w:w="2694" w:type="dxa"/>
          </w:tcPr>
          <w:p w14:paraId="4915C74C" w14:textId="77777777" w:rsidR="00A15725" w:rsidRDefault="00955D58">
            <w:pPr>
              <w:pBdr>
                <w:top w:val="nil"/>
                <w:left w:val="nil"/>
                <w:bottom w:val="nil"/>
                <w:right w:val="nil"/>
                <w:between w:val="nil"/>
              </w:pBdr>
              <w:spacing w:after="120"/>
              <w:rPr>
                <w:rFonts w:ascii="Arial" w:eastAsia="Arial" w:hAnsi="Arial" w:cs="Arial"/>
                <w:b/>
                <w:color w:val="202124"/>
                <w:sz w:val="24"/>
                <w:szCs w:val="24"/>
              </w:rPr>
            </w:pPr>
            <w:r>
              <w:rPr>
                <w:rFonts w:ascii="Arial" w:eastAsia="Arial" w:hAnsi="Arial" w:cs="Arial"/>
                <w:b/>
                <w:color w:val="202124"/>
                <w:sz w:val="24"/>
                <w:szCs w:val="24"/>
              </w:rPr>
              <w:t>“United Kingdom”</w:t>
            </w:r>
          </w:p>
        </w:tc>
        <w:tc>
          <w:tcPr>
            <w:tcW w:w="7371" w:type="dxa"/>
          </w:tcPr>
          <w:p w14:paraId="638B7CC2" w14:textId="77777777" w:rsidR="00A15725" w:rsidRDefault="00955D58">
            <w:pPr>
              <w:spacing w:line="276" w:lineRule="auto"/>
              <w:ind w:left="284" w:right="282"/>
              <w:rPr>
                <w:rFonts w:ascii="Arial" w:eastAsia="Arial" w:hAnsi="Arial" w:cs="Arial"/>
                <w:color w:val="202124"/>
                <w:sz w:val="24"/>
                <w:szCs w:val="24"/>
              </w:rPr>
            </w:pPr>
            <w:r>
              <w:rPr>
                <w:rFonts w:ascii="Arial" w:eastAsia="Arial" w:hAnsi="Arial" w:cs="Arial"/>
                <w:color w:val="202124"/>
                <w:sz w:val="24"/>
                <w:szCs w:val="24"/>
              </w:rPr>
              <w:t>the country that consists of England, Scotland, Wales, and Northern Ireland</w:t>
            </w:r>
          </w:p>
        </w:tc>
      </w:tr>
      <w:tr w:rsidR="00A15725" w14:paraId="0F049BE5" w14:textId="77777777">
        <w:tc>
          <w:tcPr>
            <w:tcW w:w="2694" w:type="dxa"/>
          </w:tcPr>
          <w:p w14:paraId="5C040F39" w14:textId="77777777" w:rsidR="00A15725" w:rsidRDefault="00955D58">
            <w:pPr>
              <w:pBdr>
                <w:top w:val="nil"/>
                <w:left w:val="nil"/>
                <w:bottom w:val="nil"/>
                <w:right w:val="nil"/>
                <w:between w:val="nil"/>
              </w:pBdr>
              <w:spacing w:after="120"/>
              <w:rPr>
                <w:rFonts w:ascii="Arial" w:eastAsia="Arial" w:hAnsi="Arial" w:cs="Arial"/>
                <w:b/>
                <w:color w:val="202124"/>
                <w:sz w:val="24"/>
                <w:szCs w:val="24"/>
              </w:rPr>
            </w:pPr>
            <w:r>
              <w:rPr>
                <w:rFonts w:ascii="Arial" w:eastAsia="Arial" w:hAnsi="Arial" w:cs="Arial"/>
                <w:b/>
                <w:sz w:val="24"/>
                <w:szCs w:val="24"/>
              </w:rPr>
              <w:t>“UOM”</w:t>
            </w:r>
          </w:p>
        </w:tc>
        <w:tc>
          <w:tcPr>
            <w:tcW w:w="7371" w:type="dxa"/>
          </w:tcPr>
          <w:p w14:paraId="22C8DE4B" w14:textId="77777777" w:rsidR="00A15725" w:rsidRDefault="00955D58">
            <w:pPr>
              <w:ind w:left="284" w:right="282"/>
              <w:rPr>
                <w:rFonts w:ascii="Arial" w:eastAsia="Arial" w:hAnsi="Arial" w:cs="Arial"/>
                <w:color w:val="202124"/>
                <w:sz w:val="24"/>
                <w:szCs w:val="24"/>
              </w:rPr>
            </w:pPr>
            <w:r>
              <w:rPr>
                <w:rFonts w:ascii="Arial" w:eastAsia="Arial" w:hAnsi="Arial" w:cs="Arial"/>
                <w:sz w:val="24"/>
                <w:szCs w:val="24"/>
              </w:rPr>
              <w:t>the applicable unit of measure as defined in Framework Schedule (Framework Prices)</w:t>
            </w:r>
          </w:p>
        </w:tc>
      </w:tr>
      <w:tr w:rsidR="00A15725" w14:paraId="01115335" w14:textId="77777777">
        <w:tc>
          <w:tcPr>
            <w:tcW w:w="2694" w:type="dxa"/>
          </w:tcPr>
          <w:p w14:paraId="3EDD5FF5"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“Value Added Services”</w:t>
            </w:r>
          </w:p>
        </w:tc>
        <w:tc>
          <w:tcPr>
            <w:tcW w:w="7371" w:type="dxa"/>
          </w:tcPr>
          <w:p w14:paraId="4DB70395"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sz w:val="24"/>
                <w:szCs w:val="24"/>
              </w:rPr>
              <w:t>are features that can be added to a core product to enhance the user experience or a service that could function as a standalone product or feature</w:t>
            </w:r>
          </w:p>
        </w:tc>
      </w:tr>
      <w:tr w:rsidR="00A15725" w14:paraId="4470E679" w14:textId="77777777">
        <w:tc>
          <w:tcPr>
            <w:tcW w:w="2694" w:type="dxa"/>
          </w:tcPr>
          <w:p w14:paraId="10B1D73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"Variation"</w:t>
            </w:r>
          </w:p>
        </w:tc>
        <w:tc>
          <w:tcPr>
            <w:tcW w:w="7371" w:type="dxa"/>
          </w:tcPr>
          <w:p w14:paraId="119962D3" w14:textId="77777777" w:rsidR="00A15725" w:rsidRDefault="00955D58">
            <w:pPr>
              <w:pBdr>
                <w:top w:val="nil"/>
                <w:left w:val="nil"/>
                <w:bottom w:val="nil"/>
                <w:right w:val="nil"/>
                <w:between w:val="nil"/>
              </w:pBdr>
              <w:tabs>
                <w:tab w:val="left" w:pos="-179"/>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change to a core Terms Contract;</w:t>
            </w:r>
          </w:p>
        </w:tc>
      </w:tr>
      <w:tr w:rsidR="00A15725" w14:paraId="570E68DF" w14:textId="77777777">
        <w:tc>
          <w:tcPr>
            <w:tcW w:w="2694" w:type="dxa"/>
          </w:tcPr>
          <w:p w14:paraId="3A46796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"Variation Form"</w:t>
            </w:r>
          </w:p>
        </w:tc>
        <w:tc>
          <w:tcPr>
            <w:tcW w:w="7371" w:type="dxa"/>
          </w:tcPr>
          <w:p w14:paraId="3CAD1514" w14:textId="77777777" w:rsidR="00A15725" w:rsidRDefault="00955D58">
            <w:pPr>
              <w:pBdr>
                <w:top w:val="nil"/>
                <w:left w:val="nil"/>
                <w:bottom w:val="nil"/>
                <w:right w:val="nil"/>
                <w:between w:val="nil"/>
              </w:pBdr>
              <w:tabs>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A15725" w14:paraId="4A8BA77E" w14:textId="77777777">
        <w:tc>
          <w:tcPr>
            <w:tcW w:w="2694" w:type="dxa"/>
          </w:tcPr>
          <w:p w14:paraId="5EDA0D39"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371" w:type="dxa"/>
          </w:tcPr>
          <w:p w14:paraId="6E3A3838" w14:textId="77777777" w:rsidR="00A15725" w:rsidRDefault="00955D58">
            <w:pPr>
              <w:pBdr>
                <w:top w:val="nil"/>
                <w:left w:val="nil"/>
                <w:bottom w:val="nil"/>
                <w:right w:val="nil"/>
                <w:between w:val="nil"/>
              </w:pBdr>
              <w:tabs>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A15725" w14:paraId="2B621524" w14:textId="77777777">
        <w:tc>
          <w:tcPr>
            <w:tcW w:w="2694" w:type="dxa"/>
          </w:tcPr>
          <w:p w14:paraId="6AA55D0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"VAT"</w:t>
            </w:r>
          </w:p>
        </w:tc>
        <w:tc>
          <w:tcPr>
            <w:tcW w:w="7371" w:type="dxa"/>
          </w:tcPr>
          <w:p w14:paraId="64EE7742" w14:textId="77777777" w:rsidR="00A15725" w:rsidRDefault="00955D58">
            <w:pPr>
              <w:pBdr>
                <w:top w:val="nil"/>
                <w:left w:val="nil"/>
                <w:bottom w:val="nil"/>
                <w:right w:val="nil"/>
                <w:between w:val="nil"/>
              </w:pBdr>
              <w:tabs>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A15725" w14:paraId="786BCC66" w14:textId="77777777">
        <w:tc>
          <w:tcPr>
            <w:tcW w:w="2694" w:type="dxa"/>
          </w:tcPr>
          <w:p w14:paraId="6CD1CAB6"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"VCSE"</w:t>
            </w:r>
          </w:p>
        </w:tc>
        <w:tc>
          <w:tcPr>
            <w:tcW w:w="7371" w:type="dxa"/>
          </w:tcPr>
          <w:p w14:paraId="475A90A4" w14:textId="77777777" w:rsidR="00A15725" w:rsidRDefault="00955D58">
            <w:pPr>
              <w:pBdr>
                <w:top w:val="nil"/>
                <w:left w:val="nil"/>
                <w:bottom w:val="nil"/>
                <w:right w:val="nil"/>
                <w:between w:val="nil"/>
              </w:pBdr>
              <w:tabs>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A15725" w14:paraId="1318EEFD" w14:textId="77777777">
        <w:tc>
          <w:tcPr>
            <w:tcW w:w="2694" w:type="dxa"/>
          </w:tcPr>
          <w:p w14:paraId="5A8D69A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“WCAG Principles”</w:t>
            </w:r>
          </w:p>
        </w:tc>
        <w:tc>
          <w:tcPr>
            <w:tcW w:w="7371" w:type="dxa"/>
          </w:tcPr>
          <w:p w14:paraId="7E1BFF2A" w14:textId="77777777" w:rsidR="00A15725" w:rsidRDefault="00955D58">
            <w:pPr>
              <w:tabs>
                <w:tab w:val="left" w:pos="284"/>
              </w:tabs>
              <w:spacing w:line="276" w:lineRule="auto"/>
              <w:ind w:left="284" w:right="141"/>
              <w:rPr>
                <w:rFonts w:ascii="Arial" w:eastAsia="Arial" w:hAnsi="Arial" w:cs="Arial"/>
                <w:color w:val="000000"/>
                <w:sz w:val="24"/>
                <w:szCs w:val="24"/>
              </w:rPr>
            </w:pPr>
            <w:r>
              <w:rPr>
                <w:rFonts w:ascii="Arial" w:eastAsia="Arial" w:hAnsi="Arial" w:cs="Arial"/>
                <w:color w:val="202124"/>
                <w:sz w:val="24"/>
                <w:szCs w:val="24"/>
                <w:highlight w:val="white"/>
              </w:rPr>
              <w:t>the Web Content Accessibility Guidelines (WCAG) are organized by four main principles, which state that content must be POUR: Perceivable, Operable, Understandable, and Robust. WCAG is the most-referenced set of standards in website accessibility lawsuits and is widely considered the best way to achieve accessibility;</w:t>
            </w:r>
          </w:p>
        </w:tc>
      </w:tr>
      <w:tr w:rsidR="00A15725" w14:paraId="36DB191B" w14:textId="77777777">
        <w:tc>
          <w:tcPr>
            <w:tcW w:w="2694" w:type="dxa"/>
            <w:vAlign w:val="center"/>
          </w:tcPr>
          <w:p w14:paraId="3E9515C9"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“Waste Hierarchy”</w:t>
            </w:r>
          </w:p>
        </w:tc>
        <w:tc>
          <w:tcPr>
            <w:tcW w:w="7371" w:type="dxa"/>
            <w:vAlign w:val="center"/>
          </w:tcPr>
          <w:p w14:paraId="78718A7F" w14:textId="77777777" w:rsidR="00A15725" w:rsidRDefault="00955D58">
            <w:pPr>
              <w:tabs>
                <w:tab w:val="left" w:pos="284"/>
              </w:tabs>
              <w:ind w:left="284" w:right="141"/>
              <w:rPr>
                <w:rFonts w:ascii="Arial" w:eastAsia="Arial" w:hAnsi="Arial" w:cs="Arial"/>
                <w:color w:val="202124"/>
                <w:sz w:val="24"/>
                <w:szCs w:val="24"/>
                <w:highlight w:val="white"/>
              </w:rPr>
            </w:pPr>
            <w:r>
              <w:rPr>
                <w:rFonts w:ascii="Arial" w:eastAsia="Arial" w:hAnsi="Arial" w:cs="Arial"/>
                <w:sz w:val="24"/>
                <w:szCs w:val="24"/>
              </w:rPr>
              <w:t>has the meaning given to it in the Waste (England and Wales) Regulations 2011, as amended from time to time;</w:t>
            </w:r>
          </w:p>
        </w:tc>
      </w:tr>
      <w:tr w:rsidR="00A15725" w14:paraId="12F4628F" w14:textId="77777777">
        <w:tc>
          <w:tcPr>
            <w:tcW w:w="2694" w:type="dxa"/>
            <w:vAlign w:val="center"/>
          </w:tcPr>
          <w:p w14:paraId="0E5EFB1A" w14:textId="77777777" w:rsidR="00A15725" w:rsidRDefault="00955D58">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“Works Arising from Planned Maintenance”</w:t>
            </w:r>
          </w:p>
        </w:tc>
        <w:tc>
          <w:tcPr>
            <w:tcW w:w="7371" w:type="dxa"/>
            <w:vAlign w:val="center"/>
          </w:tcPr>
          <w:p w14:paraId="6CD3C333" w14:textId="77777777" w:rsidR="00A15725" w:rsidRDefault="00955D58">
            <w:pPr>
              <w:tabs>
                <w:tab w:val="left" w:pos="284"/>
              </w:tabs>
              <w:ind w:left="284" w:right="141"/>
              <w:rPr>
                <w:rFonts w:ascii="Arial" w:eastAsia="Arial" w:hAnsi="Arial" w:cs="Arial"/>
                <w:color w:val="202124"/>
                <w:sz w:val="24"/>
                <w:szCs w:val="24"/>
                <w:highlight w:val="white"/>
              </w:rPr>
            </w:pPr>
            <w:r>
              <w:rPr>
                <w:rFonts w:ascii="Arial" w:eastAsia="Arial" w:hAnsi="Arial" w:cs="Arial"/>
                <w:sz w:val="24"/>
                <w:szCs w:val="24"/>
              </w:rPr>
              <w:t>means Reactive Maintenance Works identified by either the Supplier or Buyer which are required to be completed. These works may be identified during Planned Maintenance activities, building fabric inspections, audits or other non-reactive activities.</w:t>
            </w:r>
          </w:p>
        </w:tc>
      </w:tr>
      <w:tr w:rsidR="00A15725" w14:paraId="0EDBE404" w14:textId="77777777">
        <w:tc>
          <w:tcPr>
            <w:tcW w:w="2694" w:type="dxa"/>
          </w:tcPr>
          <w:p w14:paraId="4475B222"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"Worker"</w:t>
            </w:r>
          </w:p>
        </w:tc>
        <w:tc>
          <w:tcPr>
            <w:tcW w:w="7371" w:type="dxa"/>
          </w:tcPr>
          <w:p w14:paraId="723FA64E" w14:textId="77777777" w:rsidR="00A15725" w:rsidRDefault="00955D58">
            <w:pPr>
              <w:pBdr>
                <w:top w:val="nil"/>
                <w:left w:val="nil"/>
                <w:bottom w:val="nil"/>
                <w:right w:val="nil"/>
                <w:between w:val="nil"/>
              </w:pBdr>
              <w:tabs>
                <w:tab w:val="left" w:pos="284"/>
              </w:tabs>
              <w:spacing w:after="120"/>
              <w:ind w:left="284" w:right="141"/>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A15725" w14:paraId="21D28669" w14:textId="77777777">
        <w:tc>
          <w:tcPr>
            <w:tcW w:w="2694" w:type="dxa"/>
          </w:tcPr>
          <w:p w14:paraId="24C733AA"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"Working Day"</w:t>
            </w:r>
          </w:p>
        </w:tc>
        <w:tc>
          <w:tcPr>
            <w:tcW w:w="7371" w:type="dxa"/>
          </w:tcPr>
          <w:p w14:paraId="0915BBCE" w14:textId="77777777" w:rsidR="00A15725" w:rsidRDefault="00955D58">
            <w:pPr>
              <w:pBdr>
                <w:top w:val="nil"/>
                <w:left w:val="nil"/>
                <w:bottom w:val="nil"/>
                <w:right w:val="nil"/>
                <w:between w:val="nil"/>
              </w:pBdr>
              <w:tabs>
                <w:tab w:val="left" w:pos="-179"/>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A15725" w14:paraId="03F0461B" w14:textId="77777777">
        <w:tc>
          <w:tcPr>
            <w:tcW w:w="2694" w:type="dxa"/>
          </w:tcPr>
          <w:p w14:paraId="247B22F1"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"Working Hours"</w:t>
            </w:r>
          </w:p>
        </w:tc>
        <w:tc>
          <w:tcPr>
            <w:tcW w:w="7371" w:type="dxa"/>
          </w:tcPr>
          <w:p w14:paraId="22F84541" w14:textId="77777777" w:rsidR="00A15725" w:rsidRDefault="00955D58">
            <w:pPr>
              <w:spacing w:after="120"/>
              <w:ind w:left="360"/>
              <w:rPr>
                <w:rFonts w:ascii="Arial" w:eastAsia="Arial" w:hAnsi="Arial" w:cs="Arial"/>
                <w:color w:val="000000"/>
                <w:sz w:val="24"/>
                <w:szCs w:val="24"/>
              </w:rPr>
            </w:pPr>
            <w:r>
              <w:rPr>
                <w:rFonts w:ascii="Arial" w:eastAsia="Arial" w:hAnsi="Arial" w:cs="Arial"/>
                <w:color w:val="000000"/>
                <w:sz w:val="24"/>
                <w:szCs w:val="24"/>
              </w:rPr>
              <w:t>standard hours of business of the Buyer at each Buyer Premises as defined by the Buyer at Further Competition. </w:t>
            </w:r>
          </w:p>
          <w:p w14:paraId="29858FF4" w14:textId="77777777" w:rsidR="00A15725" w:rsidRDefault="00955D58">
            <w:pPr>
              <w:pBdr>
                <w:top w:val="nil"/>
                <w:left w:val="nil"/>
                <w:bottom w:val="nil"/>
                <w:right w:val="nil"/>
                <w:between w:val="nil"/>
              </w:pBdr>
              <w:tabs>
                <w:tab w:val="left" w:pos="-179"/>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Operational Working Hours</w:t>
            </w:r>
            <w:r>
              <w:rPr>
                <w:rFonts w:ascii="Arial" w:eastAsia="Arial" w:hAnsi="Arial" w:cs="Arial"/>
                <w:color w:val="000000"/>
                <w:sz w:val="24"/>
                <w:szCs w:val="24"/>
              </w:rPr>
              <w:t>” shall be construed accordingly.</w:t>
            </w:r>
          </w:p>
        </w:tc>
      </w:tr>
      <w:tr w:rsidR="00A15725" w14:paraId="7E4667BC" w14:textId="77777777">
        <w:tc>
          <w:tcPr>
            <w:tcW w:w="2694" w:type="dxa"/>
          </w:tcPr>
          <w:p w14:paraId="33BE31B5"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“Work Order”</w:t>
            </w:r>
          </w:p>
        </w:tc>
        <w:tc>
          <w:tcPr>
            <w:tcW w:w="7371" w:type="dxa"/>
          </w:tcPr>
          <w:p w14:paraId="2285B390" w14:textId="77777777" w:rsidR="00A15725" w:rsidRDefault="00955D58">
            <w:pPr>
              <w:pBdr>
                <w:top w:val="nil"/>
                <w:left w:val="nil"/>
                <w:bottom w:val="nil"/>
                <w:right w:val="nil"/>
                <w:between w:val="nil"/>
              </w:pBdr>
              <w:tabs>
                <w:tab w:val="left" w:pos="-179"/>
                <w:tab w:val="left" w:pos="284"/>
              </w:tabs>
              <w:spacing w:after="120"/>
              <w:ind w:left="284" w:right="282"/>
              <w:jc w:val="both"/>
              <w:rPr>
                <w:rFonts w:ascii="Arial" w:eastAsia="Arial" w:hAnsi="Arial" w:cs="Arial"/>
                <w:color w:val="000000"/>
                <w:sz w:val="24"/>
                <w:szCs w:val="24"/>
              </w:rPr>
            </w:pPr>
            <w:r>
              <w:rPr>
                <w:rFonts w:ascii="Arial" w:eastAsia="Arial" w:hAnsi="Arial" w:cs="Arial"/>
                <w:color w:val="000000"/>
                <w:sz w:val="24"/>
                <w:szCs w:val="24"/>
              </w:rPr>
              <w:t xml:space="preserve">means a written instruction by the Buyer to carry out Billable Works. </w:t>
            </w:r>
          </w:p>
        </w:tc>
      </w:tr>
      <w:tr w:rsidR="00A15725" w14:paraId="6DDFC903" w14:textId="77777777">
        <w:tc>
          <w:tcPr>
            <w:tcW w:w="2694" w:type="dxa"/>
          </w:tcPr>
          <w:p w14:paraId="6E06A1FD" w14:textId="77777777" w:rsidR="00A15725" w:rsidRDefault="00955D5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“Written Proposal”</w:t>
            </w:r>
          </w:p>
        </w:tc>
        <w:tc>
          <w:tcPr>
            <w:tcW w:w="7371" w:type="dxa"/>
          </w:tcPr>
          <w:p w14:paraId="0F814925" w14:textId="77777777" w:rsidR="00A15725" w:rsidRDefault="00955D58">
            <w:pPr>
              <w:pBdr>
                <w:top w:val="nil"/>
                <w:left w:val="nil"/>
                <w:bottom w:val="nil"/>
                <w:right w:val="nil"/>
                <w:between w:val="nil"/>
              </w:pBdr>
              <w:tabs>
                <w:tab w:val="left" w:pos="-179"/>
                <w:tab w:val="left" w:pos="284"/>
              </w:tabs>
              <w:spacing w:after="120"/>
              <w:ind w:left="284" w:right="282"/>
              <w:jc w:val="both"/>
              <w:rPr>
                <w:rFonts w:ascii="Arial" w:eastAsia="Arial" w:hAnsi="Arial" w:cs="Arial"/>
                <w:color w:val="000000"/>
                <w:sz w:val="24"/>
                <w:szCs w:val="24"/>
              </w:rPr>
            </w:pPr>
            <w:r>
              <w:rPr>
                <w:rFonts w:ascii="Arial" w:eastAsia="Arial" w:hAnsi="Arial" w:cs="Arial"/>
                <w:sz w:val="24"/>
                <w:szCs w:val="24"/>
              </w:rPr>
              <w:t>means the proposal submitted by the Supplier to the Buyer in accordance with the Further Competition Procedure with Dialogue outlined in Framework Schedule 7 - Call Off Award Procedure.</w:t>
            </w:r>
          </w:p>
        </w:tc>
      </w:tr>
    </w:tbl>
    <w:p w14:paraId="3D2F5740" w14:textId="77777777" w:rsidR="00A15725" w:rsidRDefault="00A15725">
      <w:pPr>
        <w:spacing w:after="0" w:line="240" w:lineRule="auto"/>
        <w:rPr>
          <w:rFonts w:ascii="Arial" w:eastAsia="Arial" w:hAnsi="Arial" w:cs="Arial"/>
          <w:sz w:val="24"/>
          <w:szCs w:val="24"/>
        </w:rPr>
      </w:pPr>
    </w:p>
    <w:sectPr w:rsidR="00A1572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F3B6" w14:textId="77777777" w:rsidR="005A2B01" w:rsidRDefault="005A2B01">
      <w:pPr>
        <w:spacing w:after="0" w:line="240" w:lineRule="auto"/>
      </w:pPr>
      <w:r>
        <w:separator/>
      </w:r>
    </w:p>
  </w:endnote>
  <w:endnote w:type="continuationSeparator" w:id="0">
    <w:p w14:paraId="56891A3D" w14:textId="77777777" w:rsidR="005A2B01" w:rsidRDefault="005A2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78CD" w14:textId="77777777" w:rsidR="00B31D6E" w:rsidRDefault="00B31D6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145500"/>
      <w:docPartObj>
        <w:docPartGallery w:val="Page Numbers (Bottom of Page)"/>
        <w:docPartUnique/>
      </w:docPartObj>
    </w:sdtPr>
    <w:sdtEndPr/>
    <w:sdtContent>
      <w:sdt>
        <w:sdtPr>
          <w:id w:val="-1769616900"/>
          <w:docPartObj>
            <w:docPartGallery w:val="Page Numbers (Top of Page)"/>
            <w:docPartUnique/>
          </w:docPartObj>
        </w:sdtPr>
        <w:sdtEndPr/>
        <w:sdtContent>
          <w:p w14:paraId="526E3F59" w14:textId="77777777" w:rsidR="00B31D6E" w:rsidRDefault="00B31D6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81180A" w14:textId="77777777" w:rsidR="00B31D6E" w:rsidRDefault="00B31D6E" w:rsidP="009B5EF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bookmarkStart w:id="14" w:name="_Hlk114839142"/>
    <w:bookmarkStart w:id="15" w:name="_Hlk114839143"/>
    <w:bookmarkStart w:id="16" w:name="_Hlk115854819"/>
    <w:bookmarkStart w:id="17" w:name="_Hlk115854820"/>
    <w:bookmarkStart w:id="18" w:name="_Hlk115854823"/>
    <w:bookmarkStart w:id="19" w:name="_Hlk115854824"/>
    <w:bookmarkStart w:id="20" w:name="_Hlk115854973"/>
    <w:bookmarkStart w:id="21" w:name="_Hlk115854974"/>
    <w:bookmarkStart w:id="22" w:name="_Hlk115854979"/>
    <w:bookmarkStart w:id="23" w:name="_Hlk115854980"/>
    <w:bookmarkStart w:id="24" w:name="_Hlk115855441"/>
    <w:bookmarkStart w:id="25" w:name="_Hlk115855442"/>
    <w:bookmarkStart w:id="26" w:name="_Hlk115855632"/>
    <w:bookmarkStart w:id="27" w:name="_Hlk115855633"/>
    <w:bookmarkStart w:id="28" w:name="_Hlk115856000"/>
    <w:bookmarkStart w:id="29" w:name="_Hlk115856001"/>
    <w:bookmarkStart w:id="30" w:name="_Hlk115856177"/>
    <w:bookmarkStart w:id="31" w:name="_Hlk115856178"/>
    <w:bookmarkStart w:id="32" w:name="_Hlk115856528"/>
    <w:bookmarkStart w:id="33" w:name="_Hlk115856529"/>
    <w:bookmarkStart w:id="34" w:name="_Hlk115856798"/>
    <w:bookmarkStart w:id="35" w:name="_Hlk115856799"/>
    <w:bookmarkStart w:id="36" w:name="_Hlk115856929"/>
    <w:bookmarkStart w:id="37" w:name="_Hlk115856930"/>
    <w:bookmarkStart w:id="38" w:name="_Hlk115857133"/>
    <w:bookmarkStart w:id="39" w:name="_Hlk115857134"/>
    <w:bookmarkStart w:id="40" w:name="_Hlk115857353"/>
    <w:bookmarkStart w:id="41" w:name="_Hlk115857354"/>
    <w:r>
      <w:rPr>
        <w:rFonts w:ascii="Arial" w:eastAsia="Arial" w:hAnsi="Arial" w:cs="Arial"/>
        <w:b/>
        <w:color w:val="000000"/>
        <w:sz w:val="20"/>
        <w:szCs w:val="20"/>
      </w:rPr>
      <w:t xml:space="preserve">Joint Schedule 1 (Definitions) </w:t>
    </w:r>
  </w:p>
  <w:p w14:paraId="7584283F" w14:textId="77777777" w:rsidR="00B31D6E" w:rsidRDefault="00B31D6E" w:rsidP="009B5EF6">
    <w:pPr>
      <w:spacing w:after="0"/>
      <w:rPr>
        <w:rFonts w:ascii="Arial" w:eastAsia="Arial" w:hAnsi="Arial" w:cs="Arial"/>
        <w:sz w:val="20"/>
        <w:szCs w:val="20"/>
      </w:rPr>
    </w:pPr>
    <w:r>
      <w:rPr>
        <w:rFonts w:ascii="Arial" w:eastAsia="Arial" w:hAnsi="Arial" w:cs="Arial"/>
        <w:sz w:val="20"/>
        <w:szCs w:val="20"/>
      </w:rPr>
      <w:t>Ref: RM6232</w:t>
    </w:r>
    <w:r>
      <w:rPr>
        <w:rFonts w:ascii="Arial" w:eastAsia="Arial" w:hAnsi="Arial" w:cs="Arial"/>
        <w:sz w:val="20"/>
        <w:szCs w:val="20"/>
      </w:rPr>
      <w:tab/>
      <w:t xml:space="preserve">                                           </w:t>
    </w:r>
  </w:p>
  <w:p w14:paraId="6A08F950" w14:textId="77777777" w:rsidR="00B31D6E" w:rsidRPr="009B5EF6" w:rsidRDefault="00B31D6E" w:rsidP="009B5EF6">
    <w:pPr>
      <w:spacing w:after="0"/>
      <w:rPr>
        <w:rFonts w:ascii="Arial" w:eastAsia="Arial" w:hAnsi="Arial" w:cs="Arial"/>
        <w:sz w:val="20"/>
        <w:szCs w:val="20"/>
      </w:rPr>
    </w:pPr>
    <w:r>
      <w:rPr>
        <w:rFonts w:ascii="Arial" w:eastAsia="Arial" w:hAnsi="Arial" w:cs="Arial"/>
        <w:color w:val="000000"/>
        <w:sz w:val="20"/>
        <w:szCs w:val="20"/>
      </w:rPr>
      <w:t xml:space="preserve">Crown Copyright </w:t>
    </w:r>
    <w:r>
      <w:rPr>
        <w:rFonts w:ascii="Arial" w:eastAsia="Arial" w:hAnsi="Arial" w:cs="Arial"/>
        <w:sz w:val="20"/>
        <w:szCs w:val="20"/>
      </w:rPr>
      <w:t>2022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BE8A" w14:textId="77777777" w:rsidR="00B31D6E" w:rsidRDefault="00B31D6E">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16AC722D" w14:textId="77777777" w:rsidR="00B31D6E" w:rsidRDefault="00B31D6E">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70A4EB1B" w14:textId="77777777" w:rsidR="00B31D6E" w:rsidRDefault="00B31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FADA7" w14:textId="77777777" w:rsidR="005A2B01" w:rsidRDefault="005A2B01">
      <w:pPr>
        <w:spacing w:after="0" w:line="240" w:lineRule="auto"/>
      </w:pPr>
      <w:r>
        <w:separator/>
      </w:r>
    </w:p>
  </w:footnote>
  <w:footnote w:type="continuationSeparator" w:id="0">
    <w:p w14:paraId="460693B9" w14:textId="77777777" w:rsidR="005A2B01" w:rsidRDefault="005A2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7EA0" w14:textId="77777777" w:rsidR="00B31D6E" w:rsidRDefault="00B31D6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528C" w14:textId="77777777" w:rsidR="00B31D6E" w:rsidRPr="002E2FB0" w:rsidRDefault="00B31D6E" w:rsidP="002E2FB0">
    <w:pPr>
      <w:pStyle w:val="Header"/>
      <w:jc w:val="center"/>
      <w:rPr>
        <w:sz w:val="24"/>
        <w:szCs w:val="24"/>
      </w:rPr>
    </w:pPr>
    <w:r>
      <w:rPr>
        <w:sz w:val="24"/>
        <w:szCs w:val="24"/>
      </w:rPr>
      <w:t>OFFICIAL 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1858" w14:textId="77777777" w:rsidR="00B31D6E" w:rsidRDefault="00B31D6E">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335AD597" w14:textId="77777777" w:rsidR="00B31D6E" w:rsidRDefault="00B31D6E">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0080"/>
    <w:multiLevelType w:val="multilevel"/>
    <w:tmpl w:val="BB8EEA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4F44FB"/>
    <w:multiLevelType w:val="multilevel"/>
    <w:tmpl w:val="254C36E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3E6F51"/>
    <w:multiLevelType w:val="multilevel"/>
    <w:tmpl w:val="ABBE0AC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787ADC"/>
    <w:multiLevelType w:val="multilevel"/>
    <w:tmpl w:val="31201314"/>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C606C"/>
    <w:multiLevelType w:val="multilevel"/>
    <w:tmpl w:val="B2D2B7C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672518"/>
    <w:multiLevelType w:val="multilevel"/>
    <w:tmpl w:val="607856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734C91"/>
    <w:multiLevelType w:val="multilevel"/>
    <w:tmpl w:val="1AA21AC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 w15:restartNumberingAfterBreak="0">
    <w:nsid w:val="26BB064B"/>
    <w:multiLevelType w:val="multilevel"/>
    <w:tmpl w:val="13B8C7FE"/>
    <w:lvl w:ilvl="0">
      <w:start w:val="1"/>
      <w:numFmt w:val="decimal"/>
      <w:pStyle w:val="GPSDefinitionL4"/>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5E0339"/>
    <w:multiLevelType w:val="multilevel"/>
    <w:tmpl w:val="9D44A89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314CF4"/>
    <w:multiLevelType w:val="multilevel"/>
    <w:tmpl w:val="D7D832A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4D4BA0"/>
    <w:multiLevelType w:val="multilevel"/>
    <w:tmpl w:val="D7685A1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1" w15:restartNumberingAfterBreak="0">
    <w:nsid w:val="356A5170"/>
    <w:multiLevelType w:val="multilevel"/>
    <w:tmpl w:val="0F7EBCF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B265F4C"/>
    <w:multiLevelType w:val="multilevel"/>
    <w:tmpl w:val="82BA9F8C"/>
    <w:lvl w:ilvl="0">
      <w:start w:val="1"/>
      <w:numFmt w:val="lowerLetter"/>
      <w:lvlText w:val="%1)"/>
      <w:lvlJc w:val="left"/>
      <w:pPr>
        <w:ind w:left="890" w:hanging="360"/>
      </w:pPr>
    </w:lvl>
    <w:lvl w:ilvl="1">
      <w:start w:val="1"/>
      <w:numFmt w:val="lowerLetter"/>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3" w15:restartNumberingAfterBreak="0">
    <w:nsid w:val="48FD64C4"/>
    <w:multiLevelType w:val="multilevel"/>
    <w:tmpl w:val="1CCE5D8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6E287C"/>
    <w:multiLevelType w:val="multilevel"/>
    <w:tmpl w:val="C6AEAC0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B75C87"/>
    <w:multiLevelType w:val="multilevel"/>
    <w:tmpl w:val="BE0C806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EA3E06"/>
    <w:multiLevelType w:val="multilevel"/>
    <w:tmpl w:val="3A94A52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F04129E"/>
    <w:multiLevelType w:val="multilevel"/>
    <w:tmpl w:val="EC4A94B8"/>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5EFF19CD"/>
    <w:multiLevelType w:val="multilevel"/>
    <w:tmpl w:val="E812B52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28425ED"/>
    <w:multiLevelType w:val="multilevel"/>
    <w:tmpl w:val="7BBEB6A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4A4793"/>
    <w:multiLevelType w:val="multilevel"/>
    <w:tmpl w:val="39FE52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584C3C"/>
    <w:multiLevelType w:val="multilevel"/>
    <w:tmpl w:val="CE2861D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DAB7902"/>
    <w:multiLevelType w:val="multilevel"/>
    <w:tmpl w:val="3C92288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AD008F"/>
    <w:multiLevelType w:val="multilevel"/>
    <w:tmpl w:val="418E355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E32C39"/>
    <w:multiLevelType w:val="multilevel"/>
    <w:tmpl w:val="8B7232BE"/>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394CE8"/>
    <w:multiLevelType w:val="multilevel"/>
    <w:tmpl w:val="4FCE04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460D1C"/>
    <w:multiLevelType w:val="multilevel"/>
    <w:tmpl w:val="26981B34"/>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78922A8"/>
    <w:multiLevelType w:val="multilevel"/>
    <w:tmpl w:val="7BBAEAF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7B36B67"/>
    <w:multiLevelType w:val="multilevel"/>
    <w:tmpl w:val="3CA01DAA"/>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89E05C6"/>
    <w:multiLevelType w:val="multilevel"/>
    <w:tmpl w:val="75C20F3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3E5FA3"/>
    <w:multiLevelType w:val="multilevel"/>
    <w:tmpl w:val="6720CB6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3113852">
    <w:abstractNumId w:val="7"/>
  </w:num>
  <w:num w:numId="2" w16cid:durableId="1469396620">
    <w:abstractNumId w:val="22"/>
  </w:num>
  <w:num w:numId="3" w16cid:durableId="1375690701">
    <w:abstractNumId w:val="24"/>
  </w:num>
  <w:num w:numId="4" w16cid:durableId="1125196848">
    <w:abstractNumId w:val="26"/>
  </w:num>
  <w:num w:numId="5" w16cid:durableId="831529818">
    <w:abstractNumId w:val="28"/>
  </w:num>
  <w:num w:numId="6" w16cid:durableId="876550012">
    <w:abstractNumId w:val="10"/>
  </w:num>
  <w:num w:numId="7" w16cid:durableId="1307276811">
    <w:abstractNumId w:val="19"/>
  </w:num>
  <w:num w:numId="8" w16cid:durableId="304745435">
    <w:abstractNumId w:val="27"/>
  </w:num>
  <w:num w:numId="9" w16cid:durableId="1181775949">
    <w:abstractNumId w:val="0"/>
  </w:num>
  <w:num w:numId="10" w16cid:durableId="2070807178">
    <w:abstractNumId w:val="30"/>
  </w:num>
  <w:num w:numId="11" w16cid:durableId="1192524519">
    <w:abstractNumId w:val="20"/>
  </w:num>
  <w:num w:numId="12" w16cid:durableId="948969073">
    <w:abstractNumId w:val="14"/>
  </w:num>
  <w:num w:numId="13" w16cid:durableId="1658529088">
    <w:abstractNumId w:val="9"/>
  </w:num>
  <w:num w:numId="14" w16cid:durableId="1572933551">
    <w:abstractNumId w:val="17"/>
  </w:num>
  <w:num w:numId="15" w16cid:durableId="905185050">
    <w:abstractNumId w:val="23"/>
  </w:num>
  <w:num w:numId="16" w16cid:durableId="341709979">
    <w:abstractNumId w:val="21"/>
  </w:num>
  <w:num w:numId="17" w16cid:durableId="1890066212">
    <w:abstractNumId w:val="1"/>
  </w:num>
  <w:num w:numId="18" w16cid:durableId="495650336">
    <w:abstractNumId w:val="12"/>
  </w:num>
  <w:num w:numId="19" w16cid:durableId="1235356302">
    <w:abstractNumId w:val="6"/>
  </w:num>
  <w:num w:numId="20" w16cid:durableId="590163840">
    <w:abstractNumId w:val="11"/>
  </w:num>
  <w:num w:numId="21" w16cid:durableId="39324221">
    <w:abstractNumId w:val="18"/>
  </w:num>
  <w:num w:numId="22" w16cid:durableId="462622565">
    <w:abstractNumId w:val="8"/>
  </w:num>
  <w:num w:numId="23" w16cid:durableId="1373457993">
    <w:abstractNumId w:val="15"/>
  </w:num>
  <w:num w:numId="24" w16cid:durableId="1105424073">
    <w:abstractNumId w:val="16"/>
  </w:num>
  <w:num w:numId="25" w16cid:durableId="581841706">
    <w:abstractNumId w:val="25"/>
  </w:num>
  <w:num w:numId="26" w16cid:durableId="231349959">
    <w:abstractNumId w:val="13"/>
  </w:num>
  <w:num w:numId="27" w16cid:durableId="1203522691">
    <w:abstractNumId w:val="29"/>
  </w:num>
  <w:num w:numId="28" w16cid:durableId="2072149166">
    <w:abstractNumId w:val="3"/>
  </w:num>
  <w:num w:numId="29" w16cid:durableId="1056902057">
    <w:abstractNumId w:val="5"/>
  </w:num>
  <w:num w:numId="30" w16cid:durableId="1578318323">
    <w:abstractNumId w:val="4"/>
  </w:num>
  <w:num w:numId="31" w16cid:durableId="1613518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725"/>
    <w:rsid w:val="001861AF"/>
    <w:rsid w:val="00233D5A"/>
    <w:rsid w:val="002B4C47"/>
    <w:rsid w:val="002E2FB0"/>
    <w:rsid w:val="005A2B01"/>
    <w:rsid w:val="00602E66"/>
    <w:rsid w:val="0063439F"/>
    <w:rsid w:val="008706A1"/>
    <w:rsid w:val="00955D58"/>
    <w:rsid w:val="0098143C"/>
    <w:rsid w:val="009868FF"/>
    <w:rsid w:val="009B5EF6"/>
    <w:rsid w:val="009B721F"/>
    <w:rsid w:val="009F7CF5"/>
    <w:rsid w:val="00A15725"/>
    <w:rsid w:val="00B12B69"/>
    <w:rsid w:val="00B31D6E"/>
    <w:rsid w:val="00B947CD"/>
    <w:rsid w:val="00BB2BC0"/>
    <w:rsid w:val="00C85184"/>
    <w:rsid w:val="00F21E74"/>
    <w:rsid w:val="00F60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F63518"/>
  <w15:docId w15:val="{15599DF6-923F-4D66-9BCE-EDB9DACC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semiHidden/>
    <w:unhideWhenUsed/>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5"/>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5"/>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0" w:line="240" w:lineRule="auto"/>
    </w:pPr>
    <w:rPr>
      <w:sz w:val="20"/>
      <w:szCs w:val="20"/>
    </w:rPr>
    <w:tblPr>
      <w:tblStyleRowBandSize w:val="1"/>
      <w:tblStyleColBandSize w:val="1"/>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pPr>
      <w:spacing w:after="0" w:line="240" w:lineRule="auto"/>
    </w:pPr>
    <w:rPr>
      <w:sz w:val="20"/>
      <w:szCs w:val="20"/>
    </w:rPr>
    <w:tblPr>
      <w:tblStyleRowBandSize w:val="1"/>
      <w:tblStyleColBandSize w:val="1"/>
    </w:tblPr>
  </w:style>
  <w:style w:type="table" w:customStyle="1" w:styleId="3">
    <w:name w:val="3"/>
    <w:basedOn w:val="TableNormal"/>
    <w:pPr>
      <w:spacing w:after="0" w:line="240" w:lineRule="auto"/>
    </w:pPr>
    <w:rPr>
      <w:sz w:val="20"/>
      <w:szCs w:val="20"/>
    </w:rPr>
    <w:tblPr>
      <w:tblStyleRowBandSize w:val="1"/>
      <w:tblStyleColBandSize w:val="1"/>
    </w:tblPr>
  </w:style>
  <w:style w:type="table" w:customStyle="1" w:styleId="2">
    <w:name w:val="2"/>
    <w:basedOn w:val="TableNormal"/>
    <w:pPr>
      <w:spacing w:after="0" w:line="240" w:lineRule="auto"/>
    </w:pPr>
    <w:rPr>
      <w:sz w:val="20"/>
      <w:szCs w:val="20"/>
    </w:rPr>
    <w:tblPr>
      <w:tblStyleRowBandSize w:val="1"/>
      <w:tblStyleColBandSize w:val="1"/>
    </w:tblPr>
  </w:style>
  <w:style w:type="table" w:customStyle="1" w:styleId="1">
    <w:name w:val="1"/>
    <w:basedOn w:val="TableNormal"/>
    <w:pPr>
      <w:spacing w:after="0" w:line="240" w:lineRule="auto"/>
    </w:pPr>
    <w:rPr>
      <w:sz w:val="20"/>
      <w:szCs w:val="20"/>
    </w:rPr>
    <w:tblPr>
      <w:tblStyleRowBandSize w:val="1"/>
      <w:tblStyleColBandSize w:val="1"/>
    </w:tblPr>
  </w:style>
  <w:style w:type="character" w:customStyle="1" w:styleId="tl8wme">
    <w:name w:val="tl8wme"/>
    <w:basedOn w:val="DefaultParagraphFont"/>
    <w:rsid w:val="004A3D7F"/>
  </w:style>
  <w:style w:type="table" w:customStyle="1" w:styleId="a">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0">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 w:type="paragraph" w:styleId="NormalWeb">
    <w:name w:val="Normal (Web)"/>
    <w:basedOn w:val="Normal"/>
    <w:uiPriority w:val="99"/>
    <w:semiHidden/>
    <w:unhideWhenUsed/>
    <w:rsid w:val="00B43CD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5">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6">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7">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8">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9">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a">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b">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c">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d">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e">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0">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1">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3">
    <w:basedOn w:val="TableNormal"/>
    <w:pPr>
      <w:spacing w:after="0" w:line="240" w:lineRule="auto"/>
    </w:pPr>
    <w:rPr>
      <w:sz w:val="20"/>
      <w:szCs w:val="20"/>
    </w:rPr>
    <w:tblPr>
      <w:tblStyleRowBandSize w:val="1"/>
      <w:tblStyleColBandSize w:val="1"/>
      <w:tblCellMar>
        <w:left w:w="0" w:type="dxa"/>
        <w:right w:w="0" w:type="dxa"/>
      </w:tblCellMar>
    </w:tblPr>
  </w:style>
  <w:style w:type="character" w:customStyle="1" w:styleId="il">
    <w:name w:val="il"/>
    <w:basedOn w:val="DefaultParagraphFont"/>
    <w:rsid w:val="00CF3BA8"/>
  </w:style>
  <w:style w:type="table" w:customStyle="1" w:styleId="af4">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5">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6">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7">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8">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9">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a">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b">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c">
    <w:basedOn w:val="TableNormal"/>
    <w:pPr>
      <w:spacing w:after="0" w:line="240" w:lineRule="auto"/>
    </w:pPr>
    <w:rPr>
      <w:sz w:val="20"/>
      <w:szCs w:val="20"/>
    </w:rPr>
    <w:tblPr>
      <w:tblStyleRowBandSize w:val="1"/>
      <w:tblStyleColBandSize w:val="1"/>
      <w:tblCellMar>
        <w:left w:w="0" w:type="dxa"/>
        <w:right w:w="0" w:type="dxa"/>
      </w:tblCellMar>
    </w:tblPr>
  </w:style>
  <w:style w:type="character" w:customStyle="1" w:styleId="Heading5Char">
    <w:name w:val="Heading 5 Char"/>
    <w:basedOn w:val="DefaultParagraphFont"/>
    <w:link w:val="Heading5"/>
    <w:uiPriority w:val="9"/>
    <w:semiHidden/>
    <w:rsid w:val="00B12B6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s.gov.uk/methodology/geography/ukgeographies/eurosta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blowing-the-whistle-list-of-prescribed-people-and-bodies--2/whistleblowing-list-of-prescribed-people-and-bod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ir35-find-out-if-it-appl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xlsx"/><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sVGhnSWQCKzzNMadTAgSwWwFSA==">AMUW2mXt9qG4Mcaw7wfObNp8RGdNG4ZkCs7b+Xek7L6s58uOTUaRZG7DOmiv8AWDA4CZalXgwaSznSOddkzegIJH8rVEC6fWMfEUsOL+CxAh0R5WqlWLbyY4Ztmr2xMe/CA7+TcCO4ynQ9vIvRXw1q9I83sjlb+kfxuXoGX+fNnIUCh3Q3gHZn3RugTAvFUZBko98Tlr0+Vsl6PuU6W/UBqHSSWxEJmI8c+V/6vb/byIWQtGka5u6FoKSqXdo0Cf0vxAi97/W/OM8FyYrX/3y/VpVB2kEwlt5bNOs4PPmYxlxPjhJJQC7b4=</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24ABC4-271E-41B2-93A4-A12A16EF6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87B61C-CCB3-4A12-9F3E-020FAF584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CD21E-4C2E-4949-B17B-040502F5F9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14437</Words>
  <Characters>82295</Characters>
  <Application>Microsoft Office Word</Application>
  <DocSecurity>4</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Nicola Congreve</cp:lastModifiedBy>
  <cp:revision>2</cp:revision>
  <dcterms:created xsi:type="dcterms:W3CDTF">2024-05-09T08:56:00Z</dcterms:created>
  <dcterms:modified xsi:type="dcterms:W3CDTF">2024-05-09T08:56:00Z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y fmtid="{D5CDD505-2E9C-101B-9397-08002B2CF9AE}" pid="3" name="ContentTypeId">
    <vt:lpwstr>0x0101008324F918D5154B40ADCFADD50BD2479E</vt:lpwstr>
  </property>
</Properties>
</file>